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F030" w14:textId="77777777" w:rsidR="001A3A6A" w:rsidRDefault="001A3A6A" w:rsidP="001A3A6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COMMONWEALTH OF MASSACHUSETTS</w:t>
      </w:r>
    </w:p>
    <w:p w14:paraId="703E2E29" w14:textId="77777777" w:rsidR="001A3A6A" w:rsidRDefault="001A3A6A" w:rsidP="001A3A6A">
      <w:pPr>
        <w:spacing w:after="0" w:line="240" w:lineRule="auto"/>
        <w:jc w:val="center"/>
        <w:rPr>
          <w:rFonts w:ascii="Times New Roman" w:hAnsi="Times New Roman" w:cs="Times New Roman"/>
          <w:b/>
          <w:sz w:val="26"/>
          <w:szCs w:val="26"/>
        </w:rPr>
      </w:pPr>
      <w:bookmarkStart w:id="0" w:name="_Hlk121822966"/>
      <w:bookmarkEnd w:id="0"/>
    </w:p>
    <w:p w14:paraId="163FCA77" w14:textId="2847065B" w:rsidR="001A3A6A" w:rsidRDefault="001A3A6A" w:rsidP="001A3A6A">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DEPARTMENT OF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BOARD NOS. 009500-23</w:t>
      </w:r>
    </w:p>
    <w:p w14:paraId="234B1FD5" w14:textId="22374070" w:rsidR="001A3A6A" w:rsidRDefault="001A3A6A" w:rsidP="001A3A6A">
      <w:pPr>
        <w:spacing w:after="0" w:line="240" w:lineRule="auto"/>
        <w:rPr>
          <w:rFonts w:ascii="Times New Roman" w:hAnsi="Times New Roman" w:cs="Times New Roman"/>
          <w:b/>
          <w:sz w:val="26"/>
          <w:szCs w:val="26"/>
        </w:rPr>
      </w:pPr>
      <w:r>
        <w:rPr>
          <w:rFonts w:ascii="Times New Roman" w:hAnsi="Times New Roman" w:cs="Times New Roman"/>
          <w:b/>
          <w:sz w:val="26"/>
          <w:szCs w:val="26"/>
        </w:rPr>
        <w:t>INDUSTRIAL ACCIDENTS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013305-23</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Pr>
          <w:rFonts w:ascii="Times New Roman" w:hAnsi="Times New Roman" w:cs="Times New Roman"/>
          <w:b/>
          <w:sz w:val="26"/>
          <w:szCs w:val="26"/>
        </w:rPr>
        <w:tab/>
      </w:r>
    </w:p>
    <w:p w14:paraId="1410E860" w14:textId="77777777" w:rsidR="001A3A6A" w:rsidRDefault="001A3A6A" w:rsidP="001A3A6A">
      <w:pPr>
        <w:spacing w:after="0" w:line="240" w:lineRule="auto"/>
        <w:rPr>
          <w:rFonts w:ascii="Times New Roman" w:hAnsi="Times New Roman" w:cs="Times New Roman"/>
          <w:b/>
          <w:sz w:val="26"/>
          <w:szCs w:val="26"/>
        </w:rPr>
      </w:pPr>
    </w:p>
    <w:p w14:paraId="67AF74FA" w14:textId="06D05CB9"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Jose Almonte Rodriguez</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Employe</w:t>
      </w:r>
      <w:r w:rsidR="003C0590">
        <w:rPr>
          <w:rFonts w:ascii="Times New Roman" w:hAnsi="Times New Roman" w:cs="Times New Roman"/>
          <w:sz w:val="26"/>
          <w:szCs w:val="26"/>
        </w:rPr>
        <w:t>e</w:t>
      </w:r>
    </w:p>
    <w:p w14:paraId="1D7C7E97" w14:textId="77777777" w:rsidR="004D67BF" w:rsidRDefault="004D67BF" w:rsidP="001A3A6A">
      <w:pPr>
        <w:spacing w:after="0" w:line="240" w:lineRule="auto"/>
        <w:rPr>
          <w:rFonts w:ascii="Times New Roman" w:hAnsi="Times New Roman" w:cs="Times New Roman"/>
          <w:sz w:val="26"/>
          <w:szCs w:val="26"/>
        </w:rPr>
      </w:pPr>
    </w:p>
    <w:p w14:paraId="51278D4F" w14:textId="67845E97"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D &amp; A Trucking LLC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Employer</w:t>
      </w:r>
    </w:p>
    <w:p w14:paraId="130281FE" w14:textId="77777777"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Workers’ Compensation Trust Fund</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Insurer</w:t>
      </w:r>
    </w:p>
    <w:p w14:paraId="4953E7B8" w14:textId="77777777" w:rsidR="004D67BF" w:rsidRDefault="004D67BF" w:rsidP="001A3A6A">
      <w:pPr>
        <w:spacing w:after="0" w:line="240" w:lineRule="auto"/>
        <w:rPr>
          <w:rFonts w:ascii="Times New Roman" w:hAnsi="Times New Roman" w:cs="Times New Roman"/>
          <w:sz w:val="26"/>
          <w:szCs w:val="26"/>
        </w:rPr>
      </w:pPr>
    </w:p>
    <w:p w14:paraId="49C215B1" w14:textId="4C9211E4"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Blue Triton Brands, Inc.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D67BF">
        <w:rPr>
          <w:rFonts w:ascii="Times New Roman" w:hAnsi="Times New Roman" w:cs="Times New Roman"/>
          <w:sz w:val="26"/>
          <w:szCs w:val="26"/>
        </w:rPr>
        <w:t>Employer</w:t>
      </w:r>
    </w:p>
    <w:p w14:paraId="46A1C64A" w14:textId="5355D255" w:rsidR="004D67BF"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Starr Indemnity &amp; Liability Inc. Co. </w:t>
      </w:r>
      <w:r w:rsidR="004D67BF">
        <w:rPr>
          <w:rFonts w:ascii="Times New Roman" w:hAnsi="Times New Roman" w:cs="Times New Roman"/>
          <w:sz w:val="26"/>
          <w:szCs w:val="26"/>
        </w:rPr>
        <w:tab/>
      </w:r>
      <w:r w:rsidR="004D67BF">
        <w:rPr>
          <w:rFonts w:ascii="Times New Roman" w:hAnsi="Times New Roman" w:cs="Times New Roman"/>
          <w:sz w:val="26"/>
          <w:szCs w:val="26"/>
        </w:rPr>
        <w:tab/>
      </w:r>
      <w:r w:rsidR="004D67BF">
        <w:rPr>
          <w:rFonts w:ascii="Times New Roman" w:hAnsi="Times New Roman" w:cs="Times New Roman"/>
          <w:sz w:val="26"/>
          <w:szCs w:val="26"/>
        </w:rPr>
        <w:tab/>
      </w:r>
      <w:r w:rsidR="004D67BF">
        <w:rPr>
          <w:rFonts w:ascii="Times New Roman" w:hAnsi="Times New Roman" w:cs="Times New Roman"/>
          <w:sz w:val="26"/>
          <w:szCs w:val="26"/>
        </w:rPr>
        <w:tab/>
        <w:t>Insurer</w:t>
      </w:r>
    </w:p>
    <w:p w14:paraId="7564FE84" w14:textId="493663DC"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14:paraId="3E850098" w14:textId="77777777" w:rsidR="001A3A6A" w:rsidRDefault="001A3A6A" w:rsidP="001A3A6A">
      <w:pPr>
        <w:spacing w:after="0" w:line="240" w:lineRule="auto"/>
        <w:rPr>
          <w:rFonts w:ascii="Times New Roman" w:hAnsi="Times New Roman" w:cs="Times New Roman"/>
          <w:sz w:val="26"/>
          <w:szCs w:val="26"/>
        </w:rPr>
      </w:pPr>
    </w:p>
    <w:p w14:paraId="0F749DC4" w14:textId="77777777" w:rsidR="001A3A6A" w:rsidRDefault="001A3A6A" w:rsidP="001A3A6A">
      <w:pPr>
        <w:spacing w:after="0" w:line="240" w:lineRule="auto"/>
        <w:rPr>
          <w:rFonts w:ascii="Times New Roman" w:hAnsi="Times New Roman" w:cs="Times New Roman"/>
          <w:sz w:val="26"/>
          <w:szCs w:val="26"/>
        </w:rPr>
      </w:pPr>
    </w:p>
    <w:p w14:paraId="07D513D1" w14:textId="77777777" w:rsidR="001A3A6A" w:rsidRDefault="001A3A6A" w:rsidP="001A3A6A">
      <w:pPr>
        <w:spacing w:after="0" w:line="24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REVIEWING BOARD DECISION</w:t>
      </w:r>
    </w:p>
    <w:p w14:paraId="1465E177" w14:textId="51B937D7" w:rsidR="001A3A6A" w:rsidRDefault="001A3A6A" w:rsidP="001A3A6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(Judges Koziol, Fabricant and </w:t>
      </w:r>
      <w:r w:rsidR="004D67BF">
        <w:rPr>
          <w:rFonts w:ascii="Times New Roman" w:hAnsi="Times New Roman" w:cs="Times New Roman"/>
          <w:sz w:val="26"/>
          <w:szCs w:val="26"/>
        </w:rPr>
        <w:t>Long</w:t>
      </w:r>
      <w:r>
        <w:rPr>
          <w:rFonts w:ascii="Times New Roman" w:hAnsi="Times New Roman" w:cs="Times New Roman"/>
          <w:sz w:val="26"/>
          <w:szCs w:val="26"/>
        </w:rPr>
        <w:t>)</w:t>
      </w:r>
    </w:p>
    <w:p w14:paraId="23874FF9" w14:textId="77777777" w:rsidR="001A3A6A" w:rsidRDefault="001A3A6A" w:rsidP="001A3A6A">
      <w:pPr>
        <w:spacing w:after="0" w:line="240" w:lineRule="auto"/>
        <w:jc w:val="center"/>
        <w:rPr>
          <w:rFonts w:ascii="Times New Roman" w:hAnsi="Times New Roman" w:cs="Times New Roman"/>
          <w:sz w:val="26"/>
          <w:szCs w:val="26"/>
        </w:rPr>
      </w:pPr>
    </w:p>
    <w:p w14:paraId="1913D0B6" w14:textId="7195E506" w:rsidR="001A3A6A" w:rsidRDefault="001A3A6A" w:rsidP="001A3A6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This case was heard by Administrative Judge </w:t>
      </w:r>
      <w:r w:rsidR="004D67BF">
        <w:rPr>
          <w:rFonts w:ascii="Times New Roman" w:hAnsi="Times New Roman" w:cs="Times New Roman"/>
          <w:sz w:val="26"/>
          <w:szCs w:val="26"/>
        </w:rPr>
        <w:t>Bean</w:t>
      </w:r>
      <w:r>
        <w:rPr>
          <w:rFonts w:ascii="Times New Roman" w:hAnsi="Times New Roman" w:cs="Times New Roman"/>
          <w:sz w:val="26"/>
          <w:szCs w:val="26"/>
        </w:rPr>
        <w:t>.</w:t>
      </w:r>
    </w:p>
    <w:p w14:paraId="283A9402" w14:textId="77777777" w:rsidR="001A3A6A" w:rsidRDefault="001A3A6A" w:rsidP="001A3A6A">
      <w:pPr>
        <w:spacing w:after="0" w:line="240" w:lineRule="auto"/>
        <w:jc w:val="center"/>
        <w:rPr>
          <w:rFonts w:ascii="Times New Roman" w:hAnsi="Times New Roman" w:cs="Times New Roman"/>
          <w:sz w:val="26"/>
          <w:szCs w:val="26"/>
        </w:rPr>
      </w:pPr>
    </w:p>
    <w:p w14:paraId="6A4CEBE9" w14:textId="77777777" w:rsidR="001A3A6A" w:rsidRDefault="001A3A6A" w:rsidP="001A3A6A">
      <w:pPr>
        <w:spacing w:after="0" w:line="240" w:lineRule="auto"/>
        <w:jc w:val="center"/>
        <w:rPr>
          <w:rFonts w:ascii="Times New Roman" w:hAnsi="Times New Roman" w:cs="Times New Roman"/>
          <w:sz w:val="26"/>
          <w:szCs w:val="26"/>
        </w:rPr>
      </w:pPr>
      <w:r>
        <w:rPr>
          <w:rFonts w:ascii="Times New Roman" w:hAnsi="Times New Roman" w:cs="Times New Roman"/>
          <w:b/>
          <w:sz w:val="26"/>
          <w:szCs w:val="26"/>
          <w:u w:val="single"/>
        </w:rPr>
        <w:t>APPEARANCES</w:t>
      </w:r>
    </w:p>
    <w:p w14:paraId="1172CC9C" w14:textId="5706C254" w:rsidR="00DC60D6" w:rsidRDefault="004D67BF" w:rsidP="00DC60D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Danilo Gomez</w:t>
      </w:r>
      <w:r w:rsidR="001A3A6A">
        <w:rPr>
          <w:rFonts w:ascii="Times New Roman" w:hAnsi="Times New Roman" w:cs="Times New Roman"/>
          <w:sz w:val="26"/>
          <w:szCs w:val="26"/>
        </w:rPr>
        <w:t>, Esq., for the employee</w:t>
      </w:r>
      <w:r w:rsidR="00DC60D6" w:rsidRPr="00DC60D6">
        <w:rPr>
          <w:rFonts w:ascii="Times New Roman" w:hAnsi="Times New Roman" w:cs="Times New Roman"/>
          <w:sz w:val="26"/>
          <w:szCs w:val="26"/>
        </w:rPr>
        <w:t xml:space="preserve"> </w:t>
      </w:r>
    </w:p>
    <w:p w14:paraId="24034C06" w14:textId="2E020016" w:rsidR="001A3A6A" w:rsidRDefault="00DC60D6" w:rsidP="001A3A6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Michael Najjar, Esq., for the employer D &amp; A Trucking LLC</w:t>
      </w:r>
      <w:r w:rsidR="00854B7F">
        <w:rPr>
          <w:rStyle w:val="FootnoteReference"/>
          <w:rFonts w:ascii="Times New Roman" w:hAnsi="Times New Roman" w:cs="Times New Roman"/>
          <w:sz w:val="26"/>
          <w:szCs w:val="26"/>
        </w:rPr>
        <w:footnoteReference w:id="1"/>
      </w:r>
    </w:p>
    <w:p w14:paraId="71D6F141" w14:textId="34217B55" w:rsidR="004D67BF" w:rsidRDefault="004D67BF" w:rsidP="001A3A6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Timothy </w:t>
      </w:r>
      <w:r w:rsidR="000F1BD5">
        <w:rPr>
          <w:rFonts w:ascii="Times New Roman" w:hAnsi="Times New Roman" w:cs="Times New Roman"/>
          <w:sz w:val="26"/>
          <w:szCs w:val="26"/>
        </w:rPr>
        <w:t xml:space="preserve">P. </w:t>
      </w:r>
      <w:r>
        <w:rPr>
          <w:rFonts w:ascii="Times New Roman" w:hAnsi="Times New Roman" w:cs="Times New Roman"/>
          <w:sz w:val="26"/>
          <w:szCs w:val="26"/>
        </w:rPr>
        <w:t>Foley</w:t>
      </w:r>
      <w:r w:rsidR="001A3A6A">
        <w:rPr>
          <w:rFonts w:ascii="Times New Roman" w:hAnsi="Times New Roman" w:cs="Times New Roman"/>
          <w:sz w:val="26"/>
          <w:szCs w:val="26"/>
        </w:rPr>
        <w:t xml:space="preserve">, Esq., for the </w:t>
      </w:r>
      <w:r>
        <w:rPr>
          <w:rFonts w:ascii="Times New Roman" w:hAnsi="Times New Roman" w:cs="Times New Roman"/>
          <w:sz w:val="26"/>
          <w:szCs w:val="26"/>
        </w:rPr>
        <w:t>Workers’ Compensation Trust Fund</w:t>
      </w:r>
      <w:r w:rsidR="00BC1A54">
        <w:rPr>
          <w:rStyle w:val="FootnoteReference"/>
          <w:rFonts w:ascii="Times New Roman" w:hAnsi="Times New Roman" w:cs="Times New Roman"/>
          <w:sz w:val="26"/>
          <w:szCs w:val="26"/>
        </w:rPr>
        <w:footnoteReference w:id="2"/>
      </w:r>
    </w:p>
    <w:p w14:paraId="2D8837C1" w14:textId="0A546F84" w:rsidR="001A3A6A" w:rsidRDefault="004D67BF" w:rsidP="001A3A6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Joanne D. Walter, Esq., for Star</w:t>
      </w:r>
      <w:r w:rsidR="00DF6C11">
        <w:rPr>
          <w:rFonts w:ascii="Times New Roman" w:hAnsi="Times New Roman" w:cs="Times New Roman"/>
          <w:sz w:val="26"/>
          <w:szCs w:val="26"/>
        </w:rPr>
        <w:t>r</w:t>
      </w:r>
      <w:r>
        <w:rPr>
          <w:rFonts w:ascii="Times New Roman" w:hAnsi="Times New Roman" w:cs="Times New Roman"/>
          <w:sz w:val="26"/>
          <w:szCs w:val="26"/>
        </w:rPr>
        <w:t xml:space="preserve"> Indemnity &amp; Liability Inc. Co. at hearing</w:t>
      </w:r>
      <w:r w:rsidR="001A3A6A">
        <w:rPr>
          <w:rFonts w:ascii="Times New Roman" w:hAnsi="Times New Roman" w:cs="Times New Roman"/>
          <w:sz w:val="26"/>
          <w:szCs w:val="26"/>
        </w:rPr>
        <w:t xml:space="preserve"> </w:t>
      </w:r>
    </w:p>
    <w:p w14:paraId="5DCFBC15" w14:textId="6446C609" w:rsidR="001A3A6A" w:rsidRDefault="004D67BF" w:rsidP="001A3A6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John J. Canniff, Esq., for Star</w:t>
      </w:r>
      <w:r w:rsidR="00DF6C11">
        <w:rPr>
          <w:rFonts w:ascii="Times New Roman" w:hAnsi="Times New Roman" w:cs="Times New Roman"/>
          <w:sz w:val="26"/>
          <w:szCs w:val="26"/>
        </w:rPr>
        <w:t>r</w:t>
      </w:r>
      <w:r>
        <w:rPr>
          <w:rFonts w:ascii="Times New Roman" w:hAnsi="Times New Roman" w:cs="Times New Roman"/>
          <w:sz w:val="26"/>
          <w:szCs w:val="26"/>
        </w:rPr>
        <w:t xml:space="preserve"> Indemnity &amp; Liability Inc. Co. on appeal</w:t>
      </w:r>
    </w:p>
    <w:p w14:paraId="056F4AB9" w14:textId="77777777" w:rsidR="001A3A6A" w:rsidRDefault="001A3A6A" w:rsidP="001A3A6A">
      <w:pPr>
        <w:spacing w:after="0" w:line="240" w:lineRule="auto"/>
        <w:rPr>
          <w:rFonts w:ascii="Times New Roman" w:hAnsi="Times New Roman" w:cs="Times New Roman"/>
          <w:sz w:val="26"/>
          <w:szCs w:val="26"/>
        </w:rPr>
      </w:pPr>
    </w:p>
    <w:p w14:paraId="0DB03ADC" w14:textId="7BED5841" w:rsidR="001A3A6A" w:rsidRDefault="001A3A6A" w:rsidP="004D67BF">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b/>
          <w:sz w:val="26"/>
          <w:szCs w:val="26"/>
        </w:rPr>
        <w:t xml:space="preserve">KOZIOL, J. </w:t>
      </w:r>
      <w:r>
        <w:rPr>
          <w:rFonts w:ascii="Times New Roman" w:hAnsi="Times New Roman" w:cs="Times New Roman"/>
          <w:sz w:val="26"/>
          <w:szCs w:val="26"/>
        </w:rPr>
        <w:t xml:space="preserve">  </w:t>
      </w:r>
      <w:r w:rsidR="004D67BF">
        <w:rPr>
          <w:rFonts w:ascii="Times New Roman" w:hAnsi="Times New Roman" w:cs="Times New Roman"/>
          <w:sz w:val="26"/>
          <w:szCs w:val="26"/>
        </w:rPr>
        <w:t>Star</w:t>
      </w:r>
      <w:r w:rsidR="00DF6C11">
        <w:rPr>
          <w:rFonts w:ascii="Times New Roman" w:hAnsi="Times New Roman" w:cs="Times New Roman"/>
          <w:sz w:val="26"/>
          <w:szCs w:val="26"/>
        </w:rPr>
        <w:t>r</w:t>
      </w:r>
      <w:r w:rsidR="004D67BF">
        <w:rPr>
          <w:rFonts w:ascii="Times New Roman" w:hAnsi="Times New Roman" w:cs="Times New Roman"/>
          <w:sz w:val="26"/>
          <w:szCs w:val="26"/>
        </w:rPr>
        <w:t xml:space="preserve"> Indemnity &amp; Liability Inc. Co. (Star</w:t>
      </w:r>
      <w:r w:rsidR="00DF6C11">
        <w:rPr>
          <w:rFonts w:ascii="Times New Roman" w:hAnsi="Times New Roman" w:cs="Times New Roman"/>
          <w:sz w:val="26"/>
          <w:szCs w:val="26"/>
        </w:rPr>
        <w:t>r</w:t>
      </w:r>
      <w:r w:rsidR="004D67BF">
        <w:rPr>
          <w:rFonts w:ascii="Times New Roman" w:hAnsi="Times New Roman" w:cs="Times New Roman"/>
          <w:sz w:val="26"/>
          <w:szCs w:val="26"/>
        </w:rPr>
        <w:t xml:space="preserve">) and the employer, D&amp;A Trucking, LLC. </w:t>
      </w:r>
      <w:r w:rsidR="0047661F">
        <w:rPr>
          <w:rFonts w:ascii="Times New Roman" w:hAnsi="Times New Roman" w:cs="Times New Roman"/>
          <w:sz w:val="26"/>
          <w:szCs w:val="26"/>
        </w:rPr>
        <w:t xml:space="preserve">(D &amp; A), </w:t>
      </w:r>
      <w:r w:rsidR="004D67BF">
        <w:rPr>
          <w:rFonts w:ascii="Times New Roman" w:hAnsi="Times New Roman" w:cs="Times New Roman"/>
          <w:sz w:val="26"/>
          <w:szCs w:val="26"/>
        </w:rPr>
        <w:t>appeal from the administrative judge’s decision ordering Star</w:t>
      </w:r>
      <w:r w:rsidR="009A45B2">
        <w:rPr>
          <w:rFonts w:ascii="Times New Roman" w:hAnsi="Times New Roman" w:cs="Times New Roman"/>
          <w:sz w:val="26"/>
          <w:szCs w:val="26"/>
        </w:rPr>
        <w:t>r</w:t>
      </w:r>
      <w:r w:rsidR="004D67BF">
        <w:rPr>
          <w:rFonts w:ascii="Times New Roman" w:hAnsi="Times New Roman" w:cs="Times New Roman"/>
          <w:sz w:val="26"/>
          <w:szCs w:val="26"/>
        </w:rPr>
        <w:t xml:space="preserve"> to pay </w:t>
      </w:r>
      <w:r w:rsidR="007863ED">
        <w:rPr>
          <w:rFonts w:ascii="Times New Roman" w:hAnsi="Times New Roman" w:cs="Times New Roman"/>
          <w:sz w:val="26"/>
          <w:szCs w:val="26"/>
        </w:rPr>
        <w:t>benefits, pursuant to § 18,</w:t>
      </w:r>
      <w:r w:rsidR="00D04B0B">
        <w:rPr>
          <w:rStyle w:val="FootnoteReference"/>
          <w:rFonts w:ascii="Times New Roman" w:hAnsi="Times New Roman" w:cs="Times New Roman"/>
          <w:sz w:val="26"/>
          <w:szCs w:val="26"/>
        </w:rPr>
        <w:footnoteReference w:id="3"/>
      </w:r>
      <w:r w:rsidR="007863ED">
        <w:rPr>
          <w:rFonts w:ascii="Times New Roman" w:hAnsi="Times New Roman" w:cs="Times New Roman"/>
          <w:sz w:val="26"/>
          <w:szCs w:val="26"/>
        </w:rPr>
        <w:t xml:space="preserve"> to the employee, who was injured while </w:t>
      </w:r>
      <w:r w:rsidR="00501A07">
        <w:rPr>
          <w:rFonts w:ascii="Times New Roman" w:hAnsi="Times New Roman" w:cs="Times New Roman"/>
          <w:sz w:val="26"/>
          <w:szCs w:val="26"/>
        </w:rPr>
        <w:t xml:space="preserve">working </w:t>
      </w:r>
      <w:r w:rsidR="00501A07">
        <w:rPr>
          <w:rFonts w:ascii="Times New Roman" w:hAnsi="Times New Roman" w:cs="Times New Roman"/>
          <w:sz w:val="26"/>
          <w:szCs w:val="26"/>
        </w:rPr>
        <w:lastRenderedPageBreak/>
        <w:t>for</w:t>
      </w:r>
      <w:r w:rsidR="007863ED">
        <w:rPr>
          <w:rFonts w:ascii="Times New Roman" w:hAnsi="Times New Roman" w:cs="Times New Roman"/>
          <w:sz w:val="26"/>
          <w:szCs w:val="26"/>
        </w:rPr>
        <w:t xml:space="preserve"> D &amp; A, an uninsured sub-contractor of Star</w:t>
      </w:r>
      <w:r w:rsidR="00DF6C11">
        <w:rPr>
          <w:rFonts w:ascii="Times New Roman" w:hAnsi="Times New Roman" w:cs="Times New Roman"/>
          <w:sz w:val="26"/>
          <w:szCs w:val="26"/>
        </w:rPr>
        <w:t>r</w:t>
      </w:r>
      <w:r w:rsidR="007863ED">
        <w:rPr>
          <w:rFonts w:ascii="Times New Roman" w:hAnsi="Times New Roman" w:cs="Times New Roman"/>
          <w:sz w:val="26"/>
          <w:szCs w:val="26"/>
        </w:rPr>
        <w:t xml:space="preserve">’s </w:t>
      </w:r>
      <w:r w:rsidR="00DF6C11">
        <w:rPr>
          <w:rFonts w:ascii="Times New Roman" w:hAnsi="Times New Roman" w:cs="Times New Roman"/>
          <w:sz w:val="26"/>
          <w:szCs w:val="26"/>
        </w:rPr>
        <w:t>i</w:t>
      </w:r>
      <w:r w:rsidR="007863ED">
        <w:rPr>
          <w:rFonts w:ascii="Times New Roman" w:hAnsi="Times New Roman" w:cs="Times New Roman"/>
          <w:sz w:val="26"/>
          <w:szCs w:val="26"/>
        </w:rPr>
        <w:t xml:space="preserve">nsured, Blue Triton Brands, Inc. </w:t>
      </w:r>
      <w:r w:rsidR="00941E14">
        <w:rPr>
          <w:rFonts w:ascii="Times New Roman" w:hAnsi="Times New Roman" w:cs="Times New Roman"/>
          <w:sz w:val="26"/>
          <w:szCs w:val="26"/>
        </w:rPr>
        <w:t xml:space="preserve">Both </w:t>
      </w:r>
      <w:r w:rsidR="00B64821">
        <w:rPr>
          <w:rFonts w:ascii="Times New Roman" w:hAnsi="Times New Roman" w:cs="Times New Roman"/>
          <w:sz w:val="26"/>
          <w:szCs w:val="26"/>
        </w:rPr>
        <w:t>Star</w:t>
      </w:r>
      <w:r w:rsidR="00DF6C11">
        <w:rPr>
          <w:rFonts w:ascii="Times New Roman" w:hAnsi="Times New Roman" w:cs="Times New Roman"/>
          <w:sz w:val="26"/>
          <w:szCs w:val="26"/>
        </w:rPr>
        <w:t>r</w:t>
      </w:r>
      <w:r w:rsidR="00B64821">
        <w:rPr>
          <w:rFonts w:ascii="Times New Roman" w:hAnsi="Times New Roman" w:cs="Times New Roman"/>
          <w:sz w:val="26"/>
          <w:szCs w:val="26"/>
        </w:rPr>
        <w:t xml:space="preserve"> and </w:t>
      </w:r>
      <w:r w:rsidR="00AD49A1">
        <w:rPr>
          <w:rFonts w:ascii="Times New Roman" w:hAnsi="Times New Roman" w:cs="Times New Roman"/>
          <w:sz w:val="26"/>
          <w:szCs w:val="26"/>
        </w:rPr>
        <w:t>D &amp; A</w:t>
      </w:r>
      <w:r w:rsidR="00B64821">
        <w:rPr>
          <w:rFonts w:ascii="Times New Roman" w:hAnsi="Times New Roman" w:cs="Times New Roman"/>
          <w:sz w:val="26"/>
          <w:szCs w:val="26"/>
        </w:rPr>
        <w:t xml:space="preserve"> </w:t>
      </w:r>
      <w:r w:rsidR="00941E14">
        <w:rPr>
          <w:rFonts w:ascii="Times New Roman" w:hAnsi="Times New Roman" w:cs="Times New Roman"/>
          <w:sz w:val="26"/>
          <w:szCs w:val="26"/>
        </w:rPr>
        <w:t xml:space="preserve">raise </w:t>
      </w:r>
      <w:r w:rsidR="00806818">
        <w:rPr>
          <w:rFonts w:ascii="Times New Roman" w:hAnsi="Times New Roman" w:cs="Times New Roman"/>
          <w:sz w:val="26"/>
          <w:szCs w:val="26"/>
        </w:rPr>
        <w:t>multiple</w:t>
      </w:r>
      <w:r w:rsidR="00941E14">
        <w:rPr>
          <w:rFonts w:ascii="Times New Roman" w:hAnsi="Times New Roman" w:cs="Times New Roman"/>
          <w:sz w:val="26"/>
          <w:szCs w:val="26"/>
        </w:rPr>
        <w:t xml:space="preserve"> </w:t>
      </w:r>
      <w:r w:rsidR="00330DAD">
        <w:rPr>
          <w:rFonts w:ascii="Times New Roman" w:hAnsi="Times New Roman" w:cs="Times New Roman"/>
          <w:sz w:val="26"/>
          <w:szCs w:val="26"/>
        </w:rPr>
        <w:t xml:space="preserve">common </w:t>
      </w:r>
      <w:r w:rsidR="00941E14">
        <w:rPr>
          <w:rFonts w:ascii="Times New Roman" w:hAnsi="Times New Roman" w:cs="Times New Roman"/>
          <w:sz w:val="26"/>
          <w:szCs w:val="26"/>
        </w:rPr>
        <w:t>issues on appea</w:t>
      </w:r>
      <w:r w:rsidR="00561205">
        <w:rPr>
          <w:rFonts w:ascii="Times New Roman" w:hAnsi="Times New Roman" w:cs="Times New Roman"/>
          <w:sz w:val="26"/>
          <w:szCs w:val="26"/>
        </w:rPr>
        <w:t>l and</w:t>
      </w:r>
      <w:r w:rsidR="00941E14">
        <w:rPr>
          <w:rFonts w:ascii="Times New Roman" w:hAnsi="Times New Roman" w:cs="Times New Roman"/>
          <w:sz w:val="26"/>
          <w:szCs w:val="26"/>
        </w:rPr>
        <w:t xml:space="preserve"> </w:t>
      </w:r>
      <w:r w:rsidR="00A5394B">
        <w:rPr>
          <w:rFonts w:ascii="Times New Roman" w:hAnsi="Times New Roman" w:cs="Times New Roman"/>
          <w:sz w:val="26"/>
          <w:szCs w:val="26"/>
        </w:rPr>
        <w:t>with</w:t>
      </w:r>
      <w:r w:rsidR="00561205">
        <w:rPr>
          <w:rFonts w:ascii="Times New Roman" w:hAnsi="Times New Roman" w:cs="Times New Roman"/>
          <w:sz w:val="26"/>
          <w:szCs w:val="26"/>
        </w:rPr>
        <w:t xml:space="preserve"> respect to </w:t>
      </w:r>
      <w:r w:rsidR="009A45B2">
        <w:rPr>
          <w:rFonts w:ascii="Times New Roman" w:hAnsi="Times New Roman" w:cs="Times New Roman"/>
          <w:sz w:val="26"/>
          <w:szCs w:val="26"/>
        </w:rPr>
        <w:t>all</w:t>
      </w:r>
      <w:r w:rsidR="00941E14">
        <w:rPr>
          <w:rFonts w:ascii="Times New Roman" w:hAnsi="Times New Roman" w:cs="Times New Roman"/>
          <w:sz w:val="26"/>
          <w:szCs w:val="26"/>
        </w:rPr>
        <w:t xml:space="preserve"> </w:t>
      </w:r>
      <w:r w:rsidR="00561205">
        <w:rPr>
          <w:rFonts w:ascii="Times New Roman" w:hAnsi="Times New Roman" w:cs="Times New Roman"/>
          <w:sz w:val="26"/>
          <w:szCs w:val="26"/>
        </w:rPr>
        <w:t>th</w:t>
      </w:r>
      <w:r w:rsidR="00B64821">
        <w:rPr>
          <w:rFonts w:ascii="Times New Roman" w:hAnsi="Times New Roman" w:cs="Times New Roman"/>
          <w:sz w:val="26"/>
          <w:szCs w:val="26"/>
        </w:rPr>
        <w:t>o</w:t>
      </w:r>
      <w:r w:rsidR="00561205">
        <w:rPr>
          <w:rFonts w:ascii="Times New Roman" w:hAnsi="Times New Roman" w:cs="Times New Roman"/>
          <w:sz w:val="26"/>
          <w:szCs w:val="26"/>
        </w:rPr>
        <w:t>se issues, we summarily</w:t>
      </w:r>
      <w:r w:rsidR="00941E14">
        <w:rPr>
          <w:rFonts w:ascii="Times New Roman" w:hAnsi="Times New Roman" w:cs="Times New Roman"/>
          <w:sz w:val="26"/>
          <w:szCs w:val="26"/>
        </w:rPr>
        <w:t xml:space="preserve"> affirm</w:t>
      </w:r>
      <w:r w:rsidR="00561205">
        <w:rPr>
          <w:rFonts w:ascii="Times New Roman" w:hAnsi="Times New Roman" w:cs="Times New Roman"/>
          <w:sz w:val="26"/>
          <w:szCs w:val="26"/>
        </w:rPr>
        <w:t xml:space="preserve"> the judge’s decision</w:t>
      </w:r>
      <w:r w:rsidR="00941E14">
        <w:rPr>
          <w:rFonts w:ascii="Times New Roman" w:hAnsi="Times New Roman" w:cs="Times New Roman"/>
          <w:sz w:val="26"/>
          <w:szCs w:val="26"/>
        </w:rPr>
        <w:t xml:space="preserve">. We address the remaining issue raised </w:t>
      </w:r>
      <w:r w:rsidR="004E735F">
        <w:rPr>
          <w:rFonts w:ascii="Times New Roman" w:hAnsi="Times New Roman" w:cs="Times New Roman"/>
          <w:sz w:val="26"/>
          <w:szCs w:val="26"/>
        </w:rPr>
        <w:t xml:space="preserve">on appeal, </w:t>
      </w:r>
      <w:r w:rsidR="00A5394B">
        <w:rPr>
          <w:rFonts w:ascii="Times New Roman" w:hAnsi="Times New Roman" w:cs="Times New Roman"/>
          <w:sz w:val="26"/>
          <w:szCs w:val="26"/>
        </w:rPr>
        <w:t xml:space="preserve">solely </w:t>
      </w:r>
      <w:r w:rsidR="00941E14">
        <w:rPr>
          <w:rFonts w:ascii="Times New Roman" w:hAnsi="Times New Roman" w:cs="Times New Roman"/>
          <w:sz w:val="26"/>
          <w:szCs w:val="26"/>
        </w:rPr>
        <w:t>by Star</w:t>
      </w:r>
      <w:r w:rsidR="00A5394B">
        <w:rPr>
          <w:rFonts w:ascii="Times New Roman" w:hAnsi="Times New Roman" w:cs="Times New Roman"/>
          <w:sz w:val="26"/>
          <w:szCs w:val="26"/>
        </w:rPr>
        <w:t>r</w:t>
      </w:r>
      <w:r w:rsidR="00941E14">
        <w:rPr>
          <w:rFonts w:ascii="Times New Roman" w:hAnsi="Times New Roman" w:cs="Times New Roman"/>
          <w:sz w:val="26"/>
          <w:szCs w:val="26"/>
        </w:rPr>
        <w:t xml:space="preserve">; specifically, </w:t>
      </w:r>
      <w:r w:rsidR="008A343D">
        <w:rPr>
          <w:rFonts w:ascii="Times New Roman" w:hAnsi="Times New Roman" w:cs="Times New Roman"/>
          <w:sz w:val="26"/>
          <w:szCs w:val="26"/>
        </w:rPr>
        <w:t xml:space="preserve">its </w:t>
      </w:r>
      <w:r w:rsidR="00941E14">
        <w:rPr>
          <w:rFonts w:ascii="Times New Roman" w:hAnsi="Times New Roman" w:cs="Times New Roman"/>
          <w:sz w:val="26"/>
          <w:szCs w:val="26"/>
        </w:rPr>
        <w:t xml:space="preserve">allegation that the judge erred in failing </w:t>
      </w:r>
      <w:r w:rsidR="002C111A">
        <w:rPr>
          <w:rFonts w:ascii="Times New Roman" w:hAnsi="Times New Roman" w:cs="Times New Roman"/>
          <w:sz w:val="26"/>
          <w:szCs w:val="26"/>
        </w:rPr>
        <w:t xml:space="preserve">to </w:t>
      </w:r>
      <w:r w:rsidR="00CF2CA9">
        <w:rPr>
          <w:rFonts w:ascii="Times New Roman" w:hAnsi="Times New Roman" w:cs="Times New Roman"/>
          <w:sz w:val="26"/>
          <w:szCs w:val="26"/>
        </w:rPr>
        <w:t>“credit § 15”</w:t>
      </w:r>
      <w:r w:rsidR="001B55DF">
        <w:rPr>
          <w:rStyle w:val="FootnoteReference"/>
          <w:rFonts w:ascii="Times New Roman" w:hAnsi="Times New Roman" w:cs="Times New Roman"/>
          <w:sz w:val="26"/>
          <w:szCs w:val="26"/>
        </w:rPr>
        <w:footnoteReference w:id="4"/>
      </w:r>
      <w:r w:rsidR="00CF2CA9">
        <w:rPr>
          <w:rFonts w:ascii="Times New Roman" w:hAnsi="Times New Roman" w:cs="Times New Roman"/>
          <w:sz w:val="26"/>
          <w:szCs w:val="26"/>
        </w:rPr>
        <w:t xml:space="preserve"> which it alleges “amounts to an improper double recovery.” (</w:t>
      </w:r>
      <w:r w:rsidR="00176B79">
        <w:rPr>
          <w:rFonts w:ascii="Times New Roman" w:hAnsi="Times New Roman" w:cs="Times New Roman"/>
          <w:sz w:val="26"/>
          <w:szCs w:val="26"/>
        </w:rPr>
        <w:t>Ins.</w:t>
      </w:r>
      <w:r w:rsidR="00CF2CA9">
        <w:rPr>
          <w:rFonts w:ascii="Times New Roman" w:hAnsi="Times New Roman" w:cs="Times New Roman"/>
          <w:sz w:val="26"/>
          <w:szCs w:val="26"/>
        </w:rPr>
        <w:t xml:space="preserve"> br</w:t>
      </w:r>
      <w:r w:rsidR="00176B79">
        <w:rPr>
          <w:rFonts w:ascii="Times New Roman" w:hAnsi="Times New Roman" w:cs="Times New Roman"/>
          <w:sz w:val="26"/>
          <w:szCs w:val="26"/>
        </w:rPr>
        <w:t>.</w:t>
      </w:r>
      <w:r w:rsidR="00CF2CA9">
        <w:rPr>
          <w:rFonts w:ascii="Times New Roman" w:hAnsi="Times New Roman" w:cs="Times New Roman"/>
          <w:sz w:val="26"/>
          <w:szCs w:val="26"/>
        </w:rPr>
        <w:t xml:space="preserve">, </w:t>
      </w:r>
      <w:r w:rsidR="00235EA0">
        <w:rPr>
          <w:rFonts w:ascii="Times New Roman" w:hAnsi="Times New Roman" w:cs="Times New Roman"/>
          <w:sz w:val="26"/>
          <w:szCs w:val="26"/>
        </w:rPr>
        <w:t xml:space="preserve">27-31.) </w:t>
      </w:r>
      <w:r w:rsidR="00341807">
        <w:rPr>
          <w:rFonts w:ascii="Times New Roman" w:hAnsi="Times New Roman" w:cs="Times New Roman"/>
          <w:sz w:val="26"/>
          <w:szCs w:val="26"/>
        </w:rPr>
        <w:t>W</w:t>
      </w:r>
      <w:r w:rsidR="00C00B24">
        <w:rPr>
          <w:rFonts w:ascii="Times New Roman" w:hAnsi="Times New Roman" w:cs="Times New Roman"/>
          <w:sz w:val="26"/>
          <w:szCs w:val="26"/>
        </w:rPr>
        <w:t>e find the judge did not err as the issue was n</w:t>
      </w:r>
      <w:r w:rsidR="00144C68">
        <w:rPr>
          <w:rFonts w:ascii="Times New Roman" w:hAnsi="Times New Roman" w:cs="Times New Roman"/>
          <w:sz w:val="26"/>
          <w:szCs w:val="26"/>
        </w:rPr>
        <w:t>ot</w:t>
      </w:r>
      <w:r w:rsidR="00C00B24">
        <w:rPr>
          <w:rFonts w:ascii="Times New Roman" w:hAnsi="Times New Roman" w:cs="Times New Roman"/>
          <w:sz w:val="26"/>
          <w:szCs w:val="26"/>
        </w:rPr>
        <w:t xml:space="preserve"> rai</w:t>
      </w:r>
      <w:r w:rsidR="008E7B1B">
        <w:rPr>
          <w:rFonts w:ascii="Times New Roman" w:hAnsi="Times New Roman" w:cs="Times New Roman"/>
          <w:sz w:val="26"/>
          <w:szCs w:val="26"/>
        </w:rPr>
        <w:t xml:space="preserve">sed below. </w:t>
      </w:r>
    </w:p>
    <w:p w14:paraId="427A754E" w14:textId="3E57FE56" w:rsidR="00236422" w:rsidRDefault="00941E14" w:rsidP="004D67BF">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t xml:space="preserve">We set forth only those facts necessary to address this issue. </w:t>
      </w:r>
      <w:r w:rsidR="00294E58">
        <w:rPr>
          <w:rFonts w:ascii="Times New Roman" w:hAnsi="Times New Roman" w:cs="Times New Roman"/>
          <w:sz w:val="26"/>
          <w:szCs w:val="26"/>
        </w:rPr>
        <w:t>On March 27, 2003, th</w:t>
      </w:r>
      <w:r>
        <w:rPr>
          <w:rFonts w:ascii="Times New Roman" w:hAnsi="Times New Roman" w:cs="Times New Roman"/>
          <w:sz w:val="26"/>
          <w:szCs w:val="26"/>
        </w:rPr>
        <w:t xml:space="preserve">e </w:t>
      </w:r>
      <w:r w:rsidR="00082FD4">
        <w:rPr>
          <w:rFonts w:ascii="Times New Roman" w:hAnsi="Times New Roman" w:cs="Times New Roman"/>
          <w:sz w:val="26"/>
          <w:szCs w:val="26"/>
        </w:rPr>
        <w:t xml:space="preserve">employee was </w:t>
      </w:r>
      <w:r w:rsidR="00AC1C73">
        <w:rPr>
          <w:rFonts w:ascii="Times New Roman" w:hAnsi="Times New Roman" w:cs="Times New Roman"/>
          <w:sz w:val="26"/>
          <w:szCs w:val="26"/>
        </w:rPr>
        <w:t xml:space="preserve">working for </w:t>
      </w:r>
      <w:r w:rsidR="00330DAD">
        <w:rPr>
          <w:rFonts w:ascii="Times New Roman" w:hAnsi="Times New Roman" w:cs="Times New Roman"/>
          <w:sz w:val="26"/>
          <w:szCs w:val="26"/>
        </w:rPr>
        <w:t>D &amp; A</w:t>
      </w:r>
      <w:r w:rsidR="00AC1C73">
        <w:rPr>
          <w:rFonts w:ascii="Times New Roman" w:hAnsi="Times New Roman" w:cs="Times New Roman"/>
          <w:sz w:val="26"/>
          <w:szCs w:val="26"/>
        </w:rPr>
        <w:t>, operating a</w:t>
      </w:r>
      <w:r w:rsidR="00330DAD">
        <w:rPr>
          <w:rFonts w:ascii="Times New Roman" w:hAnsi="Times New Roman" w:cs="Times New Roman"/>
          <w:sz w:val="26"/>
          <w:szCs w:val="26"/>
        </w:rPr>
        <w:t xml:space="preserve"> tractor trailer</w:t>
      </w:r>
      <w:r w:rsidR="00082FD4">
        <w:rPr>
          <w:rFonts w:ascii="Times New Roman" w:hAnsi="Times New Roman" w:cs="Times New Roman"/>
          <w:sz w:val="26"/>
          <w:szCs w:val="26"/>
        </w:rPr>
        <w:t xml:space="preserve"> </w:t>
      </w:r>
      <w:r w:rsidR="004C65FC">
        <w:rPr>
          <w:rFonts w:ascii="Times New Roman" w:hAnsi="Times New Roman" w:cs="Times New Roman"/>
          <w:sz w:val="26"/>
          <w:szCs w:val="26"/>
        </w:rPr>
        <w:t xml:space="preserve">on Route 290 in Worcester, Massachusetts. </w:t>
      </w:r>
      <w:r w:rsidR="006C2890">
        <w:rPr>
          <w:rFonts w:ascii="Times New Roman" w:hAnsi="Times New Roman" w:cs="Times New Roman"/>
          <w:sz w:val="26"/>
          <w:szCs w:val="26"/>
        </w:rPr>
        <w:t>(15 Bean</w:t>
      </w:r>
      <w:r w:rsidR="004C65FC">
        <w:rPr>
          <w:rFonts w:ascii="Times New Roman" w:hAnsi="Times New Roman" w:cs="Times New Roman"/>
          <w:sz w:val="26"/>
          <w:szCs w:val="26"/>
        </w:rPr>
        <w:t xml:space="preserve"> </w:t>
      </w:r>
      <w:r w:rsidR="00711059">
        <w:rPr>
          <w:rFonts w:ascii="Times New Roman" w:hAnsi="Times New Roman" w:cs="Times New Roman"/>
          <w:sz w:val="26"/>
          <w:szCs w:val="26"/>
        </w:rPr>
        <w:t>182-183.</w:t>
      </w:r>
      <w:r w:rsidR="006C2890">
        <w:rPr>
          <w:rFonts w:ascii="Times New Roman" w:hAnsi="Times New Roman" w:cs="Times New Roman"/>
          <w:sz w:val="26"/>
          <w:szCs w:val="26"/>
        </w:rPr>
        <w:t>)</w:t>
      </w:r>
      <w:r w:rsidR="00711059">
        <w:rPr>
          <w:rFonts w:ascii="Times New Roman" w:hAnsi="Times New Roman" w:cs="Times New Roman"/>
          <w:sz w:val="26"/>
          <w:szCs w:val="26"/>
        </w:rPr>
        <w:t xml:space="preserve"> </w:t>
      </w:r>
      <w:r w:rsidR="004C65FC">
        <w:rPr>
          <w:rFonts w:ascii="Times New Roman" w:hAnsi="Times New Roman" w:cs="Times New Roman"/>
          <w:sz w:val="26"/>
          <w:szCs w:val="26"/>
        </w:rPr>
        <w:t xml:space="preserve">At that time, he </w:t>
      </w:r>
      <w:r w:rsidR="00205431">
        <w:rPr>
          <w:rFonts w:ascii="Times New Roman" w:hAnsi="Times New Roman" w:cs="Times New Roman"/>
          <w:sz w:val="26"/>
          <w:szCs w:val="26"/>
        </w:rPr>
        <w:t xml:space="preserve">was involved in a motor vehicle accident with an automobile that was </w:t>
      </w:r>
      <w:r w:rsidR="002959CF">
        <w:rPr>
          <w:rFonts w:ascii="Times New Roman" w:hAnsi="Times New Roman" w:cs="Times New Roman"/>
          <w:sz w:val="26"/>
          <w:szCs w:val="26"/>
        </w:rPr>
        <w:t xml:space="preserve">traveling in </w:t>
      </w:r>
      <w:r w:rsidR="004C65FC">
        <w:rPr>
          <w:rFonts w:ascii="Times New Roman" w:hAnsi="Times New Roman" w:cs="Times New Roman"/>
          <w:sz w:val="26"/>
          <w:szCs w:val="26"/>
        </w:rPr>
        <w:t>front of him</w:t>
      </w:r>
      <w:r w:rsidR="00E031A7">
        <w:rPr>
          <w:rFonts w:ascii="Times New Roman" w:hAnsi="Times New Roman" w:cs="Times New Roman"/>
          <w:sz w:val="26"/>
          <w:szCs w:val="26"/>
        </w:rPr>
        <w:t xml:space="preserve"> on the highway</w:t>
      </w:r>
      <w:r w:rsidR="005E3DE3">
        <w:rPr>
          <w:rFonts w:ascii="Times New Roman" w:hAnsi="Times New Roman" w:cs="Times New Roman"/>
          <w:sz w:val="26"/>
          <w:szCs w:val="26"/>
        </w:rPr>
        <w:t>,</w:t>
      </w:r>
      <w:r w:rsidR="004C65FC">
        <w:rPr>
          <w:rFonts w:ascii="Times New Roman" w:hAnsi="Times New Roman" w:cs="Times New Roman"/>
          <w:sz w:val="26"/>
          <w:szCs w:val="26"/>
        </w:rPr>
        <w:t xml:space="preserve"> causing </w:t>
      </w:r>
      <w:r w:rsidR="005E3DE3">
        <w:rPr>
          <w:rFonts w:ascii="Times New Roman" w:hAnsi="Times New Roman" w:cs="Times New Roman"/>
          <w:sz w:val="26"/>
          <w:szCs w:val="26"/>
        </w:rPr>
        <w:t xml:space="preserve">the employee </w:t>
      </w:r>
      <w:r w:rsidR="004C65FC">
        <w:rPr>
          <w:rFonts w:ascii="Times New Roman" w:hAnsi="Times New Roman" w:cs="Times New Roman"/>
          <w:sz w:val="26"/>
          <w:szCs w:val="26"/>
        </w:rPr>
        <w:t>to lose control of the tractor trailer</w:t>
      </w:r>
      <w:r w:rsidR="00E84D8D">
        <w:rPr>
          <w:rFonts w:ascii="Times New Roman" w:hAnsi="Times New Roman" w:cs="Times New Roman"/>
          <w:sz w:val="26"/>
          <w:szCs w:val="26"/>
        </w:rPr>
        <w:t xml:space="preserve">, </w:t>
      </w:r>
      <w:r w:rsidR="00DD05A9">
        <w:rPr>
          <w:rFonts w:ascii="Times New Roman" w:hAnsi="Times New Roman" w:cs="Times New Roman"/>
          <w:sz w:val="26"/>
          <w:szCs w:val="26"/>
        </w:rPr>
        <w:t xml:space="preserve">which </w:t>
      </w:r>
      <w:r w:rsidR="00E84D8D">
        <w:rPr>
          <w:rFonts w:ascii="Times New Roman" w:hAnsi="Times New Roman" w:cs="Times New Roman"/>
          <w:sz w:val="26"/>
          <w:szCs w:val="26"/>
        </w:rPr>
        <w:t>roll</w:t>
      </w:r>
      <w:r w:rsidR="00DD05A9">
        <w:rPr>
          <w:rFonts w:ascii="Times New Roman" w:hAnsi="Times New Roman" w:cs="Times New Roman"/>
          <w:sz w:val="26"/>
          <w:szCs w:val="26"/>
        </w:rPr>
        <w:t>ed off the highway</w:t>
      </w:r>
      <w:r w:rsidR="00E84D8D">
        <w:rPr>
          <w:rFonts w:ascii="Times New Roman" w:hAnsi="Times New Roman" w:cs="Times New Roman"/>
          <w:sz w:val="26"/>
          <w:szCs w:val="26"/>
        </w:rPr>
        <w:t xml:space="preserve"> o</w:t>
      </w:r>
      <w:r w:rsidR="00DD05A9">
        <w:rPr>
          <w:rFonts w:ascii="Times New Roman" w:hAnsi="Times New Roman" w:cs="Times New Roman"/>
          <w:sz w:val="26"/>
          <w:szCs w:val="26"/>
        </w:rPr>
        <w:t xml:space="preserve">nto the driver’s side, </w:t>
      </w:r>
      <w:r w:rsidR="00AA1251">
        <w:rPr>
          <w:rFonts w:ascii="Times New Roman" w:hAnsi="Times New Roman" w:cs="Times New Roman"/>
          <w:sz w:val="26"/>
          <w:szCs w:val="26"/>
        </w:rPr>
        <w:t xml:space="preserve">and </w:t>
      </w:r>
      <w:r w:rsidR="00CC7587">
        <w:rPr>
          <w:rFonts w:ascii="Times New Roman" w:hAnsi="Times New Roman" w:cs="Times New Roman"/>
          <w:sz w:val="26"/>
          <w:szCs w:val="26"/>
        </w:rPr>
        <w:t>result</w:t>
      </w:r>
      <w:r w:rsidR="00AA1251">
        <w:rPr>
          <w:rFonts w:ascii="Times New Roman" w:hAnsi="Times New Roman" w:cs="Times New Roman"/>
          <w:sz w:val="26"/>
          <w:szCs w:val="26"/>
        </w:rPr>
        <w:t>ed</w:t>
      </w:r>
      <w:r w:rsidR="00CC7587">
        <w:rPr>
          <w:rFonts w:ascii="Times New Roman" w:hAnsi="Times New Roman" w:cs="Times New Roman"/>
          <w:sz w:val="26"/>
          <w:szCs w:val="26"/>
        </w:rPr>
        <w:t xml:space="preserve"> in the employee sustaining </w:t>
      </w:r>
      <w:r w:rsidR="00E84D8D">
        <w:rPr>
          <w:rFonts w:ascii="Times New Roman" w:hAnsi="Times New Roman" w:cs="Times New Roman"/>
          <w:sz w:val="26"/>
          <w:szCs w:val="26"/>
        </w:rPr>
        <w:t>injuries to his</w:t>
      </w:r>
      <w:r w:rsidR="00527B9B">
        <w:rPr>
          <w:rFonts w:ascii="Times New Roman" w:hAnsi="Times New Roman" w:cs="Times New Roman"/>
          <w:sz w:val="26"/>
          <w:szCs w:val="26"/>
        </w:rPr>
        <w:t xml:space="preserve"> right shoulder and left hand</w:t>
      </w:r>
      <w:r w:rsidR="00E84D8D">
        <w:rPr>
          <w:rFonts w:ascii="Times New Roman" w:hAnsi="Times New Roman" w:cs="Times New Roman"/>
          <w:sz w:val="26"/>
          <w:szCs w:val="26"/>
        </w:rPr>
        <w:t xml:space="preserve">. </w:t>
      </w:r>
      <w:r w:rsidR="00AA1251">
        <w:rPr>
          <w:rFonts w:ascii="Times New Roman" w:hAnsi="Times New Roman" w:cs="Times New Roman"/>
          <w:sz w:val="26"/>
          <w:szCs w:val="26"/>
        </w:rPr>
        <w:t>(</w:t>
      </w:r>
      <w:r w:rsidR="00AA1251" w:rsidRPr="00AA1251">
        <w:rPr>
          <w:rFonts w:ascii="Times New Roman" w:hAnsi="Times New Roman" w:cs="Times New Roman"/>
          <w:sz w:val="26"/>
          <w:szCs w:val="26"/>
          <w:u w:val="single"/>
        </w:rPr>
        <w:t>Id</w:t>
      </w:r>
      <w:r w:rsidR="00AA1251">
        <w:rPr>
          <w:rFonts w:ascii="Times New Roman" w:hAnsi="Times New Roman" w:cs="Times New Roman"/>
          <w:sz w:val="26"/>
          <w:szCs w:val="26"/>
        </w:rPr>
        <w:t xml:space="preserve">., </w:t>
      </w:r>
      <w:r w:rsidR="00DD05A9">
        <w:rPr>
          <w:rFonts w:ascii="Times New Roman" w:hAnsi="Times New Roman" w:cs="Times New Roman"/>
          <w:sz w:val="26"/>
          <w:szCs w:val="26"/>
        </w:rPr>
        <w:t>183</w:t>
      </w:r>
      <w:r w:rsidR="006B0B34">
        <w:rPr>
          <w:rFonts w:ascii="Times New Roman" w:hAnsi="Times New Roman" w:cs="Times New Roman"/>
          <w:sz w:val="26"/>
          <w:szCs w:val="26"/>
        </w:rPr>
        <w:t xml:space="preserve">, </w:t>
      </w:r>
      <w:r w:rsidR="0053230A">
        <w:rPr>
          <w:rFonts w:ascii="Times New Roman" w:hAnsi="Times New Roman" w:cs="Times New Roman"/>
          <w:sz w:val="26"/>
          <w:szCs w:val="26"/>
        </w:rPr>
        <w:t>186</w:t>
      </w:r>
      <w:r w:rsidR="006B0B34">
        <w:rPr>
          <w:rFonts w:ascii="Times New Roman" w:hAnsi="Times New Roman" w:cs="Times New Roman"/>
          <w:sz w:val="26"/>
          <w:szCs w:val="26"/>
        </w:rPr>
        <w:t>-187</w:t>
      </w:r>
      <w:r w:rsidR="00AA1251">
        <w:rPr>
          <w:rFonts w:ascii="Times New Roman" w:hAnsi="Times New Roman" w:cs="Times New Roman"/>
          <w:sz w:val="26"/>
          <w:szCs w:val="26"/>
        </w:rPr>
        <w:t>)</w:t>
      </w:r>
      <w:r w:rsidR="0053230A">
        <w:rPr>
          <w:rFonts w:ascii="Times New Roman" w:hAnsi="Times New Roman" w:cs="Times New Roman"/>
          <w:sz w:val="26"/>
          <w:szCs w:val="26"/>
        </w:rPr>
        <w:t>.</w:t>
      </w:r>
      <w:r w:rsidR="002959CF">
        <w:rPr>
          <w:rFonts w:ascii="Times New Roman" w:hAnsi="Times New Roman" w:cs="Times New Roman"/>
          <w:sz w:val="26"/>
          <w:szCs w:val="26"/>
        </w:rPr>
        <w:t xml:space="preserve"> The Workers’ Compensation Trust Fund</w:t>
      </w:r>
      <w:r w:rsidR="001645EC">
        <w:rPr>
          <w:rFonts w:ascii="Times New Roman" w:hAnsi="Times New Roman" w:cs="Times New Roman"/>
          <w:sz w:val="26"/>
          <w:szCs w:val="26"/>
        </w:rPr>
        <w:t xml:space="preserve"> (WCTF)</w:t>
      </w:r>
      <w:r w:rsidR="002959CF">
        <w:rPr>
          <w:rFonts w:ascii="Times New Roman" w:hAnsi="Times New Roman" w:cs="Times New Roman"/>
          <w:sz w:val="26"/>
          <w:szCs w:val="26"/>
        </w:rPr>
        <w:t xml:space="preserve"> and </w:t>
      </w:r>
      <w:r w:rsidR="00375CA6">
        <w:rPr>
          <w:rFonts w:ascii="Times New Roman" w:hAnsi="Times New Roman" w:cs="Times New Roman"/>
          <w:sz w:val="26"/>
          <w:szCs w:val="26"/>
        </w:rPr>
        <w:t>Star</w:t>
      </w:r>
      <w:r w:rsidR="00066D3D">
        <w:rPr>
          <w:rFonts w:ascii="Times New Roman" w:hAnsi="Times New Roman" w:cs="Times New Roman"/>
          <w:sz w:val="26"/>
          <w:szCs w:val="26"/>
        </w:rPr>
        <w:t>r</w:t>
      </w:r>
      <w:r w:rsidR="001E641F">
        <w:rPr>
          <w:rFonts w:ascii="Times New Roman" w:hAnsi="Times New Roman" w:cs="Times New Roman"/>
          <w:sz w:val="26"/>
          <w:szCs w:val="26"/>
        </w:rPr>
        <w:t xml:space="preserve"> denied the employee’s claims </w:t>
      </w:r>
      <w:r w:rsidR="00CC7587">
        <w:rPr>
          <w:rFonts w:ascii="Times New Roman" w:hAnsi="Times New Roman" w:cs="Times New Roman"/>
          <w:sz w:val="26"/>
          <w:szCs w:val="26"/>
        </w:rPr>
        <w:t>for weekly incapacity and medical benefits and</w:t>
      </w:r>
      <w:r w:rsidR="001E641F">
        <w:rPr>
          <w:rFonts w:ascii="Times New Roman" w:hAnsi="Times New Roman" w:cs="Times New Roman"/>
          <w:sz w:val="26"/>
          <w:szCs w:val="26"/>
        </w:rPr>
        <w:t xml:space="preserve"> paid no </w:t>
      </w:r>
      <w:r w:rsidR="00BF68E2">
        <w:rPr>
          <w:rFonts w:ascii="Times New Roman" w:hAnsi="Times New Roman" w:cs="Times New Roman"/>
          <w:sz w:val="26"/>
          <w:szCs w:val="26"/>
        </w:rPr>
        <w:t xml:space="preserve">workers’ compensation </w:t>
      </w:r>
      <w:r w:rsidR="001E641F">
        <w:rPr>
          <w:rFonts w:ascii="Times New Roman" w:hAnsi="Times New Roman" w:cs="Times New Roman"/>
          <w:sz w:val="26"/>
          <w:szCs w:val="26"/>
        </w:rPr>
        <w:t xml:space="preserve">benefits to the employee </w:t>
      </w:r>
      <w:r w:rsidR="000E3D29">
        <w:rPr>
          <w:rFonts w:ascii="Times New Roman" w:hAnsi="Times New Roman" w:cs="Times New Roman"/>
          <w:sz w:val="26"/>
          <w:szCs w:val="26"/>
        </w:rPr>
        <w:t xml:space="preserve">asserting </w:t>
      </w:r>
      <w:r w:rsidR="002959CF">
        <w:rPr>
          <w:rFonts w:ascii="Times New Roman" w:hAnsi="Times New Roman" w:cs="Times New Roman"/>
          <w:sz w:val="26"/>
          <w:szCs w:val="26"/>
        </w:rPr>
        <w:t xml:space="preserve">there was no liability </w:t>
      </w:r>
      <w:r w:rsidR="00AA1251">
        <w:rPr>
          <w:rFonts w:ascii="Times New Roman" w:hAnsi="Times New Roman" w:cs="Times New Roman"/>
          <w:sz w:val="26"/>
          <w:szCs w:val="26"/>
        </w:rPr>
        <w:t>bec</w:t>
      </w:r>
      <w:r w:rsidR="002959CF">
        <w:rPr>
          <w:rFonts w:ascii="Times New Roman" w:hAnsi="Times New Roman" w:cs="Times New Roman"/>
          <w:sz w:val="26"/>
          <w:szCs w:val="26"/>
        </w:rPr>
        <w:t>a</w:t>
      </w:r>
      <w:r w:rsidR="00AA1251">
        <w:rPr>
          <w:rFonts w:ascii="Times New Roman" w:hAnsi="Times New Roman" w:cs="Times New Roman"/>
          <w:sz w:val="26"/>
          <w:szCs w:val="26"/>
        </w:rPr>
        <w:t>use</w:t>
      </w:r>
      <w:r w:rsidR="002959CF">
        <w:rPr>
          <w:rFonts w:ascii="Times New Roman" w:hAnsi="Times New Roman" w:cs="Times New Roman"/>
          <w:sz w:val="26"/>
          <w:szCs w:val="26"/>
        </w:rPr>
        <w:t xml:space="preserve"> the employee</w:t>
      </w:r>
      <w:r w:rsidR="000E3D29">
        <w:rPr>
          <w:rFonts w:ascii="Times New Roman" w:hAnsi="Times New Roman" w:cs="Times New Roman"/>
          <w:sz w:val="26"/>
          <w:szCs w:val="26"/>
        </w:rPr>
        <w:t xml:space="preserve"> was an independent contractor</w:t>
      </w:r>
      <w:r w:rsidR="009213D0">
        <w:rPr>
          <w:rFonts w:ascii="Times New Roman" w:hAnsi="Times New Roman" w:cs="Times New Roman"/>
          <w:sz w:val="26"/>
          <w:szCs w:val="26"/>
        </w:rPr>
        <w:t xml:space="preserve"> and</w:t>
      </w:r>
      <w:r w:rsidR="000E3D29">
        <w:rPr>
          <w:rFonts w:ascii="Times New Roman" w:hAnsi="Times New Roman" w:cs="Times New Roman"/>
          <w:sz w:val="26"/>
          <w:szCs w:val="26"/>
        </w:rPr>
        <w:t xml:space="preserve"> was injured due to his own serious and willful misconduct pursuant to § 27</w:t>
      </w:r>
      <w:r w:rsidR="009213D0">
        <w:rPr>
          <w:rFonts w:ascii="Times New Roman" w:hAnsi="Times New Roman" w:cs="Times New Roman"/>
          <w:sz w:val="26"/>
          <w:szCs w:val="26"/>
        </w:rPr>
        <w:t>.</w:t>
      </w:r>
      <w:r w:rsidR="00766B0F">
        <w:rPr>
          <w:rFonts w:ascii="Times New Roman" w:hAnsi="Times New Roman" w:cs="Times New Roman"/>
          <w:sz w:val="26"/>
          <w:szCs w:val="26"/>
        </w:rPr>
        <w:t xml:space="preserve"> (</w:t>
      </w:r>
      <w:proofErr w:type="gramStart"/>
      <w:r w:rsidR="00766B0F" w:rsidRPr="00766B0F">
        <w:rPr>
          <w:rFonts w:ascii="Times New Roman" w:hAnsi="Times New Roman" w:cs="Times New Roman"/>
          <w:sz w:val="26"/>
          <w:szCs w:val="26"/>
          <w:u w:val="single"/>
        </w:rPr>
        <w:t>Id.</w:t>
      </w:r>
      <w:r w:rsidR="00766B0F">
        <w:rPr>
          <w:rFonts w:ascii="Times New Roman" w:hAnsi="Times New Roman" w:cs="Times New Roman"/>
          <w:sz w:val="26"/>
          <w:szCs w:val="26"/>
        </w:rPr>
        <w:t>,</w:t>
      </w:r>
      <w:proofErr w:type="gramEnd"/>
      <w:r w:rsidR="00766B0F">
        <w:rPr>
          <w:rFonts w:ascii="Times New Roman" w:hAnsi="Times New Roman" w:cs="Times New Roman"/>
          <w:sz w:val="26"/>
          <w:szCs w:val="26"/>
        </w:rPr>
        <w:t xml:space="preserve"> 180, 181-185.) </w:t>
      </w:r>
      <w:r w:rsidR="00B9394E">
        <w:rPr>
          <w:rFonts w:ascii="Times New Roman" w:hAnsi="Times New Roman" w:cs="Times New Roman"/>
          <w:sz w:val="26"/>
          <w:szCs w:val="26"/>
        </w:rPr>
        <w:t>T</w:t>
      </w:r>
      <w:r w:rsidR="00155294">
        <w:rPr>
          <w:rFonts w:ascii="Times New Roman" w:hAnsi="Times New Roman" w:cs="Times New Roman"/>
          <w:sz w:val="26"/>
          <w:szCs w:val="26"/>
        </w:rPr>
        <w:t xml:space="preserve">hey also </w:t>
      </w:r>
      <w:r w:rsidR="004C74B2">
        <w:rPr>
          <w:rFonts w:ascii="Times New Roman" w:hAnsi="Times New Roman" w:cs="Times New Roman"/>
          <w:sz w:val="26"/>
          <w:szCs w:val="26"/>
        </w:rPr>
        <w:t>disput</w:t>
      </w:r>
      <w:r w:rsidR="00AA1251">
        <w:rPr>
          <w:rFonts w:ascii="Times New Roman" w:hAnsi="Times New Roman" w:cs="Times New Roman"/>
          <w:sz w:val="26"/>
          <w:szCs w:val="26"/>
        </w:rPr>
        <w:t>ed</w:t>
      </w:r>
      <w:r w:rsidR="004C74B2">
        <w:rPr>
          <w:rFonts w:ascii="Times New Roman" w:hAnsi="Times New Roman" w:cs="Times New Roman"/>
          <w:sz w:val="26"/>
          <w:szCs w:val="26"/>
        </w:rPr>
        <w:t xml:space="preserve"> </w:t>
      </w:r>
      <w:r w:rsidR="00FF47F3">
        <w:rPr>
          <w:rFonts w:ascii="Times New Roman" w:hAnsi="Times New Roman" w:cs="Times New Roman"/>
          <w:sz w:val="26"/>
          <w:szCs w:val="26"/>
        </w:rPr>
        <w:t xml:space="preserve">disability, causal </w:t>
      </w:r>
      <w:proofErr w:type="gramStart"/>
      <w:r w:rsidR="00FF47F3">
        <w:rPr>
          <w:rFonts w:ascii="Times New Roman" w:hAnsi="Times New Roman" w:cs="Times New Roman"/>
          <w:sz w:val="26"/>
          <w:szCs w:val="26"/>
        </w:rPr>
        <w:t>relationship</w:t>
      </w:r>
      <w:proofErr w:type="gramEnd"/>
      <w:r w:rsidR="00FF47F3">
        <w:rPr>
          <w:rFonts w:ascii="Times New Roman" w:hAnsi="Times New Roman" w:cs="Times New Roman"/>
          <w:sz w:val="26"/>
          <w:szCs w:val="26"/>
        </w:rPr>
        <w:t xml:space="preserve">, extent of disability and average weekly wage. </w:t>
      </w:r>
      <w:r w:rsidR="00AA1251">
        <w:rPr>
          <w:rFonts w:ascii="Times New Roman" w:hAnsi="Times New Roman" w:cs="Times New Roman"/>
          <w:sz w:val="26"/>
          <w:szCs w:val="26"/>
        </w:rPr>
        <w:t xml:space="preserve"> (</w:t>
      </w:r>
      <w:r w:rsidR="00AA1251" w:rsidRPr="00AA1251">
        <w:rPr>
          <w:rFonts w:ascii="Times New Roman" w:hAnsi="Times New Roman" w:cs="Times New Roman"/>
          <w:sz w:val="26"/>
          <w:szCs w:val="26"/>
          <w:u w:val="single"/>
        </w:rPr>
        <w:t>Id</w:t>
      </w:r>
      <w:r w:rsidR="00AA1251">
        <w:rPr>
          <w:rFonts w:ascii="Times New Roman" w:hAnsi="Times New Roman" w:cs="Times New Roman"/>
          <w:sz w:val="26"/>
          <w:szCs w:val="26"/>
        </w:rPr>
        <w:t xml:space="preserve">., </w:t>
      </w:r>
      <w:r w:rsidR="00FF47F3">
        <w:rPr>
          <w:rFonts w:ascii="Times New Roman" w:hAnsi="Times New Roman" w:cs="Times New Roman"/>
          <w:sz w:val="26"/>
          <w:szCs w:val="26"/>
        </w:rPr>
        <w:t xml:space="preserve">180, </w:t>
      </w:r>
      <w:r w:rsidR="007619EB">
        <w:rPr>
          <w:rFonts w:ascii="Times New Roman" w:hAnsi="Times New Roman" w:cs="Times New Roman"/>
          <w:sz w:val="26"/>
          <w:szCs w:val="26"/>
        </w:rPr>
        <w:t>18</w:t>
      </w:r>
      <w:r w:rsidR="00766B0F">
        <w:rPr>
          <w:rFonts w:ascii="Times New Roman" w:hAnsi="Times New Roman" w:cs="Times New Roman"/>
          <w:sz w:val="26"/>
          <w:szCs w:val="26"/>
        </w:rPr>
        <w:t>5</w:t>
      </w:r>
      <w:r w:rsidR="007619EB">
        <w:rPr>
          <w:rFonts w:ascii="Times New Roman" w:hAnsi="Times New Roman" w:cs="Times New Roman"/>
          <w:sz w:val="26"/>
          <w:szCs w:val="26"/>
        </w:rPr>
        <w:t>-18</w:t>
      </w:r>
      <w:r w:rsidR="00FB7D19">
        <w:rPr>
          <w:rFonts w:ascii="Times New Roman" w:hAnsi="Times New Roman" w:cs="Times New Roman"/>
          <w:sz w:val="26"/>
          <w:szCs w:val="26"/>
        </w:rPr>
        <w:t>8</w:t>
      </w:r>
      <w:r w:rsidR="007619EB">
        <w:rPr>
          <w:rFonts w:ascii="Times New Roman" w:hAnsi="Times New Roman" w:cs="Times New Roman"/>
          <w:sz w:val="26"/>
          <w:szCs w:val="26"/>
        </w:rPr>
        <w:t>.</w:t>
      </w:r>
      <w:r w:rsidR="00AA1251">
        <w:rPr>
          <w:rFonts w:ascii="Times New Roman" w:hAnsi="Times New Roman" w:cs="Times New Roman"/>
          <w:sz w:val="26"/>
          <w:szCs w:val="26"/>
        </w:rPr>
        <w:t>)</w:t>
      </w:r>
      <w:r w:rsidR="007619EB">
        <w:rPr>
          <w:rFonts w:ascii="Times New Roman" w:hAnsi="Times New Roman" w:cs="Times New Roman"/>
          <w:sz w:val="26"/>
          <w:szCs w:val="26"/>
        </w:rPr>
        <w:t xml:space="preserve">  </w:t>
      </w:r>
    </w:p>
    <w:p w14:paraId="14F5FCFE" w14:textId="50C50F5E" w:rsidR="00475F5F" w:rsidRDefault="004B6B9F" w:rsidP="00236422">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Following a three day hearing,</w:t>
      </w:r>
      <w:r>
        <w:rPr>
          <w:rStyle w:val="FootnoteReference"/>
          <w:rFonts w:ascii="Times New Roman" w:hAnsi="Times New Roman" w:cs="Times New Roman"/>
          <w:sz w:val="26"/>
          <w:szCs w:val="26"/>
        </w:rPr>
        <w:footnoteReference w:id="5"/>
      </w:r>
      <w:r>
        <w:rPr>
          <w:rFonts w:ascii="Times New Roman" w:hAnsi="Times New Roman" w:cs="Times New Roman"/>
          <w:sz w:val="26"/>
          <w:szCs w:val="26"/>
        </w:rPr>
        <w:t xml:space="preserve"> </w:t>
      </w:r>
      <w:r w:rsidR="00316A2A">
        <w:rPr>
          <w:rFonts w:ascii="Times New Roman" w:hAnsi="Times New Roman" w:cs="Times New Roman"/>
          <w:sz w:val="26"/>
          <w:szCs w:val="26"/>
        </w:rPr>
        <w:t>t</w:t>
      </w:r>
      <w:r w:rsidR="006501CC">
        <w:rPr>
          <w:rFonts w:ascii="Times New Roman" w:hAnsi="Times New Roman" w:cs="Times New Roman"/>
          <w:sz w:val="26"/>
          <w:szCs w:val="26"/>
        </w:rPr>
        <w:t>he</w:t>
      </w:r>
      <w:r w:rsidR="001E641F">
        <w:rPr>
          <w:rFonts w:ascii="Times New Roman" w:hAnsi="Times New Roman" w:cs="Times New Roman"/>
          <w:sz w:val="26"/>
          <w:szCs w:val="26"/>
        </w:rPr>
        <w:t xml:space="preserve"> judge</w:t>
      </w:r>
      <w:r w:rsidR="0077644C">
        <w:rPr>
          <w:rFonts w:ascii="Times New Roman" w:hAnsi="Times New Roman" w:cs="Times New Roman"/>
          <w:sz w:val="26"/>
          <w:szCs w:val="26"/>
        </w:rPr>
        <w:t xml:space="preserve"> issued the present </w:t>
      </w:r>
      <w:r w:rsidR="001E641F">
        <w:rPr>
          <w:rFonts w:ascii="Times New Roman" w:hAnsi="Times New Roman" w:cs="Times New Roman"/>
          <w:sz w:val="26"/>
          <w:szCs w:val="26"/>
        </w:rPr>
        <w:t>decision</w:t>
      </w:r>
      <w:r w:rsidR="00316A2A">
        <w:rPr>
          <w:rFonts w:ascii="Times New Roman" w:hAnsi="Times New Roman" w:cs="Times New Roman"/>
          <w:sz w:val="26"/>
          <w:szCs w:val="26"/>
        </w:rPr>
        <w:t xml:space="preserve"> </w:t>
      </w:r>
      <w:r>
        <w:rPr>
          <w:rFonts w:ascii="Times New Roman" w:hAnsi="Times New Roman" w:cs="Times New Roman"/>
          <w:sz w:val="26"/>
          <w:szCs w:val="26"/>
        </w:rPr>
        <w:t xml:space="preserve">on May 20, 2025, </w:t>
      </w:r>
      <w:r w:rsidR="006501CC">
        <w:rPr>
          <w:rFonts w:ascii="Times New Roman" w:hAnsi="Times New Roman" w:cs="Times New Roman"/>
          <w:sz w:val="26"/>
          <w:szCs w:val="26"/>
        </w:rPr>
        <w:t>order</w:t>
      </w:r>
      <w:r w:rsidR="00316A2A">
        <w:rPr>
          <w:rFonts w:ascii="Times New Roman" w:hAnsi="Times New Roman" w:cs="Times New Roman"/>
          <w:sz w:val="26"/>
          <w:szCs w:val="26"/>
        </w:rPr>
        <w:t>ing</w:t>
      </w:r>
      <w:r w:rsidR="00E42B9F">
        <w:rPr>
          <w:rFonts w:ascii="Times New Roman" w:hAnsi="Times New Roman" w:cs="Times New Roman"/>
          <w:sz w:val="26"/>
          <w:szCs w:val="26"/>
        </w:rPr>
        <w:t xml:space="preserve"> Starr to pay the employee </w:t>
      </w:r>
      <w:r w:rsidR="001E641F">
        <w:rPr>
          <w:rFonts w:ascii="Times New Roman" w:hAnsi="Times New Roman" w:cs="Times New Roman"/>
          <w:sz w:val="26"/>
          <w:szCs w:val="26"/>
        </w:rPr>
        <w:t xml:space="preserve">a closed period of </w:t>
      </w:r>
      <w:r w:rsidR="00AC1F80">
        <w:rPr>
          <w:rFonts w:ascii="Times New Roman" w:hAnsi="Times New Roman" w:cs="Times New Roman"/>
          <w:sz w:val="26"/>
          <w:szCs w:val="26"/>
        </w:rPr>
        <w:t xml:space="preserve">§ 34, </w:t>
      </w:r>
      <w:r w:rsidR="003E12E1">
        <w:rPr>
          <w:rFonts w:ascii="Times New Roman" w:hAnsi="Times New Roman" w:cs="Times New Roman"/>
          <w:sz w:val="26"/>
          <w:szCs w:val="26"/>
        </w:rPr>
        <w:t>temporary total incapacity</w:t>
      </w:r>
      <w:r w:rsidR="001E641F">
        <w:rPr>
          <w:rFonts w:ascii="Times New Roman" w:hAnsi="Times New Roman" w:cs="Times New Roman"/>
          <w:sz w:val="26"/>
          <w:szCs w:val="26"/>
        </w:rPr>
        <w:t xml:space="preserve"> benefits</w:t>
      </w:r>
      <w:r w:rsidR="003E12E1">
        <w:rPr>
          <w:rFonts w:ascii="Times New Roman" w:hAnsi="Times New Roman" w:cs="Times New Roman"/>
          <w:sz w:val="26"/>
          <w:szCs w:val="26"/>
        </w:rPr>
        <w:t>,</w:t>
      </w:r>
      <w:r w:rsidR="001E641F">
        <w:rPr>
          <w:rFonts w:ascii="Times New Roman" w:hAnsi="Times New Roman" w:cs="Times New Roman"/>
          <w:sz w:val="26"/>
          <w:szCs w:val="26"/>
        </w:rPr>
        <w:t xml:space="preserve"> </w:t>
      </w:r>
      <w:r w:rsidR="00AC1F80">
        <w:rPr>
          <w:rFonts w:ascii="Times New Roman" w:hAnsi="Times New Roman" w:cs="Times New Roman"/>
          <w:sz w:val="26"/>
          <w:szCs w:val="26"/>
        </w:rPr>
        <w:t>from March 27, 2023</w:t>
      </w:r>
      <w:r w:rsidR="00CD67A6">
        <w:rPr>
          <w:rFonts w:ascii="Times New Roman" w:hAnsi="Times New Roman" w:cs="Times New Roman"/>
          <w:sz w:val="26"/>
          <w:szCs w:val="26"/>
        </w:rPr>
        <w:t xml:space="preserve"> to June 25, 2023, at a rate of $1</w:t>
      </w:r>
      <w:r w:rsidR="008D4AFB">
        <w:rPr>
          <w:rFonts w:ascii="Times New Roman" w:hAnsi="Times New Roman" w:cs="Times New Roman"/>
          <w:sz w:val="26"/>
          <w:szCs w:val="26"/>
        </w:rPr>
        <w:t>,</w:t>
      </w:r>
      <w:r w:rsidR="00CD67A6">
        <w:rPr>
          <w:rFonts w:ascii="Times New Roman" w:hAnsi="Times New Roman" w:cs="Times New Roman"/>
          <w:sz w:val="26"/>
          <w:szCs w:val="26"/>
        </w:rPr>
        <w:t>012.74 per week based on an average weekly wage of $1,687.90, followed by payment of § 35, partial incapacity benefits from June 26, 2023</w:t>
      </w:r>
      <w:r w:rsidR="00576066">
        <w:rPr>
          <w:rFonts w:ascii="Times New Roman" w:hAnsi="Times New Roman" w:cs="Times New Roman"/>
          <w:sz w:val="26"/>
          <w:szCs w:val="26"/>
        </w:rPr>
        <w:t>,</w:t>
      </w:r>
      <w:r w:rsidR="00CD67A6">
        <w:rPr>
          <w:rFonts w:ascii="Times New Roman" w:hAnsi="Times New Roman" w:cs="Times New Roman"/>
          <w:sz w:val="26"/>
          <w:szCs w:val="26"/>
        </w:rPr>
        <w:t xml:space="preserve"> and continuing based on the employee’s actual wages or at the maximum rate, whichever is less</w:t>
      </w:r>
      <w:r w:rsidR="003910D9">
        <w:rPr>
          <w:rFonts w:ascii="Times New Roman" w:hAnsi="Times New Roman" w:cs="Times New Roman"/>
          <w:sz w:val="26"/>
          <w:szCs w:val="26"/>
        </w:rPr>
        <w:t xml:space="preserve">, as well as </w:t>
      </w:r>
      <w:r w:rsidR="004D2BD6">
        <w:rPr>
          <w:rFonts w:ascii="Times New Roman" w:hAnsi="Times New Roman" w:cs="Times New Roman"/>
          <w:sz w:val="26"/>
          <w:szCs w:val="26"/>
        </w:rPr>
        <w:t xml:space="preserve">§§ 13 and 30 </w:t>
      </w:r>
      <w:r w:rsidR="003910D9">
        <w:rPr>
          <w:rFonts w:ascii="Times New Roman" w:hAnsi="Times New Roman" w:cs="Times New Roman"/>
          <w:sz w:val="26"/>
          <w:szCs w:val="26"/>
        </w:rPr>
        <w:t>medical benefits including a requested MRI</w:t>
      </w:r>
      <w:r w:rsidR="004D2BD6">
        <w:rPr>
          <w:rFonts w:ascii="Times New Roman" w:hAnsi="Times New Roman" w:cs="Times New Roman"/>
          <w:sz w:val="26"/>
          <w:szCs w:val="26"/>
        </w:rPr>
        <w:t xml:space="preserve"> of the employee’s shoulder</w:t>
      </w:r>
      <w:r w:rsidR="008D4AFB">
        <w:rPr>
          <w:rFonts w:ascii="Times New Roman" w:hAnsi="Times New Roman" w:cs="Times New Roman"/>
          <w:sz w:val="26"/>
          <w:szCs w:val="26"/>
        </w:rPr>
        <w:t>. (</w:t>
      </w:r>
      <w:r w:rsidR="008D4AFB" w:rsidRPr="008D4AFB">
        <w:rPr>
          <w:rFonts w:ascii="Times New Roman" w:hAnsi="Times New Roman" w:cs="Times New Roman"/>
          <w:sz w:val="26"/>
          <w:szCs w:val="26"/>
          <w:u w:val="single"/>
        </w:rPr>
        <w:t>Id</w:t>
      </w:r>
      <w:r w:rsidR="008D4AFB">
        <w:rPr>
          <w:rFonts w:ascii="Times New Roman" w:hAnsi="Times New Roman" w:cs="Times New Roman"/>
          <w:sz w:val="26"/>
          <w:szCs w:val="26"/>
        </w:rPr>
        <w:t>. 188.) The judge further ordered that if the MRI</w:t>
      </w:r>
      <w:r w:rsidR="003910D9">
        <w:rPr>
          <w:rFonts w:ascii="Times New Roman" w:hAnsi="Times New Roman" w:cs="Times New Roman"/>
          <w:sz w:val="26"/>
          <w:szCs w:val="26"/>
        </w:rPr>
        <w:t xml:space="preserve"> results supported the </w:t>
      </w:r>
      <w:r w:rsidR="004D2BD6">
        <w:rPr>
          <w:rFonts w:ascii="Times New Roman" w:hAnsi="Times New Roman" w:cs="Times New Roman"/>
          <w:sz w:val="26"/>
          <w:szCs w:val="26"/>
        </w:rPr>
        <w:t xml:space="preserve">employee’s </w:t>
      </w:r>
      <w:r w:rsidR="003910D9">
        <w:rPr>
          <w:rFonts w:ascii="Times New Roman" w:hAnsi="Times New Roman" w:cs="Times New Roman"/>
          <w:sz w:val="26"/>
          <w:szCs w:val="26"/>
        </w:rPr>
        <w:t>request</w:t>
      </w:r>
      <w:r w:rsidR="004D2BD6">
        <w:rPr>
          <w:rFonts w:ascii="Times New Roman" w:hAnsi="Times New Roman" w:cs="Times New Roman"/>
          <w:sz w:val="26"/>
          <w:szCs w:val="26"/>
        </w:rPr>
        <w:t xml:space="preserve"> for</w:t>
      </w:r>
      <w:r w:rsidR="003910D9">
        <w:rPr>
          <w:rFonts w:ascii="Times New Roman" w:hAnsi="Times New Roman" w:cs="Times New Roman"/>
          <w:sz w:val="26"/>
          <w:szCs w:val="26"/>
        </w:rPr>
        <w:t xml:space="preserve"> surgery, then </w:t>
      </w:r>
      <w:r w:rsidR="008D4AFB">
        <w:rPr>
          <w:rFonts w:ascii="Times New Roman" w:hAnsi="Times New Roman" w:cs="Times New Roman"/>
          <w:sz w:val="26"/>
          <w:szCs w:val="26"/>
        </w:rPr>
        <w:t>Starr must pay for t</w:t>
      </w:r>
      <w:r w:rsidR="003910D9">
        <w:rPr>
          <w:rFonts w:ascii="Times New Roman" w:hAnsi="Times New Roman" w:cs="Times New Roman"/>
          <w:sz w:val="26"/>
          <w:szCs w:val="26"/>
        </w:rPr>
        <w:t xml:space="preserve">he surgery </w:t>
      </w:r>
      <w:r w:rsidR="008D4AFB">
        <w:rPr>
          <w:rFonts w:ascii="Times New Roman" w:hAnsi="Times New Roman" w:cs="Times New Roman"/>
          <w:sz w:val="26"/>
          <w:szCs w:val="26"/>
        </w:rPr>
        <w:t>and resume payment of</w:t>
      </w:r>
      <w:r w:rsidR="003910D9">
        <w:rPr>
          <w:rFonts w:ascii="Times New Roman" w:hAnsi="Times New Roman" w:cs="Times New Roman"/>
          <w:sz w:val="26"/>
          <w:szCs w:val="26"/>
        </w:rPr>
        <w:t xml:space="preserve"> § 34 benefits from the date of that surgery</w:t>
      </w:r>
      <w:r w:rsidR="00CD67A6">
        <w:rPr>
          <w:rFonts w:ascii="Times New Roman" w:hAnsi="Times New Roman" w:cs="Times New Roman"/>
          <w:sz w:val="26"/>
          <w:szCs w:val="26"/>
        </w:rPr>
        <w:t xml:space="preserve">. </w:t>
      </w:r>
      <w:r w:rsidR="00576066">
        <w:rPr>
          <w:rFonts w:ascii="Times New Roman" w:hAnsi="Times New Roman" w:cs="Times New Roman"/>
          <w:sz w:val="26"/>
          <w:szCs w:val="26"/>
        </w:rPr>
        <w:t>(</w:t>
      </w:r>
      <w:r w:rsidR="008D4AFB" w:rsidRPr="008D4AFB">
        <w:rPr>
          <w:rFonts w:ascii="Times New Roman" w:hAnsi="Times New Roman" w:cs="Times New Roman"/>
          <w:sz w:val="26"/>
          <w:szCs w:val="26"/>
          <w:u w:val="single"/>
        </w:rPr>
        <w:t>Id</w:t>
      </w:r>
      <w:r w:rsidR="008D4AFB">
        <w:rPr>
          <w:rFonts w:ascii="Times New Roman" w:hAnsi="Times New Roman" w:cs="Times New Roman"/>
          <w:sz w:val="26"/>
          <w:szCs w:val="26"/>
        </w:rPr>
        <w:t>.</w:t>
      </w:r>
      <w:r w:rsidR="00CD67A6">
        <w:rPr>
          <w:rFonts w:ascii="Times New Roman" w:hAnsi="Times New Roman" w:cs="Times New Roman"/>
          <w:sz w:val="26"/>
          <w:szCs w:val="26"/>
        </w:rPr>
        <w:t xml:space="preserve"> 188.</w:t>
      </w:r>
      <w:r w:rsidR="00576066">
        <w:rPr>
          <w:rFonts w:ascii="Times New Roman" w:hAnsi="Times New Roman" w:cs="Times New Roman"/>
          <w:sz w:val="26"/>
          <w:szCs w:val="26"/>
        </w:rPr>
        <w:t>)</w:t>
      </w:r>
      <w:r w:rsidR="00CD67A6">
        <w:rPr>
          <w:rFonts w:ascii="Times New Roman" w:hAnsi="Times New Roman" w:cs="Times New Roman"/>
          <w:sz w:val="26"/>
          <w:szCs w:val="26"/>
        </w:rPr>
        <w:t xml:space="preserve"> </w:t>
      </w:r>
    </w:p>
    <w:p w14:paraId="2B617B51" w14:textId="5CDB073B" w:rsidR="007000F5" w:rsidRDefault="00DD7245" w:rsidP="00475F5F">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Sometime after the accident, but before the hearing in the present case, t</w:t>
      </w:r>
      <w:r w:rsidR="00630739">
        <w:rPr>
          <w:rFonts w:ascii="Times New Roman" w:hAnsi="Times New Roman" w:cs="Times New Roman"/>
          <w:sz w:val="26"/>
          <w:szCs w:val="26"/>
        </w:rPr>
        <w:t xml:space="preserve">he employee </w:t>
      </w:r>
      <w:r w:rsidR="00E05216">
        <w:rPr>
          <w:rFonts w:ascii="Times New Roman" w:hAnsi="Times New Roman" w:cs="Times New Roman"/>
          <w:sz w:val="26"/>
          <w:szCs w:val="26"/>
        </w:rPr>
        <w:t>filed</w:t>
      </w:r>
      <w:r w:rsidR="0005437E">
        <w:rPr>
          <w:rFonts w:ascii="Times New Roman" w:hAnsi="Times New Roman" w:cs="Times New Roman"/>
          <w:sz w:val="26"/>
          <w:szCs w:val="26"/>
        </w:rPr>
        <w:t xml:space="preserve"> a </w:t>
      </w:r>
      <w:r w:rsidR="00B63507">
        <w:rPr>
          <w:rFonts w:ascii="Times New Roman" w:hAnsi="Times New Roman" w:cs="Times New Roman"/>
          <w:sz w:val="26"/>
          <w:szCs w:val="26"/>
        </w:rPr>
        <w:t xml:space="preserve">third-party tort suit </w:t>
      </w:r>
      <w:r w:rsidR="00E05216">
        <w:rPr>
          <w:rFonts w:ascii="Times New Roman" w:hAnsi="Times New Roman" w:cs="Times New Roman"/>
          <w:sz w:val="26"/>
          <w:szCs w:val="26"/>
        </w:rPr>
        <w:t xml:space="preserve">in Worcester Superior Court against </w:t>
      </w:r>
      <w:r w:rsidR="00630739">
        <w:rPr>
          <w:rFonts w:ascii="Times New Roman" w:hAnsi="Times New Roman" w:cs="Times New Roman"/>
          <w:sz w:val="26"/>
          <w:szCs w:val="26"/>
        </w:rPr>
        <w:t xml:space="preserve">the driver of the other motor vehicle involved in the accident. </w:t>
      </w:r>
      <w:r w:rsidR="00B63507">
        <w:rPr>
          <w:rFonts w:ascii="Times New Roman" w:hAnsi="Times New Roman" w:cs="Times New Roman"/>
          <w:sz w:val="26"/>
          <w:szCs w:val="26"/>
        </w:rPr>
        <w:t>(1</w:t>
      </w:r>
      <w:r w:rsidR="007C1134">
        <w:rPr>
          <w:rFonts w:ascii="Times New Roman" w:hAnsi="Times New Roman" w:cs="Times New Roman"/>
          <w:sz w:val="26"/>
          <w:szCs w:val="26"/>
        </w:rPr>
        <w:t xml:space="preserve">5 Bean 186, Tr. </w:t>
      </w:r>
      <w:r w:rsidR="006E70A7">
        <w:rPr>
          <w:rFonts w:ascii="Times New Roman" w:hAnsi="Times New Roman" w:cs="Times New Roman"/>
          <w:sz w:val="26"/>
          <w:szCs w:val="26"/>
        </w:rPr>
        <w:t>I 125.)</w:t>
      </w:r>
      <w:r w:rsidR="007C1134">
        <w:rPr>
          <w:rFonts w:ascii="Times New Roman" w:hAnsi="Times New Roman" w:cs="Times New Roman"/>
          <w:sz w:val="26"/>
          <w:szCs w:val="26"/>
        </w:rPr>
        <w:t xml:space="preserve"> </w:t>
      </w:r>
      <w:r w:rsidR="003A5360">
        <w:rPr>
          <w:rFonts w:ascii="Times New Roman" w:hAnsi="Times New Roman" w:cs="Times New Roman"/>
          <w:sz w:val="26"/>
          <w:szCs w:val="26"/>
        </w:rPr>
        <w:t>Subsequently, t</w:t>
      </w:r>
      <w:r w:rsidR="0005437E">
        <w:rPr>
          <w:rFonts w:ascii="Times New Roman" w:hAnsi="Times New Roman" w:cs="Times New Roman"/>
          <w:sz w:val="26"/>
          <w:szCs w:val="26"/>
        </w:rPr>
        <w:t xml:space="preserve">hat </w:t>
      </w:r>
      <w:r w:rsidR="008A306A">
        <w:rPr>
          <w:rFonts w:ascii="Times New Roman" w:hAnsi="Times New Roman" w:cs="Times New Roman"/>
          <w:sz w:val="26"/>
          <w:szCs w:val="26"/>
        </w:rPr>
        <w:lastRenderedPageBreak/>
        <w:t xml:space="preserve">action </w:t>
      </w:r>
      <w:r w:rsidR="00141BB8">
        <w:rPr>
          <w:rFonts w:ascii="Times New Roman" w:hAnsi="Times New Roman" w:cs="Times New Roman"/>
          <w:sz w:val="26"/>
          <w:szCs w:val="26"/>
        </w:rPr>
        <w:t>settle</w:t>
      </w:r>
      <w:r w:rsidR="003A5360">
        <w:rPr>
          <w:rFonts w:ascii="Times New Roman" w:hAnsi="Times New Roman" w:cs="Times New Roman"/>
          <w:sz w:val="26"/>
          <w:szCs w:val="26"/>
        </w:rPr>
        <w:t>d</w:t>
      </w:r>
      <w:r w:rsidR="00141BB8">
        <w:rPr>
          <w:rFonts w:ascii="Times New Roman" w:hAnsi="Times New Roman" w:cs="Times New Roman"/>
          <w:sz w:val="26"/>
          <w:szCs w:val="26"/>
        </w:rPr>
        <w:t xml:space="preserve">. </w:t>
      </w:r>
      <w:r w:rsidR="007C1134">
        <w:rPr>
          <w:rFonts w:ascii="Times New Roman" w:hAnsi="Times New Roman" w:cs="Times New Roman"/>
          <w:sz w:val="26"/>
          <w:szCs w:val="26"/>
        </w:rPr>
        <w:t>(15 Bean 186</w:t>
      </w:r>
      <w:r w:rsidR="00F23744">
        <w:rPr>
          <w:rFonts w:ascii="Times New Roman" w:hAnsi="Times New Roman" w:cs="Times New Roman"/>
          <w:sz w:val="26"/>
          <w:szCs w:val="26"/>
        </w:rPr>
        <w:t>, Tr. I</w:t>
      </w:r>
      <w:r w:rsidR="00A7715C">
        <w:rPr>
          <w:rFonts w:ascii="Times New Roman" w:hAnsi="Times New Roman" w:cs="Times New Roman"/>
          <w:sz w:val="26"/>
          <w:szCs w:val="26"/>
        </w:rPr>
        <w:t xml:space="preserve"> </w:t>
      </w:r>
      <w:r w:rsidR="00F23744">
        <w:rPr>
          <w:rFonts w:ascii="Times New Roman" w:hAnsi="Times New Roman" w:cs="Times New Roman"/>
          <w:sz w:val="26"/>
          <w:szCs w:val="26"/>
        </w:rPr>
        <w:t>189</w:t>
      </w:r>
      <w:r w:rsidR="00084408">
        <w:rPr>
          <w:rFonts w:ascii="Times New Roman" w:hAnsi="Times New Roman" w:cs="Times New Roman"/>
          <w:sz w:val="26"/>
          <w:szCs w:val="26"/>
        </w:rPr>
        <w:t>-190</w:t>
      </w:r>
      <w:r w:rsidR="007C1134">
        <w:rPr>
          <w:rFonts w:ascii="Times New Roman" w:hAnsi="Times New Roman" w:cs="Times New Roman"/>
          <w:sz w:val="26"/>
          <w:szCs w:val="26"/>
        </w:rPr>
        <w:t xml:space="preserve">.) </w:t>
      </w:r>
      <w:r w:rsidR="003B1D6B">
        <w:rPr>
          <w:rFonts w:ascii="Times New Roman" w:hAnsi="Times New Roman" w:cs="Times New Roman"/>
          <w:sz w:val="26"/>
          <w:szCs w:val="26"/>
        </w:rPr>
        <w:t xml:space="preserve">The only </w:t>
      </w:r>
      <w:r w:rsidR="00967E8F">
        <w:rPr>
          <w:rFonts w:ascii="Times New Roman" w:hAnsi="Times New Roman" w:cs="Times New Roman"/>
          <w:sz w:val="26"/>
          <w:szCs w:val="26"/>
        </w:rPr>
        <w:t xml:space="preserve">evidence produced at hearing </w:t>
      </w:r>
      <w:r w:rsidR="00E22A2B">
        <w:rPr>
          <w:rFonts w:ascii="Times New Roman" w:hAnsi="Times New Roman" w:cs="Times New Roman"/>
          <w:sz w:val="26"/>
          <w:szCs w:val="26"/>
        </w:rPr>
        <w:t xml:space="preserve">regarding </w:t>
      </w:r>
      <w:r w:rsidR="00967E8F">
        <w:rPr>
          <w:rFonts w:ascii="Times New Roman" w:hAnsi="Times New Roman" w:cs="Times New Roman"/>
          <w:sz w:val="26"/>
          <w:szCs w:val="26"/>
        </w:rPr>
        <w:t xml:space="preserve">the third-party action was </w:t>
      </w:r>
      <w:r w:rsidR="003B1D6B">
        <w:rPr>
          <w:rFonts w:ascii="Times New Roman" w:hAnsi="Times New Roman" w:cs="Times New Roman"/>
          <w:sz w:val="26"/>
          <w:szCs w:val="26"/>
        </w:rPr>
        <w:t xml:space="preserve">that </w:t>
      </w:r>
      <w:r w:rsidR="000E1CFA">
        <w:rPr>
          <w:rFonts w:ascii="Times New Roman" w:hAnsi="Times New Roman" w:cs="Times New Roman"/>
          <w:sz w:val="26"/>
          <w:szCs w:val="26"/>
        </w:rPr>
        <w:t xml:space="preserve">a </w:t>
      </w:r>
      <w:r w:rsidR="00967E8F">
        <w:rPr>
          <w:rFonts w:ascii="Times New Roman" w:hAnsi="Times New Roman" w:cs="Times New Roman"/>
          <w:sz w:val="26"/>
          <w:szCs w:val="26"/>
        </w:rPr>
        <w:t xml:space="preserve">suit </w:t>
      </w:r>
      <w:r w:rsidR="003B1D6B">
        <w:rPr>
          <w:rFonts w:ascii="Times New Roman" w:hAnsi="Times New Roman" w:cs="Times New Roman"/>
          <w:sz w:val="26"/>
          <w:szCs w:val="26"/>
        </w:rPr>
        <w:t>was filed in Worcester Superior Court</w:t>
      </w:r>
      <w:r w:rsidR="00343F07">
        <w:rPr>
          <w:rFonts w:ascii="Times New Roman" w:hAnsi="Times New Roman" w:cs="Times New Roman"/>
          <w:sz w:val="26"/>
          <w:szCs w:val="26"/>
        </w:rPr>
        <w:t xml:space="preserve"> (Tr. I, 125)</w:t>
      </w:r>
      <w:r w:rsidR="00C828C4">
        <w:rPr>
          <w:rFonts w:ascii="Times New Roman" w:hAnsi="Times New Roman" w:cs="Times New Roman"/>
          <w:sz w:val="26"/>
          <w:szCs w:val="26"/>
        </w:rPr>
        <w:t xml:space="preserve">, </w:t>
      </w:r>
      <w:r w:rsidR="003B1D6B">
        <w:rPr>
          <w:rFonts w:ascii="Times New Roman" w:hAnsi="Times New Roman" w:cs="Times New Roman"/>
          <w:sz w:val="26"/>
          <w:szCs w:val="26"/>
        </w:rPr>
        <w:t>a loss of consortium claim</w:t>
      </w:r>
      <w:r w:rsidR="00343F07">
        <w:rPr>
          <w:rFonts w:ascii="Times New Roman" w:hAnsi="Times New Roman" w:cs="Times New Roman"/>
          <w:sz w:val="26"/>
          <w:szCs w:val="26"/>
        </w:rPr>
        <w:t xml:space="preserve"> </w:t>
      </w:r>
      <w:r w:rsidR="000E1CFA">
        <w:rPr>
          <w:rFonts w:ascii="Times New Roman" w:hAnsi="Times New Roman" w:cs="Times New Roman"/>
          <w:sz w:val="26"/>
          <w:szCs w:val="26"/>
        </w:rPr>
        <w:t xml:space="preserve">was included </w:t>
      </w:r>
      <w:r w:rsidR="00343F07">
        <w:rPr>
          <w:rFonts w:ascii="Times New Roman" w:hAnsi="Times New Roman" w:cs="Times New Roman"/>
          <w:sz w:val="26"/>
          <w:szCs w:val="26"/>
        </w:rPr>
        <w:t>(Tr. I, 125)</w:t>
      </w:r>
      <w:r w:rsidR="00793BE4">
        <w:rPr>
          <w:rFonts w:ascii="Times New Roman" w:hAnsi="Times New Roman" w:cs="Times New Roman"/>
          <w:sz w:val="26"/>
          <w:szCs w:val="26"/>
        </w:rPr>
        <w:t>,</w:t>
      </w:r>
      <w:r w:rsidR="003B1D6B">
        <w:rPr>
          <w:rStyle w:val="FootnoteReference"/>
          <w:rFonts w:ascii="Times New Roman" w:hAnsi="Times New Roman" w:cs="Times New Roman"/>
          <w:sz w:val="26"/>
          <w:szCs w:val="26"/>
        </w:rPr>
        <w:footnoteReference w:id="6"/>
      </w:r>
      <w:r w:rsidR="00793BE4">
        <w:rPr>
          <w:rFonts w:ascii="Times New Roman" w:hAnsi="Times New Roman" w:cs="Times New Roman"/>
          <w:sz w:val="26"/>
          <w:szCs w:val="26"/>
        </w:rPr>
        <w:t xml:space="preserve"> the case settled for $87,</w:t>
      </w:r>
      <w:r w:rsidR="00DE7B91">
        <w:rPr>
          <w:rFonts w:ascii="Times New Roman" w:hAnsi="Times New Roman" w:cs="Times New Roman"/>
          <w:sz w:val="26"/>
          <w:szCs w:val="26"/>
        </w:rPr>
        <w:t>5</w:t>
      </w:r>
      <w:r w:rsidR="00793BE4">
        <w:rPr>
          <w:rFonts w:ascii="Times New Roman" w:hAnsi="Times New Roman" w:cs="Times New Roman"/>
          <w:sz w:val="26"/>
          <w:szCs w:val="26"/>
        </w:rPr>
        <w:t>00.00</w:t>
      </w:r>
      <w:r w:rsidR="00084408">
        <w:rPr>
          <w:rFonts w:ascii="Times New Roman" w:hAnsi="Times New Roman" w:cs="Times New Roman"/>
          <w:sz w:val="26"/>
          <w:szCs w:val="26"/>
        </w:rPr>
        <w:t xml:space="preserve"> (Tr. I, 189-190)</w:t>
      </w:r>
      <w:r w:rsidR="00793BE4">
        <w:rPr>
          <w:rFonts w:ascii="Times New Roman" w:hAnsi="Times New Roman" w:cs="Times New Roman"/>
          <w:sz w:val="26"/>
          <w:szCs w:val="26"/>
        </w:rPr>
        <w:t>,</w:t>
      </w:r>
      <w:r w:rsidR="00316A2A">
        <w:rPr>
          <w:rFonts w:ascii="Times New Roman" w:hAnsi="Times New Roman" w:cs="Times New Roman"/>
          <w:sz w:val="26"/>
          <w:szCs w:val="26"/>
        </w:rPr>
        <w:t xml:space="preserve"> and </w:t>
      </w:r>
      <w:r w:rsidR="00967E8F">
        <w:rPr>
          <w:rFonts w:ascii="Times New Roman" w:hAnsi="Times New Roman" w:cs="Times New Roman"/>
          <w:sz w:val="26"/>
          <w:szCs w:val="26"/>
        </w:rPr>
        <w:t>the</w:t>
      </w:r>
      <w:r w:rsidR="00316A2A">
        <w:rPr>
          <w:rFonts w:ascii="Times New Roman" w:hAnsi="Times New Roman" w:cs="Times New Roman"/>
          <w:sz w:val="26"/>
          <w:szCs w:val="26"/>
        </w:rPr>
        <w:t xml:space="preserve"> employee</w:t>
      </w:r>
      <w:r w:rsidR="007C1134">
        <w:rPr>
          <w:rFonts w:ascii="Times New Roman" w:hAnsi="Times New Roman" w:cs="Times New Roman"/>
          <w:sz w:val="26"/>
          <w:szCs w:val="26"/>
        </w:rPr>
        <w:t xml:space="preserve"> had</w:t>
      </w:r>
      <w:r w:rsidR="00316A2A">
        <w:rPr>
          <w:rFonts w:ascii="Times New Roman" w:hAnsi="Times New Roman" w:cs="Times New Roman"/>
          <w:sz w:val="26"/>
          <w:szCs w:val="26"/>
        </w:rPr>
        <w:t xml:space="preserve"> </w:t>
      </w:r>
      <w:r w:rsidR="00967E8F">
        <w:rPr>
          <w:rFonts w:ascii="Times New Roman" w:hAnsi="Times New Roman" w:cs="Times New Roman"/>
          <w:sz w:val="26"/>
          <w:szCs w:val="26"/>
        </w:rPr>
        <w:t xml:space="preserve">also </w:t>
      </w:r>
      <w:r w:rsidR="00316A2A">
        <w:rPr>
          <w:rFonts w:ascii="Times New Roman" w:hAnsi="Times New Roman" w:cs="Times New Roman"/>
          <w:sz w:val="26"/>
          <w:szCs w:val="26"/>
        </w:rPr>
        <w:t>received $8,000.00 from Safety Insurance in Personal Injury Protection benefits</w:t>
      </w:r>
      <w:r w:rsidR="00D214A9">
        <w:rPr>
          <w:rFonts w:ascii="Times New Roman" w:hAnsi="Times New Roman" w:cs="Times New Roman"/>
          <w:sz w:val="26"/>
          <w:szCs w:val="26"/>
        </w:rPr>
        <w:t>, (Tr.</w:t>
      </w:r>
      <w:r w:rsidR="00343F07">
        <w:rPr>
          <w:rFonts w:ascii="Times New Roman" w:hAnsi="Times New Roman" w:cs="Times New Roman"/>
          <w:sz w:val="26"/>
          <w:szCs w:val="26"/>
        </w:rPr>
        <w:t xml:space="preserve"> </w:t>
      </w:r>
      <w:r w:rsidR="00D214A9">
        <w:rPr>
          <w:rFonts w:ascii="Times New Roman" w:hAnsi="Times New Roman" w:cs="Times New Roman"/>
          <w:sz w:val="26"/>
          <w:szCs w:val="26"/>
        </w:rPr>
        <w:t>I, 75-7</w:t>
      </w:r>
      <w:r w:rsidR="00343F07">
        <w:rPr>
          <w:rFonts w:ascii="Times New Roman" w:hAnsi="Times New Roman" w:cs="Times New Roman"/>
          <w:sz w:val="26"/>
          <w:szCs w:val="26"/>
        </w:rPr>
        <w:t>6</w:t>
      </w:r>
      <w:r w:rsidR="00802722">
        <w:rPr>
          <w:rFonts w:ascii="Times New Roman" w:hAnsi="Times New Roman" w:cs="Times New Roman"/>
          <w:sz w:val="26"/>
          <w:szCs w:val="26"/>
        </w:rPr>
        <w:t>,</w:t>
      </w:r>
      <w:r w:rsidR="00621586">
        <w:rPr>
          <w:rFonts w:ascii="Times New Roman" w:hAnsi="Times New Roman" w:cs="Times New Roman"/>
          <w:sz w:val="26"/>
          <w:szCs w:val="26"/>
        </w:rPr>
        <w:t xml:space="preserve"> 81,</w:t>
      </w:r>
      <w:r w:rsidR="00802722">
        <w:rPr>
          <w:rFonts w:ascii="Times New Roman" w:hAnsi="Times New Roman" w:cs="Times New Roman"/>
          <w:sz w:val="26"/>
          <w:szCs w:val="26"/>
        </w:rPr>
        <w:t>136</w:t>
      </w:r>
      <w:r w:rsidR="00343F07">
        <w:rPr>
          <w:rFonts w:ascii="Times New Roman" w:hAnsi="Times New Roman" w:cs="Times New Roman"/>
          <w:sz w:val="26"/>
          <w:szCs w:val="26"/>
        </w:rPr>
        <w:t>)</w:t>
      </w:r>
      <w:r w:rsidR="00C828C4">
        <w:rPr>
          <w:rFonts w:ascii="Times New Roman" w:hAnsi="Times New Roman" w:cs="Times New Roman"/>
          <w:sz w:val="26"/>
          <w:szCs w:val="26"/>
        </w:rPr>
        <w:t xml:space="preserve">. </w:t>
      </w:r>
      <w:r w:rsidR="00AE0626">
        <w:rPr>
          <w:rFonts w:ascii="Times New Roman" w:hAnsi="Times New Roman" w:cs="Times New Roman"/>
          <w:sz w:val="26"/>
          <w:szCs w:val="26"/>
        </w:rPr>
        <w:t xml:space="preserve">The evidence showed that </w:t>
      </w:r>
      <w:r w:rsidR="00270209">
        <w:rPr>
          <w:rFonts w:ascii="Times New Roman" w:hAnsi="Times New Roman" w:cs="Times New Roman"/>
          <w:sz w:val="26"/>
          <w:szCs w:val="26"/>
        </w:rPr>
        <w:t xml:space="preserve">the settlement occurred </w:t>
      </w:r>
      <w:r w:rsidR="00AE0626">
        <w:rPr>
          <w:rFonts w:ascii="Times New Roman" w:hAnsi="Times New Roman" w:cs="Times New Roman"/>
          <w:sz w:val="26"/>
          <w:szCs w:val="26"/>
        </w:rPr>
        <w:t xml:space="preserve">“about a year” prior to the </w:t>
      </w:r>
      <w:r w:rsidR="00CD68F4">
        <w:rPr>
          <w:rFonts w:ascii="Times New Roman" w:hAnsi="Times New Roman" w:cs="Times New Roman"/>
          <w:sz w:val="26"/>
          <w:szCs w:val="26"/>
        </w:rPr>
        <w:t xml:space="preserve">December </w:t>
      </w:r>
      <w:r w:rsidR="00AE0626">
        <w:rPr>
          <w:rFonts w:ascii="Times New Roman" w:hAnsi="Times New Roman" w:cs="Times New Roman"/>
          <w:sz w:val="26"/>
          <w:szCs w:val="26"/>
        </w:rPr>
        <w:t>13, 202</w:t>
      </w:r>
      <w:r w:rsidR="00CD68F4">
        <w:rPr>
          <w:rFonts w:ascii="Times New Roman" w:hAnsi="Times New Roman" w:cs="Times New Roman"/>
          <w:sz w:val="26"/>
          <w:szCs w:val="26"/>
        </w:rPr>
        <w:t>4,</w:t>
      </w:r>
      <w:r w:rsidR="00AE0626">
        <w:rPr>
          <w:rFonts w:ascii="Times New Roman" w:hAnsi="Times New Roman" w:cs="Times New Roman"/>
          <w:sz w:val="26"/>
          <w:szCs w:val="26"/>
        </w:rPr>
        <w:t xml:space="preserve"> hearing</w:t>
      </w:r>
      <w:r w:rsidR="00CD68F4">
        <w:rPr>
          <w:rFonts w:ascii="Times New Roman" w:hAnsi="Times New Roman" w:cs="Times New Roman"/>
          <w:sz w:val="26"/>
          <w:szCs w:val="26"/>
        </w:rPr>
        <w:t xml:space="preserve">. </w:t>
      </w:r>
      <w:r w:rsidR="00AE0626">
        <w:rPr>
          <w:rFonts w:ascii="Times New Roman" w:hAnsi="Times New Roman" w:cs="Times New Roman"/>
          <w:sz w:val="26"/>
          <w:szCs w:val="26"/>
        </w:rPr>
        <w:t>(Tr. I, 189-190</w:t>
      </w:r>
      <w:r w:rsidR="00A15CA8">
        <w:rPr>
          <w:rFonts w:ascii="Times New Roman" w:hAnsi="Times New Roman" w:cs="Times New Roman"/>
          <w:sz w:val="26"/>
          <w:szCs w:val="26"/>
        </w:rPr>
        <w:t>.</w:t>
      </w:r>
      <w:r w:rsidR="00AE0626">
        <w:rPr>
          <w:rFonts w:ascii="Times New Roman" w:hAnsi="Times New Roman" w:cs="Times New Roman"/>
          <w:sz w:val="26"/>
          <w:szCs w:val="26"/>
        </w:rPr>
        <w:t xml:space="preserve">) </w:t>
      </w:r>
      <w:r w:rsidR="00475F5F">
        <w:rPr>
          <w:rFonts w:ascii="Times New Roman" w:hAnsi="Times New Roman" w:cs="Times New Roman"/>
          <w:sz w:val="26"/>
          <w:szCs w:val="26"/>
        </w:rPr>
        <w:t>N</w:t>
      </w:r>
      <w:r w:rsidR="00A15CA8">
        <w:rPr>
          <w:rFonts w:ascii="Times New Roman" w:hAnsi="Times New Roman" w:cs="Times New Roman"/>
          <w:sz w:val="26"/>
          <w:szCs w:val="26"/>
        </w:rPr>
        <w:t xml:space="preserve">one of </w:t>
      </w:r>
      <w:r w:rsidR="00D81DDB">
        <w:rPr>
          <w:rFonts w:ascii="Times New Roman" w:hAnsi="Times New Roman" w:cs="Times New Roman"/>
          <w:sz w:val="26"/>
          <w:szCs w:val="26"/>
        </w:rPr>
        <w:t>the particulars concerning that settlement</w:t>
      </w:r>
      <w:r w:rsidR="0022621F">
        <w:rPr>
          <w:rFonts w:ascii="Times New Roman" w:hAnsi="Times New Roman" w:cs="Times New Roman"/>
          <w:sz w:val="26"/>
          <w:szCs w:val="26"/>
        </w:rPr>
        <w:t xml:space="preserve">, </w:t>
      </w:r>
      <w:r w:rsidR="008A306A">
        <w:rPr>
          <w:rFonts w:ascii="Times New Roman" w:hAnsi="Times New Roman" w:cs="Times New Roman"/>
          <w:sz w:val="26"/>
          <w:szCs w:val="26"/>
        </w:rPr>
        <w:t xml:space="preserve">such as </w:t>
      </w:r>
      <w:r w:rsidR="0022621F">
        <w:rPr>
          <w:rFonts w:ascii="Times New Roman" w:hAnsi="Times New Roman" w:cs="Times New Roman"/>
          <w:sz w:val="26"/>
          <w:szCs w:val="26"/>
        </w:rPr>
        <w:t xml:space="preserve">the </w:t>
      </w:r>
      <w:r w:rsidR="008A306A">
        <w:rPr>
          <w:rFonts w:ascii="Times New Roman" w:hAnsi="Times New Roman" w:cs="Times New Roman"/>
          <w:sz w:val="26"/>
          <w:szCs w:val="26"/>
        </w:rPr>
        <w:t>amount o</w:t>
      </w:r>
      <w:r w:rsidR="0022621F">
        <w:rPr>
          <w:rFonts w:ascii="Times New Roman" w:hAnsi="Times New Roman" w:cs="Times New Roman"/>
          <w:sz w:val="26"/>
          <w:szCs w:val="26"/>
        </w:rPr>
        <w:t xml:space="preserve">f </w:t>
      </w:r>
      <w:r w:rsidR="008A306A">
        <w:rPr>
          <w:rFonts w:ascii="Times New Roman" w:hAnsi="Times New Roman" w:cs="Times New Roman"/>
          <w:sz w:val="26"/>
          <w:szCs w:val="26"/>
        </w:rPr>
        <w:t>the</w:t>
      </w:r>
      <w:r w:rsidR="008B466A">
        <w:rPr>
          <w:rFonts w:ascii="Times New Roman" w:hAnsi="Times New Roman" w:cs="Times New Roman"/>
          <w:sz w:val="26"/>
          <w:szCs w:val="26"/>
        </w:rPr>
        <w:t xml:space="preserve"> employee’s</w:t>
      </w:r>
      <w:r w:rsidR="008A306A">
        <w:rPr>
          <w:rFonts w:ascii="Times New Roman" w:hAnsi="Times New Roman" w:cs="Times New Roman"/>
          <w:sz w:val="26"/>
          <w:szCs w:val="26"/>
        </w:rPr>
        <w:t xml:space="preserve"> attorney’s</w:t>
      </w:r>
      <w:r w:rsidR="0022621F">
        <w:rPr>
          <w:rFonts w:ascii="Times New Roman" w:hAnsi="Times New Roman" w:cs="Times New Roman"/>
          <w:sz w:val="26"/>
          <w:szCs w:val="26"/>
        </w:rPr>
        <w:t xml:space="preserve"> fees and costs</w:t>
      </w:r>
      <w:r w:rsidR="006F5F73">
        <w:rPr>
          <w:rFonts w:ascii="Times New Roman" w:hAnsi="Times New Roman" w:cs="Times New Roman"/>
          <w:sz w:val="26"/>
          <w:szCs w:val="26"/>
        </w:rPr>
        <w:t>,</w:t>
      </w:r>
      <w:r w:rsidR="0022621F">
        <w:rPr>
          <w:rFonts w:ascii="Times New Roman" w:hAnsi="Times New Roman" w:cs="Times New Roman"/>
          <w:sz w:val="26"/>
          <w:szCs w:val="26"/>
        </w:rPr>
        <w:t xml:space="preserve"> the </w:t>
      </w:r>
      <w:r w:rsidR="008A306A">
        <w:rPr>
          <w:rFonts w:ascii="Times New Roman" w:hAnsi="Times New Roman" w:cs="Times New Roman"/>
          <w:sz w:val="26"/>
          <w:szCs w:val="26"/>
        </w:rPr>
        <w:t xml:space="preserve">amount </w:t>
      </w:r>
      <w:r w:rsidR="0022621F">
        <w:rPr>
          <w:rFonts w:ascii="Times New Roman" w:hAnsi="Times New Roman" w:cs="Times New Roman"/>
          <w:sz w:val="26"/>
          <w:szCs w:val="26"/>
        </w:rPr>
        <w:t>allocat</w:t>
      </w:r>
      <w:r w:rsidR="008A306A">
        <w:rPr>
          <w:rFonts w:ascii="Times New Roman" w:hAnsi="Times New Roman" w:cs="Times New Roman"/>
          <w:sz w:val="26"/>
          <w:szCs w:val="26"/>
        </w:rPr>
        <w:t>ed to the employee’s</w:t>
      </w:r>
      <w:r w:rsidR="0022621F">
        <w:rPr>
          <w:rFonts w:ascii="Times New Roman" w:hAnsi="Times New Roman" w:cs="Times New Roman"/>
          <w:sz w:val="26"/>
          <w:szCs w:val="26"/>
        </w:rPr>
        <w:t xml:space="preserve"> pain and suffering</w:t>
      </w:r>
      <w:r w:rsidR="006F5F73">
        <w:rPr>
          <w:rFonts w:ascii="Times New Roman" w:hAnsi="Times New Roman" w:cs="Times New Roman"/>
          <w:sz w:val="26"/>
          <w:szCs w:val="26"/>
        </w:rPr>
        <w:t>,</w:t>
      </w:r>
      <w:r w:rsidR="0022621F">
        <w:rPr>
          <w:rFonts w:ascii="Times New Roman" w:hAnsi="Times New Roman" w:cs="Times New Roman"/>
          <w:sz w:val="26"/>
          <w:szCs w:val="26"/>
        </w:rPr>
        <w:t xml:space="preserve"> </w:t>
      </w:r>
      <w:r w:rsidR="000D7D92">
        <w:rPr>
          <w:rFonts w:ascii="Times New Roman" w:hAnsi="Times New Roman" w:cs="Times New Roman"/>
          <w:sz w:val="26"/>
          <w:szCs w:val="26"/>
        </w:rPr>
        <w:t>or</w:t>
      </w:r>
      <w:r w:rsidR="00DC2B1F">
        <w:rPr>
          <w:rFonts w:ascii="Times New Roman" w:hAnsi="Times New Roman" w:cs="Times New Roman"/>
          <w:sz w:val="26"/>
          <w:szCs w:val="26"/>
        </w:rPr>
        <w:t xml:space="preserve"> </w:t>
      </w:r>
      <w:r w:rsidR="0022621F">
        <w:rPr>
          <w:rFonts w:ascii="Times New Roman" w:hAnsi="Times New Roman" w:cs="Times New Roman"/>
          <w:sz w:val="26"/>
          <w:szCs w:val="26"/>
        </w:rPr>
        <w:t xml:space="preserve">the </w:t>
      </w:r>
      <w:r w:rsidR="008A306A">
        <w:rPr>
          <w:rFonts w:ascii="Times New Roman" w:hAnsi="Times New Roman" w:cs="Times New Roman"/>
          <w:sz w:val="26"/>
          <w:szCs w:val="26"/>
        </w:rPr>
        <w:t xml:space="preserve">amount of the </w:t>
      </w:r>
      <w:r w:rsidR="0022621F">
        <w:rPr>
          <w:rFonts w:ascii="Times New Roman" w:hAnsi="Times New Roman" w:cs="Times New Roman"/>
          <w:sz w:val="26"/>
          <w:szCs w:val="26"/>
        </w:rPr>
        <w:t>allocation for the loss of consortium claim</w:t>
      </w:r>
      <w:r w:rsidR="006F5F73">
        <w:rPr>
          <w:rFonts w:ascii="Times New Roman" w:hAnsi="Times New Roman" w:cs="Times New Roman"/>
          <w:sz w:val="26"/>
          <w:szCs w:val="26"/>
        </w:rPr>
        <w:t>,</w:t>
      </w:r>
      <w:r w:rsidR="00D81DDB">
        <w:rPr>
          <w:rFonts w:ascii="Times New Roman" w:hAnsi="Times New Roman" w:cs="Times New Roman"/>
          <w:sz w:val="26"/>
          <w:szCs w:val="26"/>
        </w:rPr>
        <w:t xml:space="preserve"> </w:t>
      </w:r>
      <w:r w:rsidR="00E4735E">
        <w:rPr>
          <w:rFonts w:ascii="Times New Roman" w:hAnsi="Times New Roman" w:cs="Times New Roman"/>
          <w:sz w:val="26"/>
          <w:szCs w:val="26"/>
        </w:rPr>
        <w:t xml:space="preserve">were </w:t>
      </w:r>
      <w:r w:rsidR="00254BA3">
        <w:rPr>
          <w:rFonts w:ascii="Times New Roman" w:hAnsi="Times New Roman" w:cs="Times New Roman"/>
          <w:sz w:val="26"/>
          <w:szCs w:val="26"/>
        </w:rPr>
        <w:t xml:space="preserve">included in any of the materials </w:t>
      </w:r>
      <w:r w:rsidR="00D81DDB">
        <w:rPr>
          <w:rFonts w:ascii="Times New Roman" w:hAnsi="Times New Roman" w:cs="Times New Roman"/>
          <w:sz w:val="26"/>
          <w:szCs w:val="26"/>
        </w:rPr>
        <w:t xml:space="preserve">admitted </w:t>
      </w:r>
      <w:r w:rsidR="00254BA3">
        <w:rPr>
          <w:rFonts w:ascii="Times New Roman" w:hAnsi="Times New Roman" w:cs="Times New Roman"/>
          <w:sz w:val="26"/>
          <w:szCs w:val="26"/>
        </w:rPr>
        <w:t xml:space="preserve">at hearing.  </w:t>
      </w:r>
    </w:p>
    <w:p w14:paraId="44CE563C" w14:textId="01BDBFF2" w:rsidR="002D789E" w:rsidRDefault="00254BA3" w:rsidP="00475F5F">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The board file, however, shows that </w:t>
      </w:r>
      <w:r w:rsidR="006A0631">
        <w:rPr>
          <w:rFonts w:ascii="Times New Roman" w:hAnsi="Times New Roman" w:cs="Times New Roman"/>
          <w:sz w:val="26"/>
          <w:szCs w:val="26"/>
        </w:rPr>
        <w:t xml:space="preserve">prior to the hearing, </w:t>
      </w:r>
      <w:r w:rsidR="00696C04">
        <w:rPr>
          <w:rFonts w:ascii="Times New Roman" w:hAnsi="Times New Roman" w:cs="Times New Roman"/>
          <w:sz w:val="26"/>
          <w:szCs w:val="26"/>
        </w:rPr>
        <w:t>Sta</w:t>
      </w:r>
      <w:r w:rsidR="003117FD">
        <w:rPr>
          <w:rFonts w:ascii="Times New Roman" w:hAnsi="Times New Roman" w:cs="Times New Roman"/>
          <w:sz w:val="26"/>
          <w:szCs w:val="26"/>
        </w:rPr>
        <w:t>r</w:t>
      </w:r>
      <w:r w:rsidR="00696C04">
        <w:rPr>
          <w:rFonts w:ascii="Times New Roman" w:hAnsi="Times New Roman" w:cs="Times New Roman"/>
          <w:sz w:val="26"/>
          <w:szCs w:val="26"/>
        </w:rPr>
        <w:t>r</w:t>
      </w:r>
      <w:r w:rsidR="006A0631">
        <w:rPr>
          <w:rFonts w:ascii="Times New Roman" w:hAnsi="Times New Roman" w:cs="Times New Roman"/>
          <w:sz w:val="26"/>
          <w:szCs w:val="26"/>
        </w:rPr>
        <w:t xml:space="preserve"> w</w:t>
      </w:r>
      <w:r w:rsidR="00696C04">
        <w:rPr>
          <w:rFonts w:ascii="Times New Roman" w:hAnsi="Times New Roman" w:cs="Times New Roman"/>
          <w:sz w:val="26"/>
          <w:szCs w:val="26"/>
        </w:rPr>
        <w:t>as</w:t>
      </w:r>
      <w:r w:rsidR="006A0631">
        <w:rPr>
          <w:rFonts w:ascii="Times New Roman" w:hAnsi="Times New Roman" w:cs="Times New Roman"/>
          <w:sz w:val="26"/>
          <w:szCs w:val="26"/>
        </w:rPr>
        <w:t xml:space="preserve"> aware of the fact the third-party case had settled</w:t>
      </w:r>
      <w:r w:rsidR="003A5360">
        <w:rPr>
          <w:rFonts w:ascii="Times New Roman" w:hAnsi="Times New Roman" w:cs="Times New Roman"/>
          <w:sz w:val="26"/>
          <w:szCs w:val="26"/>
        </w:rPr>
        <w:t>.</w:t>
      </w:r>
      <w:r w:rsidR="006A0631">
        <w:rPr>
          <w:rFonts w:ascii="Times New Roman" w:hAnsi="Times New Roman" w:cs="Times New Roman"/>
          <w:sz w:val="26"/>
          <w:szCs w:val="26"/>
        </w:rPr>
        <w:t xml:space="preserve"> </w:t>
      </w:r>
      <w:r w:rsidR="006A0631" w:rsidRPr="00720D4B">
        <w:rPr>
          <w:rFonts w:ascii="Times New Roman" w:hAnsi="Times New Roman" w:cs="Times New Roman"/>
          <w:sz w:val="26"/>
          <w:szCs w:val="26"/>
          <w:u w:val="single"/>
        </w:rPr>
        <w:t>Rizzo</w:t>
      </w:r>
      <w:r w:rsidR="00720D4B">
        <w:rPr>
          <w:rFonts w:ascii="Times New Roman" w:hAnsi="Times New Roman" w:cs="Times New Roman"/>
          <w:sz w:val="26"/>
          <w:szCs w:val="26"/>
        </w:rPr>
        <w:t xml:space="preserve"> v. </w:t>
      </w:r>
      <w:r w:rsidR="00720D4B">
        <w:rPr>
          <w:rFonts w:ascii="Times New Roman" w:hAnsi="Times New Roman" w:cs="Times New Roman"/>
          <w:sz w:val="26"/>
          <w:szCs w:val="26"/>
          <w:u w:val="single"/>
        </w:rPr>
        <w:t>M.B.T.A</w:t>
      </w:r>
      <w:r w:rsidR="00720D4B">
        <w:rPr>
          <w:rFonts w:ascii="Times New Roman" w:hAnsi="Times New Roman" w:cs="Times New Roman"/>
          <w:sz w:val="26"/>
          <w:szCs w:val="26"/>
        </w:rPr>
        <w:t>, 16 Mass. Workers’ Comp. Rep. 160, 161 n. 3 (</w:t>
      </w:r>
      <w:proofErr w:type="gramStart"/>
      <w:r w:rsidR="00720D4B">
        <w:rPr>
          <w:rFonts w:ascii="Times New Roman" w:hAnsi="Times New Roman" w:cs="Times New Roman"/>
          <w:sz w:val="26"/>
          <w:szCs w:val="26"/>
        </w:rPr>
        <w:t>2002)</w:t>
      </w:r>
      <w:r w:rsidR="008C44B4">
        <w:rPr>
          <w:rFonts w:ascii="Times New Roman" w:hAnsi="Times New Roman" w:cs="Times New Roman"/>
          <w:sz w:val="26"/>
          <w:szCs w:val="26"/>
        </w:rPr>
        <w:t>(</w:t>
      </w:r>
      <w:proofErr w:type="gramEnd"/>
      <w:r w:rsidR="008C44B4">
        <w:rPr>
          <w:rFonts w:ascii="Times New Roman" w:hAnsi="Times New Roman" w:cs="Times New Roman"/>
          <w:sz w:val="26"/>
          <w:szCs w:val="26"/>
        </w:rPr>
        <w:t>judicial notice may be taken of board file).</w:t>
      </w:r>
      <w:r w:rsidR="006A0631">
        <w:rPr>
          <w:rFonts w:ascii="Times New Roman" w:hAnsi="Times New Roman" w:cs="Times New Roman"/>
          <w:sz w:val="26"/>
          <w:szCs w:val="26"/>
        </w:rPr>
        <w:t xml:space="preserve"> Indeed</w:t>
      </w:r>
      <w:r w:rsidR="00466137">
        <w:rPr>
          <w:rFonts w:ascii="Times New Roman" w:hAnsi="Times New Roman" w:cs="Times New Roman"/>
          <w:sz w:val="26"/>
          <w:szCs w:val="26"/>
        </w:rPr>
        <w:t>,</w:t>
      </w:r>
      <w:r w:rsidR="00327297">
        <w:rPr>
          <w:rFonts w:ascii="Times New Roman" w:hAnsi="Times New Roman" w:cs="Times New Roman"/>
          <w:sz w:val="26"/>
          <w:szCs w:val="26"/>
        </w:rPr>
        <w:t xml:space="preserve"> in the Joint Pre-Hearing Memorandum, </w:t>
      </w:r>
      <w:r w:rsidR="00466137">
        <w:rPr>
          <w:rFonts w:ascii="Times New Roman" w:hAnsi="Times New Roman" w:cs="Times New Roman"/>
          <w:sz w:val="26"/>
          <w:szCs w:val="26"/>
        </w:rPr>
        <w:t xml:space="preserve">the employee asserted that the evidence would show </w:t>
      </w:r>
      <w:r w:rsidR="00327297">
        <w:rPr>
          <w:rFonts w:ascii="Times New Roman" w:hAnsi="Times New Roman" w:cs="Times New Roman"/>
          <w:sz w:val="26"/>
          <w:szCs w:val="26"/>
        </w:rPr>
        <w:t xml:space="preserve">that the third-party defendant’s insurer had </w:t>
      </w:r>
      <w:r w:rsidR="00C8762A">
        <w:rPr>
          <w:rFonts w:ascii="Times New Roman" w:hAnsi="Times New Roman" w:cs="Times New Roman"/>
          <w:sz w:val="26"/>
          <w:szCs w:val="26"/>
        </w:rPr>
        <w:t>“</w:t>
      </w:r>
      <w:r w:rsidR="00327297">
        <w:rPr>
          <w:rFonts w:ascii="Times New Roman" w:hAnsi="Times New Roman" w:cs="Times New Roman"/>
          <w:sz w:val="26"/>
          <w:szCs w:val="26"/>
        </w:rPr>
        <w:t xml:space="preserve">tendered a settlement </w:t>
      </w:r>
      <w:r w:rsidR="00466137">
        <w:rPr>
          <w:rFonts w:ascii="Times New Roman" w:hAnsi="Times New Roman" w:cs="Times New Roman"/>
          <w:sz w:val="26"/>
          <w:szCs w:val="26"/>
        </w:rPr>
        <w:t xml:space="preserve">on this matter that resolved the civil action” against the other driver. </w:t>
      </w:r>
      <w:r w:rsidR="00C7085C">
        <w:rPr>
          <w:rFonts w:ascii="Times New Roman" w:hAnsi="Times New Roman" w:cs="Times New Roman"/>
          <w:sz w:val="26"/>
          <w:szCs w:val="26"/>
        </w:rPr>
        <w:t>(</w:t>
      </w:r>
      <w:r w:rsidR="00921AD7" w:rsidRPr="00921AD7">
        <w:rPr>
          <w:rFonts w:ascii="Times New Roman" w:hAnsi="Times New Roman" w:cs="Times New Roman"/>
          <w:sz w:val="26"/>
          <w:szCs w:val="26"/>
          <w:u w:val="single"/>
        </w:rPr>
        <w:t>Id</w:t>
      </w:r>
      <w:r w:rsidR="00921AD7">
        <w:rPr>
          <w:rFonts w:ascii="Times New Roman" w:hAnsi="Times New Roman" w:cs="Times New Roman"/>
          <w:sz w:val="26"/>
          <w:szCs w:val="26"/>
        </w:rPr>
        <w:t>.</w:t>
      </w:r>
      <w:r w:rsidR="00C7085C">
        <w:rPr>
          <w:rFonts w:ascii="Times New Roman" w:hAnsi="Times New Roman" w:cs="Times New Roman"/>
          <w:sz w:val="26"/>
          <w:szCs w:val="26"/>
        </w:rPr>
        <w:t>;</w:t>
      </w:r>
      <w:r w:rsidR="00466137">
        <w:rPr>
          <w:rFonts w:ascii="Times New Roman" w:hAnsi="Times New Roman" w:cs="Times New Roman"/>
          <w:sz w:val="26"/>
          <w:szCs w:val="26"/>
        </w:rPr>
        <w:t xml:space="preserve"> Joint Pre-Hearing Memorandum.</w:t>
      </w:r>
      <w:r w:rsidR="00C7085C">
        <w:rPr>
          <w:rFonts w:ascii="Times New Roman" w:hAnsi="Times New Roman" w:cs="Times New Roman"/>
          <w:sz w:val="26"/>
          <w:szCs w:val="26"/>
        </w:rPr>
        <w:t>)</w:t>
      </w:r>
      <w:r w:rsidR="00466137">
        <w:rPr>
          <w:rFonts w:ascii="Times New Roman" w:hAnsi="Times New Roman" w:cs="Times New Roman"/>
          <w:sz w:val="26"/>
          <w:szCs w:val="26"/>
        </w:rPr>
        <w:t xml:space="preserve"> </w:t>
      </w:r>
    </w:p>
    <w:p w14:paraId="6585F474" w14:textId="1A62195B" w:rsidR="006D6920" w:rsidRDefault="002D789E" w:rsidP="004D67BF">
      <w:pPr>
        <w:spacing w:after="0" w:line="360" w:lineRule="auto"/>
        <w:rPr>
          <w:rFonts w:ascii="Times New Roman" w:hAnsi="Times New Roman" w:cs="Times New Roman"/>
          <w:sz w:val="26"/>
          <w:szCs w:val="26"/>
        </w:rPr>
      </w:pPr>
      <w:r>
        <w:rPr>
          <w:rFonts w:ascii="Times New Roman" w:hAnsi="Times New Roman" w:cs="Times New Roman"/>
          <w:sz w:val="26"/>
          <w:szCs w:val="26"/>
        </w:rPr>
        <w:tab/>
      </w:r>
      <w:r w:rsidR="00A65142">
        <w:rPr>
          <w:rFonts w:ascii="Times New Roman" w:hAnsi="Times New Roman" w:cs="Times New Roman"/>
          <w:sz w:val="26"/>
          <w:szCs w:val="26"/>
        </w:rPr>
        <w:t>Nonetheless, t</w:t>
      </w:r>
      <w:r w:rsidR="003D0ED1">
        <w:rPr>
          <w:rFonts w:ascii="Times New Roman" w:hAnsi="Times New Roman" w:cs="Times New Roman"/>
          <w:sz w:val="26"/>
          <w:szCs w:val="26"/>
        </w:rPr>
        <w:t xml:space="preserve">he issue of the impact of </w:t>
      </w:r>
      <w:r w:rsidR="006A7CA2">
        <w:rPr>
          <w:rFonts w:ascii="Times New Roman" w:hAnsi="Times New Roman" w:cs="Times New Roman"/>
          <w:sz w:val="26"/>
          <w:szCs w:val="26"/>
        </w:rPr>
        <w:t>§</w:t>
      </w:r>
      <w:r w:rsidR="003D0ED1">
        <w:rPr>
          <w:rFonts w:ascii="Times New Roman" w:hAnsi="Times New Roman" w:cs="Times New Roman"/>
          <w:sz w:val="26"/>
          <w:szCs w:val="26"/>
        </w:rPr>
        <w:t xml:space="preserve"> 15 on the § 18 </w:t>
      </w:r>
      <w:r w:rsidR="00FF7C29">
        <w:rPr>
          <w:rFonts w:ascii="Times New Roman" w:hAnsi="Times New Roman" w:cs="Times New Roman"/>
          <w:sz w:val="26"/>
          <w:szCs w:val="26"/>
        </w:rPr>
        <w:t>insurer</w:t>
      </w:r>
      <w:r w:rsidR="003D0ED1">
        <w:rPr>
          <w:rFonts w:ascii="Times New Roman" w:hAnsi="Times New Roman" w:cs="Times New Roman"/>
          <w:sz w:val="26"/>
          <w:szCs w:val="26"/>
        </w:rPr>
        <w:t>’s payment obligations to the employee simply was not raised as an affirmative defense to the claim, nor was it ever joined to the issues in dispute</w:t>
      </w:r>
      <w:r w:rsidR="00DC2B1F">
        <w:rPr>
          <w:rFonts w:ascii="Times New Roman" w:hAnsi="Times New Roman" w:cs="Times New Roman"/>
          <w:sz w:val="26"/>
          <w:szCs w:val="26"/>
        </w:rPr>
        <w:t xml:space="preserve"> by Starr, the WCTF, or D &amp; A</w:t>
      </w:r>
      <w:r w:rsidR="00ED0838">
        <w:rPr>
          <w:rFonts w:ascii="Times New Roman" w:hAnsi="Times New Roman" w:cs="Times New Roman"/>
          <w:sz w:val="26"/>
          <w:szCs w:val="26"/>
        </w:rPr>
        <w:t>, and as such it was waived</w:t>
      </w:r>
      <w:r w:rsidR="003D0ED1">
        <w:rPr>
          <w:rFonts w:ascii="Times New Roman" w:hAnsi="Times New Roman" w:cs="Times New Roman"/>
          <w:sz w:val="26"/>
          <w:szCs w:val="26"/>
        </w:rPr>
        <w:t xml:space="preserve">. </w:t>
      </w:r>
      <w:r w:rsidR="00475566" w:rsidRPr="00AD7D1F">
        <w:rPr>
          <w:rFonts w:ascii="Times New Roman" w:hAnsi="Times New Roman" w:cs="Times New Roman"/>
          <w:sz w:val="26"/>
          <w:szCs w:val="26"/>
          <w:u w:val="single"/>
        </w:rPr>
        <w:t>Phillip’s Case</w:t>
      </w:r>
      <w:r w:rsidR="00475566">
        <w:rPr>
          <w:rFonts w:ascii="Times New Roman" w:hAnsi="Times New Roman" w:cs="Times New Roman"/>
          <w:sz w:val="26"/>
          <w:szCs w:val="26"/>
        </w:rPr>
        <w:t xml:space="preserve">, 41 Mass. App. Ct.  </w:t>
      </w:r>
      <w:r w:rsidR="00763BD0">
        <w:rPr>
          <w:rFonts w:ascii="Times New Roman" w:hAnsi="Times New Roman" w:cs="Times New Roman"/>
          <w:sz w:val="26"/>
          <w:szCs w:val="26"/>
        </w:rPr>
        <w:t>612, 619 (</w:t>
      </w:r>
      <w:proofErr w:type="gramStart"/>
      <w:r w:rsidR="00763BD0">
        <w:rPr>
          <w:rFonts w:ascii="Times New Roman" w:hAnsi="Times New Roman" w:cs="Times New Roman"/>
          <w:sz w:val="26"/>
          <w:szCs w:val="26"/>
        </w:rPr>
        <w:t>1996)(</w:t>
      </w:r>
      <w:proofErr w:type="gramEnd"/>
      <w:r w:rsidR="00763BD0">
        <w:rPr>
          <w:rFonts w:ascii="Times New Roman" w:hAnsi="Times New Roman" w:cs="Times New Roman"/>
          <w:sz w:val="26"/>
          <w:szCs w:val="26"/>
        </w:rPr>
        <w:t>“nothing. . . requires the board to decide issues not previously raised before the [administrative] judge”)</w:t>
      </w:r>
      <w:r w:rsidR="00AD7D1F">
        <w:rPr>
          <w:rFonts w:ascii="Times New Roman" w:hAnsi="Times New Roman" w:cs="Times New Roman"/>
          <w:sz w:val="26"/>
          <w:szCs w:val="26"/>
        </w:rPr>
        <w:t xml:space="preserve">.  </w:t>
      </w:r>
      <w:r w:rsidR="006C5F8C">
        <w:rPr>
          <w:rFonts w:ascii="Times New Roman" w:hAnsi="Times New Roman" w:cs="Times New Roman"/>
          <w:sz w:val="26"/>
          <w:szCs w:val="26"/>
        </w:rPr>
        <w:t xml:space="preserve">       </w:t>
      </w:r>
      <w:proofErr w:type="gramStart"/>
      <w:r w:rsidR="006D6920">
        <w:rPr>
          <w:rFonts w:ascii="Times New Roman" w:hAnsi="Times New Roman" w:cs="Times New Roman"/>
          <w:sz w:val="26"/>
          <w:szCs w:val="26"/>
        </w:rPr>
        <w:t>“ ‘</w:t>
      </w:r>
      <w:proofErr w:type="gramEnd"/>
      <w:r w:rsidR="006D6920">
        <w:rPr>
          <w:rFonts w:ascii="Times New Roman" w:hAnsi="Times New Roman" w:cs="Times New Roman"/>
          <w:sz w:val="26"/>
          <w:szCs w:val="26"/>
        </w:rPr>
        <w:t xml:space="preserve">Objections, issues, or claims - - however meritorious - - that have not been raised’ below, are waived on appeal.” </w:t>
      </w:r>
      <w:r w:rsidR="006D6920" w:rsidRPr="006D6920">
        <w:rPr>
          <w:rFonts w:ascii="Times New Roman" w:hAnsi="Times New Roman" w:cs="Times New Roman"/>
          <w:sz w:val="26"/>
          <w:szCs w:val="26"/>
          <w:u w:val="single"/>
        </w:rPr>
        <w:t>Green</w:t>
      </w:r>
      <w:r w:rsidR="006D6920">
        <w:rPr>
          <w:rFonts w:ascii="Times New Roman" w:hAnsi="Times New Roman" w:cs="Times New Roman"/>
          <w:sz w:val="26"/>
          <w:szCs w:val="26"/>
        </w:rPr>
        <w:t xml:space="preserve"> v. </w:t>
      </w:r>
      <w:r w:rsidR="006D6920" w:rsidRPr="006D6920">
        <w:rPr>
          <w:rFonts w:ascii="Times New Roman" w:hAnsi="Times New Roman" w:cs="Times New Roman"/>
          <w:sz w:val="26"/>
          <w:szCs w:val="26"/>
          <w:u w:val="single"/>
        </w:rPr>
        <w:t>Town of Brookline</w:t>
      </w:r>
      <w:r w:rsidR="006D6920">
        <w:rPr>
          <w:rFonts w:ascii="Times New Roman" w:hAnsi="Times New Roman" w:cs="Times New Roman"/>
          <w:sz w:val="26"/>
          <w:szCs w:val="26"/>
        </w:rPr>
        <w:t xml:space="preserve">, 53 Mass. App. Ct. 120, 128 </w:t>
      </w:r>
      <w:r w:rsidR="006D6920">
        <w:rPr>
          <w:rFonts w:ascii="Times New Roman" w:hAnsi="Times New Roman" w:cs="Times New Roman"/>
          <w:sz w:val="26"/>
          <w:szCs w:val="26"/>
        </w:rPr>
        <w:lastRenderedPageBreak/>
        <w:t xml:space="preserve">(2001), quoting </w:t>
      </w:r>
      <w:r w:rsidR="006D6920" w:rsidRPr="006D6920">
        <w:rPr>
          <w:rFonts w:ascii="Times New Roman" w:hAnsi="Times New Roman" w:cs="Times New Roman"/>
          <w:sz w:val="26"/>
          <w:szCs w:val="26"/>
          <w:u w:val="single"/>
        </w:rPr>
        <w:t>Wynn &amp; Wynn, P.C.</w:t>
      </w:r>
      <w:r w:rsidR="006D6920">
        <w:rPr>
          <w:rFonts w:ascii="Times New Roman" w:hAnsi="Times New Roman" w:cs="Times New Roman"/>
          <w:sz w:val="26"/>
          <w:szCs w:val="26"/>
        </w:rPr>
        <w:t xml:space="preserve"> v. </w:t>
      </w:r>
      <w:r w:rsidR="006D6920" w:rsidRPr="006D6920">
        <w:rPr>
          <w:rFonts w:ascii="Times New Roman" w:hAnsi="Times New Roman" w:cs="Times New Roman"/>
          <w:sz w:val="26"/>
          <w:szCs w:val="26"/>
          <w:u w:val="single"/>
        </w:rPr>
        <w:t>Massachusetts Comm</w:t>
      </w:r>
      <w:r w:rsidR="00384DC7">
        <w:rPr>
          <w:rFonts w:ascii="Times New Roman" w:hAnsi="Times New Roman" w:cs="Times New Roman"/>
          <w:sz w:val="26"/>
          <w:szCs w:val="26"/>
          <w:u w:val="single"/>
        </w:rPr>
        <w:t>’</w:t>
      </w:r>
      <w:r w:rsidR="006D6920" w:rsidRPr="006D6920">
        <w:rPr>
          <w:rFonts w:ascii="Times New Roman" w:hAnsi="Times New Roman" w:cs="Times New Roman"/>
          <w:sz w:val="26"/>
          <w:szCs w:val="26"/>
          <w:u w:val="single"/>
        </w:rPr>
        <w:t>n. Against Discrimination</w:t>
      </w:r>
      <w:r w:rsidR="006D6920">
        <w:rPr>
          <w:rFonts w:ascii="Times New Roman" w:hAnsi="Times New Roman" w:cs="Times New Roman"/>
          <w:sz w:val="26"/>
          <w:szCs w:val="26"/>
        </w:rPr>
        <w:t xml:space="preserve">, 431 Mass. 655, 674 (2000).   </w:t>
      </w:r>
    </w:p>
    <w:p w14:paraId="5C01F048" w14:textId="2C5D2D88" w:rsidR="00F96655" w:rsidRDefault="00DC2B1F" w:rsidP="006D6920">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Starr</w:t>
      </w:r>
      <w:r w:rsidR="00E26BC4">
        <w:rPr>
          <w:rFonts w:ascii="Times New Roman" w:hAnsi="Times New Roman" w:cs="Times New Roman"/>
          <w:sz w:val="26"/>
          <w:szCs w:val="26"/>
        </w:rPr>
        <w:t xml:space="preserve">’s written closing argument </w:t>
      </w:r>
      <w:proofErr w:type="gramStart"/>
      <w:r w:rsidR="006C5F8C">
        <w:rPr>
          <w:rFonts w:ascii="Times New Roman" w:hAnsi="Times New Roman" w:cs="Times New Roman"/>
          <w:sz w:val="26"/>
          <w:szCs w:val="26"/>
        </w:rPr>
        <w:t>to</w:t>
      </w:r>
      <w:proofErr w:type="gramEnd"/>
      <w:r w:rsidR="006C5F8C">
        <w:rPr>
          <w:rFonts w:ascii="Times New Roman" w:hAnsi="Times New Roman" w:cs="Times New Roman"/>
          <w:sz w:val="26"/>
          <w:szCs w:val="26"/>
        </w:rPr>
        <w:t xml:space="preserve"> the judge </w:t>
      </w:r>
      <w:r w:rsidR="00AD05BE">
        <w:rPr>
          <w:rFonts w:ascii="Times New Roman" w:hAnsi="Times New Roman" w:cs="Times New Roman"/>
          <w:sz w:val="26"/>
          <w:szCs w:val="26"/>
        </w:rPr>
        <w:t xml:space="preserve">mentioned </w:t>
      </w:r>
      <w:r w:rsidR="00E26BC4">
        <w:rPr>
          <w:rFonts w:ascii="Times New Roman" w:hAnsi="Times New Roman" w:cs="Times New Roman"/>
          <w:sz w:val="26"/>
          <w:szCs w:val="26"/>
        </w:rPr>
        <w:t>the</w:t>
      </w:r>
      <w:r w:rsidR="00942C9C">
        <w:rPr>
          <w:rFonts w:ascii="Times New Roman" w:hAnsi="Times New Roman" w:cs="Times New Roman"/>
          <w:sz w:val="26"/>
          <w:szCs w:val="26"/>
        </w:rPr>
        <w:t xml:space="preserve"> </w:t>
      </w:r>
      <w:r w:rsidR="00E26BC4">
        <w:rPr>
          <w:rFonts w:ascii="Times New Roman" w:hAnsi="Times New Roman" w:cs="Times New Roman"/>
          <w:sz w:val="26"/>
          <w:szCs w:val="26"/>
        </w:rPr>
        <w:t>third</w:t>
      </w:r>
      <w:r w:rsidR="00F96655">
        <w:rPr>
          <w:rFonts w:ascii="Times New Roman" w:hAnsi="Times New Roman" w:cs="Times New Roman"/>
          <w:sz w:val="26"/>
          <w:szCs w:val="26"/>
        </w:rPr>
        <w:t>-</w:t>
      </w:r>
      <w:r w:rsidR="00E26BC4">
        <w:rPr>
          <w:rFonts w:ascii="Times New Roman" w:hAnsi="Times New Roman" w:cs="Times New Roman"/>
          <w:sz w:val="26"/>
          <w:szCs w:val="26"/>
        </w:rPr>
        <w:t xml:space="preserve">party claim </w:t>
      </w:r>
      <w:r w:rsidR="009E641D">
        <w:rPr>
          <w:rFonts w:ascii="Times New Roman" w:hAnsi="Times New Roman" w:cs="Times New Roman"/>
          <w:sz w:val="26"/>
          <w:szCs w:val="26"/>
        </w:rPr>
        <w:t>as evidence</w:t>
      </w:r>
      <w:r w:rsidR="004A4AB6">
        <w:rPr>
          <w:rFonts w:ascii="Times New Roman" w:hAnsi="Times New Roman" w:cs="Times New Roman"/>
          <w:sz w:val="26"/>
          <w:szCs w:val="26"/>
        </w:rPr>
        <w:t xml:space="preserve"> </w:t>
      </w:r>
      <w:r w:rsidR="0051438E">
        <w:rPr>
          <w:rFonts w:ascii="Times New Roman" w:hAnsi="Times New Roman" w:cs="Times New Roman"/>
          <w:sz w:val="26"/>
          <w:szCs w:val="26"/>
        </w:rPr>
        <w:t xml:space="preserve">in </w:t>
      </w:r>
      <w:r w:rsidR="004A4AB6">
        <w:rPr>
          <w:rFonts w:ascii="Times New Roman" w:hAnsi="Times New Roman" w:cs="Times New Roman"/>
          <w:sz w:val="26"/>
          <w:szCs w:val="26"/>
        </w:rPr>
        <w:t>support</w:t>
      </w:r>
      <w:r w:rsidR="0051438E">
        <w:rPr>
          <w:rFonts w:ascii="Times New Roman" w:hAnsi="Times New Roman" w:cs="Times New Roman"/>
          <w:sz w:val="26"/>
          <w:szCs w:val="26"/>
        </w:rPr>
        <w:t xml:space="preserve"> of</w:t>
      </w:r>
      <w:r w:rsidR="00F96655">
        <w:rPr>
          <w:rFonts w:ascii="Times New Roman" w:hAnsi="Times New Roman" w:cs="Times New Roman"/>
          <w:sz w:val="26"/>
          <w:szCs w:val="26"/>
        </w:rPr>
        <w:t xml:space="preserve"> </w:t>
      </w:r>
      <w:r w:rsidR="008A306A">
        <w:rPr>
          <w:rFonts w:ascii="Times New Roman" w:hAnsi="Times New Roman" w:cs="Times New Roman"/>
          <w:sz w:val="26"/>
          <w:szCs w:val="26"/>
        </w:rPr>
        <w:t>its</w:t>
      </w:r>
      <w:r w:rsidR="00F96655">
        <w:rPr>
          <w:rFonts w:ascii="Times New Roman" w:hAnsi="Times New Roman" w:cs="Times New Roman"/>
          <w:sz w:val="26"/>
          <w:szCs w:val="26"/>
        </w:rPr>
        <w:t xml:space="preserve"> argument that the employee knew he was an independent contractor and not an employee:</w:t>
      </w:r>
    </w:p>
    <w:p w14:paraId="30717228" w14:textId="660B854E" w:rsidR="00F96655" w:rsidRDefault="004A4AB6" w:rsidP="004A4AB6">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The insurer further submits that the employee knew he was an independent contractor and not entitled to benefits under Chapter 152 when he pursued the </w:t>
      </w:r>
      <w:proofErr w:type="gramStart"/>
      <w:r>
        <w:rPr>
          <w:rFonts w:ascii="Times New Roman" w:hAnsi="Times New Roman" w:cs="Times New Roman"/>
          <w:sz w:val="26"/>
          <w:szCs w:val="26"/>
        </w:rPr>
        <w:t>third party</w:t>
      </w:r>
      <w:proofErr w:type="gramEnd"/>
      <w:r>
        <w:rPr>
          <w:rFonts w:ascii="Times New Roman" w:hAnsi="Times New Roman" w:cs="Times New Roman"/>
          <w:sz w:val="26"/>
          <w:szCs w:val="26"/>
        </w:rPr>
        <w:t xml:space="preserve"> claim and settled it without addressing any possible insurer’s </w:t>
      </w:r>
      <w:proofErr w:type="gramStart"/>
      <w:r>
        <w:rPr>
          <w:rFonts w:ascii="Times New Roman" w:hAnsi="Times New Roman" w:cs="Times New Roman"/>
          <w:sz w:val="26"/>
          <w:szCs w:val="26"/>
        </w:rPr>
        <w:t>lien</w:t>
      </w:r>
      <w:proofErr w:type="gramEnd"/>
      <w:r>
        <w:rPr>
          <w:rFonts w:ascii="Times New Roman" w:hAnsi="Times New Roman" w:cs="Times New Roman"/>
          <w:sz w:val="26"/>
          <w:szCs w:val="26"/>
        </w:rPr>
        <w:t xml:space="preserve"> or filing a Section 15 petition. </w:t>
      </w:r>
    </w:p>
    <w:p w14:paraId="2E5E0289" w14:textId="16319D81" w:rsidR="004A4AB6" w:rsidRDefault="004A4AB6" w:rsidP="004A4AB6">
      <w:pPr>
        <w:spacing w:after="0" w:line="240" w:lineRule="auto"/>
        <w:rPr>
          <w:rFonts w:ascii="Times New Roman" w:hAnsi="Times New Roman" w:cs="Times New Roman"/>
          <w:sz w:val="26"/>
          <w:szCs w:val="26"/>
        </w:rPr>
      </w:pPr>
    </w:p>
    <w:p w14:paraId="66B054F3" w14:textId="2B1C3CA7" w:rsidR="004A4AB6" w:rsidRDefault="00942C9C" w:rsidP="00942C9C">
      <w:pPr>
        <w:spacing w:after="0" w:line="360" w:lineRule="auto"/>
        <w:rPr>
          <w:rFonts w:ascii="Times New Roman" w:hAnsi="Times New Roman" w:cs="Times New Roman"/>
          <w:sz w:val="26"/>
          <w:szCs w:val="26"/>
        </w:rPr>
      </w:pPr>
      <w:r>
        <w:rPr>
          <w:rFonts w:ascii="Times New Roman" w:hAnsi="Times New Roman" w:cs="Times New Roman"/>
          <w:sz w:val="26"/>
          <w:szCs w:val="26"/>
        </w:rPr>
        <w:t>(Starr’s Written Closing Argument, 14.)</w:t>
      </w:r>
      <w:r w:rsidR="00CF272B">
        <w:rPr>
          <w:rStyle w:val="FootnoteReference"/>
          <w:rFonts w:ascii="Times New Roman" w:hAnsi="Times New Roman" w:cs="Times New Roman"/>
          <w:sz w:val="26"/>
          <w:szCs w:val="26"/>
        </w:rPr>
        <w:footnoteReference w:id="7"/>
      </w:r>
      <w:r>
        <w:rPr>
          <w:rFonts w:ascii="Times New Roman" w:hAnsi="Times New Roman" w:cs="Times New Roman"/>
          <w:sz w:val="26"/>
          <w:szCs w:val="26"/>
        </w:rPr>
        <w:t xml:space="preserve"> </w:t>
      </w:r>
      <w:r w:rsidR="00CF4EAD">
        <w:rPr>
          <w:rFonts w:ascii="Times New Roman" w:hAnsi="Times New Roman" w:cs="Times New Roman"/>
          <w:sz w:val="26"/>
          <w:szCs w:val="26"/>
        </w:rPr>
        <w:t xml:space="preserve">No argument was advanced that there should be any offset against benefits, </w:t>
      </w:r>
      <w:r w:rsidR="004D1AFA">
        <w:rPr>
          <w:rFonts w:ascii="Times New Roman" w:hAnsi="Times New Roman" w:cs="Times New Roman"/>
          <w:sz w:val="26"/>
          <w:szCs w:val="26"/>
        </w:rPr>
        <w:t xml:space="preserve">and in any event, </w:t>
      </w:r>
      <w:r w:rsidR="00337CC7">
        <w:rPr>
          <w:rFonts w:ascii="Times New Roman" w:hAnsi="Times New Roman" w:cs="Times New Roman"/>
          <w:sz w:val="26"/>
          <w:szCs w:val="26"/>
        </w:rPr>
        <w:t xml:space="preserve">we </w:t>
      </w:r>
      <w:r w:rsidR="00CF4EAD">
        <w:rPr>
          <w:rFonts w:ascii="Times New Roman" w:hAnsi="Times New Roman" w:cs="Times New Roman"/>
          <w:sz w:val="26"/>
          <w:szCs w:val="26"/>
        </w:rPr>
        <w:t xml:space="preserve">also </w:t>
      </w:r>
      <w:r w:rsidR="00337CC7">
        <w:rPr>
          <w:rFonts w:ascii="Times New Roman" w:hAnsi="Times New Roman" w:cs="Times New Roman"/>
          <w:sz w:val="26"/>
          <w:szCs w:val="26"/>
        </w:rPr>
        <w:t xml:space="preserve">have consistently stated that raising a defense for the first time in a written closing argument is insufficient to </w:t>
      </w:r>
      <w:r w:rsidR="00B175AE">
        <w:rPr>
          <w:rFonts w:ascii="Times New Roman" w:hAnsi="Times New Roman" w:cs="Times New Roman"/>
          <w:sz w:val="26"/>
          <w:szCs w:val="26"/>
        </w:rPr>
        <w:t>bring it before the judge</w:t>
      </w:r>
      <w:r w:rsidR="00ED0838">
        <w:rPr>
          <w:rFonts w:ascii="Times New Roman" w:hAnsi="Times New Roman" w:cs="Times New Roman"/>
          <w:sz w:val="26"/>
          <w:szCs w:val="26"/>
        </w:rPr>
        <w:t xml:space="preserve">. </w:t>
      </w:r>
      <w:r w:rsidR="00AD05BE" w:rsidRPr="00D54CB6">
        <w:rPr>
          <w:rFonts w:ascii="Times New Roman" w:hAnsi="Times New Roman" w:cs="Times New Roman"/>
          <w:sz w:val="26"/>
          <w:szCs w:val="26"/>
          <w:u w:val="single"/>
        </w:rPr>
        <w:t>Bordeleau</w:t>
      </w:r>
      <w:r w:rsidR="00AD05BE">
        <w:rPr>
          <w:rFonts w:ascii="Times New Roman" w:hAnsi="Times New Roman" w:cs="Times New Roman"/>
          <w:sz w:val="26"/>
          <w:szCs w:val="26"/>
        </w:rPr>
        <w:t xml:space="preserve"> v. </w:t>
      </w:r>
      <w:r w:rsidR="00AD05BE" w:rsidRPr="00D54CB6">
        <w:rPr>
          <w:rFonts w:ascii="Times New Roman" w:hAnsi="Times New Roman" w:cs="Times New Roman"/>
          <w:sz w:val="26"/>
          <w:szCs w:val="26"/>
          <w:u w:val="single"/>
        </w:rPr>
        <w:t>MCI Concord</w:t>
      </w:r>
      <w:r w:rsidR="00AD05BE">
        <w:rPr>
          <w:rFonts w:ascii="Times New Roman" w:hAnsi="Times New Roman" w:cs="Times New Roman"/>
          <w:sz w:val="26"/>
          <w:szCs w:val="26"/>
        </w:rPr>
        <w:t xml:space="preserve">, </w:t>
      </w:r>
      <w:r w:rsidR="00370845">
        <w:rPr>
          <w:rFonts w:ascii="Times New Roman" w:hAnsi="Times New Roman" w:cs="Times New Roman"/>
          <w:sz w:val="26"/>
          <w:szCs w:val="26"/>
        </w:rPr>
        <w:t>35 Mass. Workers’ Comp. Rep. 75 (2021)</w:t>
      </w:r>
      <w:r w:rsidR="00610311">
        <w:rPr>
          <w:rFonts w:ascii="Times New Roman" w:hAnsi="Times New Roman" w:cs="Times New Roman"/>
          <w:sz w:val="26"/>
          <w:szCs w:val="26"/>
        </w:rPr>
        <w:t>(argument waived where insurer raised lump sum as a bar to employee’s claim for first time in closing argument</w:t>
      </w:r>
      <w:r w:rsidR="00370845">
        <w:rPr>
          <w:rFonts w:ascii="Times New Roman" w:hAnsi="Times New Roman" w:cs="Times New Roman"/>
          <w:sz w:val="26"/>
          <w:szCs w:val="26"/>
        </w:rPr>
        <w:t xml:space="preserve">); </w:t>
      </w:r>
      <w:r w:rsidR="00AD05BE" w:rsidRPr="00D54CB6">
        <w:rPr>
          <w:rFonts w:ascii="Times New Roman" w:hAnsi="Times New Roman" w:cs="Times New Roman"/>
          <w:sz w:val="26"/>
          <w:szCs w:val="26"/>
          <w:u w:val="single"/>
        </w:rPr>
        <w:t>Doherty</w:t>
      </w:r>
      <w:r w:rsidR="00AD05BE">
        <w:rPr>
          <w:rFonts w:ascii="Times New Roman" w:hAnsi="Times New Roman" w:cs="Times New Roman"/>
          <w:sz w:val="26"/>
          <w:szCs w:val="26"/>
        </w:rPr>
        <w:t xml:space="preserve"> v. </w:t>
      </w:r>
      <w:r w:rsidR="00AD05BE" w:rsidRPr="00D54CB6">
        <w:rPr>
          <w:rFonts w:ascii="Times New Roman" w:hAnsi="Times New Roman" w:cs="Times New Roman"/>
          <w:sz w:val="26"/>
          <w:szCs w:val="26"/>
          <w:u w:val="single"/>
        </w:rPr>
        <w:t>Union Hospital</w:t>
      </w:r>
      <w:r w:rsidR="00194B8C">
        <w:rPr>
          <w:rFonts w:ascii="Times New Roman" w:hAnsi="Times New Roman" w:cs="Times New Roman"/>
          <w:sz w:val="26"/>
          <w:szCs w:val="26"/>
        </w:rPr>
        <w:t xml:space="preserve">, 31 Mass. Workers’ Comp. Rep. 195, 204 (2017)(argument waived where insurer raised issue of statute of limitations for the first time in its hearing brief).  </w:t>
      </w:r>
    </w:p>
    <w:p w14:paraId="63DAEB0F" w14:textId="04D9374F" w:rsidR="002D789E" w:rsidRDefault="00D03DB3" w:rsidP="005E6B25">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While </w:t>
      </w:r>
      <w:r w:rsidR="002D6005">
        <w:rPr>
          <w:rFonts w:ascii="Times New Roman" w:hAnsi="Times New Roman" w:cs="Times New Roman"/>
          <w:sz w:val="26"/>
          <w:szCs w:val="26"/>
        </w:rPr>
        <w:t>Star</w:t>
      </w:r>
      <w:r w:rsidR="009E2351">
        <w:rPr>
          <w:rFonts w:ascii="Times New Roman" w:hAnsi="Times New Roman" w:cs="Times New Roman"/>
          <w:sz w:val="26"/>
          <w:szCs w:val="26"/>
        </w:rPr>
        <w:t>r</w:t>
      </w:r>
      <w:r w:rsidR="008962E1">
        <w:rPr>
          <w:rFonts w:ascii="Times New Roman" w:hAnsi="Times New Roman" w:cs="Times New Roman"/>
          <w:sz w:val="26"/>
          <w:szCs w:val="26"/>
        </w:rPr>
        <w:t xml:space="preserve"> </w:t>
      </w:r>
      <w:r w:rsidR="009E2351">
        <w:rPr>
          <w:rFonts w:ascii="Times New Roman" w:hAnsi="Times New Roman" w:cs="Times New Roman"/>
          <w:sz w:val="26"/>
          <w:szCs w:val="26"/>
        </w:rPr>
        <w:t>correctly</w:t>
      </w:r>
      <w:r w:rsidR="002D6005">
        <w:rPr>
          <w:rFonts w:ascii="Times New Roman" w:hAnsi="Times New Roman" w:cs="Times New Roman"/>
          <w:sz w:val="26"/>
          <w:szCs w:val="26"/>
        </w:rPr>
        <w:t xml:space="preserve"> </w:t>
      </w:r>
      <w:r w:rsidR="00175D70">
        <w:rPr>
          <w:rFonts w:ascii="Times New Roman" w:hAnsi="Times New Roman" w:cs="Times New Roman"/>
          <w:sz w:val="26"/>
          <w:szCs w:val="26"/>
        </w:rPr>
        <w:t>states</w:t>
      </w:r>
      <w:r w:rsidR="006C3CFE">
        <w:rPr>
          <w:rFonts w:ascii="Times New Roman" w:hAnsi="Times New Roman" w:cs="Times New Roman"/>
          <w:sz w:val="26"/>
          <w:szCs w:val="26"/>
        </w:rPr>
        <w:t xml:space="preserve"> </w:t>
      </w:r>
      <w:r w:rsidR="005F1BBB">
        <w:rPr>
          <w:rFonts w:ascii="Times New Roman" w:hAnsi="Times New Roman" w:cs="Times New Roman"/>
          <w:sz w:val="26"/>
          <w:szCs w:val="26"/>
        </w:rPr>
        <w:t xml:space="preserve">on appeal, that </w:t>
      </w:r>
      <w:r w:rsidR="00FA679A">
        <w:rPr>
          <w:rFonts w:ascii="Times New Roman" w:hAnsi="Times New Roman" w:cs="Times New Roman"/>
          <w:sz w:val="26"/>
          <w:szCs w:val="26"/>
        </w:rPr>
        <w:t>pursuant to G.L. c. 152, § 15,</w:t>
      </w:r>
      <w:r w:rsidR="002D6005">
        <w:rPr>
          <w:rFonts w:ascii="Times New Roman" w:hAnsi="Times New Roman" w:cs="Times New Roman"/>
          <w:sz w:val="26"/>
          <w:szCs w:val="26"/>
        </w:rPr>
        <w:t xml:space="preserve"> </w:t>
      </w:r>
      <w:r w:rsidR="00795FE6">
        <w:rPr>
          <w:rFonts w:ascii="Times New Roman" w:hAnsi="Times New Roman" w:cs="Times New Roman"/>
          <w:sz w:val="26"/>
          <w:szCs w:val="26"/>
        </w:rPr>
        <w:t xml:space="preserve">employees </w:t>
      </w:r>
      <w:r w:rsidR="00D852AA">
        <w:rPr>
          <w:rFonts w:ascii="Times New Roman" w:hAnsi="Times New Roman" w:cs="Times New Roman"/>
          <w:sz w:val="26"/>
          <w:szCs w:val="26"/>
        </w:rPr>
        <w:t xml:space="preserve">receiving workers’ compensation benefits </w:t>
      </w:r>
      <w:r w:rsidR="00795FE6">
        <w:rPr>
          <w:rFonts w:ascii="Times New Roman" w:hAnsi="Times New Roman" w:cs="Times New Roman"/>
          <w:sz w:val="26"/>
          <w:szCs w:val="26"/>
        </w:rPr>
        <w:t>cannot r</w:t>
      </w:r>
      <w:r w:rsidR="002D6005">
        <w:rPr>
          <w:rFonts w:ascii="Times New Roman" w:hAnsi="Times New Roman" w:cs="Times New Roman"/>
          <w:sz w:val="26"/>
          <w:szCs w:val="26"/>
        </w:rPr>
        <w:t>eceive a double recovery,</w:t>
      </w:r>
      <w:r w:rsidR="00872AC9">
        <w:rPr>
          <w:rFonts w:ascii="Times New Roman" w:hAnsi="Times New Roman" w:cs="Times New Roman"/>
          <w:sz w:val="26"/>
          <w:szCs w:val="26"/>
        </w:rPr>
        <w:t xml:space="preserve"> </w:t>
      </w:r>
      <w:r w:rsidR="00C5251B">
        <w:rPr>
          <w:rFonts w:ascii="Times New Roman" w:hAnsi="Times New Roman" w:cs="Times New Roman"/>
          <w:sz w:val="26"/>
          <w:szCs w:val="26"/>
        </w:rPr>
        <w:t xml:space="preserve">(Ins. br. </w:t>
      </w:r>
      <w:r w:rsidR="00175D70">
        <w:rPr>
          <w:rFonts w:ascii="Times New Roman" w:hAnsi="Times New Roman" w:cs="Times New Roman"/>
          <w:sz w:val="26"/>
          <w:szCs w:val="26"/>
        </w:rPr>
        <w:t xml:space="preserve">27), </w:t>
      </w:r>
      <w:r w:rsidR="00872AC9">
        <w:rPr>
          <w:rFonts w:ascii="Times New Roman" w:hAnsi="Times New Roman" w:cs="Times New Roman"/>
          <w:sz w:val="26"/>
          <w:szCs w:val="26"/>
        </w:rPr>
        <w:t>it failed to raise the issue before the judge</w:t>
      </w:r>
      <w:r w:rsidR="00652958">
        <w:rPr>
          <w:rFonts w:ascii="Times New Roman" w:hAnsi="Times New Roman" w:cs="Times New Roman"/>
          <w:sz w:val="26"/>
          <w:szCs w:val="26"/>
        </w:rPr>
        <w:t xml:space="preserve">, and cannot claim </w:t>
      </w:r>
      <w:r w:rsidR="00F6422E">
        <w:rPr>
          <w:rFonts w:ascii="Times New Roman" w:hAnsi="Times New Roman" w:cs="Times New Roman"/>
          <w:sz w:val="26"/>
          <w:szCs w:val="26"/>
        </w:rPr>
        <w:t>now</w:t>
      </w:r>
      <w:r w:rsidR="008D07AA">
        <w:rPr>
          <w:rFonts w:ascii="Times New Roman" w:hAnsi="Times New Roman" w:cs="Times New Roman"/>
          <w:sz w:val="26"/>
          <w:szCs w:val="26"/>
        </w:rPr>
        <w:t xml:space="preserve"> </w:t>
      </w:r>
      <w:r w:rsidR="00652958">
        <w:rPr>
          <w:rFonts w:ascii="Times New Roman" w:hAnsi="Times New Roman" w:cs="Times New Roman"/>
          <w:sz w:val="26"/>
          <w:szCs w:val="26"/>
        </w:rPr>
        <w:t>th</w:t>
      </w:r>
      <w:r w:rsidR="008D07AA">
        <w:rPr>
          <w:rFonts w:ascii="Times New Roman" w:hAnsi="Times New Roman" w:cs="Times New Roman"/>
          <w:sz w:val="26"/>
          <w:szCs w:val="26"/>
        </w:rPr>
        <w:t>at th</w:t>
      </w:r>
      <w:r w:rsidR="00652958">
        <w:rPr>
          <w:rFonts w:ascii="Times New Roman" w:hAnsi="Times New Roman" w:cs="Times New Roman"/>
          <w:sz w:val="26"/>
          <w:szCs w:val="26"/>
        </w:rPr>
        <w:t>e judge erred by failing to consider it</w:t>
      </w:r>
      <w:r w:rsidR="00872AC9">
        <w:rPr>
          <w:rFonts w:ascii="Times New Roman" w:hAnsi="Times New Roman" w:cs="Times New Roman"/>
          <w:sz w:val="26"/>
          <w:szCs w:val="26"/>
        </w:rPr>
        <w:t>.</w:t>
      </w:r>
      <w:r w:rsidR="00D54CB6">
        <w:rPr>
          <w:rStyle w:val="FootnoteReference"/>
          <w:rFonts w:ascii="Times New Roman" w:hAnsi="Times New Roman" w:cs="Times New Roman"/>
          <w:sz w:val="26"/>
          <w:szCs w:val="26"/>
        </w:rPr>
        <w:footnoteReference w:id="8"/>
      </w:r>
      <w:r w:rsidR="00872AC9">
        <w:rPr>
          <w:rFonts w:ascii="Times New Roman" w:hAnsi="Times New Roman" w:cs="Times New Roman"/>
          <w:sz w:val="26"/>
          <w:szCs w:val="26"/>
        </w:rPr>
        <w:t xml:space="preserve"> </w:t>
      </w:r>
      <w:r w:rsidR="007A45B2">
        <w:rPr>
          <w:rFonts w:ascii="Times New Roman" w:hAnsi="Times New Roman" w:cs="Times New Roman"/>
          <w:sz w:val="26"/>
          <w:szCs w:val="26"/>
        </w:rPr>
        <w:t xml:space="preserve">Under the circumstances, </w:t>
      </w:r>
      <w:r w:rsidR="00F114DD">
        <w:rPr>
          <w:rFonts w:ascii="Times New Roman" w:hAnsi="Times New Roman" w:cs="Times New Roman"/>
          <w:sz w:val="26"/>
          <w:szCs w:val="26"/>
        </w:rPr>
        <w:t>t</w:t>
      </w:r>
      <w:r w:rsidR="007A45B2">
        <w:rPr>
          <w:rFonts w:ascii="Times New Roman" w:hAnsi="Times New Roman" w:cs="Times New Roman"/>
          <w:sz w:val="26"/>
          <w:szCs w:val="26"/>
        </w:rPr>
        <w:t>he</w:t>
      </w:r>
      <w:r w:rsidR="00F114DD">
        <w:rPr>
          <w:rFonts w:ascii="Times New Roman" w:hAnsi="Times New Roman" w:cs="Times New Roman"/>
          <w:sz w:val="26"/>
          <w:szCs w:val="26"/>
        </w:rPr>
        <w:t xml:space="preserve"> judge</w:t>
      </w:r>
      <w:r w:rsidR="007A45B2">
        <w:rPr>
          <w:rFonts w:ascii="Times New Roman" w:hAnsi="Times New Roman" w:cs="Times New Roman"/>
          <w:sz w:val="26"/>
          <w:szCs w:val="26"/>
        </w:rPr>
        <w:t xml:space="preserve"> did not err in </w:t>
      </w:r>
      <w:r w:rsidR="00643933">
        <w:rPr>
          <w:rFonts w:ascii="Times New Roman" w:hAnsi="Times New Roman" w:cs="Times New Roman"/>
          <w:sz w:val="26"/>
          <w:szCs w:val="26"/>
        </w:rPr>
        <w:lastRenderedPageBreak/>
        <w:t xml:space="preserve">failing </w:t>
      </w:r>
      <w:r w:rsidR="00F114DD">
        <w:rPr>
          <w:rFonts w:ascii="Times New Roman" w:hAnsi="Times New Roman" w:cs="Times New Roman"/>
          <w:sz w:val="26"/>
          <w:szCs w:val="26"/>
        </w:rPr>
        <w:t xml:space="preserve">to </w:t>
      </w:r>
      <w:r w:rsidR="007A45B2">
        <w:rPr>
          <w:rFonts w:ascii="Times New Roman" w:hAnsi="Times New Roman" w:cs="Times New Roman"/>
          <w:sz w:val="26"/>
          <w:szCs w:val="26"/>
        </w:rPr>
        <w:t>order an offset</w:t>
      </w:r>
      <w:r w:rsidR="00F114DD">
        <w:rPr>
          <w:rFonts w:ascii="Times New Roman" w:hAnsi="Times New Roman" w:cs="Times New Roman"/>
          <w:sz w:val="26"/>
          <w:szCs w:val="26"/>
        </w:rPr>
        <w:t xml:space="preserve"> </w:t>
      </w:r>
      <w:r w:rsidR="00E04EF5">
        <w:rPr>
          <w:rFonts w:ascii="Times New Roman" w:hAnsi="Times New Roman" w:cs="Times New Roman"/>
          <w:sz w:val="26"/>
          <w:szCs w:val="26"/>
        </w:rPr>
        <w:t xml:space="preserve">against his award of benefits to the </w:t>
      </w:r>
      <w:r w:rsidR="00156DB4">
        <w:rPr>
          <w:rFonts w:ascii="Times New Roman" w:hAnsi="Times New Roman" w:cs="Times New Roman"/>
          <w:sz w:val="26"/>
          <w:szCs w:val="26"/>
        </w:rPr>
        <w:t>employee</w:t>
      </w:r>
      <w:r w:rsidR="007A45B2">
        <w:rPr>
          <w:rFonts w:ascii="Times New Roman" w:hAnsi="Times New Roman" w:cs="Times New Roman"/>
          <w:sz w:val="26"/>
          <w:szCs w:val="26"/>
        </w:rPr>
        <w:t xml:space="preserve">. </w:t>
      </w:r>
      <w:r w:rsidR="00A71D88">
        <w:rPr>
          <w:rFonts w:ascii="Times New Roman" w:hAnsi="Times New Roman" w:cs="Times New Roman"/>
          <w:sz w:val="26"/>
          <w:szCs w:val="26"/>
        </w:rPr>
        <w:t xml:space="preserve">Because the employee has prevailed on appeal, </w:t>
      </w:r>
      <w:r w:rsidR="001C76B5">
        <w:rPr>
          <w:rFonts w:ascii="Times New Roman" w:hAnsi="Times New Roman" w:cs="Times New Roman"/>
          <w:sz w:val="26"/>
          <w:szCs w:val="26"/>
        </w:rPr>
        <w:t>pursuant to G.L. c. 152, §13</w:t>
      </w:r>
      <w:proofErr w:type="gramStart"/>
      <w:r w:rsidR="001C76B5">
        <w:rPr>
          <w:rFonts w:ascii="Times New Roman" w:hAnsi="Times New Roman" w:cs="Times New Roman"/>
          <w:sz w:val="26"/>
          <w:szCs w:val="26"/>
        </w:rPr>
        <w:t>A(</w:t>
      </w:r>
      <w:proofErr w:type="gramEnd"/>
      <w:r w:rsidR="001C76B5">
        <w:rPr>
          <w:rFonts w:ascii="Times New Roman" w:hAnsi="Times New Roman" w:cs="Times New Roman"/>
          <w:sz w:val="26"/>
          <w:szCs w:val="26"/>
        </w:rPr>
        <w:t xml:space="preserve">6), </w:t>
      </w:r>
      <w:r w:rsidR="00915888">
        <w:rPr>
          <w:rFonts w:ascii="Times New Roman" w:hAnsi="Times New Roman" w:cs="Times New Roman"/>
          <w:sz w:val="26"/>
          <w:szCs w:val="26"/>
        </w:rPr>
        <w:t xml:space="preserve">Starr is ordered to pay employee’s counsel a fee of </w:t>
      </w:r>
      <w:r w:rsidR="001C76B5">
        <w:rPr>
          <w:rFonts w:ascii="Times New Roman" w:hAnsi="Times New Roman" w:cs="Times New Roman"/>
          <w:sz w:val="26"/>
          <w:szCs w:val="26"/>
        </w:rPr>
        <w:t>$1,964.82.</w:t>
      </w:r>
      <w:r w:rsidR="00915888">
        <w:rPr>
          <w:rFonts w:ascii="Times New Roman" w:hAnsi="Times New Roman" w:cs="Times New Roman"/>
          <w:sz w:val="26"/>
          <w:szCs w:val="26"/>
        </w:rPr>
        <w:t xml:space="preserve"> </w:t>
      </w:r>
    </w:p>
    <w:p w14:paraId="3CCEBC6D" w14:textId="4537EE1E" w:rsidR="001A3A6A" w:rsidRDefault="001A3A6A" w:rsidP="001A3A6A">
      <w:pPr>
        <w:spacing w:after="0" w:line="360" w:lineRule="auto"/>
        <w:ind w:firstLine="720"/>
        <w:rPr>
          <w:rFonts w:ascii="Times New Roman" w:hAnsi="Times New Roman" w:cs="Times New Roman"/>
          <w:sz w:val="26"/>
          <w:szCs w:val="26"/>
        </w:rPr>
      </w:pPr>
      <w:proofErr w:type="gramStart"/>
      <w:r>
        <w:rPr>
          <w:rFonts w:ascii="Times New Roman" w:hAnsi="Times New Roman" w:cs="Times New Roman"/>
          <w:sz w:val="26"/>
          <w:szCs w:val="26"/>
        </w:rPr>
        <w:t>So</w:t>
      </w:r>
      <w:proofErr w:type="gramEnd"/>
      <w:r>
        <w:rPr>
          <w:rFonts w:ascii="Times New Roman" w:hAnsi="Times New Roman" w:cs="Times New Roman"/>
          <w:sz w:val="26"/>
          <w:szCs w:val="26"/>
        </w:rPr>
        <w:t xml:space="preserve"> ordered</w:t>
      </w:r>
      <w:r>
        <w:rPr>
          <w:sz w:val="26"/>
          <w:szCs w:val="26"/>
        </w:rPr>
        <w:t xml:space="preserve">.                                                                            </w:t>
      </w:r>
    </w:p>
    <w:p w14:paraId="621F70E8" w14:textId="77777777" w:rsidR="001A3A6A" w:rsidRDefault="001A3A6A" w:rsidP="001A3A6A">
      <w:pPr>
        <w:spacing w:after="0" w:line="240" w:lineRule="auto"/>
        <w:ind w:firstLine="720"/>
        <w:rPr>
          <w:sz w:val="26"/>
          <w:szCs w:val="26"/>
        </w:rPr>
      </w:pPr>
      <w:r>
        <w:rPr>
          <w:sz w:val="26"/>
          <w:szCs w:val="26"/>
        </w:rPr>
        <w:t xml:space="preserve">  </w:t>
      </w:r>
    </w:p>
    <w:p w14:paraId="6B3B6B91" w14:textId="129E6C19" w:rsidR="001A3A6A" w:rsidRDefault="001A3A6A" w:rsidP="001A3A6A">
      <w:pPr>
        <w:spacing w:after="0" w:line="240" w:lineRule="auto"/>
        <w:ind w:firstLine="720"/>
        <w:rPr>
          <w:sz w:val="26"/>
          <w:szCs w:val="26"/>
        </w:rPr>
      </w:pPr>
      <w:r>
        <w:rPr>
          <w:sz w:val="26"/>
          <w:szCs w:val="26"/>
        </w:rPr>
        <w:t xml:space="preserve">                                                      </w:t>
      </w:r>
      <w:r>
        <w:rPr>
          <w:noProof/>
        </w:rPr>
        <w:tab/>
        <w:t xml:space="preserve">                         </w:t>
      </w:r>
      <w:r w:rsidR="00457298">
        <w:rPr>
          <w:noProof/>
        </w:rPr>
        <w:t xml:space="preserve">      </w:t>
      </w:r>
      <w:r w:rsidR="008B7025">
        <w:rPr>
          <w:noProof/>
        </w:rPr>
        <w:drawing>
          <wp:anchor distT="0" distB="0" distL="114300" distR="114300" simplePos="0" relativeHeight="251659264" behindDoc="1" locked="0" layoutInCell="1" allowOverlap="1" wp14:anchorId="62A5A591" wp14:editId="118C915E">
            <wp:simplePos x="0" y="0"/>
            <wp:positionH relativeFrom="column">
              <wp:posOffset>3165475</wp:posOffset>
            </wp:positionH>
            <wp:positionV relativeFrom="paragraph">
              <wp:posOffset>2540</wp:posOffset>
            </wp:positionV>
            <wp:extent cx="1782445" cy="405130"/>
            <wp:effectExtent l="0" t="0" r="8255" b="0"/>
            <wp:wrapNone/>
            <wp:docPr id="2044573065" name="Picture 1" descr="A black and white drawing of a handwritten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73065" name="Picture 1" descr="A black and white drawing of a handwritten not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2445" cy="405130"/>
                    </a:xfrm>
                    <a:prstGeom prst="rect">
                      <a:avLst/>
                    </a:prstGeom>
                    <a:noFill/>
                    <a:ln>
                      <a:noFill/>
                    </a:ln>
                  </pic:spPr>
                </pic:pic>
              </a:graphicData>
            </a:graphic>
          </wp:anchor>
        </w:drawing>
      </w:r>
      <w:r w:rsidR="00457298">
        <w:rPr>
          <w:noProof/>
        </w:rPr>
        <w:t xml:space="preserve">                                                                             </w:t>
      </w:r>
      <w:r>
        <w:rPr>
          <w:noProof/>
        </w:rPr>
        <w:t xml:space="preserve">             </w:t>
      </w:r>
    </w:p>
    <w:p w14:paraId="619A7A1B" w14:textId="77777777" w:rsidR="001A3A6A" w:rsidRDefault="001A3A6A" w:rsidP="001A3A6A">
      <w:pPr>
        <w:spacing w:line="240" w:lineRule="auto"/>
        <w:contextualSpacing/>
      </w:pPr>
      <w:r>
        <w:tab/>
      </w:r>
      <w:r>
        <w:tab/>
      </w:r>
      <w:r>
        <w:tab/>
      </w:r>
      <w:r>
        <w:tab/>
      </w:r>
      <w:r>
        <w:tab/>
      </w:r>
      <w:r>
        <w:tab/>
      </w:r>
      <w:r>
        <w:tab/>
        <w:t>_________________________________</w:t>
      </w:r>
    </w:p>
    <w:p w14:paraId="7E4B5551" w14:textId="77777777" w:rsidR="001A3A6A" w:rsidRDefault="001A3A6A" w:rsidP="001A3A6A">
      <w:pPr>
        <w:spacing w:after="0" w:line="240" w:lineRule="auto"/>
        <w:ind w:left="4320" w:firstLine="720"/>
        <w:contextualSpacing/>
        <w:rPr>
          <w:rFonts w:ascii="Times New Roman" w:hAnsi="Times New Roman" w:cs="Times New Roman"/>
          <w:sz w:val="26"/>
          <w:szCs w:val="26"/>
        </w:rPr>
      </w:pPr>
      <w:r>
        <w:rPr>
          <w:rFonts w:ascii="Times New Roman" w:hAnsi="Times New Roman" w:cs="Times New Roman"/>
          <w:sz w:val="26"/>
          <w:szCs w:val="26"/>
        </w:rPr>
        <w:t xml:space="preserve">Catherine Watson Koziol </w:t>
      </w:r>
    </w:p>
    <w:p w14:paraId="2B14F9C4" w14:textId="170E1759" w:rsidR="001A3A6A" w:rsidRDefault="001A3A6A" w:rsidP="001A3A6A">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Administrative Law Judge                                                        </w:t>
      </w:r>
      <w:r>
        <w:rPr>
          <w:rFonts w:ascii="Times New Roman" w:hAnsi="Times New Roman" w:cs="Times New Roman"/>
          <w:sz w:val="26"/>
          <w:szCs w:val="26"/>
        </w:rPr>
        <w:tab/>
      </w:r>
      <w:r>
        <w:rPr>
          <w:rFonts w:ascii="Times New Roman" w:hAnsi="Times New Roman" w:cs="Times New Roman"/>
          <w:sz w:val="26"/>
          <w:szCs w:val="26"/>
        </w:rPr>
        <w:tab/>
        <w:t xml:space="preserve">                                                               </w:t>
      </w:r>
    </w:p>
    <w:p w14:paraId="5EBE9910" w14:textId="68127904" w:rsidR="001A3A6A" w:rsidRDefault="0060605A" w:rsidP="001A3A6A">
      <w:pPr>
        <w:spacing w:after="0" w:line="240" w:lineRule="auto"/>
        <w:rPr>
          <w:rFonts w:ascii="Times New Roman" w:hAnsi="Times New Roman" w:cs="Times New Roman"/>
          <w:sz w:val="26"/>
          <w:szCs w:val="26"/>
        </w:rPr>
      </w:pPr>
      <w:r>
        <w:rPr>
          <w:rFonts w:ascii="Times New Roman" w:hAnsi="Times New Roman" w:cs="Times New Roman"/>
          <w:noProof/>
          <w:sz w:val="24"/>
          <w:szCs w:val="24"/>
        </w:rPr>
        <w:drawing>
          <wp:anchor distT="0" distB="0" distL="114300" distR="114300" simplePos="0" relativeHeight="251658240" behindDoc="0" locked="0" layoutInCell="1" allowOverlap="1" wp14:anchorId="00512E16" wp14:editId="386843AE">
            <wp:simplePos x="0" y="0"/>
            <wp:positionH relativeFrom="column">
              <wp:posOffset>3476625</wp:posOffset>
            </wp:positionH>
            <wp:positionV relativeFrom="paragraph">
              <wp:posOffset>8255</wp:posOffset>
            </wp:positionV>
            <wp:extent cx="1571625" cy="831738"/>
            <wp:effectExtent l="0" t="0" r="0" b="6985"/>
            <wp:wrapNone/>
            <wp:docPr id="765310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8317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2D1E1" w14:textId="7D42004D"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743A811F" w14:textId="77777777"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p>
    <w:p w14:paraId="0378810B" w14:textId="77777777"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Bernard W. Fabricant</w:t>
      </w:r>
    </w:p>
    <w:p w14:paraId="40FB435C" w14:textId="77777777"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Administrative Law Judge</w:t>
      </w:r>
    </w:p>
    <w:p w14:paraId="26A4B6D8" w14:textId="3DF696E4"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94CA0F6" w14:textId="77777777" w:rsidR="00450209" w:rsidRDefault="00450209" w:rsidP="00450209">
      <w:pPr>
        <w:pStyle w:val="NormalWeb"/>
      </w:pPr>
      <w:r>
        <w:rPr>
          <w:noProof/>
        </w:rPr>
        <w:drawing>
          <wp:anchor distT="0" distB="0" distL="114300" distR="114300" simplePos="0" relativeHeight="251660288" behindDoc="1" locked="0" layoutInCell="1" allowOverlap="1" wp14:anchorId="5BC7A05B" wp14:editId="7B1F88CD">
            <wp:simplePos x="0" y="0"/>
            <wp:positionH relativeFrom="column">
              <wp:posOffset>3162300</wp:posOffset>
            </wp:positionH>
            <wp:positionV relativeFrom="paragraph">
              <wp:posOffset>381635</wp:posOffset>
            </wp:positionV>
            <wp:extent cx="2095500" cy="565150"/>
            <wp:effectExtent l="0" t="0" r="0" b="6350"/>
            <wp:wrapNone/>
            <wp:docPr id="3" name="Picture 2"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 let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74108" w14:textId="77777777"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p>
    <w:p w14:paraId="69568B19" w14:textId="11A3EAAA"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4D67BF">
        <w:rPr>
          <w:rFonts w:ascii="Times New Roman" w:hAnsi="Times New Roman" w:cs="Times New Roman"/>
          <w:sz w:val="26"/>
          <w:szCs w:val="26"/>
        </w:rPr>
        <w:t>Martin J. Long</w:t>
      </w:r>
    </w:p>
    <w:p w14:paraId="38232AF4" w14:textId="77777777" w:rsidR="001A3A6A" w:rsidRDefault="001A3A6A" w:rsidP="001A3A6A">
      <w:pPr>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Administrative Law Judge</w:t>
      </w:r>
    </w:p>
    <w:p w14:paraId="3833A98F" w14:textId="77777777" w:rsidR="001A3A6A" w:rsidRDefault="001A3A6A" w:rsidP="001A3A6A">
      <w:pPr>
        <w:spacing w:after="0" w:line="240" w:lineRule="auto"/>
        <w:rPr>
          <w:rFonts w:ascii="Times New Roman" w:hAnsi="Times New Roman" w:cs="Times New Roman"/>
          <w:sz w:val="26"/>
          <w:szCs w:val="26"/>
        </w:rPr>
      </w:pPr>
    </w:p>
    <w:p w14:paraId="30FCA166" w14:textId="5F1393FC" w:rsidR="001A3A6A" w:rsidRPr="00A33220" w:rsidRDefault="001A3A6A" w:rsidP="001A3A6A">
      <w:pPr>
        <w:spacing w:after="0" w:line="240" w:lineRule="auto"/>
        <w:rPr>
          <w:b/>
          <w:bCs/>
          <w:i/>
          <w:iCs/>
          <w:noProof/>
          <w:sz w:val="26"/>
          <w:szCs w:val="26"/>
          <w:u w:val="single"/>
        </w:rPr>
      </w:pPr>
      <w:r>
        <w:rPr>
          <w:rFonts w:ascii="Times New Roman" w:hAnsi="Times New Roman" w:cs="Times New Roman"/>
          <w:sz w:val="26"/>
          <w:szCs w:val="26"/>
        </w:rPr>
        <w:t>Filed:</w:t>
      </w:r>
      <w:r>
        <w:rPr>
          <w:noProof/>
          <w:sz w:val="26"/>
          <w:szCs w:val="26"/>
        </w:rPr>
        <w:t xml:space="preserve"> </w:t>
      </w:r>
      <w:r w:rsidR="00A33220">
        <w:rPr>
          <w:noProof/>
          <w:sz w:val="26"/>
          <w:szCs w:val="26"/>
        </w:rPr>
        <w:t xml:space="preserve">  </w:t>
      </w:r>
      <w:r w:rsidR="00A33220">
        <w:rPr>
          <w:b/>
          <w:bCs/>
          <w:i/>
          <w:iCs/>
          <w:noProof/>
          <w:sz w:val="26"/>
          <w:szCs w:val="26"/>
          <w:u w:val="single"/>
        </w:rPr>
        <w:t>January 30, 2026</w:t>
      </w:r>
    </w:p>
    <w:p w14:paraId="66C8A6B6" w14:textId="77777777" w:rsidR="001A3A6A" w:rsidRPr="004217EE" w:rsidRDefault="001A3A6A" w:rsidP="001A3A6A">
      <w:pPr>
        <w:spacing w:after="0" w:line="240" w:lineRule="auto"/>
        <w:rPr>
          <w:b/>
          <w:bCs/>
          <w:i/>
          <w:iCs/>
          <w:u w:val="single"/>
        </w:rPr>
      </w:pPr>
    </w:p>
    <w:p w14:paraId="3AB07A18" w14:textId="77777777" w:rsidR="001A3A6A" w:rsidRDefault="001A3A6A" w:rsidP="001A3A6A"/>
    <w:p w14:paraId="1F48CCBA" w14:textId="77777777" w:rsidR="001A3A6A" w:rsidRDefault="001A3A6A" w:rsidP="001A3A6A"/>
    <w:p w14:paraId="302560B6" w14:textId="77777777" w:rsidR="005D1EC3" w:rsidRDefault="005D1EC3"/>
    <w:sectPr w:rsidR="005D1EC3" w:rsidSect="001A3A6A">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2DBF" w14:textId="77777777" w:rsidR="00943BBB" w:rsidRDefault="00943BBB" w:rsidP="001A3A6A">
      <w:pPr>
        <w:spacing w:after="0" w:line="240" w:lineRule="auto"/>
      </w:pPr>
      <w:r>
        <w:separator/>
      </w:r>
    </w:p>
  </w:endnote>
  <w:endnote w:type="continuationSeparator" w:id="0">
    <w:p w14:paraId="78B426DD" w14:textId="77777777" w:rsidR="00943BBB" w:rsidRDefault="00943BBB" w:rsidP="001A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838283"/>
      <w:docPartObj>
        <w:docPartGallery w:val="Page Numbers (Bottom of Page)"/>
        <w:docPartUnique/>
      </w:docPartObj>
    </w:sdtPr>
    <w:sdtEndPr/>
    <w:sdtContent>
      <w:p w14:paraId="0EBF313E" w14:textId="77777777" w:rsidR="001A3A6A" w:rsidRDefault="001A3A6A">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sdtContent>
  </w:sdt>
  <w:p w14:paraId="57D0CE12" w14:textId="77777777" w:rsidR="001A3A6A" w:rsidRDefault="001A3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E11A" w14:textId="77777777" w:rsidR="00943BBB" w:rsidRDefault="00943BBB" w:rsidP="001A3A6A">
      <w:pPr>
        <w:spacing w:after="0" w:line="240" w:lineRule="auto"/>
      </w:pPr>
      <w:r>
        <w:separator/>
      </w:r>
    </w:p>
  </w:footnote>
  <w:footnote w:type="continuationSeparator" w:id="0">
    <w:p w14:paraId="09CBA4B3" w14:textId="77777777" w:rsidR="00943BBB" w:rsidRDefault="00943BBB" w:rsidP="001A3A6A">
      <w:pPr>
        <w:spacing w:after="0" w:line="240" w:lineRule="auto"/>
      </w:pPr>
      <w:r>
        <w:continuationSeparator/>
      </w:r>
    </w:p>
  </w:footnote>
  <w:footnote w:id="1">
    <w:p w14:paraId="1DCA04B7" w14:textId="1F8BB6D9" w:rsidR="00854B7F" w:rsidRDefault="00854B7F" w:rsidP="00854B7F">
      <w:pPr>
        <w:pStyle w:val="FootnoteText"/>
        <w:rPr>
          <w:rFonts w:ascii="Times New Roman" w:hAnsi="Times New Roman" w:cs="Times New Roman"/>
          <w:sz w:val="24"/>
          <w:szCs w:val="24"/>
        </w:rPr>
      </w:pPr>
      <w:r w:rsidRPr="009217EE">
        <w:rPr>
          <w:rStyle w:val="FootnoteReference"/>
          <w:rFonts w:ascii="Times New Roman" w:hAnsi="Times New Roman" w:cs="Times New Roman"/>
          <w:sz w:val="24"/>
          <w:szCs w:val="24"/>
        </w:rPr>
        <w:footnoteRef/>
      </w:r>
      <w:r w:rsidRPr="009217EE">
        <w:rPr>
          <w:rFonts w:ascii="Times New Roman" w:hAnsi="Times New Roman" w:cs="Times New Roman"/>
          <w:sz w:val="24"/>
          <w:szCs w:val="24"/>
        </w:rPr>
        <w:t xml:space="preserve"> The judge </w:t>
      </w:r>
      <w:r w:rsidR="009217EE" w:rsidRPr="009217EE">
        <w:rPr>
          <w:rFonts w:ascii="Times New Roman" w:hAnsi="Times New Roman" w:cs="Times New Roman"/>
          <w:sz w:val="24"/>
          <w:szCs w:val="24"/>
        </w:rPr>
        <w:t xml:space="preserve">allowed </w:t>
      </w:r>
      <w:r w:rsidRPr="009217EE">
        <w:rPr>
          <w:rFonts w:ascii="Times New Roman" w:hAnsi="Times New Roman" w:cs="Times New Roman"/>
          <w:sz w:val="24"/>
          <w:szCs w:val="24"/>
        </w:rPr>
        <w:t>join</w:t>
      </w:r>
      <w:r w:rsidR="009217EE" w:rsidRPr="009217EE">
        <w:rPr>
          <w:rFonts w:ascii="Times New Roman" w:hAnsi="Times New Roman" w:cs="Times New Roman"/>
          <w:sz w:val="24"/>
          <w:szCs w:val="24"/>
        </w:rPr>
        <w:t>der of</w:t>
      </w:r>
      <w:r w:rsidRPr="009217EE">
        <w:rPr>
          <w:rFonts w:ascii="Times New Roman" w:hAnsi="Times New Roman" w:cs="Times New Roman"/>
          <w:sz w:val="24"/>
          <w:szCs w:val="24"/>
        </w:rPr>
        <w:t xml:space="preserve"> the employer </w:t>
      </w:r>
      <w:r w:rsidR="009217EE" w:rsidRPr="009217EE">
        <w:rPr>
          <w:rFonts w:ascii="Times New Roman" w:hAnsi="Times New Roman" w:cs="Times New Roman"/>
          <w:sz w:val="24"/>
          <w:szCs w:val="24"/>
        </w:rPr>
        <w:t>a</w:t>
      </w:r>
      <w:r w:rsidRPr="009217EE">
        <w:rPr>
          <w:rFonts w:ascii="Times New Roman" w:hAnsi="Times New Roman" w:cs="Times New Roman"/>
          <w:sz w:val="24"/>
          <w:szCs w:val="24"/>
        </w:rPr>
        <w:t xml:space="preserve">s a party to this case, “[t]he alleged employer was represented by counsel at all times during the litigation of these cases.”  (15 Bean 181).  </w:t>
      </w:r>
    </w:p>
    <w:p w14:paraId="79ED0E03" w14:textId="77777777" w:rsidR="00BC1A54" w:rsidRPr="009217EE" w:rsidRDefault="00BC1A54" w:rsidP="00854B7F">
      <w:pPr>
        <w:pStyle w:val="FootnoteText"/>
        <w:rPr>
          <w:rFonts w:ascii="Times New Roman" w:hAnsi="Times New Roman" w:cs="Times New Roman"/>
          <w:sz w:val="24"/>
          <w:szCs w:val="24"/>
        </w:rPr>
      </w:pPr>
    </w:p>
  </w:footnote>
  <w:footnote w:id="2">
    <w:p w14:paraId="136657CD" w14:textId="358E0E92" w:rsidR="00BC1A54" w:rsidRPr="00BC1A54" w:rsidRDefault="00BC1A54">
      <w:pPr>
        <w:pStyle w:val="FootnoteText"/>
        <w:rPr>
          <w:rFonts w:ascii="Times New Roman" w:hAnsi="Times New Roman" w:cs="Times New Roman"/>
          <w:sz w:val="24"/>
          <w:szCs w:val="24"/>
        </w:rPr>
      </w:pPr>
      <w:r w:rsidRPr="00BC1A54">
        <w:rPr>
          <w:rStyle w:val="FootnoteReference"/>
          <w:rFonts w:ascii="Times New Roman" w:hAnsi="Times New Roman" w:cs="Times New Roman"/>
          <w:sz w:val="24"/>
          <w:szCs w:val="24"/>
        </w:rPr>
        <w:footnoteRef/>
      </w:r>
      <w:r w:rsidRPr="00BC1A54">
        <w:rPr>
          <w:rFonts w:ascii="Times New Roman" w:hAnsi="Times New Roman" w:cs="Times New Roman"/>
          <w:sz w:val="24"/>
          <w:szCs w:val="24"/>
        </w:rPr>
        <w:t xml:space="preserve"> </w:t>
      </w:r>
      <w:r w:rsidRPr="009217EE">
        <w:rPr>
          <w:rFonts w:ascii="Times New Roman" w:hAnsi="Times New Roman" w:cs="Times New Roman"/>
          <w:sz w:val="24"/>
          <w:szCs w:val="24"/>
        </w:rPr>
        <w:t xml:space="preserve">The Workers’ </w:t>
      </w:r>
      <w:r w:rsidR="00BE3F54">
        <w:rPr>
          <w:rFonts w:ascii="Times New Roman" w:hAnsi="Times New Roman" w:cs="Times New Roman"/>
          <w:sz w:val="24"/>
          <w:szCs w:val="24"/>
        </w:rPr>
        <w:t>C</w:t>
      </w:r>
      <w:r w:rsidRPr="009217EE">
        <w:rPr>
          <w:rFonts w:ascii="Times New Roman" w:hAnsi="Times New Roman" w:cs="Times New Roman"/>
          <w:sz w:val="24"/>
          <w:szCs w:val="24"/>
        </w:rPr>
        <w:t xml:space="preserve">ompensation </w:t>
      </w:r>
      <w:r w:rsidR="00BE3F54">
        <w:rPr>
          <w:rFonts w:ascii="Times New Roman" w:hAnsi="Times New Roman" w:cs="Times New Roman"/>
          <w:sz w:val="24"/>
          <w:szCs w:val="24"/>
        </w:rPr>
        <w:t>T</w:t>
      </w:r>
      <w:r w:rsidRPr="009217EE">
        <w:rPr>
          <w:rFonts w:ascii="Times New Roman" w:hAnsi="Times New Roman" w:cs="Times New Roman"/>
          <w:sz w:val="24"/>
          <w:szCs w:val="24"/>
        </w:rPr>
        <w:t xml:space="preserve">rust </w:t>
      </w:r>
      <w:r w:rsidR="00BE3F54">
        <w:rPr>
          <w:rFonts w:ascii="Times New Roman" w:hAnsi="Times New Roman" w:cs="Times New Roman"/>
          <w:sz w:val="24"/>
          <w:szCs w:val="24"/>
        </w:rPr>
        <w:t>F</w:t>
      </w:r>
      <w:r w:rsidRPr="009217EE">
        <w:rPr>
          <w:rFonts w:ascii="Times New Roman" w:hAnsi="Times New Roman" w:cs="Times New Roman"/>
          <w:sz w:val="24"/>
          <w:szCs w:val="24"/>
        </w:rPr>
        <w:t xml:space="preserve">und did not file </w:t>
      </w:r>
      <w:r>
        <w:rPr>
          <w:rFonts w:ascii="Times New Roman" w:hAnsi="Times New Roman" w:cs="Times New Roman"/>
          <w:sz w:val="24"/>
          <w:szCs w:val="24"/>
        </w:rPr>
        <w:t xml:space="preserve">an appellate brief in this matter. </w:t>
      </w:r>
    </w:p>
  </w:footnote>
  <w:footnote w:id="3">
    <w:p w14:paraId="4B1E29E9" w14:textId="77777777" w:rsidR="00235731" w:rsidRDefault="00235731">
      <w:pPr>
        <w:pStyle w:val="FootnoteText"/>
        <w:rPr>
          <w:rFonts w:ascii="Times New Roman" w:hAnsi="Times New Roman" w:cs="Times New Roman"/>
          <w:sz w:val="24"/>
          <w:szCs w:val="24"/>
        </w:rPr>
      </w:pPr>
    </w:p>
    <w:p w14:paraId="034A06CF" w14:textId="3F05586D" w:rsidR="00D04B0B" w:rsidRDefault="00D04B0B">
      <w:pPr>
        <w:pStyle w:val="FootnoteText"/>
        <w:rPr>
          <w:rFonts w:ascii="Times New Roman" w:hAnsi="Times New Roman" w:cs="Times New Roman"/>
          <w:sz w:val="24"/>
          <w:szCs w:val="24"/>
        </w:rPr>
      </w:pPr>
      <w:r w:rsidRPr="00D04B0B">
        <w:rPr>
          <w:rStyle w:val="FootnoteReference"/>
          <w:rFonts w:ascii="Times New Roman" w:hAnsi="Times New Roman" w:cs="Times New Roman"/>
          <w:sz w:val="24"/>
          <w:szCs w:val="24"/>
        </w:rPr>
        <w:footnoteRef/>
      </w:r>
      <w:r w:rsidRPr="00D04B0B">
        <w:rPr>
          <w:rFonts w:ascii="Times New Roman" w:hAnsi="Times New Roman" w:cs="Times New Roman"/>
          <w:sz w:val="24"/>
          <w:szCs w:val="24"/>
        </w:rPr>
        <w:t xml:space="preserve"> </w:t>
      </w:r>
      <w:r w:rsidR="00BE51F1">
        <w:rPr>
          <w:rFonts w:ascii="Times New Roman" w:hAnsi="Times New Roman" w:cs="Times New Roman"/>
          <w:sz w:val="24"/>
          <w:szCs w:val="24"/>
        </w:rPr>
        <w:t>General Laws, Chapter 152, § 18, provides, in relevant part:</w:t>
      </w:r>
    </w:p>
    <w:p w14:paraId="6742DA33" w14:textId="77777777" w:rsidR="00235731" w:rsidRDefault="00235731">
      <w:pPr>
        <w:pStyle w:val="FootnoteText"/>
        <w:rPr>
          <w:rFonts w:ascii="Times New Roman" w:hAnsi="Times New Roman" w:cs="Times New Roman"/>
          <w:sz w:val="24"/>
          <w:szCs w:val="24"/>
        </w:rPr>
      </w:pPr>
    </w:p>
    <w:p w14:paraId="1E8C60F7" w14:textId="77777777" w:rsidR="00235731" w:rsidRDefault="00235731" w:rsidP="00235731">
      <w:pPr>
        <w:pStyle w:val="FootnoteText"/>
        <w:ind w:left="720"/>
        <w:rPr>
          <w:rFonts w:ascii="Times New Roman" w:hAnsi="Times New Roman" w:cs="Times New Roman"/>
          <w:sz w:val="24"/>
          <w:szCs w:val="24"/>
        </w:rPr>
      </w:pPr>
      <w:r>
        <w:rPr>
          <w:rFonts w:ascii="Times New Roman" w:hAnsi="Times New Roman" w:cs="Times New Roman"/>
          <w:sz w:val="24"/>
          <w:szCs w:val="24"/>
        </w:rPr>
        <w:t xml:space="preserve">If an insured person enters into a contract, written or oral, with an independent contractor to do such person’s work, or if such a contractor enters into a contract with a sub-contractor to do all or any part of the work comprised in such contract with the insured, and the insurer would, if such work were executed by employees immediately employed by the insured, be liable to pay compensation under this chapter to those employees, the insurer shall pay to such employees any compensation which would be payable to them under this chapter if the independent or sub-contractors were insured persons. </w:t>
      </w:r>
    </w:p>
    <w:p w14:paraId="168C5451" w14:textId="66E5F246" w:rsidR="00235731" w:rsidRPr="00D04B0B" w:rsidRDefault="00235731" w:rsidP="00235731">
      <w:pPr>
        <w:pStyle w:val="FootnoteText"/>
        <w:ind w:left="720"/>
        <w:rPr>
          <w:rFonts w:ascii="Times New Roman" w:hAnsi="Times New Roman" w:cs="Times New Roman"/>
          <w:sz w:val="24"/>
          <w:szCs w:val="24"/>
        </w:rPr>
      </w:pPr>
      <w:r>
        <w:rPr>
          <w:rFonts w:ascii="Times New Roman" w:hAnsi="Times New Roman" w:cs="Times New Roman"/>
          <w:sz w:val="24"/>
          <w:szCs w:val="24"/>
        </w:rPr>
        <w:t xml:space="preserve"> </w:t>
      </w:r>
    </w:p>
  </w:footnote>
  <w:footnote w:id="4">
    <w:p w14:paraId="69C28E5F" w14:textId="66FA674C" w:rsidR="001B55DF" w:rsidRDefault="001B55DF">
      <w:pPr>
        <w:pStyle w:val="FootnoteText"/>
        <w:rPr>
          <w:rFonts w:ascii="Times New Roman" w:hAnsi="Times New Roman" w:cs="Times New Roman"/>
          <w:sz w:val="24"/>
          <w:szCs w:val="24"/>
        </w:rPr>
      </w:pPr>
      <w:r w:rsidRPr="001B55DF">
        <w:rPr>
          <w:rStyle w:val="FootnoteReference"/>
          <w:rFonts w:ascii="Times New Roman" w:hAnsi="Times New Roman" w:cs="Times New Roman"/>
          <w:sz w:val="24"/>
          <w:szCs w:val="24"/>
        </w:rPr>
        <w:footnoteRef/>
      </w:r>
      <w:r w:rsidRPr="001B55DF">
        <w:rPr>
          <w:rFonts w:ascii="Times New Roman" w:hAnsi="Times New Roman" w:cs="Times New Roman"/>
          <w:sz w:val="24"/>
          <w:szCs w:val="24"/>
        </w:rPr>
        <w:t xml:space="preserve"> </w:t>
      </w:r>
      <w:r>
        <w:rPr>
          <w:rFonts w:ascii="Times New Roman" w:hAnsi="Times New Roman" w:cs="Times New Roman"/>
          <w:sz w:val="24"/>
          <w:szCs w:val="24"/>
        </w:rPr>
        <w:t xml:space="preserve">General Laws, Chapter 152, § 15, </w:t>
      </w:r>
      <w:r w:rsidR="0069640F">
        <w:rPr>
          <w:rFonts w:ascii="Times New Roman" w:hAnsi="Times New Roman" w:cs="Times New Roman"/>
          <w:sz w:val="24"/>
          <w:szCs w:val="24"/>
        </w:rPr>
        <w:t>provides</w:t>
      </w:r>
      <w:r>
        <w:rPr>
          <w:rFonts w:ascii="Times New Roman" w:hAnsi="Times New Roman" w:cs="Times New Roman"/>
          <w:sz w:val="24"/>
          <w:szCs w:val="24"/>
        </w:rPr>
        <w:t>, in pertinent part:</w:t>
      </w:r>
    </w:p>
    <w:p w14:paraId="41F6D22A" w14:textId="77777777" w:rsidR="001B55DF" w:rsidRDefault="001B55DF">
      <w:pPr>
        <w:pStyle w:val="FootnoteText"/>
        <w:rPr>
          <w:rFonts w:ascii="Times New Roman" w:hAnsi="Times New Roman" w:cs="Times New Roman"/>
          <w:sz w:val="24"/>
          <w:szCs w:val="24"/>
        </w:rPr>
      </w:pPr>
    </w:p>
    <w:p w14:paraId="7B9F9502" w14:textId="1B0069A7" w:rsidR="001B55DF" w:rsidRPr="001B55DF" w:rsidRDefault="005D0D2B" w:rsidP="001B55DF">
      <w:pPr>
        <w:pStyle w:val="FootnoteText"/>
        <w:ind w:left="720"/>
        <w:rPr>
          <w:rFonts w:ascii="Times New Roman" w:hAnsi="Times New Roman" w:cs="Times New Roman"/>
          <w:sz w:val="24"/>
          <w:szCs w:val="24"/>
        </w:rPr>
      </w:pPr>
      <w:r>
        <w:rPr>
          <w:rFonts w:ascii="Times New Roman" w:hAnsi="Times New Roman" w:cs="Times New Roman"/>
          <w:sz w:val="24"/>
          <w:szCs w:val="24"/>
        </w:rPr>
        <w:t>Where the injury for which compensation is payable was caused under circumstances creating a legal liability in some person other than the insured to pay damages in respect thereof, the employee shall be entitled, without election, to the compensation and other benefits provided under this chapter</w:t>
      </w:r>
      <w:proofErr w:type="gramStart"/>
      <w:r>
        <w:rPr>
          <w:rFonts w:ascii="Times New Roman" w:hAnsi="Times New Roman" w:cs="Times New Roman"/>
          <w:sz w:val="24"/>
          <w:szCs w:val="24"/>
        </w:rPr>
        <w:t>. . . .</w:t>
      </w:r>
      <w:proofErr w:type="gramEnd"/>
      <w:r>
        <w:rPr>
          <w:rFonts w:ascii="Times New Roman" w:hAnsi="Times New Roman" w:cs="Times New Roman"/>
          <w:sz w:val="24"/>
          <w:szCs w:val="24"/>
        </w:rPr>
        <w:t xml:space="preserve"> The sum recovered shall be for the benefit of the insurer, unless such sum is greater</w:t>
      </w:r>
      <w:r w:rsidR="005A0541">
        <w:rPr>
          <w:rFonts w:ascii="Times New Roman" w:hAnsi="Times New Roman" w:cs="Times New Roman"/>
          <w:sz w:val="24"/>
          <w:szCs w:val="24"/>
        </w:rPr>
        <w:t xml:space="preserve"> than that paid by it to the employee, in which event the excess shall be retained by or paid to the employee. For purposes of this section, “excess” shall mean the amount by which the gross sum received in payment of the injury exceeds the compensation paid under this chapter</w:t>
      </w:r>
      <w:proofErr w:type="gramStart"/>
      <w:r w:rsidR="005A0541">
        <w:rPr>
          <w:rFonts w:ascii="Times New Roman" w:hAnsi="Times New Roman" w:cs="Times New Roman"/>
          <w:sz w:val="24"/>
          <w:szCs w:val="24"/>
        </w:rPr>
        <w:t>.</w:t>
      </w:r>
      <w:r w:rsidR="00832DF1">
        <w:rPr>
          <w:rFonts w:ascii="Times New Roman" w:hAnsi="Times New Roman" w:cs="Times New Roman"/>
          <w:sz w:val="24"/>
          <w:szCs w:val="24"/>
        </w:rPr>
        <w:t xml:space="preserve"> . . .</w:t>
      </w:r>
      <w:proofErr w:type="gramEnd"/>
      <w:r w:rsidR="004D3E8A">
        <w:rPr>
          <w:rFonts w:ascii="Times New Roman" w:hAnsi="Times New Roman" w:cs="Times New Roman"/>
          <w:sz w:val="24"/>
          <w:szCs w:val="24"/>
        </w:rPr>
        <w:t xml:space="preserve"> Except in the case of settlement by agreement by the parties to, and during a trial of, such an action at law, no settlement by agreement shall be made with such other person without the approval of either the board, the reviewing board, or the court in which the action has been commenced after a hearing in which </w:t>
      </w:r>
      <w:r w:rsidR="003B5F32">
        <w:rPr>
          <w:rFonts w:ascii="Times New Roman" w:hAnsi="Times New Roman" w:cs="Times New Roman"/>
          <w:sz w:val="24"/>
          <w:szCs w:val="24"/>
        </w:rPr>
        <w:t xml:space="preserve">both the employee and the insurer have had an opportunity to be heard. At such hearing the court shall inquire and make a finding as to the </w:t>
      </w:r>
      <w:r w:rsidR="008A4591">
        <w:rPr>
          <w:rFonts w:ascii="Times New Roman" w:hAnsi="Times New Roman" w:cs="Times New Roman"/>
          <w:sz w:val="24"/>
          <w:szCs w:val="24"/>
        </w:rPr>
        <w:t>t</w:t>
      </w:r>
      <w:r w:rsidR="007805B5">
        <w:rPr>
          <w:rFonts w:ascii="Times New Roman" w:hAnsi="Times New Roman" w:cs="Times New Roman"/>
          <w:sz w:val="24"/>
          <w:szCs w:val="24"/>
        </w:rPr>
        <w:t xml:space="preserve">aking of evidence on the merits of the settlement, on the </w:t>
      </w:r>
      <w:r w:rsidR="003B5F32">
        <w:rPr>
          <w:rFonts w:ascii="Times New Roman" w:hAnsi="Times New Roman" w:cs="Times New Roman"/>
          <w:sz w:val="24"/>
          <w:szCs w:val="24"/>
        </w:rPr>
        <w:t>fair allocation of amounts payable to the employee and the employee’s spouse, children, parents and any other member of the employee’s family or next of kin who have claims arising from the injury</w:t>
      </w:r>
      <w:r w:rsidR="00917343">
        <w:rPr>
          <w:rFonts w:ascii="Times New Roman" w:hAnsi="Times New Roman" w:cs="Times New Roman"/>
          <w:sz w:val="24"/>
          <w:szCs w:val="24"/>
        </w:rPr>
        <w:t xml:space="preserve"> for which are payable, under this chapter in which the action has been commenced after an opportunity has been afforded both the insurer and the employee to be heard on the merits of the settlement and on the amount, if any, to which the insurer is entitled out of such settlement by way of reimbursement, and on the amount of excess that shall be subject to offset against any future payment of benefits under this chapter by the insurer, which amount shall be determined at the time of such approval. In determining the amount of “excess” that shall be subject to offset against any future compensation payment the board</w:t>
      </w:r>
      <w:r w:rsidR="00A872C7">
        <w:rPr>
          <w:rFonts w:ascii="Times New Roman" w:hAnsi="Times New Roman" w:cs="Times New Roman"/>
          <w:sz w:val="24"/>
          <w:szCs w:val="24"/>
        </w:rPr>
        <w:t xml:space="preserve">, the reviewing board or the court shall consider the fair allocation of amounts payable to and amongst family members who may have claims arising from the injury for which said compensation is payable. </w:t>
      </w:r>
    </w:p>
  </w:footnote>
  <w:footnote w:id="5">
    <w:p w14:paraId="57E2A3C7" w14:textId="6AE4D657" w:rsidR="004B6B9F" w:rsidRPr="002041EA" w:rsidRDefault="004B6B9F" w:rsidP="004B6B9F">
      <w:pPr>
        <w:pStyle w:val="FootnoteText"/>
        <w:rPr>
          <w:rFonts w:ascii="Times New Roman" w:hAnsi="Times New Roman" w:cs="Times New Roman"/>
          <w:sz w:val="24"/>
          <w:szCs w:val="24"/>
        </w:rPr>
      </w:pPr>
      <w:r w:rsidRPr="002041EA">
        <w:rPr>
          <w:rStyle w:val="FootnoteReference"/>
          <w:rFonts w:ascii="Times New Roman" w:hAnsi="Times New Roman" w:cs="Times New Roman"/>
          <w:sz w:val="24"/>
          <w:szCs w:val="24"/>
        </w:rPr>
        <w:footnoteRef/>
      </w:r>
      <w:r w:rsidRPr="002041EA">
        <w:rPr>
          <w:rFonts w:ascii="Times New Roman" w:hAnsi="Times New Roman" w:cs="Times New Roman"/>
          <w:sz w:val="24"/>
          <w:szCs w:val="24"/>
        </w:rPr>
        <w:t xml:space="preserve"> </w:t>
      </w:r>
      <w:r w:rsidR="00256F7B">
        <w:rPr>
          <w:rFonts w:ascii="Times New Roman" w:hAnsi="Times New Roman" w:cs="Times New Roman"/>
          <w:sz w:val="24"/>
          <w:szCs w:val="24"/>
        </w:rPr>
        <w:t>W</w:t>
      </w:r>
      <w:r w:rsidRPr="002041EA">
        <w:rPr>
          <w:rFonts w:ascii="Times New Roman" w:hAnsi="Times New Roman" w:cs="Times New Roman"/>
          <w:sz w:val="24"/>
          <w:szCs w:val="24"/>
        </w:rPr>
        <w:t xml:space="preserve">e refer to the transcripts </w:t>
      </w:r>
      <w:r>
        <w:rPr>
          <w:rFonts w:ascii="Times New Roman" w:hAnsi="Times New Roman" w:cs="Times New Roman"/>
          <w:sz w:val="24"/>
          <w:szCs w:val="24"/>
        </w:rPr>
        <w:t>from</w:t>
      </w:r>
      <w:r w:rsidRPr="002041EA">
        <w:rPr>
          <w:rFonts w:ascii="Times New Roman" w:hAnsi="Times New Roman" w:cs="Times New Roman"/>
          <w:sz w:val="24"/>
          <w:szCs w:val="24"/>
        </w:rPr>
        <w:t xml:space="preserve"> those proceedings as December 13, 2024, (Tr. I), December 16, 2024, (Tr.</w:t>
      </w:r>
      <w:r w:rsidR="00256F7B">
        <w:rPr>
          <w:rFonts w:ascii="Times New Roman" w:hAnsi="Times New Roman" w:cs="Times New Roman"/>
          <w:sz w:val="24"/>
          <w:szCs w:val="24"/>
        </w:rPr>
        <w:t xml:space="preserve"> </w:t>
      </w:r>
      <w:r w:rsidRPr="002041EA">
        <w:rPr>
          <w:rFonts w:ascii="Times New Roman" w:hAnsi="Times New Roman" w:cs="Times New Roman"/>
          <w:sz w:val="24"/>
          <w:szCs w:val="24"/>
        </w:rPr>
        <w:t>II), and January 13, 2025, (Tr.</w:t>
      </w:r>
      <w:r w:rsidR="00256F7B">
        <w:rPr>
          <w:rFonts w:ascii="Times New Roman" w:hAnsi="Times New Roman" w:cs="Times New Roman"/>
          <w:sz w:val="24"/>
          <w:szCs w:val="24"/>
        </w:rPr>
        <w:t xml:space="preserve"> </w:t>
      </w:r>
      <w:r w:rsidRPr="002041EA">
        <w:rPr>
          <w:rFonts w:ascii="Times New Roman" w:hAnsi="Times New Roman" w:cs="Times New Roman"/>
          <w:sz w:val="24"/>
          <w:szCs w:val="24"/>
        </w:rPr>
        <w:t xml:space="preserve">III).  </w:t>
      </w:r>
    </w:p>
  </w:footnote>
  <w:footnote w:id="6">
    <w:p w14:paraId="1AC45870" w14:textId="59728617" w:rsidR="003B1D6B" w:rsidRPr="00A87C5E" w:rsidRDefault="003B1D6B">
      <w:pPr>
        <w:pStyle w:val="FootnoteText"/>
        <w:rPr>
          <w:rFonts w:ascii="Times New Roman" w:hAnsi="Times New Roman" w:cs="Times New Roman"/>
          <w:sz w:val="24"/>
          <w:szCs w:val="24"/>
        </w:rPr>
      </w:pPr>
      <w:r w:rsidRPr="00A87C5E">
        <w:rPr>
          <w:rStyle w:val="FootnoteReference"/>
          <w:rFonts w:ascii="Times New Roman" w:hAnsi="Times New Roman" w:cs="Times New Roman"/>
          <w:sz w:val="24"/>
          <w:szCs w:val="24"/>
        </w:rPr>
        <w:footnoteRef/>
      </w:r>
      <w:r w:rsidRPr="00A87C5E">
        <w:rPr>
          <w:rFonts w:ascii="Times New Roman" w:hAnsi="Times New Roman" w:cs="Times New Roman"/>
          <w:sz w:val="24"/>
          <w:szCs w:val="24"/>
        </w:rPr>
        <w:t xml:space="preserve"> </w:t>
      </w:r>
      <w:r w:rsidR="00C828C4" w:rsidRPr="00A87C5E">
        <w:rPr>
          <w:rFonts w:ascii="Times New Roman" w:hAnsi="Times New Roman" w:cs="Times New Roman"/>
          <w:sz w:val="24"/>
          <w:szCs w:val="24"/>
        </w:rPr>
        <w:t>At the hearing, much was made of the fact that the employee and his “wife” are not married and that she could not legally recover for loss of consortium however, she is the mother of the employee’s two children</w:t>
      </w:r>
      <w:r w:rsidR="006124C5" w:rsidRPr="00A87C5E">
        <w:rPr>
          <w:rFonts w:ascii="Times New Roman" w:hAnsi="Times New Roman" w:cs="Times New Roman"/>
          <w:sz w:val="24"/>
          <w:szCs w:val="24"/>
        </w:rPr>
        <w:t>,</w:t>
      </w:r>
      <w:r w:rsidR="00C828C4" w:rsidRPr="00A87C5E">
        <w:rPr>
          <w:rFonts w:ascii="Times New Roman" w:hAnsi="Times New Roman" w:cs="Times New Roman"/>
          <w:sz w:val="24"/>
          <w:szCs w:val="24"/>
        </w:rPr>
        <w:t xml:space="preserve"> aged at the time of the hearing, 5 and 2 respectively, and they all live together. </w:t>
      </w:r>
      <w:r w:rsidR="00A7715C">
        <w:rPr>
          <w:rFonts w:ascii="Times New Roman" w:hAnsi="Times New Roman" w:cs="Times New Roman"/>
          <w:sz w:val="24"/>
          <w:szCs w:val="24"/>
        </w:rPr>
        <w:t>(</w:t>
      </w:r>
      <w:r w:rsidR="00C828C4" w:rsidRPr="00A87C5E">
        <w:rPr>
          <w:rFonts w:ascii="Times New Roman" w:hAnsi="Times New Roman" w:cs="Times New Roman"/>
          <w:sz w:val="24"/>
          <w:szCs w:val="24"/>
        </w:rPr>
        <w:t>Tr.</w:t>
      </w:r>
      <w:r w:rsidR="001B6D03">
        <w:rPr>
          <w:rFonts w:ascii="Times New Roman" w:hAnsi="Times New Roman" w:cs="Times New Roman"/>
          <w:sz w:val="24"/>
          <w:szCs w:val="24"/>
        </w:rPr>
        <w:t xml:space="preserve"> </w:t>
      </w:r>
      <w:r w:rsidR="00D66C10">
        <w:rPr>
          <w:rFonts w:ascii="Times New Roman" w:hAnsi="Times New Roman" w:cs="Times New Roman"/>
          <w:sz w:val="24"/>
          <w:szCs w:val="24"/>
        </w:rPr>
        <w:t>I</w:t>
      </w:r>
      <w:r w:rsidR="0089601B">
        <w:rPr>
          <w:rFonts w:ascii="Times New Roman" w:hAnsi="Times New Roman" w:cs="Times New Roman"/>
          <w:sz w:val="24"/>
          <w:szCs w:val="24"/>
        </w:rPr>
        <w:t xml:space="preserve"> </w:t>
      </w:r>
      <w:r w:rsidR="00073EFA">
        <w:rPr>
          <w:rFonts w:ascii="Times New Roman" w:hAnsi="Times New Roman" w:cs="Times New Roman"/>
          <w:sz w:val="24"/>
          <w:szCs w:val="24"/>
        </w:rPr>
        <w:t>125, 145-146</w:t>
      </w:r>
      <w:r w:rsidR="004B79B0">
        <w:rPr>
          <w:rFonts w:ascii="Times New Roman" w:hAnsi="Times New Roman" w:cs="Times New Roman"/>
          <w:sz w:val="24"/>
          <w:szCs w:val="24"/>
        </w:rPr>
        <w:t>;</w:t>
      </w:r>
      <w:r w:rsidR="0089601B">
        <w:rPr>
          <w:rFonts w:ascii="Times New Roman" w:hAnsi="Times New Roman" w:cs="Times New Roman"/>
          <w:sz w:val="24"/>
          <w:szCs w:val="24"/>
        </w:rPr>
        <w:t xml:space="preserve"> Tr.</w:t>
      </w:r>
      <w:r w:rsidR="00631C2E">
        <w:rPr>
          <w:rFonts w:ascii="Times New Roman" w:hAnsi="Times New Roman" w:cs="Times New Roman"/>
          <w:sz w:val="24"/>
          <w:szCs w:val="24"/>
        </w:rPr>
        <w:t xml:space="preserve"> </w:t>
      </w:r>
      <w:r w:rsidR="0089601B">
        <w:rPr>
          <w:rFonts w:ascii="Times New Roman" w:hAnsi="Times New Roman" w:cs="Times New Roman"/>
          <w:sz w:val="24"/>
          <w:szCs w:val="24"/>
        </w:rPr>
        <w:t>II 26-28</w:t>
      </w:r>
      <w:r w:rsidR="008D4A22">
        <w:rPr>
          <w:rFonts w:ascii="Times New Roman" w:hAnsi="Times New Roman" w:cs="Times New Roman"/>
          <w:sz w:val="24"/>
          <w:szCs w:val="24"/>
        </w:rPr>
        <w:t>, 34</w:t>
      </w:r>
      <w:r w:rsidR="00F87E42">
        <w:rPr>
          <w:rFonts w:ascii="Times New Roman" w:hAnsi="Times New Roman" w:cs="Times New Roman"/>
          <w:sz w:val="24"/>
          <w:szCs w:val="24"/>
        </w:rPr>
        <w:t>, 45</w:t>
      </w:r>
      <w:r w:rsidR="00667680">
        <w:rPr>
          <w:rFonts w:ascii="Times New Roman" w:hAnsi="Times New Roman" w:cs="Times New Roman"/>
          <w:sz w:val="24"/>
          <w:szCs w:val="24"/>
        </w:rPr>
        <w:t>, 52</w:t>
      </w:r>
      <w:r w:rsidR="00C828C4" w:rsidRPr="00A87C5E">
        <w:rPr>
          <w:rFonts w:ascii="Times New Roman" w:hAnsi="Times New Roman" w:cs="Times New Roman"/>
          <w:sz w:val="24"/>
          <w:szCs w:val="24"/>
        </w:rPr>
        <w:t>.</w:t>
      </w:r>
      <w:r w:rsidR="00A7715C">
        <w:rPr>
          <w:rFonts w:ascii="Times New Roman" w:hAnsi="Times New Roman" w:cs="Times New Roman"/>
          <w:sz w:val="24"/>
          <w:szCs w:val="24"/>
        </w:rPr>
        <w:t>)</w:t>
      </w:r>
      <w:r w:rsidR="00C828C4" w:rsidRPr="00A87C5E">
        <w:rPr>
          <w:rFonts w:ascii="Times New Roman" w:hAnsi="Times New Roman" w:cs="Times New Roman"/>
          <w:sz w:val="24"/>
          <w:szCs w:val="24"/>
        </w:rPr>
        <w:t xml:space="preserve">  </w:t>
      </w:r>
    </w:p>
  </w:footnote>
  <w:footnote w:id="7">
    <w:p w14:paraId="18C4B3F1" w14:textId="3F8CB8A4" w:rsidR="00CF272B" w:rsidRPr="000B4C65" w:rsidRDefault="00CF272B" w:rsidP="000B4C65">
      <w:pPr>
        <w:spacing w:after="0" w:line="240" w:lineRule="auto"/>
        <w:rPr>
          <w:rFonts w:ascii="Times New Roman" w:hAnsi="Times New Roman" w:cs="Times New Roman"/>
          <w:sz w:val="24"/>
          <w:szCs w:val="24"/>
        </w:rPr>
      </w:pPr>
      <w:r w:rsidRPr="000B4C65">
        <w:rPr>
          <w:rStyle w:val="FootnoteReference"/>
          <w:rFonts w:ascii="Times New Roman" w:hAnsi="Times New Roman" w:cs="Times New Roman"/>
          <w:sz w:val="24"/>
          <w:szCs w:val="24"/>
        </w:rPr>
        <w:footnoteRef/>
      </w:r>
      <w:r w:rsidRPr="000B4C65">
        <w:rPr>
          <w:rFonts w:ascii="Times New Roman" w:hAnsi="Times New Roman" w:cs="Times New Roman"/>
          <w:sz w:val="24"/>
          <w:szCs w:val="24"/>
        </w:rPr>
        <w:t xml:space="preserve"> Although Starr notes no Section 15 petition was filed, the matter was pending at the Superior Court, which </w:t>
      </w:r>
      <w:r w:rsidR="00DD17B6">
        <w:rPr>
          <w:rFonts w:ascii="Times New Roman" w:hAnsi="Times New Roman" w:cs="Times New Roman"/>
          <w:sz w:val="24"/>
          <w:szCs w:val="24"/>
        </w:rPr>
        <w:t>also has</w:t>
      </w:r>
      <w:r w:rsidRPr="000B4C65">
        <w:rPr>
          <w:rFonts w:ascii="Times New Roman" w:hAnsi="Times New Roman" w:cs="Times New Roman"/>
          <w:sz w:val="24"/>
          <w:szCs w:val="24"/>
        </w:rPr>
        <w:t xml:space="preserve"> jurisdiction over the approval of such matters, G.L. c 152, § 15, and there was no evidence as to whether the Superior Court approved the settlement</w:t>
      </w:r>
      <w:r w:rsidR="00635E48">
        <w:rPr>
          <w:rFonts w:ascii="Times New Roman" w:hAnsi="Times New Roman" w:cs="Times New Roman"/>
          <w:sz w:val="24"/>
          <w:szCs w:val="24"/>
        </w:rPr>
        <w:t xml:space="preserve">. We also note that no workers’ compensation benefits had been paid by any entity at the time of the settlement, so there was no actual workers’ compensation lien at that point. </w:t>
      </w:r>
    </w:p>
    <w:p w14:paraId="174F5C53" w14:textId="4D37F087" w:rsidR="00CF272B" w:rsidRDefault="00CF272B">
      <w:pPr>
        <w:pStyle w:val="FootnoteText"/>
      </w:pPr>
    </w:p>
  </w:footnote>
  <w:footnote w:id="8">
    <w:p w14:paraId="5C7E2A65" w14:textId="436E2DA8" w:rsidR="00D54CB6" w:rsidRPr="005F1BBB" w:rsidRDefault="00D54CB6">
      <w:pPr>
        <w:pStyle w:val="FootnoteText"/>
        <w:rPr>
          <w:sz w:val="24"/>
          <w:szCs w:val="24"/>
        </w:rPr>
      </w:pPr>
      <w:r w:rsidRPr="005F1BBB">
        <w:rPr>
          <w:rStyle w:val="FootnoteReference"/>
          <w:sz w:val="24"/>
          <w:szCs w:val="24"/>
        </w:rPr>
        <w:footnoteRef/>
      </w:r>
      <w:r w:rsidRPr="005F1BBB">
        <w:rPr>
          <w:sz w:val="24"/>
          <w:szCs w:val="24"/>
        </w:rPr>
        <w:t xml:space="preserve"> </w:t>
      </w:r>
      <w:r w:rsidRPr="005F1BBB">
        <w:rPr>
          <w:rFonts w:ascii="Times New Roman" w:hAnsi="Times New Roman" w:cs="Times New Roman"/>
          <w:sz w:val="24"/>
          <w:szCs w:val="24"/>
        </w:rPr>
        <w:t>Moreover, we observe that there was no evidence presented to the judge that would even allow him to determine</w:t>
      </w:r>
      <w:r w:rsidR="00C62CD7">
        <w:rPr>
          <w:rFonts w:ascii="Times New Roman" w:hAnsi="Times New Roman" w:cs="Times New Roman"/>
          <w:sz w:val="24"/>
          <w:szCs w:val="24"/>
        </w:rPr>
        <w:t>,</w:t>
      </w:r>
      <w:r w:rsidRPr="005F1BBB">
        <w:rPr>
          <w:rFonts w:ascii="Times New Roman" w:hAnsi="Times New Roman" w:cs="Times New Roman"/>
          <w:sz w:val="24"/>
          <w:szCs w:val="24"/>
        </w:rPr>
        <w:t xml:space="preserve"> </w:t>
      </w:r>
      <w:r w:rsidR="00CE2EBD">
        <w:rPr>
          <w:rFonts w:ascii="Times New Roman" w:hAnsi="Times New Roman" w:cs="Times New Roman"/>
          <w:sz w:val="24"/>
          <w:szCs w:val="24"/>
        </w:rPr>
        <w:t>as a threshold matter, whether h</w:t>
      </w:r>
      <w:r w:rsidRPr="005F1BBB">
        <w:rPr>
          <w:rFonts w:ascii="Times New Roman" w:hAnsi="Times New Roman" w:cs="Times New Roman"/>
          <w:sz w:val="24"/>
          <w:szCs w:val="24"/>
        </w:rPr>
        <w:t>is order would indeed result in a double recovery</w:t>
      </w:r>
      <w:r w:rsidR="00CE2EBD">
        <w:rPr>
          <w:rFonts w:ascii="Times New Roman" w:hAnsi="Times New Roman" w:cs="Times New Roman"/>
          <w:sz w:val="24"/>
          <w:szCs w:val="24"/>
        </w:rPr>
        <w:t xml:space="preserve"> for the employee</w:t>
      </w:r>
      <w:r w:rsidRPr="005F1BBB">
        <w:rPr>
          <w:rFonts w:ascii="Times New Roman" w:hAnsi="Times New Roman" w:cs="Times New Roman"/>
          <w:sz w:val="24"/>
          <w:szCs w:val="24"/>
        </w:rPr>
        <w:t xml:space="preserve">. Starr argues that the “weeds” of Section 15 need not be addressed, </w:t>
      </w:r>
      <w:r w:rsidR="004B60F8">
        <w:rPr>
          <w:rFonts w:ascii="Times New Roman" w:hAnsi="Times New Roman" w:cs="Times New Roman"/>
          <w:sz w:val="24"/>
          <w:szCs w:val="24"/>
        </w:rPr>
        <w:t xml:space="preserve">(Ins. br. 28.), </w:t>
      </w:r>
      <w:r w:rsidR="00C6184A">
        <w:rPr>
          <w:rFonts w:ascii="Times New Roman" w:hAnsi="Times New Roman" w:cs="Times New Roman"/>
          <w:sz w:val="24"/>
          <w:szCs w:val="24"/>
        </w:rPr>
        <w:t xml:space="preserve">but </w:t>
      </w:r>
      <w:r w:rsidRPr="005F1BBB">
        <w:rPr>
          <w:rFonts w:ascii="Times New Roman" w:hAnsi="Times New Roman" w:cs="Times New Roman"/>
          <w:sz w:val="24"/>
          <w:szCs w:val="24"/>
        </w:rPr>
        <w:t xml:space="preserve">it is precisely the “weeds” that would determine </w:t>
      </w:r>
      <w:r w:rsidR="000C39A2">
        <w:rPr>
          <w:rFonts w:ascii="Times New Roman" w:hAnsi="Times New Roman" w:cs="Times New Roman"/>
          <w:sz w:val="24"/>
          <w:szCs w:val="24"/>
        </w:rPr>
        <w:t>the</w:t>
      </w:r>
      <w:r w:rsidRPr="005F1BBB">
        <w:rPr>
          <w:rFonts w:ascii="Times New Roman" w:hAnsi="Times New Roman" w:cs="Times New Roman"/>
          <w:sz w:val="24"/>
          <w:szCs w:val="24"/>
        </w:rPr>
        <w:t xml:space="preserve"> amount</w:t>
      </w:r>
      <w:r w:rsidR="00C71079">
        <w:rPr>
          <w:rFonts w:ascii="Times New Roman" w:hAnsi="Times New Roman" w:cs="Times New Roman"/>
          <w:sz w:val="24"/>
          <w:szCs w:val="24"/>
        </w:rPr>
        <w:t xml:space="preserve"> to be offset</w:t>
      </w:r>
      <w:r w:rsidR="009A6138">
        <w:rPr>
          <w:rFonts w:ascii="Times New Roman" w:hAnsi="Times New Roman" w:cs="Times New Roman"/>
          <w:sz w:val="24"/>
          <w:szCs w:val="24"/>
        </w:rPr>
        <w:t>, if any</w:t>
      </w:r>
      <w:r w:rsidRPr="005F1BBB">
        <w:rPr>
          <w:rFonts w:ascii="Times New Roman" w:hAnsi="Times New Roman" w:cs="Times New Roman"/>
          <w:sz w:val="24"/>
          <w:szCs w:val="24"/>
        </w:rPr>
        <w:t xml:space="preserve">. </w:t>
      </w:r>
      <w:r w:rsidR="00BA4962" w:rsidRPr="00D61300">
        <w:rPr>
          <w:rFonts w:ascii="Times New Roman" w:hAnsi="Times New Roman" w:cs="Times New Roman"/>
          <w:sz w:val="24"/>
          <w:szCs w:val="24"/>
        </w:rPr>
        <w:t xml:space="preserve">Specifically, </w:t>
      </w:r>
      <w:r w:rsidR="00CE4BC9">
        <w:rPr>
          <w:rFonts w:ascii="Times New Roman" w:hAnsi="Times New Roman" w:cs="Times New Roman"/>
          <w:sz w:val="24"/>
          <w:szCs w:val="24"/>
        </w:rPr>
        <w:t>the</w:t>
      </w:r>
      <w:r w:rsidR="00BA4962" w:rsidRPr="00D61300">
        <w:rPr>
          <w:rFonts w:ascii="Times New Roman" w:hAnsi="Times New Roman" w:cs="Times New Roman"/>
          <w:sz w:val="24"/>
          <w:szCs w:val="24"/>
        </w:rPr>
        <w:t xml:space="preserve"> portion of the recovery</w:t>
      </w:r>
      <w:r w:rsidR="00CE4BC9">
        <w:rPr>
          <w:rFonts w:ascii="Times New Roman" w:hAnsi="Times New Roman" w:cs="Times New Roman"/>
          <w:sz w:val="24"/>
          <w:szCs w:val="24"/>
        </w:rPr>
        <w:t xml:space="preserve"> that</w:t>
      </w:r>
      <w:r w:rsidR="00BA4962" w:rsidRPr="00D61300">
        <w:rPr>
          <w:rFonts w:ascii="Times New Roman" w:hAnsi="Times New Roman" w:cs="Times New Roman"/>
          <w:sz w:val="24"/>
          <w:szCs w:val="24"/>
        </w:rPr>
        <w:t xml:space="preserve"> represented payment for pain and suffering, </w:t>
      </w:r>
      <w:r w:rsidR="00BA4962" w:rsidRPr="00D61300">
        <w:rPr>
          <w:rFonts w:ascii="Times New Roman" w:hAnsi="Times New Roman" w:cs="Times New Roman"/>
          <w:sz w:val="24"/>
          <w:szCs w:val="24"/>
          <w:u w:val="single"/>
        </w:rPr>
        <w:t>DiCarlo</w:t>
      </w:r>
      <w:r w:rsidR="00BA4962" w:rsidRPr="00D61300">
        <w:rPr>
          <w:rFonts w:ascii="Times New Roman" w:hAnsi="Times New Roman" w:cs="Times New Roman"/>
          <w:sz w:val="24"/>
          <w:szCs w:val="24"/>
        </w:rPr>
        <w:t xml:space="preserve"> v. </w:t>
      </w:r>
      <w:r w:rsidR="00BA4962" w:rsidRPr="00D61300">
        <w:rPr>
          <w:rFonts w:ascii="Times New Roman" w:hAnsi="Times New Roman" w:cs="Times New Roman"/>
          <w:sz w:val="24"/>
          <w:szCs w:val="24"/>
          <w:u w:val="single"/>
        </w:rPr>
        <w:t>Suffolk Construction Co., Inc.</w:t>
      </w:r>
      <w:r w:rsidR="00BA4962" w:rsidRPr="00D61300">
        <w:rPr>
          <w:rFonts w:ascii="Times New Roman" w:hAnsi="Times New Roman" w:cs="Times New Roman"/>
          <w:sz w:val="24"/>
          <w:szCs w:val="24"/>
        </w:rPr>
        <w:t xml:space="preserve">, 473 Mass. 624 (2016), payment for loss of consortium, </w:t>
      </w:r>
      <w:r w:rsidR="00BA4962" w:rsidRPr="00D61300">
        <w:rPr>
          <w:rFonts w:ascii="Times New Roman" w:hAnsi="Times New Roman" w:cs="Times New Roman"/>
          <w:sz w:val="24"/>
          <w:szCs w:val="24"/>
          <w:u w:val="single"/>
        </w:rPr>
        <w:t>Eisner</w:t>
      </w:r>
      <w:r w:rsidR="00BA4962" w:rsidRPr="00D61300">
        <w:rPr>
          <w:rFonts w:ascii="Times New Roman" w:hAnsi="Times New Roman" w:cs="Times New Roman"/>
          <w:sz w:val="24"/>
          <w:szCs w:val="24"/>
        </w:rPr>
        <w:t xml:space="preserve"> v. </w:t>
      </w:r>
      <w:r w:rsidR="00BA4962" w:rsidRPr="00D61300">
        <w:rPr>
          <w:rFonts w:ascii="Times New Roman" w:hAnsi="Times New Roman" w:cs="Times New Roman"/>
          <w:sz w:val="24"/>
          <w:szCs w:val="24"/>
          <w:u w:val="single"/>
        </w:rPr>
        <w:t>Hertz Corp.</w:t>
      </w:r>
      <w:r w:rsidR="00BA4962" w:rsidRPr="00D61300">
        <w:rPr>
          <w:rFonts w:ascii="Times New Roman" w:hAnsi="Times New Roman" w:cs="Times New Roman"/>
          <w:sz w:val="24"/>
          <w:szCs w:val="24"/>
        </w:rPr>
        <w:t xml:space="preserve">, 381 Mass. 127 (1980), and </w:t>
      </w:r>
      <w:r w:rsidR="00CE4BC9">
        <w:rPr>
          <w:rFonts w:ascii="Times New Roman" w:hAnsi="Times New Roman" w:cs="Times New Roman"/>
          <w:sz w:val="24"/>
          <w:szCs w:val="24"/>
        </w:rPr>
        <w:t>t</w:t>
      </w:r>
      <w:r w:rsidR="00BA4962" w:rsidRPr="00D61300">
        <w:rPr>
          <w:rFonts w:ascii="Times New Roman" w:hAnsi="Times New Roman" w:cs="Times New Roman"/>
          <w:sz w:val="24"/>
          <w:szCs w:val="24"/>
        </w:rPr>
        <w:t xml:space="preserve">he employee’s attorney’s fees and costs in bringing the action, </w:t>
      </w:r>
      <w:r w:rsidR="00BA4962" w:rsidRPr="00D61300">
        <w:rPr>
          <w:rFonts w:ascii="Times New Roman" w:hAnsi="Times New Roman" w:cs="Times New Roman"/>
          <w:sz w:val="24"/>
          <w:szCs w:val="24"/>
          <w:u w:val="single"/>
        </w:rPr>
        <w:t xml:space="preserve">Hunter </w:t>
      </w:r>
      <w:r w:rsidR="00BA4962" w:rsidRPr="00D61300">
        <w:rPr>
          <w:rFonts w:ascii="Times New Roman" w:hAnsi="Times New Roman" w:cs="Times New Roman"/>
          <w:sz w:val="24"/>
          <w:szCs w:val="24"/>
        </w:rPr>
        <w:t xml:space="preserve">v. </w:t>
      </w:r>
      <w:r w:rsidR="00BA4962" w:rsidRPr="00D61300">
        <w:rPr>
          <w:rFonts w:ascii="Times New Roman" w:hAnsi="Times New Roman" w:cs="Times New Roman"/>
          <w:sz w:val="24"/>
          <w:szCs w:val="24"/>
          <w:u w:val="single"/>
        </w:rPr>
        <w:t>Midwest Coast Transport, Inc.</w:t>
      </w:r>
      <w:r w:rsidR="00BA4962" w:rsidRPr="00D61300">
        <w:rPr>
          <w:rFonts w:ascii="Times New Roman" w:hAnsi="Times New Roman" w:cs="Times New Roman"/>
          <w:sz w:val="24"/>
          <w:szCs w:val="24"/>
        </w:rPr>
        <w:t>, 400 Mass. 779, 783-785 (1987).</w:t>
      </w:r>
      <w:r w:rsidR="00BA4962">
        <w:rPr>
          <w:rFonts w:ascii="Times New Roman" w:hAnsi="Times New Roman" w:cs="Times New Roman"/>
          <w:b/>
          <w:bCs/>
          <w:sz w:val="24"/>
          <w:szCs w:val="24"/>
        </w:rPr>
        <w:t xml:space="preserve"> </w:t>
      </w:r>
      <w:r w:rsidRPr="005F1BBB">
        <w:rPr>
          <w:rFonts w:ascii="Times New Roman" w:hAnsi="Times New Roman" w:cs="Times New Roman"/>
          <w:sz w:val="24"/>
          <w:szCs w:val="24"/>
        </w:rPr>
        <w:t xml:space="preserve">Even if we assume, for the sake of argument, that after the </w:t>
      </w:r>
      <w:r w:rsidR="00671076">
        <w:rPr>
          <w:rFonts w:ascii="Times New Roman" w:hAnsi="Times New Roman" w:cs="Times New Roman"/>
          <w:sz w:val="24"/>
          <w:szCs w:val="24"/>
        </w:rPr>
        <w:t>consideration of these factors</w:t>
      </w:r>
      <w:r w:rsidRPr="005F1BBB">
        <w:rPr>
          <w:rFonts w:ascii="Times New Roman" w:hAnsi="Times New Roman" w:cs="Times New Roman"/>
          <w:sz w:val="24"/>
          <w:szCs w:val="24"/>
        </w:rPr>
        <w:t xml:space="preserve">, there would be some measure of damages recovered that would result in a double recovery, no evidence </w:t>
      </w:r>
      <w:r w:rsidR="006D6920">
        <w:rPr>
          <w:rFonts w:ascii="Times New Roman" w:hAnsi="Times New Roman" w:cs="Times New Roman"/>
          <w:sz w:val="24"/>
          <w:szCs w:val="24"/>
        </w:rPr>
        <w:t xml:space="preserve">was </w:t>
      </w:r>
      <w:r w:rsidRPr="005F1BBB">
        <w:rPr>
          <w:rFonts w:ascii="Times New Roman" w:hAnsi="Times New Roman" w:cs="Times New Roman"/>
          <w:sz w:val="24"/>
          <w:szCs w:val="24"/>
        </w:rPr>
        <w:t xml:space="preserve">produced that would allow the judge to make that determination.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7D40" w14:textId="5EE21A90" w:rsidR="001A3A6A" w:rsidRPr="00A26DFF" w:rsidRDefault="004D67BF">
    <w:pPr>
      <w:pStyle w:val="Header"/>
      <w:rPr>
        <w:rFonts w:ascii="Times New Roman" w:hAnsi="Times New Roman" w:cs="Times New Roman"/>
        <w:b/>
        <w:bCs/>
        <w:sz w:val="26"/>
        <w:szCs w:val="26"/>
        <w:lang w:val="pt-BR"/>
      </w:rPr>
    </w:pPr>
    <w:r w:rsidRPr="00A26DFF">
      <w:rPr>
        <w:rFonts w:ascii="Times New Roman" w:hAnsi="Times New Roman" w:cs="Times New Roman"/>
        <w:b/>
        <w:bCs/>
        <w:sz w:val="26"/>
        <w:szCs w:val="26"/>
        <w:lang w:val="pt-BR"/>
      </w:rPr>
      <w:t xml:space="preserve">Jose Almonte </w:t>
    </w:r>
    <w:r w:rsidR="001A3A6A" w:rsidRPr="00A26DFF">
      <w:rPr>
        <w:rFonts w:ascii="Times New Roman" w:hAnsi="Times New Roman" w:cs="Times New Roman"/>
        <w:b/>
        <w:bCs/>
        <w:sz w:val="26"/>
        <w:szCs w:val="26"/>
        <w:lang w:val="pt-BR"/>
      </w:rPr>
      <w:t>Ro</w:t>
    </w:r>
    <w:r w:rsidRPr="00A26DFF">
      <w:rPr>
        <w:rFonts w:ascii="Times New Roman" w:hAnsi="Times New Roman" w:cs="Times New Roman"/>
        <w:b/>
        <w:bCs/>
        <w:sz w:val="26"/>
        <w:szCs w:val="26"/>
        <w:lang w:val="pt-BR"/>
      </w:rPr>
      <w:t>driguez</w:t>
    </w:r>
  </w:p>
  <w:p w14:paraId="2558EA0D" w14:textId="79CD7541" w:rsidR="001A3A6A" w:rsidRPr="00A26DFF" w:rsidRDefault="001A3A6A">
    <w:pPr>
      <w:pStyle w:val="Header"/>
      <w:rPr>
        <w:rFonts w:ascii="Times New Roman" w:hAnsi="Times New Roman" w:cs="Times New Roman"/>
        <w:b/>
        <w:bCs/>
        <w:sz w:val="26"/>
        <w:szCs w:val="26"/>
        <w:lang w:val="pt-BR"/>
      </w:rPr>
    </w:pPr>
    <w:r w:rsidRPr="00A26DFF">
      <w:rPr>
        <w:rFonts w:ascii="Times New Roman" w:hAnsi="Times New Roman" w:cs="Times New Roman"/>
        <w:b/>
        <w:bCs/>
        <w:sz w:val="26"/>
        <w:szCs w:val="26"/>
        <w:lang w:val="pt-BR"/>
      </w:rPr>
      <w:t>Board No</w:t>
    </w:r>
    <w:r w:rsidR="004D67BF" w:rsidRPr="00A26DFF">
      <w:rPr>
        <w:rFonts w:ascii="Times New Roman" w:hAnsi="Times New Roman" w:cs="Times New Roman"/>
        <w:b/>
        <w:bCs/>
        <w:sz w:val="26"/>
        <w:szCs w:val="26"/>
        <w:lang w:val="pt-BR"/>
      </w:rPr>
      <w:t>s</w:t>
    </w:r>
    <w:r w:rsidRPr="00A26DFF">
      <w:rPr>
        <w:rFonts w:ascii="Times New Roman" w:hAnsi="Times New Roman" w:cs="Times New Roman"/>
        <w:b/>
        <w:bCs/>
        <w:sz w:val="26"/>
        <w:szCs w:val="26"/>
        <w:lang w:val="pt-BR"/>
      </w:rPr>
      <w:t>. 0</w:t>
    </w:r>
    <w:r w:rsidR="004D67BF" w:rsidRPr="00A26DFF">
      <w:rPr>
        <w:rFonts w:ascii="Times New Roman" w:hAnsi="Times New Roman" w:cs="Times New Roman"/>
        <w:b/>
        <w:bCs/>
        <w:sz w:val="26"/>
        <w:szCs w:val="26"/>
        <w:lang w:val="pt-BR"/>
      </w:rPr>
      <w:t>09500</w:t>
    </w:r>
    <w:r w:rsidRPr="00A26DFF">
      <w:rPr>
        <w:rFonts w:ascii="Times New Roman" w:hAnsi="Times New Roman" w:cs="Times New Roman"/>
        <w:b/>
        <w:bCs/>
        <w:sz w:val="26"/>
        <w:szCs w:val="26"/>
        <w:lang w:val="pt-BR"/>
      </w:rPr>
      <w:t>-</w:t>
    </w:r>
    <w:r w:rsidR="004D67BF" w:rsidRPr="00A26DFF">
      <w:rPr>
        <w:rFonts w:ascii="Times New Roman" w:hAnsi="Times New Roman" w:cs="Times New Roman"/>
        <w:b/>
        <w:bCs/>
        <w:sz w:val="26"/>
        <w:szCs w:val="26"/>
        <w:lang w:val="pt-BR"/>
      </w:rPr>
      <w:t>23</w:t>
    </w:r>
  </w:p>
  <w:p w14:paraId="6E993065" w14:textId="4B5166DF" w:rsidR="004D67BF" w:rsidRDefault="004D67BF">
    <w:pPr>
      <w:pStyle w:val="Header"/>
      <w:rPr>
        <w:rFonts w:ascii="Times New Roman" w:hAnsi="Times New Roman" w:cs="Times New Roman"/>
        <w:b/>
        <w:bCs/>
        <w:sz w:val="26"/>
        <w:szCs w:val="26"/>
      </w:rPr>
    </w:pPr>
    <w:r w:rsidRPr="00A26DFF">
      <w:rPr>
        <w:rFonts w:ascii="Times New Roman" w:hAnsi="Times New Roman" w:cs="Times New Roman"/>
        <w:b/>
        <w:bCs/>
        <w:sz w:val="26"/>
        <w:szCs w:val="26"/>
        <w:lang w:val="pt-BR"/>
      </w:rPr>
      <w:t xml:space="preserve">                    </w:t>
    </w:r>
    <w:r>
      <w:rPr>
        <w:rFonts w:ascii="Times New Roman" w:hAnsi="Times New Roman" w:cs="Times New Roman"/>
        <w:b/>
        <w:bCs/>
        <w:sz w:val="26"/>
        <w:szCs w:val="26"/>
      </w:rPr>
      <w:t>013305-23</w:t>
    </w:r>
    <w:r>
      <w:rPr>
        <w:rFonts w:ascii="Times New Roman" w:hAnsi="Times New Roman" w:cs="Times New Roman"/>
        <w:b/>
        <w:bCs/>
        <w:sz w:val="26"/>
        <w:szCs w:val="26"/>
      </w:rPr>
      <w:tab/>
    </w:r>
  </w:p>
  <w:p w14:paraId="5F17BA7B" w14:textId="77777777" w:rsidR="001A3A6A" w:rsidRDefault="001A3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62E7"/>
    <w:multiLevelType w:val="hybridMultilevel"/>
    <w:tmpl w:val="E1ECBF68"/>
    <w:lvl w:ilvl="0" w:tplc="5E50A2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47409AA"/>
    <w:multiLevelType w:val="hybridMultilevel"/>
    <w:tmpl w:val="C0668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188980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766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6A"/>
    <w:rsid w:val="00000BB0"/>
    <w:rsid w:val="00004EFA"/>
    <w:rsid w:val="00013272"/>
    <w:rsid w:val="0005437E"/>
    <w:rsid w:val="00060AED"/>
    <w:rsid w:val="000655CF"/>
    <w:rsid w:val="00066D3D"/>
    <w:rsid w:val="00073B67"/>
    <w:rsid w:val="00073EFA"/>
    <w:rsid w:val="00082FD4"/>
    <w:rsid w:val="00084408"/>
    <w:rsid w:val="000A3E37"/>
    <w:rsid w:val="000B4C65"/>
    <w:rsid w:val="000B5C07"/>
    <w:rsid w:val="000B6A5B"/>
    <w:rsid w:val="000C39A2"/>
    <w:rsid w:val="000D7D92"/>
    <w:rsid w:val="000E1CFA"/>
    <w:rsid w:val="000E3D29"/>
    <w:rsid w:val="000E7621"/>
    <w:rsid w:val="000F1BD5"/>
    <w:rsid w:val="000F49D4"/>
    <w:rsid w:val="001175F7"/>
    <w:rsid w:val="00122601"/>
    <w:rsid w:val="00141BB8"/>
    <w:rsid w:val="00144C68"/>
    <w:rsid w:val="00155294"/>
    <w:rsid w:val="001562D5"/>
    <w:rsid w:val="00156DB4"/>
    <w:rsid w:val="001645EC"/>
    <w:rsid w:val="0017150F"/>
    <w:rsid w:val="00175D70"/>
    <w:rsid w:val="00176B78"/>
    <w:rsid w:val="00176B79"/>
    <w:rsid w:val="00194B8C"/>
    <w:rsid w:val="001A3A6A"/>
    <w:rsid w:val="001B1F2C"/>
    <w:rsid w:val="001B55DF"/>
    <w:rsid w:val="001B67F0"/>
    <w:rsid w:val="001B6D03"/>
    <w:rsid w:val="001C76B5"/>
    <w:rsid w:val="001E641F"/>
    <w:rsid w:val="001F3739"/>
    <w:rsid w:val="001F4DDA"/>
    <w:rsid w:val="001F7ED1"/>
    <w:rsid w:val="002041EA"/>
    <w:rsid w:val="00205431"/>
    <w:rsid w:val="002115F1"/>
    <w:rsid w:val="0021799B"/>
    <w:rsid w:val="002209CA"/>
    <w:rsid w:val="00224CCB"/>
    <w:rsid w:val="0022621F"/>
    <w:rsid w:val="0023305C"/>
    <w:rsid w:val="00235731"/>
    <w:rsid w:val="00235EA0"/>
    <w:rsid w:val="00236422"/>
    <w:rsid w:val="00244DC1"/>
    <w:rsid w:val="0024580D"/>
    <w:rsid w:val="00254BA3"/>
    <w:rsid w:val="00256F7B"/>
    <w:rsid w:val="00265AC1"/>
    <w:rsid w:val="00270209"/>
    <w:rsid w:val="00294E58"/>
    <w:rsid w:val="002959CF"/>
    <w:rsid w:val="002B428F"/>
    <w:rsid w:val="002C111A"/>
    <w:rsid w:val="002C309A"/>
    <w:rsid w:val="002D6005"/>
    <w:rsid w:val="002D789E"/>
    <w:rsid w:val="00302260"/>
    <w:rsid w:val="003117FD"/>
    <w:rsid w:val="00316A2A"/>
    <w:rsid w:val="0032219B"/>
    <w:rsid w:val="003247B6"/>
    <w:rsid w:val="00327297"/>
    <w:rsid w:val="00330DAD"/>
    <w:rsid w:val="00337CC7"/>
    <w:rsid w:val="00341807"/>
    <w:rsid w:val="00343F07"/>
    <w:rsid w:val="0035071C"/>
    <w:rsid w:val="00370845"/>
    <w:rsid w:val="00371900"/>
    <w:rsid w:val="00375CA6"/>
    <w:rsid w:val="00384DC7"/>
    <w:rsid w:val="00390B61"/>
    <w:rsid w:val="003910D9"/>
    <w:rsid w:val="003A5360"/>
    <w:rsid w:val="003B1D6B"/>
    <w:rsid w:val="003B5F32"/>
    <w:rsid w:val="003C0590"/>
    <w:rsid w:val="003C6097"/>
    <w:rsid w:val="003D0ED1"/>
    <w:rsid w:val="003E12E1"/>
    <w:rsid w:val="003F442A"/>
    <w:rsid w:val="00443CB5"/>
    <w:rsid w:val="00450209"/>
    <w:rsid w:val="00457298"/>
    <w:rsid w:val="00466137"/>
    <w:rsid w:val="00472D6C"/>
    <w:rsid w:val="00475566"/>
    <w:rsid w:val="00475F5F"/>
    <w:rsid w:val="0047661F"/>
    <w:rsid w:val="004903DB"/>
    <w:rsid w:val="004927AD"/>
    <w:rsid w:val="00492DD6"/>
    <w:rsid w:val="00492F1B"/>
    <w:rsid w:val="0049546C"/>
    <w:rsid w:val="004A10B8"/>
    <w:rsid w:val="004A49B0"/>
    <w:rsid w:val="004A4AB6"/>
    <w:rsid w:val="004A4C00"/>
    <w:rsid w:val="004B4065"/>
    <w:rsid w:val="004B60F8"/>
    <w:rsid w:val="004B6B9F"/>
    <w:rsid w:val="004B79B0"/>
    <w:rsid w:val="004C65FC"/>
    <w:rsid w:val="004C74B2"/>
    <w:rsid w:val="004C7BD4"/>
    <w:rsid w:val="004D1AFA"/>
    <w:rsid w:val="004D26DE"/>
    <w:rsid w:val="004D2BD6"/>
    <w:rsid w:val="004D3E8A"/>
    <w:rsid w:val="004D67BF"/>
    <w:rsid w:val="004E6377"/>
    <w:rsid w:val="004E735F"/>
    <w:rsid w:val="004E7464"/>
    <w:rsid w:val="004F297B"/>
    <w:rsid w:val="00501A07"/>
    <w:rsid w:val="0050695C"/>
    <w:rsid w:val="0051438E"/>
    <w:rsid w:val="00517A9D"/>
    <w:rsid w:val="00527117"/>
    <w:rsid w:val="00527B9B"/>
    <w:rsid w:val="0053230A"/>
    <w:rsid w:val="00535AB5"/>
    <w:rsid w:val="00540E9B"/>
    <w:rsid w:val="00547B3A"/>
    <w:rsid w:val="00553C79"/>
    <w:rsid w:val="00561205"/>
    <w:rsid w:val="00576066"/>
    <w:rsid w:val="005A0541"/>
    <w:rsid w:val="005B0CEB"/>
    <w:rsid w:val="005D0D2B"/>
    <w:rsid w:val="005D1EC3"/>
    <w:rsid w:val="005E3DE3"/>
    <w:rsid w:val="005E6B25"/>
    <w:rsid w:val="005F1BBB"/>
    <w:rsid w:val="00600440"/>
    <w:rsid w:val="00601F2E"/>
    <w:rsid w:val="0060605A"/>
    <w:rsid w:val="00610311"/>
    <w:rsid w:val="006124C5"/>
    <w:rsid w:val="00615E7A"/>
    <w:rsid w:val="00621586"/>
    <w:rsid w:val="00630739"/>
    <w:rsid w:val="00631C2E"/>
    <w:rsid w:val="00635E48"/>
    <w:rsid w:val="00643933"/>
    <w:rsid w:val="006501CC"/>
    <w:rsid w:val="00652958"/>
    <w:rsid w:val="006542F3"/>
    <w:rsid w:val="00667680"/>
    <w:rsid w:val="00671076"/>
    <w:rsid w:val="00676733"/>
    <w:rsid w:val="0068193B"/>
    <w:rsid w:val="006868CF"/>
    <w:rsid w:val="0069640F"/>
    <w:rsid w:val="00696C04"/>
    <w:rsid w:val="006975C0"/>
    <w:rsid w:val="006A0631"/>
    <w:rsid w:val="006A7A39"/>
    <w:rsid w:val="006A7CA2"/>
    <w:rsid w:val="006B0B34"/>
    <w:rsid w:val="006C0983"/>
    <w:rsid w:val="006C2890"/>
    <w:rsid w:val="006C3CFE"/>
    <w:rsid w:val="006C5F8C"/>
    <w:rsid w:val="006D6920"/>
    <w:rsid w:val="006E70A7"/>
    <w:rsid w:val="006F5F73"/>
    <w:rsid w:val="006F79EB"/>
    <w:rsid w:val="007000F5"/>
    <w:rsid w:val="00711059"/>
    <w:rsid w:val="00712C80"/>
    <w:rsid w:val="00714BB6"/>
    <w:rsid w:val="00720D4B"/>
    <w:rsid w:val="00733C9A"/>
    <w:rsid w:val="00744130"/>
    <w:rsid w:val="007619EB"/>
    <w:rsid w:val="00763BD0"/>
    <w:rsid w:val="00766B0F"/>
    <w:rsid w:val="007754B3"/>
    <w:rsid w:val="0077644C"/>
    <w:rsid w:val="007805B5"/>
    <w:rsid w:val="007863ED"/>
    <w:rsid w:val="00793BE4"/>
    <w:rsid w:val="00795FE6"/>
    <w:rsid w:val="007A45B2"/>
    <w:rsid w:val="007C1134"/>
    <w:rsid w:val="007C6888"/>
    <w:rsid w:val="007D0199"/>
    <w:rsid w:val="007D44BC"/>
    <w:rsid w:val="00802722"/>
    <w:rsid w:val="00806818"/>
    <w:rsid w:val="00820F4F"/>
    <w:rsid w:val="00832DF1"/>
    <w:rsid w:val="0084020A"/>
    <w:rsid w:val="00844F41"/>
    <w:rsid w:val="00854B7F"/>
    <w:rsid w:val="00855D11"/>
    <w:rsid w:val="00872AC9"/>
    <w:rsid w:val="008818A9"/>
    <w:rsid w:val="00884EFD"/>
    <w:rsid w:val="00890202"/>
    <w:rsid w:val="0089601B"/>
    <w:rsid w:val="008962E1"/>
    <w:rsid w:val="008A306A"/>
    <w:rsid w:val="008A343D"/>
    <w:rsid w:val="008A4591"/>
    <w:rsid w:val="008B466A"/>
    <w:rsid w:val="008B7025"/>
    <w:rsid w:val="008C44B4"/>
    <w:rsid w:val="008D07AA"/>
    <w:rsid w:val="008D4A22"/>
    <w:rsid w:val="008D4AFB"/>
    <w:rsid w:val="008E2BA8"/>
    <w:rsid w:val="008E7B1B"/>
    <w:rsid w:val="009040E4"/>
    <w:rsid w:val="00915888"/>
    <w:rsid w:val="00917343"/>
    <w:rsid w:val="009213D0"/>
    <w:rsid w:val="009217EE"/>
    <w:rsid w:val="00921AD7"/>
    <w:rsid w:val="0093226C"/>
    <w:rsid w:val="00941E14"/>
    <w:rsid w:val="00942C9C"/>
    <w:rsid w:val="00943BBB"/>
    <w:rsid w:val="00954CB2"/>
    <w:rsid w:val="009645A7"/>
    <w:rsid w:val="00967E8F"/>
    <w:rsid w:val="009746FB"/>
    <w:rsid w:val="009A45B2"/>
    <w:rsid w:val="009A6138"/>
    <w:rsid w:val="009A7973"/>
    <w:rsid w:val="009D5178"/>
    <w:rsid w:val="009E2351"/>
    <w:rsid w:val="009E641D"/>
    <w:rsid w:val="00A15CA8"/>
    <w:rsid w:val="00A26DFF"/>
    <w:rsid w:val="00A33220"/>
    <w:rsid w:val="00A43F18"/>
    <w:rsid w:val="00A53386"/>
    <w:rsid w:val="00A5394B"/>
    <w:rsid w:val="00A65142"/>
    <w:rsid w:val="00A71D88"/>
    <w:rsid w:val="00A7715C"/>
    <w:rsid w:val="00A77C76"/>
    <w:rsid w:val="00A872C7"/>
    <w:rsid w:val="00A87C5E"/>
    <w:rsid w:val="00AA1251"/>
    <w:rsid w:val="00AA3A78"/>
    <w:rsid w:val="00AA4325"/>
    <w:rsid w:val="00AA7036"/>
    <w:rsid w:val="00AC1C73"/>
    <w:rsid w:val="00AC1F80"/>
    <w:rsid w:val="00AD021C"/>
    <w:rsid w:val="00AD05BE"/>
    <w:rsid w:val="00AD49A1"/>
    <w:rsid w:val="00AD5B33"/>
    <w:rsid w:val="00AD7D1F"/>
    <w:rsid w:val="00AE0626"/>
    <w:rsid w:val="00B052E2"/>
    <w:rsid w:val="00B175AE"/>
    <w:rsid w:val="00B30794"/>
    <w:rsid w:val="00B40AC3"/>
    <w:rsid w:val="00B616AF"/>
    <w:rsid w:val="00B63507"/>
    <w:rsid w:val="00B641E4"/>
    <w:rsid w:val="00B64821"/>
    <w:rsid w:val="00B66B8C"/>
    <w:rsid w:val="00B70380"/>
    <w:rsid w:val="00B77929"/>
    <w:rsid w:val="00B9394E"/>
    <w:rsid w:val="00B97893"/>
    <w:rsid w:val="00BA4962"/>
    <w:rsid w:val="00BC1A54"/>
    <w:rsid w:val="00BC36C0"/>
    <w:rsid w:val="00BD12ED"/>
    <w:rsid w:val="00BD1C9B"/>
    <w:rsid w:val="00BE3F54"/>
    <w:rsid w:val="00BE51F1"/>
    <w:rsid w:val="00BF5C0C"/>
    <w:rsid w:val="00BF68E2"/>
    <w:rsid w:val="00C00B24"/>
    <w:rsid w:val="00C30795"/>
    <w:rsid w:val="00C5251B"/>
    <w:rsid w:val="00C5395B"/>
    <w:rsid w:val="00C6184A"/>
    <w:rsid w:val="00C62CD7"/>
    <w:rsid w:val="00C7085C"/>
    <w:rsid w:val="00C71079"/>
    <w:rsid w:val="00C828C4"/>
    <w:rsid w:val="00C8762A"/>
    <w:rsid w:val="00C94F11"/>
    <w:rsid w:val="00C9671A"/>
    <w:rsid w:val="00CA33C1"/>
    <w:rsid w:val="00CC0063"/>
    <w:rsid w:val="00CC7587"/>
    <w:rsid w:val="00CD67A6"/>
    <w:rsid w:val="00CD68F4"/>
    <w:rsid w:val="00CE2EBD"/>
    <w:rsid w:val="00CE4BC9"/>
    <w:rsid w:val="00CF272B"/>
    <w:rsid w:val="00CF2CA9"/>
    <w:rsid w:val="00CF4EAD"/>
    <w:rsid w:val="00CF6776"/>
    <w:rsid w:val="00D035F7"/>
    <w:rsid w:val="00D03DB3"/>
    <w:rsid w:val="00D04B0B"/>
    <w:rsid w:val="00D0703C"/>
    <w:rsid w:val="00D214A9"/>
    <w:rsid w:val="00D30355"/>
    <w:rsid w:val="00D34E93"/>
    <w:rsid w:val="00D35F25"/>
    <w:rsid w:val="00D51AF1"/>
    <w:rsid w:val="00D54CB6"/>
    <w:rsid w:val="00D559BA"/>
    <w:rsid w:val="00D5649A"/>
    <w:rsid w:val="00D61300"/>
    <w:rsid w:val="00D66C10"/>
    <w:rsid w:val="00D81DDB"/>
    <w:rsid w:val="00D852AA"/>
    <w:rsid w:val="00D93257"/>
    <w:rsid w:val="00DA0F16"/>
    <w:rsid w:val="00DA64D3"/>
    <w:rsid w:val="00DC2B1F"/>
    <w:rsid w:val="00DC60D6"/>
    <w:rsid w:val="00DD05A9"/>
    <w:rsid w:val="00DD17B6"/>
    <w:rsid w:val="00DD7245"/>
    <w:rsid w:val="00DE7B91"/>
    <w:rsid w:val="00DF6C11"/>
    <w:rsid w:val="00E031A7"/>
    <w:rsid w:val="00E037B8"/>
    <w:rsid w:val="00E04EF5"/>
    <w:rsid w:val="00E05216"/>
    <w:rsid w:val="00E22A2B"/>
    <w:rsid w:val="00E26BC4"/>
    <w:rsid w:val="00E312D3"/>
    <w:rsid w:val="00E35336"/>
    <w:rsid w:val="00E35D11"/>
    <w:rsid w:val="00E40962"/>
    <w:rsid w:val="00E42B9F"/>
    <w:rsid w:val="00E4735E"/>
    <w:rsid w:val="00E84D8D"/>
    <w:rsid w:val="00EA79C1"/>
    <w:rsid w:val="00EB6CE2"/>
    <w:rsid w:val="00EC5181"/>
    <w:rsid w:val="00ED0838"/>
    <w:rsid w:val="00F114DD"/>
    <w:rsid w:val="00F1595B"/>
    <w:rsid w:val="00F20FF2"/>
    <w:rsid w:val="00F23744"/>
    <w:rsid w:val="00F37C35"/>
    <w:rsid w:val="00F45ACA"/>
    <w:rsid w:val="00F45C88"/>
    <w:rsid w:val="00F552A0"/>
    <w:rsid w:val="00F6068A"/>
    <w:rsid w:val="00F6422E"/>
    <w:rsid w:val="00F75D33"/>
    <w:rsid w:val="00F87E42"/>
    <w:rsid w:val="00F96655"/>
    <w:rsid w:val="00F97F4A"/>
    <w:rsid w:val="00F97FBE"/>
    <w:rsid w:val="00FA0210"/>
    <w:rsid w:val="00FA679A"/>
    <w:rsid w:val="00FB7D19"/>
    <w:rsid w:val="00FD2248"/>
    <w:rsid w:val="00FF47F3"/>
    <w:rsid w:val="00FF7C2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0564"/>
  <w15:chartTrackingRefBased/>
  <w15:docId w15:val="{CB6FBFC4-DF90-4CF1-974A-62FF1010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A6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A3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A6A"/>
    <w:rPr>
      <w:rFonts w:eastAsiaTheme="majorEastAsia" w:cstheme="majorBidi"/>
      <w:color w:val="272727" w:themeColor="text1" w:themeTint="D8"/>
    </w:rPr>
  </w:style>
  <w:style w:type="paragraph" w:styleId="Title">
    <w:name w:val="Title"/>
    <w:basedOn w:val="Normal"/>
    <w:next w:val="Normal"/>
    <w:link w:val="TitleChar"/>
    <w:uiPriority w:val="10"/>
    <w:qFormat/>
    <w:rsid w:val="001A3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A6A"/>
    <w:pPr>
      <w:spacing w:before="160"/>
      <w:jc w:val="center"/>
    </w:pPr>
    <w:rPr>
      <w:i/>
      <w:iCs/>
      <w:color w:val="404040" w:themeColor="text1" w:themeTint="BF"/>
    </w:rPr>
  </w:style>
  <w:style w:type="character" w:customStyle="1" w:styleId="QuoteChar">
    <w:name w:val="Quote Char"/>
    <w:basedOn w:val="DefaultParagraphFont"/>
    <w:link w:val="Quote"/>
    <w:uiPriority w:val="29"/>
    <w:rsid w:val="001A3A6A"/>
    <w:rPr>
      <w:i/>
      <w:iCs/>
      <w:color w:val="404040" w:themeColor="text1" w:themeTint="BF"/>
    </w:rPr>
  </w:style>
  <w:style w:type="paragraph" w:styleId="ListParagraph">
    <w:name w:val="List Paragraph"/>
    <w:basedOn w:val="Normal"/>
    <w:uiPriority w:val="34"/>
    <w:qFormat/>
    <w:rsid w:val="001A3A6A"/>
    <w:pPr>
      <w:ind w:left="720"/>
      <w:contextualSpacing/>
    </w:pPr>
  </w:style>
  <w:style w:type="character" w:styleId="IntenseEmphasis">
    <w:name w:val="Intense Emphasis"/>
    <w:basedOn w:val="DefaultParagraphFont"/>
    <w:uiPriority w:val="21"/>
    <w:qFormat/>
    <w:rsid w:val="001A3A6A"/>
    <w:rPr>
      <w:i/>
      <w:iCs/>
      <w:color w:val="0F4761" w:themeColor="accent1" w:themeShade="BF"/>
    </w:rPr>
  </w:style>
  <w:style w:type="paragraph" w:styleId="IntenseQuote">
    <w:name w:val="Intense Quote"/>
    <w:basedOn w:val="Normal"/>
    <w:next w:val="Normal"/>
    <w:link w:val="IntenseQuoteChar"/>
    <w:uiPriority w:val="30"/>
    <w:qFormat/>
    <w:rsid w:val="001A3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A6A"/>
    <w:rPr>
      <w:i/>
      <w:iCs/>
      <w:color w:val="0F4761" w:themeColor="accent1" w:themeShade="BF"/>
    </w:rPr>
  </w:style>
  <w:style w:type="character" w:styleId="IntenseReference">
    <w:name w:val="Intense Reference"/>
    <w:basedOn w:val="DefaultParagraphFont"/>
    <w:uiPriority w:val="32"/>
    <w:qFormat/>
    <w:rsid w:val="001A3A6A"/>
    <w:rPr>
      <w:b/>
      <w:bCs/>
      <w:smallCaps/>
      <w:color w:val="0F4761" w:themeColor="accent1" w:themeShade="BF"/>
      <w:spacing w:val="5"/>
    </w:rPr>
  </w:style>
  <w:style w:type="paragraph" w:styleId="FootnoteText">
    <w:name w:val="footnote text"/>
    <w:basedOn w:val="Normal"/>
    <w:link w:val="FootnoteTextChar"/>
    <w:uiPriority w:val="99"/>
    <w:semiHidden/>
    <w:unhideWhenUsed/>
    <w:rsid w:val="001A3A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A6A"/>
    <w:rPr>
      <w:kern w:val="0"/>
      <w:sz w:val="20"/>
      <w:szCs w:val="20"/>
      <w14:ligatures w14:val="none"/>
    </w:rPr>
  </w:style>
  <w:style w:type="paragraph" w:styleId="Header">
    <w:name w:val="header"/>
    <w:basedOn w:val="Normal"/>
    <w:link w:val="HeaderChar"/>
    <w:uiPriority w:val="99"/>
    <w:unhideWhenUsed/>
    <w:rsid w:val="001A3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A6A"/>
    <w:rPr>
      <w:kern w:val="0"/>
      <w:sz w:val="22"/>
      <w:szCs w:val="22"/>
      <w14:ligatures w14:val="none"/>
    </w:rPr>
  </w:style>
  <w:style w:type="paragraph" w:styleId="Footer">
    <w:name w:val="footer"/>
    <w:basedOn w:val="Normal"/>
    <w:link w:val="FooterChar"/>
    <w:uiPriority w:val="99"/>
    <w:unhideWhenUsed/>
    <w:rsid w:val="001A3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A6A"/>
    <w:rPr>
      <w:kern w:val="0"/>
      <w:sz w:val="22"/>
      <w:szCs w:val="22"/>
      <w14:ligatures w14:val="none"/>
    </w:rPr>
  </w:style>
  <w:style w:type="character" w:styleId="FootnoteReference">
    <w:name w:val="footnote reference"/>
    <w:basedOn w:val="DefaultParagraphFont"/>
    <w:uiPriority w:val="99"/>
    <w:semiHidden/>
    <w:unhideWhenUsed/>
    <w:rsid w:val="001A3A6A"/>
    <w:rPr>
      <w:vertAlign w:val="superscript"/>
    </w:rPr>
  </w:style>
  <w:style w:type="paragraph" w:styleId="Revision">
    <w:name w:val="Revision"/>
    <w:hidden/>
    <w:uiPriority w:val="99"/>
    <w:semiHidden/>
    <w:rsid w:val="000F1BD5"/>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2C309A"/>
    <w:rPr>
      <w:sz w:val="16"/>
      <w:szCs w:val="16"/>
    </w:rPr>
  </w:style>
  <w:style w:type="paragraph" w:styleId="CommentText">
    <w:name w:val="annotation text"/>
    <w:basedOn w:val="Normal"/>
    <w:link w:val="CommentTextChar"/>
    <w:uiPriority w:val="99"/>
    <w:unhideWhenUsed/>
    <w:rsid w:val="002C309A"/>
    <w:pPr>
      <w:spacing w:line="240" w:lineRule="auto"/>
    </w:pPr>
    <w:rPr>
      <w:sz w:val="20"/>
      <w:szCs w:val="20"/>
    </w:rPr>
  </w:style>
  <w:style w:type="character" w:customStyle="1" w:styleId="CommentTextChar">
    <w:name w:val="Comment Text Char"/>
    <w:basedOn w:val="DefaultParagraphFont"/>
    <w:link w:val="CommentText"/>
    <w:uiPriority w:val="99"/>
    <w:rsid w:val="002C309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C309A"/>
    <w:rPr>
      <w:b/>
      <w:bCs/>
    </w:rPr>
  </w:style>
  <w:style w:type="character" w:customStyle="1" w:styleId="CommentSubjectChar">
    <w:name w:val="Comment Subject Char"/>
    <w:basedOn w:val="CommentTextChar"/>
    <w:link w:val="CommentSubject"/>
    <w:uiPriority w:val="99"/>
    <w:semiHidden/>
    <w:rsid w:val="002C309A"/>
    <w:rPr>
      <w:b/>
      <w:bCs/>
      <w:kern w:val="0"/>
      <w:sz w:val="20"/>
      <w:szCs w:val="20"/>
      <w14:ligatures w14:val="none"/>
    </w:rPr>
  </w:style>
  <w:style w:type="paragraph" w:styleId="NormalWeb">
    <w:name w:val="Normal (Web)"/>
    <w:basedOn w:val="Normal"/>
    <w:uiPriority w:val="99"/>
    <w:semiHidden/>
    <w:unhideWhenUsed/>
    <w:rsid w:val="004502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4" ma:contentTypeDescription="Create a new document." ma:contentTypeScope="" ma:versionID="2c0ee5f92424c831b44bba4736057543">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09f8946a5a207f826a4986ce61d07be8"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A4F2A-CCDE-4341-8593-2BDEF3487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2DEE9-3F82-480B-86B8-45A775E19052}">
  <ds:schemaRefs>
    <ds:schemaRef ds:uri="http://schemas.microsoft.com/sharepoint/v3/contenttype/forms"/>
  </ds:schemaRefs>
</ds:datastoreItem>
</file>

<file path=customXml/itemProps3.xml><?xml version="1.0" encoding="utf-8"?>
<ds:datastoreItem xmlns:ds="http://schemas.openxmlformats.org/officeDocument/2006/customXml" ds:itemID="{975A6070-2EA1-43DC-9E56-EF5C396613DA}">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C22D760C-12C4-4F72-9C6B-A2298A02DEF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1205</Words>
  <Characters>6869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Koziol, Catherine (DIA)</dc:creator>
  <cp:keywords/>
  <dc:description/>
  <cp:lastModifiedBy>Gilgan, Lisa (DIA)</cp:lastModifiedBy>
  <cp:revision>2</cp:revision>
  <dcterms:created xsi:type="dcterms:W3CDTF">2026-01-30T16:55:00Z</dcterms:created>
  <dcterms:modified xsi:type="dcterms:W3CDTF">2026-01-30T16:55:00Z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