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785935" w:rsidRPr="00956C1E" w:rsidRDefault="00BC138A" w:rsidP="00956C1E">
      <w:pPr>
        <w:tabs>
          <w:tab w:val="left" w:pos="1440"/>
          <w:tab w:val="center" w:pos="4925"/>
        </w:tabs>
        <w:jc w:val="center"/>
        <w:rPr>
          <w:rFonts w:ascii="Times New Roman" w:hAnsi="Times New Roman" w:cs="Times New Roman"/>
          <w:sz w:val="24"/>
          <w:szCs w:val="24"/>
        </w:rPr>
      </w:pPr>
      <w:r w:rsidRPr="00C22D90">
        <w:rPr>
          <w:rFonts w:ascii="Times New Roman" w:hAnsi="Times New Roman" w:cs="Times New Roman"/>
          <w:b/>
          <w:sz w:val="28"/>
          <w:szCs w:val="28"/>
          <w:u w:val="single"/>
        </w:rPr>
        <w:t>***</w:t>
      </w:r>
      <w:r w:rsidR="00075180">
        <w:rPr>
          <w:rFonts w:ascii="Times New Roman" w:hAnsi="Times New Roman" w:cs="Times New Roman"/>
          <w:b/>
          <w:sz w:val="28"/>
          <w:szCs w:val="28"/>
          <w:u w:val="single"/>
        </w:rPr>
        <w:t>June</w:t>
      </w:r>
      <w:r w:rsidR="001045E5">
        <w:rPr>
          <w:rFonts w:ascii="Times New Roman" w:hAnsi="Times New Roman" w:cs="Times New Roman"/>
          <w:b/>
          <w:sz w:val="28"/>
          <w:szCs w:val="28"/>
          <w:u w:val="single"/>
        </w:rPr>
        <w:t xml:space="preserve"> 201</w:t>
      </w:r>
      <w:r w:rsidR="00075180">
        <w:rPr>
          <w:rFonts w:ascii="Times New Roman" w:hAnsi="Times New Roman" w:cs="Times New Roman"/>
          <w:b/>
          <w:sz w:val="28"/>
          <w:szCs w:val="28"/>
          <w:u w:val="single"/>
        </w:rPr>
        <w:t>9</w:t>
      </w:r>
      <w:r w:rsidR="00956C1E">
        <w:rPr>
          <w:rFonts w:ascii="Times New Roman" w:hAnsi="Times New Roman" w:cs="Times New Roman"/>
          <w:b/>
          <w:sz w:val="28"/>
          <w:szCs w:val="28"/>
          <w:u w:val="single"/>
        </w:rPr>
        <w:t xml:space="preserve"> </w:t>
      </w:r>
      <w:r w:rsidR="00DD66B0">
        <w:rPr>
          <w:rFonts w:ascii="Times New Roman" w:hAnsi="Times New Roman" w:cs="Times New Roman"/>
          <w:b/>
          <w:sz w:val="28"/>
          <w:szCs w:val="28"/>
          <w:u w:val="single"/>
        </w:rPr>
        <w:t xml:space="preserve">HSN Billing Reminders </w:t>
      </w:r>
      <w:r w:rsidRPr="00C22D90">
        <w:rPr>
          <w:rFonts w:ascii="Times New Roman" w:hAnsi="Times New Roman" w:cs="Times New Roman"/>
          <w:b/>
          <w:sz w:val="28"/>
          <w:szCs w:val="28"/>
          <w:u w:val="single"/>
        </w:rPr>
        <w:t>***</w:t>
      </w:r>
    </w:p>
    <w:p w:rsidR="00081BD8" w:rsidRDefault="00081BD8" w:rsidP="00081BD8">
      <w:pPr>
        <w:pStyle w:val="ListParagraph"/>
        <w:jc w:val="center"/>
        <w:rPr>
          <w:rFonts w:ascii="Times New Roman" w:hAnsi="Times New Roman" w:cs="Times New Roman"/>
          <w:b/>
          <w:sz w:val="24"/>
          <w:szCs w:val="24"/>
          <w:u w:val="single"/>
        </w:rPr>
      </w:pPr>
    </w:p>
    <w:p w:rsidR="00565611" w:rsidRDefault="00565611" w:rsidP="00081BD8">
      <w:pPr>
        <w:pStyle w:val="ListParagraph"/>
        <w:jc w:val="center"/>
        <w:rPr>
          <w:rFonts w:ascii="Times New Roman" w:hAnsi="Times New Roman" w:cs="Times New Roman"/>
          <w:b/>
          <w:sz w:val="24"/>
          <w:szCs w:val="24"/>
          <w:u w:val="single"/>
        </w:rPr>
      </w:pPr>
    </w:p>
    <w:p w:rsidR="00075180" w:rsidRDefault="00075180" w:rsidP="003F4A88">
      <w:pPr>
        <w:jc w:val="center"/>
        <w:rPr>
          <w:rFonts w:ascii="Times New Roman" w:hAnsi="Times New Roman" w:cs="Times New Roman"/>
          <w:b/>
          <w:sz w:val="24"/>
          <w:szCs w:val="24"/>
          <w:u w:val="single"/>
        </w:rPr>
      </w:pPr>
    </w:p>
    <w:p w:rsidR="00075180" w:rsidRDefault="00075180" w:rsidP="003F4A88">
      <w:pPr>
        <w:jc w:val="center"/>
        <w:rPr>
          <w:rFonts w:ascii="Times New Roman" w:hAnsi="Times New Roman" w:cs="Times New Roman"/>
          <w:b/>
          <w:sz w:val="24"/>
          <w:szCs w:val="24"/>
          <w:u w:val="single"/>
        </w:rPr>
      </w:pPr>
    </w:p>
    <w:p w:rsidR="00075180" w:rsidRPr="00075180" w:rsidRDefault="00075180" w:rsidP="00075180">
      <w:pPr>
        <w:spacing w:after="200" w:line="276" w:lineRule="auto"/>
        <w:rPr>
          <w:rFonts w:ascii="Calibri" w:eastAsia="Calibri" w:hAnsi="Calibri" w:cs="Times New Roman"/>
          <w:szCs w:val="22"/>
        </w:rPr>
      </w:pPr>
      <w:r w:rsidRPr="00075180">
        <w:rPr>
          <w:rFonts w:ascii="Calibri" w:eastAsia="Calibri" w:hAnsi="Calibri" w:cs="Times New Roman"/>
          <w:b/>
          <w:szCs w:val="22"/>
        </w:rPr>
        <w:t>HSN FY17</w:t>
      </w:r>
      <w:r w:rsidRPr="00075180">
        <w:rPr>
          <w:rFonts w:ascii="Calibri" w:eastAsia="Calibri" w:hAnsi="Calibri" w:cs="Times New Roman"/>
          <w:szCs w:val="22"/>
        </w:rPr>
        <w:t xml:space="preserve">:  </w:t>
      </w:r>
    </w:p>
    <w:p w:rsidR="00075180" w:rsidRPr="00075180" w:rsidRDefault="00075180" w:rsidP="00075180">
      <w:pPr>
        <w:spacing w:after="200" w:line="276" w:lineRule="auto"/>
        <w:rPr>
          <w:rFonts w:ascii="Calibri" w:eastAsia="Calibri" w:hAnsi="Calibri" w:cs="Times New Roman"/>
          <w:szCs w:val="22"/>
        </w:rPr>
      </w:pPr>
      <w:r w:rsidRPr="00075180">
        <w:rPr>
          <w:rFonts w:ascii="Calibri" w:eastAsia="Calibri" w:hAnsi="Calibri" w:cs="Times New Roman"/>
          <w:szCs w:val="22"/>
        </w:rPr>
        <w:t xml:space="preserve">Providers should be aware that the next HSN fiscal year closing will be for HSN FY17.  The FY17 will close at the end of September 2019.  Providers should begin to review their claims to assure ample time for corrections.  </w:t>
      </w:r>
    </w:p>
    <w:p w:rsidR="00075180" w:rsidRPr="00075180" w:rsidRDefault="00075180" w:rsidP="00075180">
      <w:pPr>
        <w:spacing w:after="200" w:line="276" w:lineRule="auto"/>
        <w:rPr>
          <w:rFonts w:ascii="Calibri" w:eastAsia="Calibri" w:hAnsi="Calibri" w:cs="Times New Roman"/>
          <w:szCs w:val="22"/>
        </w:rPr>
      </w:pPr>
    </w:p>
    <w:p w:rsidR="00075180" w:rsidRPr="00075180" w:rsidRDefault="00075180" w:rsidP="00075180">
      <w:pPr>
        <w:spacing w:after="200" w:line="276" w:lineRule="auto"/>
        <w:rPr>
          <w:rFonts w:ascii="Calibri" w:eastAsia="Calibri" w:hAnsi="Calibri" w:cs="Times New Roman"/>
          <w:b/>
          <w:szCs w:val="22"/>
        </w:rPr>
      </w:pPr>
      <w:r w:rsidRPr="00075180">
        <w:rPr>
          <w:rFonts w:ascii="Calibri" w:eastAsia="Calibri" w:hAnsi="Calibri" w:cs="Times New Roman"/>
          <w:b/>
          <w:szCs w:val="22"/>
        </w:rPr>
        <w:t>Bad Debt Applications</w:t>
      </w:r>
    </w:p>
    <w:p w:rsidR="00075180" w:rsidRPr="00075180" w:rsidRDefault="00075180" w:rsidP="00075180">
      <w:pPr>
        <w:spacing w:after="200" w:line="276" w:lineRule="auto"/>
        <w:rPr>
          <w:rFonts w:ascii="Calibri" w:eastAsia="Calibri" w:hAnsi="Calibri" w:cs="Times New Roman"/>
          <w:szCs w:val="22"/>
        </w:rPr>
      </w:pPr>
      <w:r w:rsidRPr="00075180">
        <w:rPr>
          <w:rFonts w:ascii="Calibri" w:eastAsia="Calibri" w:hAnsi="Calibri" w:cs="Times New Roman"/>
          <w:szCs w:val="22"/>
        </w:rPr>
        <w:t>Updates to the Bad Debt Application(s) will be effective as of July 1, 2019.  The changes to the application are as follows:</w:t>
      </w:r>
    </w:p>
    <w:p w:rsidR="00075180" w:rsidRPr="00075180" w:rsidRDefault="00075180" w:rsidP="00075180">
      <w:pPr>
        <w:numPr>
          <w:ilvl w:val="1"/>
          <w:numId w:val="15"/>
        </w:numPr>
        <w:spacing w:after="200" w:line="276" w:lineRule="auto"/>
        <w:rPr>
          <w:rFonts w:ascii="Calibri" w:hAnsi="Calibri" w:cs="Times New Roman"/>
          <w:szCs w:val="22"/>
        </w:rPr>
      </w:pPr>
      <w:r w:rsidRPr="00075180">
        <w:rPr>
          <w:rFonts w:ascii="Calibri" w:hAnsi="Calibri" w:cs="Times New Roman"/>
          <w:szCs w:val="22"/>
        </w:rPr>
        <w:t>MMIS ID Check</w:t>
      </w:r>
    </w:p>
    <w:p w:rsidR="00075180" w:rsidRPr="00075180" w:rsidRDefault="00075180" w:rsidP="00075180">
      <w:pPr>
        <w:numPr>
          <w:ilvl w:val="1"/>
          <w:numId w:val="15"/>
        </w:numPr>
        <w:spacing w:after="200" w:line="276" w:lineRule="auto"/>
        <w:rPr>
          <w:rFonts w:ascii="Calibri" w:hAnsi="Calibri" w:cs="Times New Roman"/>
          <w:szCs w:val="22"/>
        </w:rPr>
      </w:pPr>
      <w:r w:rsidRPr="00075180">
        <w:rPr>
          <w:rFonts w:ascii="Calibri" w:hAnsi="Calibri" w:cs="Times New Roman"/>
          <w:szCs w:val="22"/>
        </w:rPr>
        <w:t>Collection Period Application Entry Limit</w:t>
      </w:r>
    </w:p>
    <w:p w:rsidR="00075180" w:rsidRPr="00075180" w:rsidRDefault="00075180" w:rsidP="00075180">
      <w:pPr>
        <w:numPr>
          <w:ilvl w:val="1"/>
          <w:numId w:val="15"/>
        </w:numPr>
        <w:spacing w:after="200" w:line="276" w:lineRule="auto"/>
        <w:rPr>
          <w:rFonts w:ascii="Calibri" w:hAnsi="Calibri" w:cs="Times New Roman"/>
          <w:szCs w:val="22"/>
        </w:rPr>
      </w:pPr>
      <w:r w:rsidRPr="00075180">
        <w:rPr>
          <w:rFonts w:ascii="Calibri" w:hAnsi="Calibri" w:cs="Times New Roman"/>
          <w:szCs w:val="22"/>
        </w:rPr>
        <w:t xml:space="preserve">Batch Upload File to include MMIS_ID and </w:t>
      </w:r>
      <w:proofErr w:type="spellStart"/>
      <w:r w:rsidRPr="00075180">
        <w:rPr>
          <w:rFonts w:ascii="Calibri" w:hAnsi="Calibri" w:cs="Times New Roman"/>
          <w:szCs w:val="22"/>
        </w:rPr>
        <w:t>MMIS_ID_Checked</w:t>
      </w:r>
      <w:proofErr w:type="spellEnd"/>
      <w:r w:rsidRPr="00075180">
        <w:rPr>
          <w:rFonts w:ascii="Calibri" w:hAnsi="Calibri" w:cs="Times New Roman"/>
          <w:szCs w:val="22"/>
        </w:rPr>
        <w:t xml:space="preserve"> columns</w:t>
      </w:r>
    </w:p>
    <w:p w:rsidR="00075180" w:rsidRPr="00075180" w:rsidRDefault="00075180" w:rsidP="00075180">
      <w:pPr>
        <w:spacing w:after="200" w:line="276" w:lineRule="auto"/>
        <w:rPr>
          <w:rFonts w:ascii="Calibri" w:eastAsia="Calibri" w:hAnsi="Calibri" w:cs="Times New Roman"/>
          <w:szCs w:val="22"/>
        </w:rPr>
      </w:pPr>
      <w:r w:rsidRPr="00075180">
        <w:rPr>
          <w:rFonts w:ascii="Calibri" w:eastAsia="Calibri" w:hAnsi="Calibri" w:cs="Times New Roman"/>
          <w:szCs w:val="22"/>
        </w:rPr>
        <w:t xml:space="preserve">Please refer to the Bad Debt User Guide for more detail and information.  The Bad Debt User Guide can be found on the HSN Website at </w:t>
      </w:r>
      <w:hyperlink r:id="rId11" w:history="1">
        <w:r w:rsidRPr="00075180">
          <w:rPr>
            <w:rFonts w:ascii="Calibri" w:eastAsia="Calibri" w:hAnsi="Calibri" w:cs="Times New Roman"/>
            <w:color w:val="0000FF"/>
            <w:szCs w:val="22"/>
            <w:u w:val="single"/>
          </w:rPr>
          <w:t>https://www.mass.gov/service-details/information-about-hsn-provider-guides-and-billing-updates</w:t>
        </w:r>
      </w:hyperlink>
    </w:p>
    <w:p w:rsidR="00075180" w:rsidRDefault="00075180" w:rsidP="003F4A88">
      <w:pPr>
        <w:jc w:val="center"/>
        <w:rPr>
          <w:rFonts w:ascii="Times New Roman" w:hAnsi="Times New Roman" w:cs="Times New Roman"/>
          <w:b/>
          <w:sz w:val="24"/>
          <w:szCs w:val="24"/>
          <w:u w:val="single"/>
        </w:rPr>
      </w:pPr>
    </w:p>
    <w:p w:rsidR="00FA4D51" w:rsidRDefault="00FA4D51" w:rsidP="000E723C">
      <w:pPr>
        <w:rPr>
          <w:rFonts w:ascii="Times New Roman" w:hAnsi="Times New Roman"/>
          <w:sz w:val="24"/>
          <w:szCs w:val="24"/>
        </w:rPr>
      </w:pPr>
    </w:p>
    <w:p w:rsidR="0098421F" w:rsidRDefault="0098421F" w:rsidP="0098421F">
      <w:pPr>
        <w:pStyle w:val="ListParagraph"/>
        <w:rPr>
          <w:rFonts w:ascii="Times New Roman" w:hAnsi="Times New Roman" w:cs="Times New Roman"/>
          <w:sz w:val="24"/>
          <w:szCs w:val="24"/>
        </w:rPr>
      </w:pPr>
    </w:p>
    <w:p w:rsidR="00E82F81" w:rsidRPr="00455878" w:rsidRDefault="00B14C7B" w:rsidP="0045587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38A">
        <w:rPr>
          <w:rFonts w:ascii="Times New Roman" w:hAnsi="Times New Roman" w:cs="Times New Roman"/>
          <w:sz w:val="24"/>
          <w:szCs w:val="24"/>
        </w:rPr>
        <w:t xml:space="preserve">Please contact Health Safety Net for </w:t>
      </w:r>
      <w:r w:rsidR="00A126E0">
        <w:rPr>
          <w:rFonts w:ascii="Times New Roman" w:hAnsi="Times New Roman" w:cs="Times New Roman"/>
          <w:sz w:val="24"/>
          <w:szCs w:val="24"/>
        </w:rPr>
        <w:t xml:space="preserve">any </w:t>
      </w:r>
      <w:r w:rsidR="00BC138A">
        <w:rPr>
          <w:rFonts w:ascii="Times New Roman" w:hAnsi="Times New Roman" w:cs="Times New Roman"/>
          <w:sz w:val="24"/>
          <w:szCs w:val="24"/>
        </w:rPr>
        <w:t xml:space="preserve">questions or concerns.  800-609-7232 or </w:t>
      </w:r>
      <w:hyperlink r:id="rId12" w:history="1">
        <w:r w:rsidR="00BC138A" w:rsidRPr="00B972D9">
          <w:rPr>
            <w:rStyle w:val="Hyperlink"/>
            <w:rFonts w:ascii="Times New Roman" w:hAnsi="Times New Roman" w:cs="Times New Roman"/>
            <w:sz w:val="24"/>
            <w:szCs w:val="24"/>
          </w:rPr>
          <w:t>HSNHelpdesk@state.ma.us</w:t>
        </w:r>
      </w:hyperlink>
    </w:p>
    <w:sectPr w:rsidR="00E82F81" w:rsidRPr="00455878"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F15" w:rsidRDefault="003F4F15">
      <w:r>
        <w:separator/>
      </w:r>
    </w:p>
  </w:endnote>
  <w:endnote w:type="continuationSeparator" w:id="0">
    <w:p w:rsidR="003F4F15" w:rsidRDefault="003F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07518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F15" w:rsidRDefault="003F4F15">
      <w:r>
        <w:separator/>
      </w:r>
    </w:p>
  </w:footnote>
  <w:footnote w:type="continuationSeparator" w:id="0">
    <w:p w:rsidR="003F4F15" w:rsidRDefault="003F4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D093EBA"/>
    <w:multiLevelType w:val="hybridMultilevel"/>
    <w:tmpl w:val="3980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5"/>
  </w:num>
  <w:num w:numId="5">
    <w:abstractNumId w:val="10"/>
  </w:num>
  <w:num w:numId="6">
    <w:abstractNumId w:val="11"/>
  </w:num>
  <w:num w:numId="7">
    <w:abstractNumId w:val="2"/>
  </w:num>
  <w:num w:numId="8">
    <w:abstractNumId w:val="8"/>
  </w:num>
  <w:num w:numId="9">
    <w:abstractNumId w:val="7"/>
  </w:num>
  <w:num w:numId="10">
    <w:abstractNumId w:val="6"/>
  </w:num>
  <w:num w:numId="11">
    <w:abstractNumId w:val="14"/>
  </w:num>
  <w:num w:numId="12">
    <w:abstractNumId w:val="9"/>
  </w:num>
  <w:num w:numId="13">
    <w:abstractNumId w:val="13"/>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75180"/>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D339A"/>
    <w:rsid w:val="001E7C3D"/>
    <w:rsid w:val="001F3373"/>
    <w:rsid w:val="001F3E9A"/>
    <w:rsid w:val="00206158"/>
    <w:rsid w:val="0020717F"/>
    <w:rsid w:val="00215CAD"/>
    <w:rsid w:val="00223B9F"/>
    <w:rsid w:val="00230E81"/>
    <w:rsid w:val="002510D6"/>
    <w:rsid w:val="002520D5"/>
    <w:rsid w:val="00255315"/>
    <w:rsid w:val="002555B1"/>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3F4F15"/>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812D0"/>
    <w:rsid w:val="00B95039"/>
    <w:rsid w:val="00BA2175"/>
    <w:rsid w:val="00BA585A"/>
    <w:rsid w:val="00BB6F19"/>
    <w:rsid w:val="00BC138A"/>
    <w:rsid w:val="00BC16C9"/>
    <w:rsid w:val="00BC2804"/>
    <w:rsid w:val="00BC6121"/>
    <w:rsid w:val="00BE6C50"/>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E5BC6"/>
    <w:rsid w:val="00EE5D28"/>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SNHelpdesk@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information-about-hsn-provider-guides-and-billing-updates"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4213-DBFC-49D1-9BAF-AAE02EC7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1049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1231</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2018-03-19T18:38:00Z</cp:lastPrinted>
  <dcterms:created xsi:type="dcterms:W3CDTF">2019-07-08T12:13:00Z</dcterms:created>
  <dcterms:modified xsi:type="dcterms:W3CDTF">2019-07-08T12:13:00Z</dcterms:modified>
</cp:coreProperties>
</file>