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DA" w:rsidRDefault="00D514DA" w:rsidP="00D579A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Minutes</w:t>
      </w:r>
    </w:p>
    <w:p w:rsidR="00D579A4" w:rsidRPr="00D579A4" w:rsidRDefault="00D579A4" w:rsidP="00D579A4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Department of Public Health</w:t>
      </w:r>
    </w:p>
    <w:p w:rsidR="004F3A9F" w:rsidRPr="005F5286" w:rsidRDefault="00D579A4" w:rsidP="005F5286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Vaccine Purchasing Advisory Council (MVPAC) Meeting</w:t>
      </w:r>
    </w:p>
    <w:p w:rsidR="006B5084" w:rsidRDefault="006B5084" w:rsidP="00224025">
      <w:pPr>
        <w:pStyle w:val="NormalWeb"/>
        <w:spacing w:before="0" w:beforeAutospacing="0" w:after="0" w:afterAutospacing="0"/>
        <w:rPr>
          <w:lang w:val="en"/>
        </w:rPr>
      </w:pPr>
    </w:p>
    <w:p w:rsidR="00224025" w:rsidRPr="00E76FD1" w:rsidRDefault="00D579A4" w:rsidP="00224025">
      <w:pPr>
        <w:pStyle w:val="NormalWeb"/>
        <w:spacing w:before="0" w:beforeAutospacing="0" w:after="0" w:afterAutospacing="0"/>
        <w:rPr>
          <w:b/>
        </w:rPr>
      </w:pPr>
      <w:r>
        <w:rPr>
          <w:lang w:val="en"/>
        </w:rPr>
        <w:t xml:space="preserve">Date: </w:t>
      </w:r>
      <w:r w:rsidRPr="00D579A4">
        <w:rPr>
          <w:lang w:val="en"/>
        </w:rPr>
        <w:t xml:space="preserve">Thursday, </w:t>
      </w:r>
      <w:r w:rsidR="00E61A5F">
        <w:rPr>
          <w:lang w:val="en"/>
        </w:rPr>
        <w:t>June 9</w:t>
      </w:r>
      <w:r w:rsidR="0072662B">
        <w:rPr>
          <w:lang w:val="en"/>
        </w:rPr>
        <w:t>, 2016</w:t>
      </w:r>
      <w:r w:rsidRPr="00D579A4">
        <w:rPr>
          <w:lang w:val="en"/>
        </w:rPr>
        <w:br/>
      </w:r>
      <w:r>
        <w:rPr>
          <w:lang w:val="en"/>
        </w:rPr>
        <w:t xml:space="preserve">Time: </w:t>
      </w:r>
      <w:r w:rsidRPr="00D579A4">
        <w:rPr>
          <w:lang w:val="en"/>
        </w:rPr>
        <w:t>4-6 PM</w:t>
      </w:r>
      <w:r w:rsidRPr="00D579A4">
        <w:rPr>
          <w:lang w:val="en"/>
        </w:rPr>
        <w:br/>
        <w:t xml:space="preserve">Location: </w:t>
      </w:r>
      <w:r w:rsidR="00AD2CEC">
        <w:rPr>
          <w:lang w:val="en"/>
        </w:rPr>
        <w:t>Massachusetts Medical Society, 860 Winter Street, Waltham, MA 02451</w:t>
      </w:r>
      <w:r w:rsidR="00224025">
        <w:rPr>
          <w:lang w:val="en"/>
        </w:rPr>
        <w:br/>
      </w:r>
      <w:r w:rsidR="00880E16">
        <w:rPr>
          <w:lang w:val="en"/>
        </w:rPr>
        <w:t xml:space="preserve">            </w:t>
      </w:r>
      <w:r w:rsidR="00754FCB">
        <w:rPr>
          <w:lang w:val="en"/>
        </w:rPr>
        <w:br/>
      </w:r>
      <w:r w:rsidR="00224025">
        <w:rPr>
          <w:b/>
        </w:rPr>
        <w:t xml:space="preserve">Council Member </w:t>
      </w:r>
      <w:r w:rsidR="00224025" w:rsidRPr="00E76FD1">
        <w:rPr>
          <w:b/>
        </w:rPr>
        <w:t>Attendees:</w:t>
      </w:r>
    </w:p>
    <w:p w:rsidR="00BE5385" w:rsidRDefault="00BE5385" w:rsidP="00224025">
      <w:pPr>
        <w:sectPr w:rsidR="00BE5385" w:rsidSect="00AF45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24025" w:rsidRDefault="00224025" w:rsidP="00224025">
      <w:r>
        <w:lastRenderedPageBreak/>
        <w:t>Thomas Hines, MD</w:t>
      </w:r>
    </w:p>
    <w:p w:rsidR="00224025" w:rsidRDefault="00224025" w:rsidP="00224025">
      <w:r>
        <w:t>Ben Kruskal, MD, PhD</w:t>
      </w:r>
    </w:p>
    <w:p w:rsidR="00224025" w:rsidRDefault="00224025" w:rsidP="00224025">
      <w:r>
        <w:t>Susan Lett, MD, MPH</w:t>
      </w:r>
    </w:p>
    <w:p w:rsidR="00224025" w:rsidRDefault="00224025" w:rsidP="00224025">
      <w:r>
        <w:t>Cody Meissner, MD</w:t>
      </w:r>
    </w:p>
    <w:p w:rsidR="00224025" w:rsidRDefault="00224025" w:rsidP="00224025">
      <w:r>
        <w:t>David Norton, MD</w:t>
      </w:r>
    </w:p>
    <w:p w:rsidR="00224025" w:rsidRDefault="00224025" w:rsidP="00224025">
      <w:r>
        <w:lastRenderedPageBreak/>
        <w:t>Sean Palfrey, MD</w:t>
      </w:r>
    </w:p>
    <w:p w:rsidR="00224025" w:rsidRDefault="00224025" w:rsidP="00224025">
      <w:r>
        <w:t>Ron Samuels, MD, MPH</w:t>
      </w:r>
    </w:p>
    <w:p w:rsidR="00224025" w:rsidRDefault="00224025" w:rsidP="00224025">
      <w:r>
        <w:t>Jane Williams, MD, MPH</w:t>
      </w:r>
    </w:p>
    <w:p w:rsidR="00224025" w:rsidRDefault="00224025" w:rsidP="00224025">
      <w:r>
        <w:t>Marissa Woltman</w:t>
      </w:r>
    </w:p>
    <w:p w:rsidR="00BE5385" w:rsidRDefault="00BE5385" w:rsidP="00224025">
      <w:pPr>
        <w:sectPr w:rsidR="00BE5385" w:rsidSect="00BE53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24025" w:rsidRDefault="00224025" w:rsidP="00224025"/>
    <w:p w:rsidR="00224025" w:rsidRPr="00186863" w:rsidRDefault="00224025" w:rsidP="00224025">
      <w:pPr>
        <w:rPr>
          <w:b/>
        </w:rPr>
      </w:pPr>
      <w:r w:rsidRPr="00186863">
        <w:rPr>
          <w:b/>
        </w:rPr>
        <w:t>Additional Attendees:</w:t>
      </w:r>
    </w:p>
    <w:p w:rsidR="00BE5385" w:rsidRDefault="00BE5385" w:rsidP="00224025">
      <w:pPr>
        <w:sectPr w:rsidR="00BE5385" w:rsidSect="00BE538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24025" w:rsidRDefault="00224025" w:rsidP="00224025">
      <w:r>
        <w:lastRenderedPageBreak/>
        <w:t>Richard Aceto</w:t>
      </w:r>
    </w:p>
    <w:p w:rsidR="00BE5385" w:rsidRDefault="00BE5385" w:rsidP="00224025">
      <w:r>
        <w:t>Deborah Elliot</w:t>
      </w:r>
    </w:p>
    <w:p w:rsidR="00224025" w:rsidRDefault="00224025" w:rsidP="00224025">
      <w:r>
        <w:t>Beth English, MPH</w:t>
      </w:r>
    </w:p>
    <w:p w:rsidR="00BE5385" w:rsidRDefault="00BE5385" w:rsidP="00224025">
      <w:r>
        <w:t>Serge Foley</w:t>
      </w:r>
    </w:p>
    <w:p w:rsidR="00224025" w:rsidRDefault="00224025" w:rsidP="00224025">
      <w:r>
        <w:t>Michael Goldstein</w:t>
      </w:r>
    </w:p>
    <w:p w:rsidR="00BE5385" w:rsidRDefault="00BE5385" w:rsidP="00224025">
      <w:r>
        <w:t>Larry Madoff, MD</w:t>
      </w:r>
    </w:p>
    <w:p w:rsidR="00224025" w:rsidRDefault="00224025" w:rsidP="00224025">
      <w:r>
        <w:t>Cynthia McReynolds</w:t>
      </w:r>
    </w:p>
    <w:p w:rsidR="00BE5385" w:rsidRDefault="00BE5385" w:rsidP="00224025">
      <w:r>
        <w:lastRenderedPageBreak/>
        <w:t>Dorothy Miller</w:t>
      </w:r>
    </w:p>
    <w:p w:rsidR="00224025" w:rsidRDefault="00224025" w:rsidP="00224025">
      <w:r>
        <w:t>Leigh O’Mara, PhD</w:t>
      </w:r>
    </w:p>
    <w:p w:rsidR="00BE5385" w:rsidRDefault="00BE5385" w:rsidP="00224025">
      <w:r>
        <w:t>Jim Palazzo, PharmD</w:t>
      </w:r>
    </w:p>
    <w:p w:rsidR="00224025" w:rsidRDefault="00224025" w:rsidP="00224025">
      <w:r>
        <w:t>Sherry Schilb</w:t>
      </w:r>
    </w:p>
    <w:p w:rsidR="00BE5385" w:rsidRPr="00AC78B1" w:rsidRDefault="00BE5385" w:rsidP="00224025">
      <w:r>
        <w:t>Leonard Silverstein, MD</w:t>
      </w:r>
    </w:p>
    <w:p w:rsidR="00224025" w:rsidRPr="00AC78B1" w:rsidRDefault="00224025" w:rsidP="00224025">
      <w:r w:rsidRPr="00AC78B1">
        <w:t>Pejman Talebian</w:t>
      </w:r>
      <w:r>
        <w:t>, MA, MPH</w:t>
      </w:r>
    </w:p>
    <w:p w:rsidR="00BE5385" w:rsidRDefault="00BE5385" w:rsidP="00E61A5F">
      <w:pPr>
        <w:rPr>
          <w:lang w:val="en"/>
        </w:rPr>
        <w:sectPr w:rsidR="00BE5385" w:rsidSect="00BE53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4A96" w:rsidRDefault="00334A96" w:rsidP="00E61A5F">
      <w:pPr>
        <w:rPr>
          <w:lang w:val="en"/>
        </w:rPr>
      </w:pPr>
    </w:p>
    <w:p w:rsidR="00B07166" w:rsidRDefault="00B07166" w:rsidP="00B07166"/>
    <w:p w:rsidR="00BE5385" w:rsidRDefault="00BE5385" w:rsidP="00B07166">
      <w:r>
        <w:t>Mr. Talebian chaired the meeting for Mr. Cranston.</w:t>
      </w:r>
    </w:p>
    <w:p w:rsidR="00BE5385" w:rsidRDefault="00BE5385" w:rsidP="00B07166"/>
    <w:p w:rsidR="000052A0" w:rsidRDefault="00BE5385" w:rsidP="00B07166">
      <w:r>
        <w:t>He</w:t>
      </w:r>
      <w:r w:rsidR="000052A0">
        <w:t xml:space="preserve"> welcomed attendees and confirmed that there was a quorum for the meeting.</w:t>
      </w:r>
    </w:p>
    <w:p w:rsidR="000052A0" w:rsidRDefault="000052A0" w:rsidP="00B07166"/>
    <w:p w:rsidR="00BE5385" w:rsidRPr="001A6BE9" w:rsidRDefault="00BE5385" w:rsidP="00B07166">
      <w:r>
        <w:t>Attendees introduced themselves.</w:t>
      </w:r>
    </w:p>
    <w:p w:rsidR="00B07166" w:rsidRPr="001A6BE9" w:rsidRDefault="00B07166" w:rsidP="00B07166"/>
    <w:p w:rsidR="00B07166" w:rsidRPr="00BE5385" w:rsidRDefault="00B07166" w:rsidP="00B07166">
      <w:pPr>
        <w:rPr>
          <w:b/>
        </w:rPr>
      </w:pPr>
      <w:r w:rsidRPr="00BE5385">
        <w:rPr>
          <w:b/>
        </w:rPr>
        <w:t>DPH updates</w:t>
      </w:r>
    </w:p>
    <w:p w:rsidR="00BE5385" w:rsidRDefault="00BE5385" w:rsidP="00B07166"/>
    <w:p w:rsidR="000D5A4F" w:rsidRPr="000D5A4F" w:rsidRDefault="000D5A4F" w:rsidP="00B07166">
      <w:pPr>
        <w:rPr>
          <w:i/>
        </w:rPr>
      </w:pPr>
      <w:r w:rsidRPr="000D5A4F">
        <w:rPr>
          <w:i/>
        </w:rPr>
        <w:t>2015-16 Influenza Season Update; Composition of Vaccine for 2016-2017 Influenza Season</w:t>
      </w:r>
    </w:p>
    <w:p w:rsidR="000D5A4F" w:rsidRDefault="000D5A4F" w:rsidP="00B07166"/>
    <w:p w:rsidR="000052A0" w:rsidRDefault="000052A0" w:rsidP="00B07166">
      <w:r>
        <w:t xml:space="preserve">Dr. Lett </w:t>
      </w:r>
      <w:r w:rsidR="00FF7DF5">
        <w:t>reviewed</w:t>
      </w:r>
      <w:r>
        <w:t xml:space="preserve"> the 2015-16 influenza</w:t>
      </w:r>
      <w:r w:rsidR="00FF7DF5">
        <w:t xml:space="preserve"> season.</w:t>
      </w:r>
    </w:p>
    <w:p w:rsidR="000052A0" w:rsidRDefault="000052A0" w:rsidP="00B07166"/>
    <w:p w:rsidR="000052A0" w:rsidRDefault="000052A0" w:rsidP="00B07166">
      <w:r>
        <w:t>CDC considers th</w:t>
      </w:r>
      <w:r w:rsidR="00416ACC">
        <w:t xml:space="preserve">e </w:t>
      </w:r>
      <w:r>
        <w:t>2015-2016 influenza season to be moderate. The Massachusetts influenza season has been mild to moderate.</w:t>
      </w:r>
    </w:p>
    <w:p w:rsidR="000052A0" w:rsidRDefault="000052A0" w:rsidP="00B07166"/>
    <w:p w:rsidR="000052A0" w:rsidRDefault="000052A0" w:rsidP="00B07166">
      <w:r>
        <w:t xml:space="preserve">The peak this year </w:t>
      </w:r>
      <w:r w:rsidR="00FF7DF5">
        <w:t xml:space="preserve">in Massachusetts </w:t>
      </w:r>
      <w:r>
        <w:t>was later in March. In the East</w:t>
      </w:r>
      <w:r w:rsidR="00FF7DF5">
        <w:t>,</w:t>
      </w:r>
      <w:r>
        <w:t xml:space="preserve"> the peaks were in February and later.</w:t>
      </w:r>
    </w:p>
    <w:p w:rsidR="000052A0" w:rsidRDefault="000052A0" w:rsidP="00B07166"/>
    <w:p w:rsidR="00416ACC" w:rsidRDefault="00416ACC" w:rsidP="00B07166">
      <w:r>
        <w:t>Flu a</w:t>
      </w:r>
      <w:r w:rsidR="000052A0">
        <w:t>ctivity has continued through April. I</w:t>
      </w:r>
      <w:r>
        <w:t xml:space="preserve">t isn’t too late to vaccinate, but much of the vaccine has expired, or will expire by June 30. Unexpired vaccine can </w:t>
      </w:r>
      <w:r w:rsidR="00FF7DF5">
        <w:t xml:space="preserve">still </w:t>
      </w:r>
      <w:r>
        <w:t>be used for international travelers.</w:t>
      </w:r>
    </w:p>
    <w:p w:rsidR="00416ACC" w:rsidRDefault="00416ACC" w:rsidP="00B07166"/>
    <w:p w:rsidR="000052A0" w:rsidRDefault="00416ACC" w:rsidP="00B07166">
      <w:r>
        <w:t>DPH has requested that unused vaccine be returned.</w:t>
      </w:r>
    </w:p>
    <w:p w:rsidR="00416ACC" w:rsidRDefault="00416ACC" w:rsidP="00B07166"/>
    <w:p w:rsidR="00416ACC" w:rsidRDefault="00416ACC" w:rsidP="00B07166">
      <w:r>
        <w:t>The circulating strains wer</w:t>
      </w:r>
      <w:r w:rsidR="008B2789">
        <w:t>e</w:t>
      </w:r>
      <w:r>
        <w:t xml:space="preserve"> an excellent match with the vaccine. At the February Advisory Committee on Immunization Practices (ACIP) meeting, preliminary data demonstrated a vaccine efficacy of 60%. Analysis is ongoing and updated data will be presented at the</w:t>
      </w:r>
      <w:r w:rsidR="00FF7DF5">
        <w:t xml:space="preserve"> </w:t>
      </w:r>
      <w:r w:rsidR="008A0712">
        <w:t>ACIP’s June</w:t>
      </w:r>
      <w:r w:rsidR="00FF7DF5">
        <w:t xml:space="preserve"> </w:t>
      </w:r>
      <w:r>
        <w:t>meeting.</w:t>
      </w:r>
    </w:p>
    <w:p w:rsidR="00416ACC" w:rsidRDefault="00416ACC" w:rsidP="00B07166"/>
    <w:p w:rsidR="00416ACC" w:rsidRDefault="008B2789" w:rsidP="00B07166">
      <w:r>
        <w:t xml:space="preserve">The H1N1 strain predominated. </w:t>
      </w:r>
    </w:p>
    <w:p w:rsidR="008A0BE2" w:rsidRDefault="008A0BE2" w:rsidP="00B07166"/>
    <w:p w:rsidR="00126C0B" w:rsidRPr="008A0BE2" w:rsidRDefault="008A0BE2" w:rsidP="008A0BE2">
      <w:r w:rsidRPr="008A0BE2">
        <w:t xml:space="preserve">Flu hospitalization rates </w:t>
      </w:r>
      <w:r>
        <w:t xml:space="preserve">were </w:t>
      </w:r>
      <w:r w:rsidRPr="008A0BE2">
        <w:t xml:space="preserve">highest in those </w:t>
      </w:r>
      <w:r w:rsidRPr="008A0BE2">
        <w:rPr>
          <w:u w:val="single"/>
        </w:rPr>
        <w:t>&gt;</w:t>
      </w:r>
      <w:r w:rsidRPr="008A0BE2">
        <w:t>65 y</w:t>
      </w:r>
      <w:r>
        <w:t>ears</w:t>
      </w:r>
      <w:r w:rsidRPr="008A0BE2">
        <w:t>, followed by 50-64 y</w:t>
      </w:r>
      <w:r>
        <w:t>ears</w:t>
      </w:r>
      <w:r w:rsidRPr="008A0BE2">
        <w:t xml:space="preserve"> and children &lt;5 years</w:t>
      </w:r>
      <w:r>
        <w:t>.</w:t>
      </w:r>
    </w:p>
    <w:p w:rsidR="008A0BE2" w:rsidRDefault="008A0BE2" w:rsidP="00B07166"/>
    <w:p w:rsidR="000052A0" w:rsidRDefault="00FF7DF5" w:rsidP="00B07166">
      <w:r>
        <w:t>T</w:t>
      </w:r>
      <w:r w:rsidR="008A0BE2">
        <w:t>here have been 74 pediatric deaths nationally. There have been 2 pediatric deaths in Massachusetts. One child was less than 5 years and one was 5-10 years. While both children were vaccinated, both had significant pre-existing health issues.</w:t>
      </w:r>
    </w:p>
    <w:p w:rsidR="008A0BE2" w:rsidRDefault="008A0BE2" w:rsidP="00B07166"/>
    <w:p w:rsidR="00FF7DF5" w:rsidRDefault="00FF7DF5" w:rsidP="00FF7DF5">
      <w:r>
        <w:t>ACIP will be discussing live-attenuated influenza vaccines (LAIV) at its June meeting.</w:t>
      </w:r>
    </w:p>
    <w:p w:rsidR="00FF7DF5" w:rsidRDefault="00FF7DF5" w:rsidP="00B07166"/>
    <w:p w:rsidR="008A0BE2" w:rsidRDefault="008A0BE2" w:rsidP="00B07166">
      <w:r>
        <w:t>The World Health Organization (WHO) has recommended the following strains for the 2016-17 influenza season:</w:t>
      </w:r>
    </w:p>
    <w:p w:rsidR="00FF7DF5" w:rsidRDefault="00FF7DF5" w:rsidP="00B07166"/>
    <w:p w:rsidR="00126C0B" w:rsidRPr="008A0BE2" w:rsidRDefault="008A0BE2" w:rsidP="00FF7DF5">
      <w:pPr>
        <w:numPr>
          <w:ilvl w:val="0"/>
          <w:numId w:val="7"/>
        </w:numPr>
        <w:tabs>
          <w:tab w:val="clear" w:pos="720"/>
          <w:tab w:val="num" w:pos="180"/>
        </w:tabs>
        <w:ind w:left="180" w:hanging="180"/>
      </w:pPr>
      <w:r w:rsidRPr="008A0BE2">
        <w:rPr>
          <w:bCs/>
        </w:rPr>
        <w:t>A/California/7/2009 (H1N1)pdm09-like virus</w:t>
      </w:r>
    </w:p>
    <w:p w:rsidR="00126C0B" w:rsidRPr="008A0BE2" w:rsidRDefault="008A0BE2" w:rsidP="00FF7DF5">
      <w:pPr>
        <w:numPr>
          <w:ilvl w:val="0"/>
          <w:numId w:val="7"/>
        </w:numPr>
        <w:tabs>
          <w:tab w:val="clear" w:pos="720"/>
          <w:tab w:val="num" w:pos="180"/>
        </w:tabs>
        <w:ind w:left="180" w:hanging="180"/>
      </w:pPr>
      <w:r w:rsidRPr="008A0BE2">
        <w:rPr>
          <w:bCs/>
        </w:rPr>
        <w:t>A/Hong Kong/4801/2014 (H3N2)-like virus (NEW)</w:t>
      </w:r>
    </w:p>
    <w:p w:rsidR="00126C0B" w:rsidRPr="008A0BE2" w:rsidRDefault="008A0BE2" w:rsidP="00FF7DF5">
      <w:pPr>
        <w:numPr>
          <w:ilvl w:val="0"/>
          <w:numId w:val="7"/>
        </w:numPr>
        <w:tabs>
          <w:tab w:val="clear" w:pos="720"/>
          <w:tab w:val="num" w:pos="180"/>
        </w:tabs>
        <w:ind w:left="180" w:hanging="180"/>
      </w:pPr>
      <w:r w:rsidRPr="008A0BE2">
        <w:rPr>
          <w:bCs/>
        </w:rPr>
        <w:t>B/Brisbane/60/2008-like virus (Victoria lineage)</w:t>
      </w:r>
    </w:p>
    <w:p w:rsidR="00126C0B" w:rsidRPr="008A0BE2" w:rsidRDefault="008A0BE2" w:rsidP="00FF7DF5">
      <w:pPr>
        <w:numPr>
          <w:ilvl w:val="0"/>
          <w:numId w:val="7"/>
        </w:numPr>
        <w:tabs>
          <w:tab w:val="clear" w:pos="720"/>
          <w:tab w:val="num" w:pos="180"/>
        </w:tabs>
        <w:ind w:left="180" w:hanging="180"/>
      </w:pPr>
      <w:r w:rsidRPr="008A0BE2">
        <w:rPr>
          <w:bCs/>
        </w:rPr>
        <w:t>for quadrivalent vaccines, B/Phuket/3073/2013-like virus (Yamagata lineage)</w:t>
      </w:r>
    </w:p>
    <w:p w:rsidR="008A0BE2" w:rsidRDefault="008A0BE2" w:rsidP="00B07166"/>
    <w:p w:rsidR="000D5A4F" w:rsidRPr="000D5A4F" w:rsidRDefault="000D5A4F" w:rsidP="00B07166">
      <w:pPr>
        <w:rPr>
          <w:i/>
        </w:rPr>
      </w:pPr>
      <w:r w:rsidRPr="000D5A4F">
        <w:rPr>
          <w:i/>
        </w:rPr>
        <w:t>Recent Mumps Outbreak</w:t>
      </w:r>
    </w:p>
    <w:p w:rsidR="000D5A4F" w:rsidRDefault="000D5A4F" w:rsidP="00B07166"/>
    <w:p w:rsidR="0033548D" w:rsidRDefault="0033548D" w:rsidP="00B07166">
      <w:r>
        <w:t xml:space="preserve">The recent outbreak at Harvard demonstrated that despite a high immunization rate, two doses of mumps vaccine are 88% effective at best. Additional issues with mumps </w:t>
      </w:r>
      <w:r w:rsidR="000E1125">
        <w:t xml:space="preserve">include </w:t>
      </w:r>
      <w:r>
        <w:t>testing challenges, need for isolation and lack of clarity around when and whether a third dose should be administered. DPH has not been recommending administering a third dose. CDC will not fund a third dose for outbreak control.</w:t>
      </w:r>
    </w:p>
    <w:p w:rsidR="0033548D" w:rsidRDefault="0033548D" w:rsidP="00B07166"/>
    <w:p w:rsidR="0033548D" w:rsidRDefault="0033548D" w:rsidP="00B07166">
      <w:r>
        <w:t>Harvard responded to the outbreak very well, and communicated its strategies to other area colleges.</w:t>
      </w:r>
    </w:p>
    <w:p w:rsidR="0033548D" w:rsidRDefault="0033548D" w:rsidP="00B07166"/>
    <w:p w:rsidR="0033548D" w:rsidRDefault="0033548D" w:rsidP="00B07166">
      <w:r>
        <w:t>There doesn’t appear a spillover into the community.</w:t>
      </w:r>
    </w:p>
    <w:p w:rsidR="0033548D" w:rsidRDefault="0033548D" w:rsidP="00B07166"/>
    <w:p w:rsidR="000D5A4F" w:rsidRPr="000D5A4F" w:rsidRDefault="000D5A4F" w:rsidP="00B07166">
      <w:pPr>
        <w:rPr>
          <w:i/>
        </w:rPr>
      </w:pPr>
      <w:r w:rsidRPr="000D5A4F">
        <w:rPr>
          <w:i/>
        </w:rPr>
        <w:t>Recent Meningitis Outbreak</w:t>
      </w:r>
    </w:p>
    <w:p w:rsidR="000D5A4F" w:rsidRDefault="000D5A4F" w:rsidP="00B07166"/>
    <w:p w:rsidR="0033548D" w:rsidRDefault="0033548D" w:rsidP="00B07166">
      <w:r>
        <w:t xml:space="preserve">Although meningococcal rates have been declining </w:t>
      </w:r>
      <w:r w:rsidR="000E1125">
        <w:t>nationally and in Massachusetts,</w:t>
      </w:r>
      <w:r>
        <w:t xml:space="preserve"> there </w:t>
      </w:r>
      <w:r w:rsidR="00F91B94">
        <w:t xml:space="preserve">was </w:t>
      </w:r>
      <w:r>
        <w:t>a recent meningococcal outbreak in Boston’s h</w:t>
      </w:r>
      <w:r w:rsidR="00E90B8F">
        <w:t>omeless community. This outbreak</w:t>
      </w:r>
      <w:r w:rsidR="00F91B94">
        <w:t xml:space="preserve"> was</w:t>
      </w:r>
      <w:r w:rsidR="00E90B8F">
        <w:t xml:space="preserve"> unusual and is being studied by CDC. In response to the outbreak, the Boston Healthcare for Homeless Program effectively vaccinated more than 4,000 people and administered antibiotics as well.</w:t>
      </w:r>
    </w:p>
    <w:p w:rsidR="0033548D" w:rsidRDefault="0033548D" w:rsidP="00B07166"/>
    <w:p w:rsidR="000D5A4F" w:rsidRPr="000D5A4F" w:rsidRDefault="000D5A4F" w:rsidP="00B07166">
      <w:pPr>
        <w:rPr>
          <w:i/>
        </w:rPr>
      </w:pPr>
      <w:r w:rsidRPr="000D5A4F">
        <w:rPr>
          <w:i/>
        </w:rPr>
        <w:t>Recent Measles Case</w:t>
      </w:r>
    </w:p>
    <w:p w:rsidR="000D5A4F" w:rsidRDefault="000D5A4F" w:rsidP="00B07166"/>
    <w:p w:rsidR="00B07166" w:rsidRPr="001A6BE9" w:rsidRDefault="00E90B8F" w:rsidP="00B07166">
      <w:r>
        <w:t xml:space="preserve">In May, DPH issued a Clinical Measles Advisory, after measles was confirmed in a visitor from Switzerland. </w:t>
      </w:r>
      <w:r w:rsidR="00F91B94">
        <w:t>Although hundreds were exposed, there was a big effort to control the spread and no additional cases have been reported.</w:t>
      </w:r>
    </w:p>
    <w:p w:rsidR="00126C0B" w:rsidRDefault="00126C0B" w:rsidP="00B07166"/>
    <w:p w:rsidR="000D5A4F" w:rsidRPr="000D5A4F" w:rsidRDefault="000D5A4F" w:rsidP="00B07166">
      <w:pPr>
        <w:rPr>
          <w:i/>
        </w:rPr>
      </w:pPr>
      <w:r w:rsidRPr="000D5A4F">
        <w:rPr>
          <w:i/>
        </w:rPr>
        <w:t>Massachusetts Immunization Information System (MIIS) Update</w:t>
      </w:r>
    </w:p>
    <w:p w:rsidR="000D5A4F" w:rsidRDefault="000D5A4F" w:rsidP="00B07166"/>
    <w:p w:rsidR="00126C0B" w:rsidRDefault="00126C0B" w:rsidP="00B07166">
      <w:r>
        <w:t>Ms. English provided a Massachusetts Immunization Information System (MIIS) update.</w:t>
      </w:r>
    </w:p>
    <w:p w:rsidR="00126C0B" w:rsidRDefault="00126C0B" w:rsidP="00B07166"/>
    <w:p w:rsidR="005E21BD" w:rsidRDefault="00126C0B" w:rsidP="00B07166">
      <w:r>
        <w:t>The MIIS will reach 5 million patients soon.</w:t>
      </w:r>
      <w:r w:rsidR="00F91B94">
        <w:t xml:space="preserve"> </w:t>
      </w:r>
      <w:r>
        <w:t>There has been good momentum to date.</w:t>
      </w:r>
      <w:r w:rsidR="005E21BD">
        <w:t xml:space="preserve"> </w:t>
      </w:r>
    </w:p>
    <w:p w:rsidR="00126C0B" w:rsidRDefault="00126C0B" w:rsidP="00B07166"/>
    <w:p w:rsidR="00126C0B" w:rsidRDefault="005E21BD" w:rsidP="00B07166">
      <w:r>
        <w:t xml:space="preserve">DPH is working to ensure that data in the MIIS is reliable, timely and accurate. </w:t>
      </w:r>
    </w:p>
    <w:p w:rsidR="005E21BD" w:rsidRDefault="005E21BD" w:rsidP="00B07166"/>
    <w:p w:rsidR="005E21BD" w:rsidRDefault="005E21BD" w:rsidP="00B07166">
      <w:r>
        <w:t xml:space="preserve">DPH </w:t>
      </w:r>
      <w:r w:rsidR="00F91B94">
        <w:t xml:space="preserve">also </w:t>
      </w:r>
      <w:r>
        <w:t xml:space="preserve">is working on bringing on school nurses. It recently held a webinar </w:t>
      </w:r>
      <w:r w:rsidR="00F91B94">
        <w:t xml:space="preserve">for school nurses which discussed </w:t>
      </w:r>
      <w:r>
        <w:t>registering with the MIIS. By the end of this summer, a module for school nurses will be available.</w:t>
      </w:r>
    </w:p>
    <w:p w:rsidR="00B07166" w:rsidRDefault="00B07166" w:rsidP="00B07166"/>
    <w:p w:rsidR="000D5A4F" w:rsidRPr="000D5A4F" w:rsidRDefault="000D5A4F" w:rsidP="00B07166">
      <w:pPr>
        <w:rPr>
          <w:i/>
        </w:rPr>
      </w:pPr>
      <w:r w:rsidRPr="000D5A4F">
        <w:rPr>
          <w:i/>
        </w:rPr>
        <w:t>DPH Distribution of Influenza Vaccine – 2015-16 and 2016-17 Influenza Season</w:t>
      </w:r>
      <w:r w:rsidR="00BE6473">
        <w:rPr>
          <w:i/>
        </w:rPr>
        <w:t>s</w:t>
      </w:r>
    </w:p>
    <w:p w:rsidR="000D5A4F" w:rsidRDefault="000D5A4F" w:rsidP="00B07166"/>
    <w:p w:rsidR="005E21BD" w:rsidRDefault="005E21BD" w:rsidP="00B07166">
      <w:r>
        <w:t xml:space="preserve">Mr. </w:t>
      </w:r>
      <w:r w:rsidR="00BE6473">
        <w:t>Talebian</w:t>
      </w:r>
      <w:r>
        <w:t xml:space="preserve"> reviewed a handout detailing DPH’s distribution of influenza vaccine during the 2015-16 influenza season. 895,000 doses of many</w:t>
      </w:r>
      <w:r w:rsidR="00951E6C">
        <w:t xml:space="preserve"> formulations were distributed during the season.</w:t>
      </w:r>
    </w:p>
    <w:p w:rsidR="005E21BD" w:rsidRDefault="005E21BD" w:rsidP="00B07166"/>
    <w:p w:rsidR="005E21BD" w:rsidRDefault="00951E6C" w:rsidP="00B07166">
      <w:r>
        <w:t>The 2015-16 influenza</w:t>
      </w:r>
      <w:r w:rsidR="005E21BD" w:rsidRPr="005E21BD">
        <w:t xml:space="preserve"> </w:t>
      </w:r>
      <w:r w:rsidR="005E21BD">
        <w:t xml:space="preserve">season was the first season of universally distributed pediatric influenza vaccine. Due to the timing for pre-booking vaccine, DPH asked insurers to continue to reimburse for influenza vaccine during the </w:t>
      </w:r>
      <w:r w:rsidR="00BE6473">
        <w:t>season.</w:t>
      </w:r>
      <w:r w:rsidR="005E21BD">
        <w:t xml:space="preserve"> </w:t>
      </w:r>
    </w:p>
    <w:p w:rsidR="005E21BD" w:rsidRDefault="005E21BD" w:rsidP="00B07166"/>
    <w:p w:rsidR="005E21BD" w:rsidRDefault="005E21BD" w:rsidP="00B07166">
      <w:r>
        <w:t xml:space="preserve">For the 2016-17 influenza season all pediatric influenza vaccines should come from the state. Insurers will not be reimbursing </w:t>
      </w:r>
      <w:r w:rsidR="00951E6C">
        <w:t>for pediatric influenza vaccine.</w:t>
      </w:r>
    </w:p>
    <w:p w:rsidR="00951E6C" w:rsidRDefault="00951E6C" w:rsidP="00B07166"/>
    <w:p w:rsidR="005E21BD" w:rsidRDefault="005E21BD" w:rsidP="00B07166">
      <w:r>
        <w:t xml:space="preserve">DPH surveys providers prior to submitting </w:t>
      </w:r>
      <w:r w:rsidR="00BE6473">
        <w:t>its influenza vaccine</w:t>
      </w:r>
      <w:r>
        <w:t xml:space="preserve"> order to CDC.  DPH will </w:t>
      </w:r>
      <w:r w:rsidR="00BE6473">
        <w:t xml:space="preserve">be </w:t>
      </w:r>
      <w:r w:rsidR="00EF2B09">
        <w:t xml:space="preserve">ordering </w:t>
      </w:r>
      <w:r>
        <w:t>1,003,380</w:t>
      </w:r>
      <w:r w:rsidR="00BE6473">
        <w:t xml:space="preserve"> </w:t>
      </w:r>
      <w:r w:rsidR="00881CE9">
        <w:t xml:space="preserve">doses </w:t>
      </w:r>
      <w:r w:rsidR="00BE6473">
        <w:t>for the 2016-17 influenza season</w:t>
      </w:r>
      <w:r>
        <w:t>. All of the ordered influenza vaccine will be quadrivalent.</w:t>
      </w:r>
    </w:p>
    <w:p w:rsidR="00881CE9" w:rsidRDefault="00881CE9" w:rsidP="00B07166"/>
    <w:p w:rsidR="00881CE9" w:rsidRDefault="00EF2B09" w:rsidP="00881CE9">
      <w:r>
        <w:t>There was an</w:t>
      </w:r>
      <w:r w:rsidR="00881CE9">
        <w:t xml:space="preserve"> increase in requests for LAIV for the 2016-17 influenza season</w:t>
      </w:r>
      <w:r>
        <w:t xml:space="preserve"> despite the </w:t>
      </w:r>
      <w:r w:rsidR="00881CE9">
        <w:t>vaccine c</w:t>
      </w:r>
      <w:r>
        <w:t>oming late to the market this year</w:t>
      </w:r>
      <w:r w:rsidR="00881CE9">
        <w:t xml:space="preserve">. DPH </w:t>
      </w:r>
      <w:r>
        <w:t xml:space="preserve">is ordering 240,000 doses for the </w:t>
      </w:r>
      <w:r w:rsidR="00881CE9">
        <w:t>2016-17 influenza season.</w:t>
      </w:r>
    </w:p>
    <w:p w:rsidR="00881CE9" w:rsidRDefault="00881CE9" w:rsidP="00B07166"/>
    <w:p w:rsidR="005E21BD" w:rsidRDefault="005E21BD" w:rsidP="00B07166"/>
    <w:p w:rsidR="00951E6C" w:rsidRDefault="00951E6C" w:rsidP="00B07166">
      <w:r>
        <w:t xml:space="preserve">It is anticipated that FluLaval may be approved down to six months of age. </w:t>
      </w:r>
      <w:r w:rsidR="00BE6473">
        <w:t xml:space="preserve">Currently the only product that is approved </w:t>
      </w:r>
      <w:r>
        <w:t xml:space="preserve">down to six months of age is the Sanofi Pasteur product. If FluLaval is approved down to six months of age and a shortage of the Sanofi product occurs, DPH </w:t>
      </w:r>
      <w:r w:rsidR="00BE6473">
        <w:t xml:space="preserve">can </w:t>
      </w:r>
      <w:r>
        <w:t xml:space="preserve">add FluLaval to its formulary. </w:t>
      </w:r>
    </w:p>
    <w:p w:rsidR="00951E6C" w:rsidRDefault="00951E6C" w:rsidP="00B07166"/>
    <w:p w:rsidR="00951E6C" w:rsidRDefault="005D0E4A" w:rsidP="00B07166">
      <w:r>
        <w:lastRenderedPageBreak/>
        <w:t>At its June meeting, t</w:t>
      </w:r>
      <w:r w:rsidR="00951E6C">
        <w:t xml:space="preserve">he ACIP will be </w:t>
      </w:r>
      <w:r>
        <w:t>finalizing the changes to</w:t>
      </w:r>
      <w:r w:rsidR="00951E6C">
        <w:t xml:space="preserve"> its recommendation for administering influenza vaccine to those with egg allergies. </w:t>
      </w:r>
      <w:r>
        <w:t>A Council member noted that it would be helpful to have a patient-friendly handout reviewing the changes for administering the influenza vaccine to those with egg allergies. DPH will address this with healthcare providers through a clinical advisory.</w:t>
      </w:r>
    </w:p>
    <w:p w:rsidR="00FA7C35" w:rsidRDefault="00FA7C35" w:rsidP="00B07166"/>
    <w:p w:rsidR="00FA7C35" w:rsidRPr="00FA7C35" w:rsidRDefault="00FA7C35" w:rsidP="00B07166">
      <w:pPr>
        <w:rPr>
          <w:b/>
        </w:rPr>
      </w:pPr>
      <w:r w:rsidRPr="00FA7C35">
        <w:rPr>
          <w:b/>
        </w:rPr>
        <w:t>Deliberation Regarding Addition of Hiberix Vaccine</w:t>
      </w:r>
    </w:p>
    <w:p w:rsidR="00FA7C35" w:rsidRDefault="00FA7C35" w:rsidP="00B07166"/>
    <w:p w:rsidR="005D0E4A" w:rsidRDefault="005D0E4A" w:rsidP="00B07166">
      <w:r>
        <w:t xml:space="preserve">Mr. Talebian referred Council members to a monovalent </w:t>
      </w:r>
      <w:r w:rsidRPr="00723AF1">
        <w:rPr>
          <w:i/>
        </w:rPr>
        <w:t xml:space="preserve">Haemophilus </w:t>
      </w:r>
      <w:r w:rsidR="006512C9" w:rsidRPr="00723AF1">
        <w:rPr>
          <w:i/>
        </w:rPr>
        <w:t>influenza</w:t>
      </w:r>
      <w:r>
        <w:t xml:space="preserve"> type b (Hib) conjugate vaccine</w:t>
      </w:r>
      <w:r w:rsidR="00723AF1">
        <w:t>s</w:t>
      </w:r>
      <w:r>
        <w:t xml:space="preserve"> handout. He noted that the Council discussed the Hib vaccine family in 2015. At that time the Council recommended that DPH continue to supply only one form</w:t>
      </w:r>
      <w:r w:rsidR="00723AF1">
        <w:t xml:space="preserve">ulation of Hib vaccine (ActHib). He </w:t>
      </w:r>
      <w:r w:rsidR="00826E6B">
        <w:t>added that t</w:t>
      </w:r>
      <w:r w:rsidR="00723AF1">
        <w:t xml:space="preserve">he Council’s </w:t>
      </w:r>
      <w:r w:rsidR="00826E6B">
        <w:t xml:space="preserve">deliberation </w:t>
      </w:r>
      <w:r w:rsidR="00723AF1">
        <w:t xml:space="preserve">at this meeting </w:t>
      </w:r>
      <w:r w:rsidR="00826E6B">
        <w:t xml:space="preserve">would not include </w:t>
      </w:r>
      <w:r w:rsidR="00EF2B09">
        <w:t xml:space="preserve">an option of </w:t>
      </w:r>
      <w:r w:rsidR="00826E6B">
        <w:t>recommending Hiberix as the only Hib vaccine for the DPH formulary</w:t>
      </w:r>
      <w:r w:rsidR="00EF2B09">
        <w:t xml:space="preserve"> since DPH distributed ActHib containing combination vaccine and will need to continue to supply monovalent ActHib.</w:t>
      </w:r>
    </w:p>
    <w:p w:rsidR="005D0E4A" w:rsidRDefault="005D0E4A" w:rsidP="00B07166"/>
    <w:p w:rsidR="005D0E4A" w:rsidRDefault="00826E6B" w:rsidP="00B07166">
      <w:r>
        <w:t xml:space="preserve">A </w:t>
      </w:r>
      <w:r w:rsidR="005D0E4A">
        <w:t xml:space="preserve">report discussing the new Hiberix vaccine </w:t>
      </w:r>
      <w:r>
        <w:t xml:space="preserve">probably </w:t>
      </w:r>
      <w:r w:rsidR="005D0E4A">
        <w:t xml:space="preserve">will be published in </w:t>
      </w:r>
      <w:r w:rsidR="005D0E4A" w:rsidRPr="009D33D3">
        <w:rPr>
          <w:i/>
        </w:rPr>
        <w:t>Morbidity and Mortality Weekly</w:t>
      </w:r>
      <w:r w:rsidR="005D0E4A">
        <w:t xml:space="preserve"> (</w:t>
      </w:r>
      <w:r w:rsidR="005D0E4A" w:rsidRPr="009D33D3">
        <w:rPr>
          <w:i/>
        </w:rPr>
        <w:t>MMWR</w:t>
      </w:r>
      <w:r w:rsidR="009D33D3">
        <w:t>) in July 2016.</w:t>
      </w:r>
    </w:p>
    <w:p w:rsidR="005D0E4A" w:rsidRDefault="005D0E4A" w:rsidP="00B07166"/>
    <w:p w:rsidR="009D33D3" w:rsidRDefault="006512C9" w:rsidP="00B07166">
      <w:r>
        <w:t>Sanofi Pasteur and Merck Vaccines declined to present at this meeting, but were available to answer questions.</w:t>
      </w:r>
    </w:p>
    <w:p w:rsidR="009D33D3" w:rsidRDefault="009D33D3" w:rsidP="00B07166"/>
    <w:p w:rsidR="005D0E4A" w:rsidRDefault="006512C9" w:rsidP="00B07166">
      <w:r>
        <w:t xml:space="preserve">On behalf of GlaxoSmithKline, </w:t>
      </w:r>
      <w:r w:rsidR="005D0E4A">
        <w:t xml:space="preserve">Mr. Palazzo </w:t>
      </w:r>
      <w:r>
        <w:t>reviewed the Hiberix vaccine.</w:t>
      </w:r>
    </w:p>
    <w:p w:rsidR="00B07166" w:rsidRPr="00744FF0" w:rsidRDefault="00B07166" w:rsidP="00B07166">
      <w:pPr>
        <w:rPr>
          <w:color w:val="FF0000"/>
        </w:rPr>
      </w:pPr>
    </w:p>
    <w:p w:rsidR="00744FF0" w:rsidRDefault="00141470" w:rsidP="00B07166">
      <w:r w:rsidRPr="00141470">
        <w:t xml:space="preserve">Hiberix was </w:t>
      </w:r>
      <w:r w:rsidR="00123B4A">
        <w:t xml:space="preserve">approved by the FDA </w:t>
      </w:r>
      <w:r w:rsidRPr="00141470">
        <w:t>in the United States in August 2009 for use as a booster dose in children aged 15 months through 4 years under the A</w:t>
      </w:r>
      <w:r>
        <w:t>ccelerated Approval Regulations. This was in response to a Hib vaccine shortage.</w:t>
      </w:r>
    </w:p>
    <w:p w:rsidR="00744FF0" w:rsidRDefault="00744FF0" w:rsidP="00B07166"/>
    <w:p w:rsidR="00744FF0" w:rsidRDefault="002F449C" w:rsidP="00B07166">
      <w:r>
        <w:t>In January 2016, FDA approved the expanded use of Hiberix for a three-dose infant primary vaccination series at ages 2, 4, and 6 months.</w:t>
      </w:r>
      <w:r w:rsidR="00723AF1">
        <w:t xml:space="preserve"> Therefore, </w:t>
      </w:r>
      <w:r w:rsidR="00744FF0">
        <w:t>Hiberix is another vaccine option for both the primary and booster series. It is approved for 6 weeks through 4 years of age (prior to the 5</w:t>
      </w:r>
      <w:r w:rsidR="00744FF0" w:rsidRPr="00744FF0">
        <w:rPr>
          <w:vertAlign w:val="superscript"/>
        </w:rPr>
        <w:t>th</w:t>
      </w:r>
      <w:r w:rsidR="00744FF0">
        <w:t xml:space="preserve"> birthday).</w:t>
      </w:r>
    </w:p>
    <w:p w:rsidR="00744FF0" w:rsidRDefault="00744FF0" w:rsidP="00B07166"/>
    <w:p w:rsidR="004C4CEC" w:rsidRDefault="00723AF1" w:rsidP="00B07166">
      <w:r>
        <w:t>Mr. Palazzo reviewed i</w:t>
      </w:r>
      <w:r w:rsidR="004C4CEC">
        <w:t>mmunogenicit</w:t>
      </w:r>
      <w:r>
        <w:t>y and safety data.</w:t>
      </w:r>
    </w:p>
    <w:p w:rsidR="004C4CEC" w:rsidRDefault="004C4CEC" w:rsidP="004C4CEC"/>
    <w:p w:rsidR="004C4CEC" w:rsidRDefault="004C4CEC" w:rsidP="004C4CEC">
      <w:r>
        <w:t>Council questions following the presentation</w:t>
      </w:r>
      <w:r w:rsidR="00723AF1">
        <w:t xml:space="preserve"> included:</w:t>
      </w:r>
    </w:p>
    <w:p w:rsidR="004C4CEC" w:rsidRDefault="004C4CEC" w:rsidP="004C4CEC"/>
    <w:p w:rsidR="004C4CEC" w:rsidRDefault="00744FF0" w:rsidP="004C4CEC">
      <w:r w:rsidRPr="00723AF1">
        <w:rPr>
          <w:i/>
        </w:rPr>
        <w:t>Is any data available on interchangeability with other Hib products</w:t>
      </w:r>
      <w:r w:rsidR="004C4CEC" w:rsidRPr="00723AF1">
        <w:rPr>
          <w:i/>
        </w:rPr>
        <w:t xml:space="preserve"> if the primary series is completed with one vaccine, and finished with another</w:t>
      </w:r>
      <w:r w:rsidRPr="00723AF1">
        <w:rPr>
          <w:i/>
        </w:rPr>
        <w:t>?</w:t>
      </w:r>
      <w:r w:rsidR="004C4CEC">
        <w:t xml:space="preserve">  Dr. Silverstein noted that although no data is available, CDC has determined that the three Hib-containing vaccines are interchangeable.</w:t>
      </w:r>
    </w:p>
    <w:p w:rsidR="00744FF0" w:rsidRDefault="00744FF0" w:rsidP="00B07166"/>
    <w:p w:rsidR="004C4CEC" w:rsidRDefault="00744FF0" w:rsidP="00B07166">
      <w:r w:rsidRPr="00723AF1">
        <w:rPr>
          <w:i/>
        </w:rPr>
        <w:t>Is there any advantage to using this vaccine instead of the other</w:t>
      </w:r>
      <w:r w:rsidR="004C4CEC" w:rsidRPr="00723AF1">
        <w:rPr>
          <w:i/>
        </w:rPr>
        <w:t xml:space="preserve"> vaccines?</w:t>
      </w:r>
      <w:r w:rsidR="004C4CEC">
        <w:t xml:space="preserve"> Dr. Silverstein noted that no data is available that determines the advantage of administering one vaccine over another.</w:t>
      </w:r>
    </w:p>
    <w:p w:rsidR="004C4CEC" w:rsidRDefault="004C4CEC" w:rsidP="00B07166"/>
    <w:p w:rsidR="009D33D3" w:rsidRDefault="00826E6B" w:rsidP="00B07166">
      <w:r w:rsidRPr="00826E6B">
        <w:lastRenderedPageBreak/>
        <w:t xml:space="preserve">The Council deliberated whether it should recommend that Hiberix </w:t>
      </w:r>
      <w:r w:rsidR="00723AF1">
        <w:t xml:space="preserve">be added to </w:t>
      </w:r>
      <w:r w:rsidRPr="00826E6B">
        <w:t>t</w:t>
      </w:r>
      <w:r w:rsidR="00723AF1">
        <w:t>he DPH formulary moving forward.</w:t>
      </w:r>
    </w:p>
    <w:p w:rsidR="004C4CEC" w:rsidRDefault="004C4CEC" w:rsidP="00B07166"/>
    <w:p w:rsidR="00A2371B" w:rsidRDefault="00A2371B" w:rsidP="00B07166">
      <w:r>
        <w:t xml:space="preserve">The </w:t>
      </w:r>
      <w:r w:rsidR="00576128">
        <w:t xml:space="preserve">primary series and booster dose </w:t>
      </w:r>
      <w:r>
        <w:t xml:space="preserve">schedule </w:t>
      </w:r>
      <w:r w:rsidR="00576128">
        <w:t xml:space="preserve">are </w:t>
      </w:r>
      <w:r>
        <w:t>the same for both vaccines.</w:t>
      </w:r>
    </w:p>
    <w:p w:rsidR="00A2371B" w:rsidRDefault="00A2371B" w:rsidP="00B07166"/>
    <w:p w:rsidR="00A2371B" w:rsidRDefault="00A2371B" w:rsidP="00B07166">
      <w:r>
        <w:t xml:space="preserve">The cost difference between </w:t>
      </w:r>
      <w:r w:rsidR="00723AF1">
        <w:t>the vaccines</w:t>
      </w:r>
      <w:r>
        <w:t xml:space="preserve"> is negligible.</w:t>
      </w:r>
    </w:p>
    <w:p w:rsidR="00A2371B" w:rsidRDefault="00A2371B" w:rsidP="00B07166"/>
    <w:p w:rsidR="00A2371B" w:rsidRPr="00826E6B" w:rsidRDefault="00A2371B" w:rsidP="00B07166">
      <w:r>
        <w:t>Like ActHIB, Hiberix must be reconstituted.</w:t>
      </w:r>
    </w:p>
    <w:p w:rsidR="009D33D3" w:rsidRDefault="009D33D3" w:rsidP="00B07166">
      <w:pPr>
        <w:rPr>
          <w:b/>
        </w:rPr>
      </w:pPr>
    </w:p>
    <w:p w:rsidR="006B5084" w:rsidRPr="006B5084" w:rsidRDefault="006B5084" w:rsidP="00B07166">
      <w:r w:rsidRPr="006B5084">
        <w:t>After discussion, a motion was made to include Hiberix in the DPH formulary moving forward</w:t>
      </w:r>
      <w:r w:rsidR="00EF2B09">
        <w:t xml:space="preserve"> and to offer provider choice of either ActHib or Hiberix</w:t>
      </w:r>
      <w:r w:rsidRPr="006B5084">
        <w:t>. The motion was seconded and carried.</w:t>
      </w:r>
    </w:p>
    <w:p w:rsidR="006B5084" w:rsidRDefault="006B5084" w:rsidP="00B07166">
      <w:pPr>
        <w:rPr>
          <w:b/>
        </w:rPr>
      </w:pPr>
    </w:p>
    <w:p w:rsidR="006B5084" w:rsidRDefault="006B5084" w:rsidP="00B07166">
      <w:pPr>
        <w:rPr>
          <w:b/>
        </w:rPr>
      </w:pPr>
      <w:r>
        <w:rPr>
          <w:b/>
        </w:rPr>
        <w:t>Discussi</w:t>
      </w:r>
      <w:r w:rsidR="00FA7C35">
        <w:rPr>
          <w:b/>
        </w:rPr>
        <w:t>on</w:t>
      </w:r>
      <w:r>
        <w:rPr>
          <w:b/>
        </w:rPr>
        <w:t xml:space="preserve"> Regarding Future Topics for Consideration</w:t>
      </w:r>
    </w:p>
    <w:p w:rsidR="006B5084" w:rsidRDefault="006B5084" w:rsidP="00B07166">
      <w:pPr>
        <w:rPr>
          <w:b/>
        </w:rPr>
      </w:pPr>
    </w:p>
    <w:p w:rsidR="006B5084" w:rsidRPr="006B5084" w:rsidRDefault="006B5084" w:rsidP="00B07166">
      <w:r w:rsidRPr="006B5084">
        <w:t>The next Council m</w:t>
      </w:r>
      <w:r w:rsidR="006F24C7">
        <w:t>eeting is October 13, 2016.</w:t>
      </w:r>
    </w:p>
    <w:p w:rsidR="006B5084" w:rsidRDefault="006B5084" w:rsidP="00B07166">
      <w:pPr>
        <w:rPr>
          <w:b/>
        </w:rPr>
      </w:pPr>
    </w:p>
    <w:p w:rsidR="006B5084" w:rsidRDefault="006B5084" w:rsidP="00B07166">
      <w:r w:rsidRPr="006B5084">
        <w:t xml:space="preserve">At the January </w:t>
      </w:r>
      <w:r>
        <w:t xml:space="preserve">2016 </w:t>
      </w:r>
      <w:r w:rsidRPr="006B5084">
        <w:t>Council meeting</w:t>
      </w:r>
      <w:r w:rsidR="00885DE2">
        <w:t>,</w:t>
      </w:r>
      <w:r w:rsidRPr="006B5084">
        <w:t xml:space="preserve"> a decision regarding meningococcal B vaccines (MenB) was delayed until the October meeting. MenB </w:t>
      </w:r>
      <w:r w:rsidR="00885DE2">
        <w:t xml:space="preserve">vaccines </w:t>
      </w:r>
      <w:r w:rsidRPr="006B5084">
        <w:t xml:space="preserve">will be reconsidered at that </w:t>
      </w:r>
      <w:r>
        <w:t xml:space="preserve">meeting. Distribution numbers and other current data will be </w:t>
      </w:r>
      <w:r w:rsidR="006F24C7">
        <w:t>provided for Council members at that meeting.</w:t>
      </w:r>
    </w:p>
    <w:p w:rsidR="006B5084" w:rsidRDefault="006B5084" w:rsidP="00B07166"/>
    <w:p w:rsidR="006B5084" w:rsidRPr="006B5084" w:rsidRDefault="006B5084" w:rsidP="00B07166">
      <w:r>
        <w:t>A Council member requested that the minutes from the January 2016 meeting be re-sent to Council members prior to the October meeting.</w:t>
      </w:r>
    </w:p>
    <w:p w:rsidR="006B5084" w:rsidRDefault="006B5084" w:rsidP="00B07166">
      <w:pPr>
        <w:rPr>
          <w:b/>
        </w:rPr>
      </w:pPr>
    </w:p>
    <w:p w:rsidR="006B5084" w:rsidRDefault="006B5084" w:rsidP="00B07166">
      <w:r w:rsidRPr="006B5084">
        <w:t xml:space="preserve">Council members were queried as to whether getting to MMS for a 4:00 p.m. meeting was proving to be difficult and whether members would prefer to meet at a different time, such as 6:00 to 8:00 p.m. </w:t>
      </w:r>
      <w:r>
        <w:t>There was consensus that the meeting time should remain unchanged (4:00-6:00 p.m.).</w:t>
      </w:r>
    </w:p>
    <w:p w:rsidR="006B5084" w:rsidRDefault="006B5084" w:rsidP="00B07166"/>
    <w:p w:rsidR="006B5084" w:rsidRPr="006B5084" w:rsidRDefault="006B5084" w:rsidP="00B07166">
      <w:r>
        <w:t>The meeting was adjourned.</w:t>
      </w:r>
    </w:p>
    <w:p w:rsidR="006B5084" w:rsidRDefault="006B5084" w:rsidP="00B07166">
      <w:pPr>
        <w:rPr>
          <w:b/>
        </w:rPr>
      </w:pPr>
    </w:p>
    <w:p w:rsidR="00525B6A" w:rsidRPr="00FA7C35" w:rsidRDefault="00880E16" w:rsidP="006B5084">
      <w:pPr>
        <w:rPr>
          <w:u w:val="single"/>
          <w:lang w:val="en"/>
        </w:rPr>
      </w:pPr>
      <w:r w:rsidRPr="00FA7C35">
        <w:rPr>
          <w:u w:val="single"/>
          <w:lang w:val="en"/>
        </w:rPr>
        <w:t xml:space="preserve">Future Meeting </w:t>
      </w:r>
      <w:r w:rsidR="00525B6A" w:rsidRPr="00FA7C35">
        <w:rPr>
          <w:u w:val="single"/>
          <w:lang w:val="en"/>
        </w:rPr>
        <w:t>Dates</w:t>
      </w:r>
      <w:r w:rsidRPr="00FA7C35">
        <w:rPr>
          <w:u w:val="single"/>
          <w:lang w:val="en"/>
        </w:rPr>
        <w:t xml:space="preserve">: </w:t>
      </w:r>
    </w:p>
    <w:p w:rsidR="00525B6A" w:rsidRDefault="00525B6A" w:rsidP="002B3ACC">
      <w:pPr>
        <w:tabs>
          <w:tab w:val="left" w:pos="3525"/>
        </w:tabs>
        <w:rPr>
          <w:lang w:val="en"/>
        </w:rPr>
      </w:pPr>
    </w:p>
    <w:p w:rsidR="00334A96" w:rsidRDefault="00334A96" w:rsidP="006B5084">
      <w:pPr>
        <w:rPr>
          <w:lang w:val="en"/>
        </w:rPr>
      </w:pPr>
      <w:r>
        <w:rPr>
          <w:lang w:val="en"/>
        </w:rPr>
        <w:t>October 13, 2016</w:t>
      </w:r>
    </w:p>
    <w:p w:rsidR="002B3ACC" w:rsidRDefault="00622C1B" w:rsidP="006B5084">
      <w:pPr>
        <w:rPr>
          <w:lang w:val="en"/>
        </w:rPr>
      </w:pPr>
      <w:r>
        <w:rPr>
          <w:lang w:val="en"/>
        </w:rPr>
        <w:t>March 9, 2017</w:t>
      </w:r>
    </w:p>
    <w:p w:rsidR="00B57777" w:rsidRDefault="00B57777" w:rsidP="006B5084">
      <w:pPr>
        <w:rPr>
          <w:lang w:val="en"/>
        </w:rPr>
      </w:pPr>
      <w:r>
        <w:rPr>
          <w:lang w:val="en"/>
        </w:rPr>
        <w:t>June 8, 2017</w:t>
      </w:r>
    </w:p>
    <w:p w:rsidR="00B57777" w:rsidRDefault="00B57777" w:rsidP="006B5084">
      <w:pPr>
        <w:rPr>
          <w:lang w:val="en"/>
        </w:rPr>
      </w:pPr>
      <w:r>
        <w:rPr>
          <w:lang w:val="en"/>
        </w:rPr>
        <w:t>October 12, 2017</w:t>
      </w:r>
    </w:p>
    <w:p w:rsidR="0072662B" w:rsidRDefault="0072662B" w:rsidP="00525B6A">
      <w:pPr>
        <w:ind w:left="1440"/>
        <w:rPr>
          <w:lang w:val="en"/>
        </w:rPr>
      </w:pPr>
    </w:p>
    <w:p w:rsidR="00D579A4" w:rsidRDefault="00385950">
      <w:pPr>
        <w:rPr>
          <w:lang w:val="en"/>
        </w:rPr>
      </w:pPr>
      <w:r>
        <w:rPr>
          <w:lang w:val="en"/>
        </w:rPr>
        <w:t xml:space="preserve">MVPAC webpage: </w:t>
      </w:r>
    </w:p>
    <w:p w:rsidR="00D579A4" w:rsidRPr="00385950" w:rsidRDefault="00385950" w:rsidP="00385950">
      <w:pPr>
        <w:rPr>
          <w:lang w:val="en"/>
        </w:rPr>
      </w:pPr>
      <w:hyperlink r:id="rId14" w:history="1">
        <w:r w:rsidRPr="00DD7D63">
          <w:rPr>
            <w:rStyle w:val="Hyperlink"/>
            <w:lang w:val="en"/>
          </w:rPr>
          <w:t>http://www.mass.gov/eohhs/gov/</w:t>
        </w:r>
        <w:r w:rsidRPr="00DD7D63">
          <w:rPr>
            <w:rStyle w:val="Hyperlink"/>
            <w:lang w:val="en"/>
          </w:rPr>
          <w:t>d</w:t>
        </w:r>
        <w:r w:rsidRPr="00DD7D63">
          <w:rPr>
            <w:rStyle w:val="Hyperlink"/>
            <w:lang w:val="en"/>
          </w:rPr>
          <w:t>epartments/dph/pro</w:t>
        </w:r>
        <w:r w:rsidRPr="00DD7D63">
          <w:rPr>
            <w:rStyle w:val="Hyperlink"/>
            <w:lang w:val="en"/>
          </w:rPr>
          <w:t>g</w:t>
        </w:r>
        <w:r w:rsidRPr="00DD7D63">
          <w:rPr>
            <w:rStyle w:val="Hyperlink"/>
            <w:lang w:val="en"/>
          </w:rPr>
          <w:t>rams/id/</w:t>
        </w:r>
        <w:r w:rsidRPr="00DD7D63">
          <w:rPr>
            <w:rStyle w:val="Hyperlink"/>
            <w:lang w:val="en"/>
          </w:rPr>
          <w:t>i</w:t>
        </w:r>
        <w:r w:rsidRPr="00DD7D63">
          <w:rPr>
            <w:rStyle w:val="Hyperlink"/>
            <w:lang w:val="en"/>
          </w:rPr>
          <w:t>mmunization/mvpac.html</w:t>
        </w:r>
      </w:hyperlink>
      <w:r>
        <w:rPr>
          <w:lang w:val="en"/>
        </w:rPr>
        <w:t xml:space="preserve"> </w:t>
      </w:r>
    </w:p>
    <w:sectPr w:rsidR="00D579A4" w:rsidRPr="00385950" w:rsidSect="00BE53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741" w:rsidRDefault="00CF4741">
      <w:r>
        <w:separator/>
      </w:r>
    </w:p>
  </w:endnote>
  <w:endnote w:type="continuationSeparator" w:id="0">
    <w:p w:rsidR="00CF4741" w:rsidRDefault="00CF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94E" w:rsidRDefault="00C449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EC" w:rsidRPr="00BE5385" w:rsidRDefault="004C4CEC" w:rsidP="00BE5385">
    <w:pPr>
      <w:pStyle w:val="Footer"/>
      <w:rPr>
        <w:sz w:val="18"/>
        <w:szCs w:val="18"/>
      </w:rPr>
    </w:pPr>
    <w:r w:rsidRPr="00BE5385">
      <w:rPr>
        <w:sz w:val="18"/>
        <w:szCs w:val="18"/>
      </w:rPr>
      <w:t>MVPAC Meeting Minutes – June 9, 2016</w:t>
    </w:r>
    <w:r w:rsidRPr="00BE5385">
      <w:rPr>
        <w:sz w:val="18"/>
        <w:szCs w:val="18"/>
      </w:rPr>
      <w:tab/>
    </w:r>
    <w:r w:rsidRPr="00BE5385">
      <w:rPr>
        <w:sz w:val="18"/>
        <w:szCs w:val="18"/>
      </w:rPr>
      <w:tab/>
      <w:t xml:space="preserve">Page </w:t>
    </w:r>
    <w:r w:rsidRPr="00BE5385">
      <w:rPr>
        <w:sz w:val="18"/>
        <w:szCs w:val="18"/>
      </w:rPr>
      <w:fldChar w:fldCharType="begin"/>
    </w:r>
    <w:r w:rsidRPr="00BE5385">
      <w:rPr>
        <w:sz w:val="18"/>
        <w:szCs w:val="18"/>
      </w:rPr>
      <w:instrText xml:space="preserve"> PAGE   \* MERGEFORMAT </w:instrText>
    </w:r>
    <w:r w:rsidRPr="00BE5385">
      <w:rPr>
        <w:sz w:val="18"/>
        <w:szCs w:val="18"/>
      </w:rPr>
      <w:fldChar w:fldCharType="separate"/>
    </w:r>
    <w:r w:rsidR="00AD6844">
      <w:rPr>
        <w:noProof/>
        <w:sz w:val="18"/>
        <w:szCs w:val="18"/>
      </w:rPr>
      <w:t>1</w:t>
    </w:r>
    <w:r w:rsidRPr="00BE5385">
      <w:rPr>
        <w:noProof/>
        <w:sz w:val="18"/>
        <w:szCs w:val="18"/>
      </w:rPr>
      <w:fldChar w:fldCharType="end"/>
    </w:r>
  </w:p>
  <w:p w:rsidR="004C4CEC" w:rsidRDefault="004C4C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94E" w:rsidRDefault="00C449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741" w:rsidRDefault="00CF4741">
      <w:r>
        <w:separator/>
      </w:r>
    </w:p>
  </w:footnote>
  <w:footnote w:type="continuationSeparator" w:id="0">
    <w:p w:rsidR="00CF4741" w:rsidRDefault="00CF4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94E" w:rsidRDefault="00C449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EC" w:rsidRPr="008D32DD" w:rsidRDefault="004C4CEC" w:rsidP="008D32DD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  <w:sz w:val="32"/>
        <w:szCs w:val="32"/>
      </w:rPr>
    </w:pPr>
    <w:r>
      <w:rPr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94E" w:rsidRDefault="00C449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660A"/>
    <w:multiLevelType w:val="multilevel"/>
    <w:tmpl w:val="2520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1774483"/>
    <w:multiLevelType w:val="hybridMultilevel"/>
    <w:tmpl w:val="42A2BFD6"/>
    <w:lvl w:ilvl="0" w:tplc="EBB64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C2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44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96E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E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AE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6A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03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21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E747AFF"/>
    <w:multiLevelType w:val="multilevel"/>
    <w:tmpl w:val="AB98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C2096"/>
    <w:multiLevelType w:val="hybridMultilevel"/>
    <w:tmpl w:val="913E9FB6"/>
    <w:lvl w:ilvl="0" w:tplc="8EA28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807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4B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C05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2C6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28B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28C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02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28D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53239F5"/>
    <w:multiLevelType w:val="multilevel"/>
    <w:tmpl w:val="984E7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2161F6D"/>
    <w:multiLevelType w:val="multilevel"/>
    <w:tmpl w:val="3DD8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3412B"/>
    <w:multiLevelType w:val="multilevel"/>
    <w:tmpl w:val="329CF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A4"/>
    <w:rsid w:val="000052A0"/>
    <w:rsid w:val="00034B9F"/>
    <w:rsid w:val="000506C3"/>
    <w:rsid w:val="000B527F"/>
    <w:rsid w:val="000C03F9"/>
    <w:rsid w:val="000C29BE"/>
    <w:rsid w:val="000D5A4F"/>
    <w:rsid w:val="000D662B"/>
    <w:rsid w:val="000E1125"/>
    <w:rsid w:val="0011557F"/>
    <w:rsid w:val="00120716"/>
    <w:rsid w:val="00123052"/>
    <w:rsid w:val="00123B4A"/>
    <w:rsid w:val="00126C0B"/>
    <w:rsid w:val="00141470"/>
    <w:rsid w:val="0015253A"/>
    <w:rsid w:val="001578EF"/>
    <w:rsid w:val="0016240B"/>
    <w:rsid w:val="001C1E47"/>
    <w:rsid w:val="00224025"/>
    <w:rsid w:val="00242675"/>
    <w:rsid w:val="002802E0"/>
    <w:rsid w:val="002B3ACC"/>
    <w:rsid w:val="002D3319"/>
    <w:rsid w:val="002F449C"/>
    <w:rsid w:val="00303F3C"/>
    <w:rsid w:val="00321C53"/>
    <w:rsid w:val="00334A96"/>
    <w:rsid w:val="0033548D"/>
    <w:rsid w:val="00385950"/>
    <w:rsid w:val="00387722"/>
    <w:rsid w:val="003902B7"/>
    <w:rsid w:val="003B2106"/>
    <w:rsid w:val="003E428B"/>
    <w:rsid w:val="00400F3C"/>
    <w:rsid w:val="00412D45"/>
    <w:rsid w:val="00416ACC"/>
    <w:rsid w:val="00442D4C"/>
    <w:rsid w:val="004434AC"/>
    <w:rsid w:val="004478A9"/>
    <w:rsid w:val="00472D39"/>
    <w:rsid w:val="0048675E"/>
    <w:rsid w:val="00493F29"/>
    <w:rsid w:val="004A2A38"/>
    <w:rsid w:val="004C4CEC"/>
    <w:rsid w:val="004F3A9F"/>
    <w:rsid w:val="005120C5"/>
    <w:rsid w:val="00525B6A"/>
    <w:rsid w:val="00546815"/>
    <w:rsid w:val="00561C3C"/>
    <w:rsid w:val="00576128"/>
    <w:rsid w:val="00591EAF"/>
    <w:rsid w:val="005C71B2"/>
    <w:rsid w:val="005D0E4A"/>
    <w:rsid w:val="005E21BD"/>
    <w:rsid w:val="005E4275"/>
    <w:rsid w:val="005F017C"/>
    <w:rsid w:val="005F5286"/>
    <w:rsid w:val="00603775"/>
    <w:rsid w:val="00621E94"/>
    <w:rsid w:val="00622C1B"/>
    <w:rsid w:val="006512C9"/>
    <w:rsid w:val="00656D30"/>
    <w:rsid w:val="006B5084"/>
    <w:rsid w:val="006C73D6"/>
    <w:rsid w:val="006F24C7"/>
    <w:rsid w:val="00721184"/>
    <w:rsid w:val="00723AF1"/>
    <w:rsid w:val="0072662B"/>
    <w:rsid w:val="00744FF0"/>
    <w:rsid w:val="00754FCB"/>
    <w:rsid w:val="00763FF9"/>
    <w:rsid w:val="0077159C"/>
    <w:rsid w:val="007A309A"/>
    <w:rsid w:val="007F0288"/>
    <w:rsid w:val="00826E6B"/>
    <w:rsid w:val="0085364A"/>
    <w:rsid w:val="00880E16"/>
    <w:rsid w:val="00881CE9"/>
    <w:rsid w:val="00885DE2"/>
    <w:rsid w:val="008A0712"/>
    <w:rsid w:val="008A0BE2"/>
    <w:rsid w:val="008B2789"/>
    <w:rsid w:val="008C0D72"/>
    <w:rsid w:val="008D16EE"/>
    <w:rsid w:val="008D32DD"/>
    <w:rsid w:val="008F0ADC"/>
    <w:rsid w:val="00934AC1"/>
    <w:rsid w:val="0094516D"/>
    <w:rsid w:val="00951E6C"/>
    <w:rsid w:val="00953531"/>
    <w:rsid w:val="00974C99"/>
    <w:rsid w:val="00974FA6"/>
    <w:rsid w:val="009B400F"/>
    <w:rsid w:val="009B6C0C"/>
    <w:rsid w:val="009D33D3"/>
    <w:rsid w:val="009F7041"/>
    <w:rsid w:val="00A10077"/>
    <w:rsid w:val="00A2371B"/>
    <w:rsid w:val="00A27ED0"/>
    <w:rsid w:val="00A6766B"/>
    <w:rsid w:val="00AC0866"/>
    <w:rsid w:val="00AD2CEC"/>
    <w:rsid w:val="00AD6844"/>
    <w:rsid w:val="00AF45E4"/>
    <w:rsid w:val="00AF4B96"/>
    <w:rsid w:val="00B07166"/>
    <w:rsid w:val="00B239FF"/>
    <w:rsid w:val="00B57777"/>
    <w:rsid w:val="00B90A0B"/>
    <w:rsid w:val="00BE5385"/>
    <w:rsid w:val="00BE5641"/>
    <w:rsid w:val="00BE6473"/>
    <w:rsid w:val="00C4494E"/>
    <w:rsid w:val="00C50C04"/>
    <w:rsid w:val="00C943F6"/>
    <w:rsid w:val="00CD241A"/>
    <w:rsid w:val="00CF4741"/>
    <w:rsid w:val="00D034F4"/>
    <w:rsid w:val="00D15CD1"/>
    <w:rsid w:val="00D304CD"/>
    <w:rsid w:val="00D514DA"/>
    <w:rsid w:val="00D579A4"/>
    <w:rsid w:val="00D907D3"/>
    <w:rsid w:val="00D92DBC"/>
    <w:rsid w:val="00DA7E95"/>
    <w:rsid w:val="00DB1F7A"/>
    <w:rsid w:val="00E40205"/>
    <w:rsid w:val="00E43BD7"/>
    <w:rsid w:val="00E4741B"/>
    <w:rsid w:val="00E61A5F"/>
    <w:rsid w:val="00E90B8F"/>
    <w:rsid w:val="00EC252E"/>
    <w:rsid w:val="00ED6776"/>
    <w:rsid w:val="00EF2B09"/>
    <w:rsid w:val="00F3351A"/>
    <w:rsid w:val="00F477A4"/>
    <w:rsid w:val="00F5243A"/>
    <w:rsid w:val="00F91B94"/>
    <w:rsid w:val="00FA7C35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E53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E53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4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7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7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48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5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hyperlink" TargetMode="External" Target="http://www.mass.gov/eohhs/gov/departments/dph/programs/id/immunization/mvpac.ht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</vt:lpstr>
    </vt:vector>
  </TitlesOfParts>
  <Company>DPH</Company>
  <LinksUpToDate>false</LinksUpToDate>
  <CharactersWithSpaces>9760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http://www.mass.gov/eohhs/gov/departments/dph/programs/id/immunization/mvpac.html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2016-07-19T14:45:00Z</dcterms:created>
  <dc:creator>DPH</dc:creator>
  <lastModifiedBy>Rebecca Vanucci</lastModifiedBy>
  <dcterms:modified xsi:type="dcterms:W3CDTF">2016-07-19T14:45:00Z</dcterms:modified>
  <revision>2</revision>
  <dc:title>Massachusetts Department of Public Health</dc:title>
</coreProperties>
</file>