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37DA" w:rsidP="000F315B" w:rsidRDefault="000537DA" w14:paraId="5ADAFEDD"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1E7041B9" w14:textId="77777777">
      <w:pPr>
        <w:pStyle w:val="ExecOffice"/>
        <w:framePr w:w="6926" w:wrap="notBeside" w:vAnchor="page" w:x="2884" w:y="711"/>
      </w:pPr>
      <w:r>
        <w:t>Executive Office of Health and Human Services</w:t>
      </w:r>
    </w:p>
    <w:p w:rsidR="000537DA" w:rsidP="000F315B" w:rsidRDefault="000537DA" w14:paraId="53961D17" w14:textId="77777777">
      <w:pPr>
        <w:pStyle w:val="ExecOffice"/>
        <w:framePr w:w="6926" w:wrap="notBeside" w:vAnchor="page" w:x="2884" w:y="711"/>
      </w:pPr>
      <w:r>
        <w:t>Department of Public Health</w:t>
      </w:r>
    </w:p>
    <w:p w:rsidR="006D06D9" w:rsidP="000F315B" w:rsidRDefault="000537DA" w14:paraId="40E6CEC0" w14:textId="77777777">
      <w:pPr>
        <w:pStyle w:val="ExecOffice"/>
        <w:framePr w:w="6926" w:wrap="notBeside" w:vAnchor="page" w:x="2884" w:y="711"/>
      </w:pPr>
      <w:r>
        <w:t>250 Washington Street, Boston, MA 02108-4619</w:t>
      </w:r>
    </w:p>
    <w:p w:rsidR="00BA4055" w:rsidP="00BA4055" w:rsidRDefault="00C46D29" w14:paraId="71967BF5" w14:textId="77777777">
      <w:pPr>
        <w:framePr w:w="1927" w:hSpace="180" w:wrap="auto" w:hAnchor="page" w:vAnchor="text" w:x="940" w:y="-951"/>
        <w:rPr>
          <w:rFonts w:ascii="LinePrinter" w:hAnsi="LinePrinter"/>
        </w:rPr>
      </w:pPr>
      <w:r>
        <w:rPr>
          <w:rFonts w:ascii="LinePrinter" w:hAnsi="LinePrinter"/>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P="0072610D" w:rsidRDefault="000B7D96" w14:paraId="351E4889" w14:textId="77777777">
      <w:r>
        <w:rPr>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00FC6B42" w:rsidP="0072610D" w:rsidRDefault="00FC6B42" w14:paraId="65D18436" w14:textId="77777777"/>
    <w:p w:rsidR="00FC6B42" w:rsidP="0072610D" w:rsidRDefault="00FC6B42" w14:paraId="31CA00A8" w14:textId="77777777"/>
    <w:p w:rsidR="00033154" w:rsidP="0072610D" w:rsidRDefault="00033154" w14:paraId="2D87FC3B" w14:textId="77777777"/>
    <w:p w:rsidR="00033154" w:rsidP="0072610D" w:rsidRDefault="00033154" w14:paraId="54E43D0C" w14:textId="77777777"/>
    <w:p w:rsidR="00033154" w:rsidP="0072610D" w:rsidRDefault="00033154" w14:paraId="5306D87D" w14:textId="77777777"/>
    <w:p w:rsidR="00033154" w:rsidP="0072610D" w:rsidRDefault="00033154" w14:paraId="48AC192A" w14:textId="77777777"/>
    <w:p w:rsidR="00033154" w:rsidP="0072610D" w:rsidRDefault="00033154" w14:paraId="0D4E2D5D" w14:textId="77777777"/>
    <w:p w:rsidR="004500C5" w:rsidP="004500C5" w:rsidRDefault="004500C5" w14:paraId="337E446C" w14:textId="77777777">
      <w:pPr>
        <w:contextualSpacing/>
      </w:pPr>
    </w:p>
    <w:p w:rsidR="003815E7" w:rsidP="7274C1D9" w:rsidRDefault="5DFB8F58" w14:paraId="19D2D5B7" w14:textId="2D0ACCDA">
      <w:pPr>
        <w:spacing w:line="259" w:lineRule="auto"/>
        <w:jc w:val="center"/>
        <w:rPr>
          <w:rFonts w:ascii="Calibri" w:hAnsi="Calibri" w:eastAsia="Calibri" w:cs="Calibri"/>
          <w:sz w:val="22"/>
          <w:szCs w:val="22"/>
        </w:rPr>
      </w:pPr>
      <w:r w:rsidRPr="7274C1D9">
        <w:rPr>
          <w:rFonts w:ascii="Calibri" w:hAnsi="Calibri" w:eastAsia="Calibri" w:cs="Calibri"/>
          <w:b/>
          <w:bCs/>
          <w:color w:val="000000" w:themeColor="text1"/>
          <w:sz w:val="22"/>
          <w:szCs w:val="22"/>
        </w:rPr>
        <w:t>June 18, 2025</w:t>
      </w:r>
    </w:p>
    <w:p w:rsidR="003815E7" w:rsidP="4618209B" w:rsidRDefault="00ED04D2" w14:paraId="4960FE3E" w14:textId="71C066D9">
      <w:pPr>
        <w:rPr>
          <w:rFonts w:ascii="Calibri" w:hAnsi="Calibri" w:eastAsia="Calibri" w:cs="Calibri"/>
          <w:color w:val="000000" w:themeColor="text1"/>
          <w:sz w:val="22"/>
          <w:szCs w:val="22"/>
        </w:rPr>
      </w:pPr>
      <w:bookmarkStart w:name="_Hlk199917766" w:id="0"/>
      <w:r>
        <w:rPr>
          <w:rFonts w:ascii="Calibri" w:hAnsi="Calibri" w:eastAsia="Calibri" w:cs="Calibri"/>
          <w:color w:val="000000" w:themeColor="text1"/>
          <w:sz w:val="22"/>
          <w:szCs w:val="22"/>
        </w:rPr>
        <w:t>Edith Benisty</w:t>
      </w:r>
    </w:p>
    <w:p w:rsidR="003815E7" w:rsidP="4618209B" w:rsidRDefault="00ED04D2" w14:paraId="5B6F7EB8" w14:textId="4DF27C6A">
      <w:pPr>
        <w:rPr>
          <w:rFonts w:ascii="Calibri" w:hAnsi="Calibri" w:eastAsia="Calibri" w:cs="Calibri"/>
          <w:color w:val="000000" w:themeColor="text1"/>
          <w:sz w:val="22"/>
          <w:szCs w:val="22"/>
        </w:rPr>
      </w:pPr>
      <w:bookmarkStart w:name="_Hlk199917790" w:id="1"/>
      <w:bookmarkEnd w:id="0"/>
      <w:r>
        <w:rPr>
          <w:rFonts w:ascii="Calibri" w:hAnsi="Calibri" w:eastAsia="Calibri" w:cs="Calibri"/>
          <w:color w:val="000000" w:themeColor="text1"/>
          <w:sz w:val="22"/>
          <w:szCs w:val="22"/>
        </w:rPr>
        <w:t>KDC Attleboro Early Intervention Program</w:t>
      </w:r>
    </w:p>
    <w:bookmarkEnd w:id="1"/>
    <w:p w:rsidR="003815E7" w:rsidP="4618209B" w:rsidRDefault="00ED04D2" w14:paraId="3091C98B" w14:textId="0B52B61D">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25 Forest St. Attleboro, MA 02703</w:t>
      </w:r>
    </w:p>
    <w:p w:rsidR="003815E7" w:rsidP="4618209B" w:rsidRDefault="00211789" w14:paraId="165C5581" w14:textId="0C19959B">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Email: </w:t>
      </w:r>
      <w:r w:rsidR="00ED04D2">
        <w:rPr>
          <w:rFonts w:ascii="Calibri" w:hAnsi="Calibri" w:eastAsia="Calibri" w:cs="Calibri"/>
          <w:color w:val="000000" w:themeColor="text1"/>
          <w:sz w:val="22"/>
          <w:szCs w:val="22"/>
        </w:rPr>
        <w:t>ebenisty@kdc.org</w:t>
      </w:r>
    </w:p>
    <w:p w:rsidR="003815E7" w:rsidP="4618209B" w:rsidRDefault="003815E7" w14:paraId="70B11B52" w14:textId="428AE362">
      <w:pPr>
        <w:rPr>
          <w:rFonts w:ascii="Calibri" w:hAnsi="Calibri" w:eastAsia="Calibri" w:cs="Calibri"/>
          <w:color w:val="000000" w:themeColor="text1"/>
          <w:sz w:val="22"/>
          <w:szCs w:val="22"/>
        </w:rPr>
      </w:pPr>
    </w:p>
    <w:p w:rsidR="00211789" w:rsidP="4618209B" w:rsidRDefault="325EFD86" w14:paraId="65951E4D" w14:textId="24B865D6">
      <w:pPr>
        <w:rPr>
          <w:rFonts w:ascii="Calibri" w:hAnsi="Calibri" w:eastAsia="Calibri" w:cs="Calibri"/>
          <w:color w:val="000000" w:themeColor="text1"/>
          <w:sz w:val="22"/>
          <w:szCs w:val="22"/>
        </w:rPr>
      </w:pPr>
      <w:r w:rsidRPr="4618209B">
        <w:rPr>
          <w:rFonts w:ascii="Calibri" w:hAnsi="Calibri" w:eastAsia="Calibri" w:cs="Calibri"/>
          <w:color w:val="000000" w:themeColor="text1"/>
          <w:sz w:val="22"/>
          <w:szCs w:val="22"/>
        </w:rPr>
        <w:t xml:space="preserve">Dear </w:t>
      </w:r>
      <w:r w:rsidR="00ED04D2">
        <w:rPr>
          <w:rFonts w:ascii="Calibri" w:hAnsi="Calibri" w:eastAsia="Calibri" w:cs="Calibri"/>
          <w:color w:val="000000" w:themeColor="text1"/>
          <w:sz w:val="22"/>
          <w:szCs w:val="22"/>
        </w:rPr>
        <w:t>Edith Benisty</w:t>
      </w:r>
    </w:p>
    <w:p w:rsidR="00ED04D2" w:rsidP="00ED04D2" w:rsidRDefault="325EFD86" w14:paraId="11BD782D" w14:textId="77777777">
      <w:pPr>
        <w:rPr>
          <w:rFonts w:ascii="Calibri" w:hAnsi="Calibri" w:eastAsia="Calibri" w:cs="Calibri"/>
          <w:color w:val="000000" w:themeColor="text1"/>
          <w:sz w:val="22"/>
          <w:szCs w:val="22"/>
        </w:rPr>
      </w:pPr>
      <w:r w:rsidRPr="16BCAAAE">
        <w:rPr>
          <w:rFonts w:ascii="Calibri" w:hAnsi="Calibri" w:eastAsia="Calibri" w:cs="Calibri"/>
          <w:color w:val="000000" w:themeColor="text1"/>
          <w:sz w:val="22"/>
          <w:szCs w:val="22"/>
        </w:rPr>
        <w:t xml:space="preserve">The purpose of this letter is to provide an update on the status of the findings and corrective actions identified by the Department of Public Health’s (the Department) Early Intervention Division (EI Division) reported in the Cyclical </w:t>
      </w:r>
      <w:r w:rsidRPr="16BCAAAE" w:rsidR="51E9D157">
        <w:rPr>
          <w:rFonts w:ascii="Calibri" w:hAnsi="Calibri" w:eastAsia="Calibri" w:cs="Calibri"/>
          <w:color w:val="000000" w:themeColor="text1"/>
          <w:sz w:val="22"/>
          <w:szCs w:val="22"/>
        </w:rPr>
        <w:t>M</w:t>
      </w:r>
      <w:r w:rsidRPr="16BCAAAE">
        <w:rPr>
          <w:rFonts w:ascii="Calibri" w:hAnsi="Calibri" w:eastAsia="Calibri" w:cs="Calibri"/>
          <w:color w:val="000000" w:themeColor="text1"/>
          <w:sz w:val="22"/>
          <w:szCs w:val="22"/>
        </w:rPr>
        <w:t xml:space="preserve">onitoring report to </w:t>
      </w:r>
      <w:r w:rsidR="00ED04D2">
        <w:rPr>
          <w:rFonts w:ascii="Calibri" w:hAnsi="Calibri" w:eastAsia="Calibri" w:cs="Calibri"/>
          <w:color w:val="000000" w:themeColor="text1"/>
          <w:sz w:val="22"/>
          <w:szCs w:val="22"/>
        </w:rPr>
        <w:t>KDC Attleboro Early Intervention Program</w:t>
      </w:r>
    </w:p>
    <w:p w:rsidR="003815E7" w:rsidP="4618209B" w:rsidRDefault="008E6181" w14:paraId="6ACB873D" w14:textId="1E579379">
      <w:pPr>
        <w:rPr>
          <w:rFonts w:ascii="Calibri" w:hAnsi="Calibri" w:eastAsia="Calibri" w:cs="Calibri"/>
          <w:color w:val="000000" w:themeColor="text1"/>
          <w:sz w:val="22"/>
          <w:szCs w:val="22"/>
        </w:rPr>
      </w:pPr>
      <w:r w:rsidRPr="4E4E47E2" w:rsidR="008E6181">
        <w:rPr>
          <w:rFonts w:ascii="Calibri" w:hAnsi="Calibri" w:eastAsia="Calibri" w:cs="Calibri"/>
          <w:color w:val="000000" w:themeColor="text1" w:themeTint="FF" w:themeShade="FF"/>
          <w:sz w:val="22"/>
          <w:szCs w:val="22"/>
        </w:rPr>
        <w:t>d</w:t>
      </w:r>
      <w:r w:rsidRPr="4E4E47E2" w:rsidR="325EFD86">
        <w:rPr>
          <w:rFonts w:ascii="Calibri" w:hAnsi="Calibri" w:eastAsia="Calibri" w:cs="Calibri"/>
          <w:color w:val="000000" w:themeColor="text1" w:themeTint="FF" w:themeShade="FF"/>
          <w:sz w:val="22"/>
          <w:szCs w:val="22"/>
        </w:rPr>
        <w:t>ated</w:t>
      </w:r>
      <w:r w:rsidRPr="4E4E47E2" w:rsidR="008E6181">
        <w:rPr>
          <w:rFonts w:ascii="Calibri" w:hAnsi="Calibri" w:eastAsia="Calibri" w:cs="Calibri"/>
          <w:color w:val="000000" w:themeColor="text1" w:themeTint="FF" w:themeShade="FF"/>
          <w:sz w:val="22"/>
          <w:szCs w:val="22"/>
        </w:rPr>
        <w:t xml:space="preserve"> </w:t>
      </w:r>
      <w:r w:rsidRPr="4E4E47E2" w:rsidR="3C383A13">
        <w:rPr>
          <w:rFonts w:ascii="Calibri" w:hAnsi="Calibri" w:eastAsia="Calibri" w:cs="Calibri"/>
          <w:color w:val="000000" w:themeColor="text1" w:themeTint="FF" w:themeShade="FF"/>
          <w:sz w:val="22"/>
          <w:szCs w:val="22"/>
        </w:rPr>
        <w:t xml:space="preserve">January </w:t>
      </w:r>
      <w:r w:rsidRPr="4E4E47E2" w:rsidR="00DC235A">
        <w:rPr>
          <w:rFonts w:ascii="Calibri" w:hAnsi="Calibri" w:eastAsia="Calibri" w:cs="Calibri"/>
          <w:color w:val="000000" w:themeColor="text1" w:themeTint="FF" w:themeShade="FF"/>
          <w:sz w:val="22"/>
          <w:szCs w:val="22"/>
        </w:rPr>
        <w:t>9</w:t>
      </w:r>
      <w:r w:rsidRPr="4E4E47E2" w:rsidR="3C383A13">
        <w:rPr>
          <w:rFonts w:ascii="Calibri" w:hAnsi="Calibri" w:eastAsia="Calibri" w:cs="Calibri"/>
          <w:color w:val="000000" w:themeColor="text1" w:themeTint="FF" w:themeShade="FF"/>
          <w:sz w:val="22"/>
          <w:szCs w:val="22"/>
        </w:rPr>
        <w:t>, 2025</w:t>
      </w:r>
      <w:r w:rsidRPr="4E4E47E2" w:rsidR="325EFD86">
        <w:rPr>
          <w:rFonts w:ascii="Calibri" w:hAnsi="Calibri" w:eastAsia="Calibri" w:cs="Calibri"/>
          <w:color w:val="000000" w:themeColor="text1" w:themeTint="FF" w:themeShade="FF"/>
          <w:sz w:val="22"/>
          <w:szCs w:val="22"/>
        </w:rPr>
        <w:t>. Based upon the EI Division’s analysis of the revised policies and procedures and</w:t>
      </w:r>
      <w:r w:rsidRPr="4E4E47E2" w:rsidR="5DA30078">
        <w:rPr>
          <w:rFonts w:ascii="Calibri" w:hAnsi="Calibri" w:eastAsia="Calibri" w:cs="Calibri"/>
          <w:color w:val="000000" w:themeColor="text1" w:themeTint="FF" w:themeShade="FF"/>
          <w:sz w:val="22"/>
          <w:szCs w:val="22"/>
        </w:rPr>
        <w:t>/or</w:t>
      </w:r>
      <w:r w:rsidRPr="4E4E47E2" w:rsidR="325EFD86">
        <w:rPr>
          <w:rFonts w:ascii="Calibri" w:hAnsi="Calibri" w:eastAsia="Calibri" w:cs="Calibri"/>
          <w:color w:val="000000" w:themeColor="text1" w:themeTint="FF" w:themeShade="FF"/>
          <w:sz w:val="22"/>
          <w:szCs w:val="22"/>
        </w:rPr>
        <w:t xml:space="preserve"> evidence submitted by </w:t>
      </w:r>
      <w:bookmarkStart w:name="_Hlk199917879" w:id="5"/>
      <w:r w:rsidRPr="4E4E47E2" w:rsidR="00211789">
        <w:rPr>
          <w:rFonts w:ascii="Calibri" w:hAnsi="Calibri" w:eastAsia="Calibri" w:cs="Calibri"/>
          <w:color w:val="000000" w:themeColor="text1" w:themeTint="FF" w:themeShade="FF"/>
          <w:sz w:val="22"/>
          <w:szCs w:val="22"/>
        </w:rPr>
        <w:t>KDC Attleboro Early Intervention Program</w:t>
      </w:r>
      <w:bookmarkEnd w:id="5"/>
      <w:r w:rsidRPr="4E4E47E2" w:rsidR="00211789">
        <w:rPr>
          <w:rFonts w:ascii="Calibri" w:hAnsi="Calibri" w:eastAsia="Calibri" w:cs="Calibri"/>
          <w:color w:val="000000" w:themeColor="text1" w:themeTint="FF" w:themeShade="FF"/>
          <w:sz w:val="22"/>
          <w:szCs w:val="22"/>
        </w:rPr>
        <w:t xml:space="preserve">, </w:t>
      </w:r>
      <w:r w:rsidRPr="4E4E47E2" w:rsidR="000B7B1D">
        <w:rPr>
          <w:rFonts w:ascii="Calibri" w:hAnsi="Calibri" w:eastAsia="Calibri" w:cs="Calibri"/>
          <w:color w:val="000000" w:themeColor="text1" w:themeTint="FF" w:themeShade="FF"/>
          <w:sz w:val="22"/>
          <w:szCs w:val="22"/>
        </w:rPr>
        <w:t xml:space="preserve">as well as </w:t>
      </w:r>
      <w:r w:rsidRPr="4E4E47E2" w:rsidR="006A32C5">
        <w:rPr>
          <w:rFonts w:ascii="Calibri" w:hAnsi="Calibri" w:eastAsia="Calibri" w:cs="Calibri"/>
          <w:color w:val="000000" w:themeColor="text1" w:themeTint="FF" w:themeShade="FF"/>
          <w:sz w:val="22"/>
          <w:szCs w:val="22"/>
        </w:rPr>
        <w:t>subsequent data pulled from the Early Intervention Client System</w:t>
      </w:r>
      <w:r w:rsidRPr="4E4E47E2" w:rsidR="00924C12">
        <w:rPr>
          <w:rFonts w:ascii="Calibri" w:hAnsi="Calibri" w:eastAsia="Calibri" w:cs="Calibri"/>
          <w:color w:val="000000" w:themeColor="text1" w:themeTint="FF" w:themeShade="FF"/>
          <w:sz w:val="22"/>
          <w:szCs w:val="22"/>
        </w:rPr>
        <w:t xml:space="preserve"> on </w:t>
      </w:r>
      <w:r w:rsidRPr="4E4E47E2" w:rsidR="33B9B570">
        <w:rPr>
          <w:rFonts w:ascii="Calibri" w:hAnsi="Calibri" w:eastAsia="Calibri" w:cs="Calibri"/>
          <w:color w:val="000000" w:themeColor="text1" w:themeTint="FF" w:themeShade="FF"/>
          <w:sz w:val="22"/>
          <w:szCs w:val="22"/>
        </w:rPr>
        <w:t>April 30, 2025</w:t>
      </w:r>
      <w:r w:rsidRPr="4E4E47E2" w:rsidR="006A32C5">
        <w:rPr>
          <w:rFonts w:ascii="Calibri" w:hAnsi="Calibri" w:eastAsia="Calibri" w:cs="Calibri"/>
          <w:color w:val="000000" w:themeColor="text1" w:themeTint="FF" w:themeShade="FF"/>
          <w:sz w:val="22"/>
          <w:szCs w:val="22"/>
        </w:rPr>
        <w:t xml:space="preserve"> for all relevant requirements</w:t>
      </w:r>
      <w:r w:rsidRPr="4E4E47E2" w:rsidR="00924C12">
        <w:rPr>
          <w:rFonts w:ascii="Calibri" w:hAnsi="Calibri" w:eastAsia="Calibri" w:cs="Calibri"/>
          <w:color w:val="000000" w:themeColor="text1" w:themeTint="FF" w:themeShade="FF"/>
          <w:sz w:val="22"/>
          <w:szCs w:val="22"/>
        </w:rPr>
        <w:t xml:space="preserve">, </w:t>
      </w:r>
      <w:r w:rsidRPr="4E4E47E2" w:rsidR="325EFD86">
        <w:rPr>
          <w:rFonts w:ascii="Calibri" w:hAnsi="Calibri" w:eastAsia="Calibri" w:cs="Calibri"/>
          <w:color w:val="000000" w:themeColor="text1" w:themeTint="FF" w:themeShade="FF"/>
          <w:sz w:val="22"/>
          <w:szCs w:val="22"/>
        </w:rPr>
        <w:t xml:space="preserve">the EI Division has determined that the </w:t>
      </w:r>
      <w:r w:rsidRPr="4E4E47E2" w:rsidR="00211789">
        <w:rPr>
          <w:rFonts w:ascii="Calibri" w:hAnsi="Calibri" w:eastAsia="Calibri" w:cs="Calibri"/>
          <w:color w:val="000000" w:themeColor="text1" w:themeTint="FF" w:themeShade="FF"/>
          <w:sz w:val="22"/>
          <w:szCs w:val="22"/>
        </w:rPr>
        <w:t xml:space="preserve">KDC Attleboro Early Intervention Program </w:t>
      </w:r>
      <w:r w:rsidRPr="4E4E47E2" w:rsidR="325EFD86">
        <w:rPr>
          <w:rFonts w:ascii="Calibri" w:hAnsi="Calibri" w:eastAsia="Calibri" w:cs="Calibri"/>
          <w:color w:val="000000" w:themeColor="text1" w:themeTint="FF" w:themeShade="FF"/>
          <w:sz w:val="22"/>
          <w:szCs w:val="22"/>
        </w:rPr>
        <w:t xml:space="preserve">has taken the necessary steps to address and resolve the findings of noncompliance and the required corrective actions outlined in the monitoring report. The </w:t>
      </w:r>
      <w:r w:rsidRPr="4E4E47E2" w:rsidR="00211789">
        <w:rPr>
          <w:rFonts w:ascii="Calibri" w:hAnsi="Calibri" w:eastAsia="Calibri" w:cs="Calibri"/>
          <w:color w:val="000000" w:themeColor="text1" w:themeTint="FF" w:themeShade="FF"/>
          <w:sz w:val="22"/>
          <w:szCs w:val="22"/>
        </w:rPr>
        <w:t>chart</w:t>
      </w:r>
      <w:r w:rsidRPr="4E4E47E2" w:rsidR="325EFD86">
        <w:rPr>
          <w:rFonts w:ascii="Calibri" w:hAnsi="Calibri" w:eastAsia="Calibri" w:cs="Calibri"/>
          <w:color w:val="000000" w:themeColor="text1" w:themeTint="FF" w:themeShade="FF"/>
          <w:sz w:val="22"/>
          <w:szCs w:val="22"/>
        </w:rPr>
        <w:t xml:space="preserve"> included in this </w:t>
      </w:r>
      <w:r w:rsidRPr="4E4E47E2" w:rsidR="325EFD86">
        <w:rPr>
          <w:rFonts w:ascii="Calibri" w:hAnsi="Calibri" w:eastAsia="Calibri" w:cs="Calibri"/>
          <w:color w:val="000000" w:themeColor="text1" w:themeTint="FF" w:themeShade="FF"/>
          <w:sz w:val="22"/>
          <w:szCs w:val="22"/>
        </w:rPr>
        <w:t>letter,</w:t>
      </w:r>
      <w:r w:rsidRPr="4E4E47E2" w:rsidR="325EFD86">
        <w:rPr>
          <w:rFonts w:ascii="Calibri" w:hAnsi="Calibri" w:eastAsia="Calibri" w:cs="Calibri"/>
          <w:color w:val="000000" w:themeColor="text1" w:themeTint="FF" w:themeShade="FF"/>
          <w:sz w:val="22"/>
          <w:szCs w:val="22"/>
        </w:rPr>
        <w:t xml:space="preserve"> summarizes the monitoring </w:t>
      </w:r>
      <w:r w:rsidRPr="4E4E47E2" w:rsidR="325EFD86">
        <w:rPr>
          <w:rFonts w:ascii="Calibri" w:hAnsi="Calibri" w:eastAsia="Calibri" w:cs="Calibri"/>
          <w:color w:val="000000" w:themeColor="text1" w:themeTint="FF" w:themeShade="FF"/>
          <w:sz w:val="22"/>
          <w:szCs w:val="22"/>
        </w:rPr>
        <w:t>component</w:t>
      </w:r>
      <w:r w:rsidRPr="4E4E47E2" w:rsidR="325EFD86">
        <w:rPr>
          <w:rFonts w:ascii="Calibri" w:hAnsi="Calibri" w:eastAsia="Calibri" w:cs="Calibri"/>
          <w:color w:val="000000" w:themeColor="text1" w:themeTint="FF" w:themeShade="FF"/>
          <w:sz w:val="22"/>
          <w:szCs w:val="22"/>
        </w:rPr>
        <w:t xml:space="preserve">, finding, </w:t>
      </w:r>
      <w:r w:rsidRPr="4E4E47E2" w:rsidR="325EFD86">
        <w:rPr>
          <w:rFonts w:ascii="Calibri" w:hAnsi="Calibri" w:eastAsia="Calibri" w:cs="Calibri"/>
          <w:color w:val="000000" w:themeColor="text1" w:themeTint="FF" w:themeShade="FF"/>
          <w:sz w:val="22"/>
          <w:szCs w:val="22"/>
        </w:rPr>
        <w:t>required</w:t>
      </w:r>
      <w:r w:rsidRPr="4E4E47E2" w:rsidR="325EFD86">
        <w:rPr>
          <w:rFonts w:ascii="Calibri" w:hAnsi="Calibri" w:eastAsia="Calibri" w:cs="Calibri"/>
          <w:color w:val="000000" w:themeColor="text1" w:themeTint="FF" w:themeShade="FF"/>
          <w:sz w:val="22"/>
          <w:szCs w:val="22"/>
        </w:rPr>
        <w:t xml:space="preserve"> actions, EI Division analysis, and status of finding(s) based on the evidence received from </w:t>
      </w:r>
      <w:r w:rsidRPr="4E4E47E2" w:rsidR="00211789">
        <w:rPr>
          <w:rFonts w:ascii="Calibri" w:hAnsi="Calibri" w:eastAsia="Calibri" w:cs="Calibri"/>
          <w:color w:val="000000" w:themeColor="text1" w:themeTint="FF" w:themeShade="FF"/>
          <w:sz w:val="22"/>
          <w:szCs w:val="22"/>
        </w:rPr>
        <w:t>KDC Attleboro Early Intervention Program</w:t>
      </w:r>
      <w:r w:rsidRPr="4E4E47E2" w:rsidR="325EFD86">
        <w:rPr>
          <w:rFonts w:ascii="Calibri" w:hAnsi="Calibri" w:eastAsia="Calibri" w:cs="Calibri"/>
          <w:color w:val="000000" w:themeColor="text1" w:themeTint="FF" w:themeShade="FF"/>
          <w:sz w:val="22"/>
          <w:szCs w:val="22"/>
        </w:rPr>
        <w:t xml:space="preserve">. </w:t>
      </w:r>
    </w:p>
    <w:p w:rsidR="00211789" w:rsidP="4618209B" w:rsidRDefault="00211789" w14:paraId="5DDE89D7" w14:textId="77777777">
      <w:pPr>
        <w:rPr>
          <w:rFonts w:ascii="Calibri" w:hAnsi="Calibri" w:eastAsia="Calibri" w:cs="Calibri"/>
          <w:color w:val="000000" w:themeColor="text1"/>
          <w:sz w:val="22"/>
          <w:szCs w:val="22"/>
        </w:rPr>
      </w:pPr>
    </w:p>
    <w:p w:rsidR="003815E7" w:rsidP="4618209B" w:rsidRDefault="325EFD86" w14:paraId="00B36655" w14:textId="20147863">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 xml:space="preserve">The EI Division appreciates </w:t>
      </w:r>
      <w:r w:rsidRPr="7274C1D9" w:rsidR="00211789">
        <w:rPr>
          <w:rFonts w:ascii="Calibri" w:hAnsi="Calibri" w:eastAsia="Calibri" w:cs="Calibri"/>
          <w:color w:val="000000" w:themeColor="text1"/>
          <w:sz w:val="22"/>
          <w:szCs w:val="22"/>
        </w:rPr>
        <w:t>KDC Attleboro Early Intervention Program</w:t>
      </w:r>
      <w:r w:rsidRPr="7274C1D9" w:rsidR="5CE608C8">
        <w:rPr>
          <w:rFonts w:ascii="Calibri" w:hAnsi="Calibri" w:eastAsia="Calibri" w:cs="Calibri"/>
          <w:color w:val="000000" w:themeColor="text1"/>
          <w:sz w:val="22"/>
          <w:szCs w:val="22"/>
        </w:rPr>
        <w:t>’s</w:t>
      </w:r>
      <w:r w:rsidRPr="7274C1D9" w:rsidR="00211789">
        <w:rPr>
          <w:rFonts w:ascii="Calibri" w:hAnsi="Calibri" w:eastAsia="Calibri" w:cs="Calibri"/>
          <w:color w:val="000000" w:themeColor="text1"/>
          <w:sz w:val="22"/>
          <w:szCs w:val="22"/>
        </w:rPr>
        <w:t xml:space="preserve"> </w:t>
      </w:r>
      <w:r w:rsidRPr="7274C1D9">
        <w:rPr>
          <w:rFonts w:ascii="Calibri" w:hAnsi="Calibri" w:eastAsia="Calibri" w:cs="Calibri"/>
          <w:color w:val="000000" w:themeColor="text1"/>
          <w:sz w:val="22"/>
          <w:szCs w:val="22"/>
        </w:rPr>
        <w:t xml:space="preserve">continued efforts to improve the implementation of IDEA Part C and the development and implementation of a reasonably designed system which ensures compliance and improving results for infants and toddlers with disabilities. The EI Division notes that having a consistent and transparent system for identifying and correcting noncompliance, particularly noncompliance that impacts the delivery of early intervention services in accordance with individualized family service plans, and dispute resolutions systems that protect the rights of parents, are essential elements to </w:t>
      </w:r>
      <w:proofErr w:type="gramStart"/>
      <w:r w:rsidRPr="7274C1D9">
        <w:rPr>
          <w:rFonts w:ascii="Calibri" w:hAnsi="Calibri" w:eastAsia="Calibri" w:cs="Calibri"/>
          <w:color w:val="000000" w:themeColor="text1"/>
          <w:sz w:val="22"/>
          <w:szCs w:val="22"/>
        </w:rPr>
        <w:t>ensuring</w:t>
      </w:r>
      <w:proofErr w:type="gramEnd"/>
      <w:r w:rsidRPr="7274C1D9">
        <w:rPr>
          <w:rFonts w:ascii="Calibri" w:hAnsi="Calibri" w:eastAsia="Calibri" w:cs="Calibri"/>
          <w:color w:val="000000" w:themeColor="text1"/>
          <w:sz w:val="22"/>
          <w:szCs w:val="22"/>
        </w:rPr>
        <w:t xml:space="preserve"> improved results for infants and toddlers with disabilities. If you have any questions, please reach out to your clinical oversight and support specialist, at </w:t>
      </w:r>
      <w:r w:rsidRPr="7274C1D9" w:rsidR="00211789">
        <w:rPr>
          <w:rFonts w:ascii="Calibri" w:hAnsi="Calibri" w:eastAsia="Calibri" w:cs="Calibri"/>
          <w:color w:val="000000" w:themeColor="text1"/>
          <w:sz w:val="22"/>
          <w:szCs w:val="22"/>
        </w:rPr>
        <w:t>Susan.Grossman@mass.gov</w:t>
      </w:r>
    </w:p>
    <w:p w:rsidR="00211789" w:rsidP="4618209B" w:rsidRDefault="00211789" w14:paraId="63A4A36A" w14:textId="77777777">
      <w:pPr>
        <w:rPr>
          <w:rFonts w:ascii="Calibri" w:hAnsi="Calibri" w:eastAsia="Calibri" w:cs="Calibri"/>
          <w:color w:val="000000" w:themeColor="text1"/>
          <w:sz w:val="22"/>
          <w:szCs w:val="22"/>
        </w:rPr>
      </w:pPr>
    </w:p>
    <w:p w:rsidR="003815E7" w:rsidP="4618209B" w:rsidRDefault="325EFD86" w14:paraId="6D2E222A" w14:textId="68BADC5C">
      <w:pPr>
        <w:rPr>
          <w:rFonts w:ascii="Calibri" w:hAnsi="Calibri" w:eastAsia="Calibri" w:cs="Calibri"/>
          <w:color w:val="000000" w:themeColor="text1"/>
          <w:sz w:val="22"/>
          <w:szCs w:val="22"/>
        </w:rPr>
      </w:pPr>
      <w:r w:rsidRPr="4618209B">
        <w:rPr>
          <w:rFonts w:ascii="Calibri" w:hAnsi="Calibri" w:eastAsia="Calibri" w:cs="Calibri"/>
          <w:color w:val="000000" w:themeColor="text1"/>
          <w:sz w:val="22"/>
          <w:szCs w:val="22"/>
        </w:rPr>
        <w:t>Sincerely,</w:t>
      </w:r>
    </w:p>
    <w:p w:rsidR="003815E7" w:rsidP="4618209B" w:rsidRDefault="00211789" w14:paraId="09F161B2" w14:textId="1287E3E3">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Susan Grossman, M.S., CEIS, CEID</w:t>
      </w:r>
    </w:p>
    <w:p w:rsidR="00211789" w:rsidP="4618209B" w:rsidRDefault="00211789" w14:paraId="41DB0A2D" w14:textId="09756A0D">
      <w:pPr>
        <w:rPr>
          <w:rFonts w:ascii="Calibri" w:hAnsi="Calibri" w:eastAsia="Calibri" w:cs="Calibri"/>
          <w:color w:val="000000" w:themeColor="text1"/>
          <w:sz w:val="22"/>
          <w:szCs w:val="22"/>
        </w:rPr>
      </w:pPr>
      <w:r w:rsidRPr="4618209B">
        <w:rPr>
          <w:rFonts w:ascii="Calibri" w:hAnsi="Calibri" w:eastAsia="Calibri" w:cs="Calibri"/>
          <w:color w:val="000000" w:themeColor="text1"/>
          <w:sz w:val="22"/>
          <w:szCs w:val="22"/>
        </w:rPr>
        <w:t xml:space="preserve">Clinical Oversight </w:t>
      </w:r>
      <w:r>
        <w:rPr>
          <w:rFonts w:ascii="Calibri" w:hAnsi="Calibri" w:eastAsia="Calibri" w:cs="Calibri"/>
          <w:color w:val="000000" w:themeColor="text1"/>
          <w:sz w:val="22"/>
          <w:szCs w:val="22"/>
        </w:rPr>
        <w:t>a</w:t>
      </w:r>
      <w:r w:rsidRPr="4618209B">
        <w:rPr>
          <w:rFonts w:ascii="Calibri" w:hAnsi="Calibri" w:eastAsia="Calibri" w:cs="Calibri"/>
          <w:color w:val="000000" w:themeColor="text1"/>
          <w:sz w:val="22"/>
          <w:szCs w:val="22"/>
        </w:rPr>
        <w:t>nd Support Specialist</w:t>
      </w:r>
    </w:p>
    <w:p w:rsidR="00211789" w:rsidP="4618209B" w:rsidRDefault="00211789" w14:paraId="5187FB27" w14:textId="77777777">
      <w:pPr>
        <w:rPr>
          <w:rFonts w:ascii="Calibri" w:hAnsi="Calibri" w:eastAsia="Calibri" w:cs="Calibri"/>
          <w:color w:val="000000" w:themeColor="text1"/>
          <w:sz w:val="22"/>
          <w:szCs w:val="22"/>
        </w:rPr>
      </w:pPr>
    </w:p>
    <w:p w:rsidR="003815E7" w:rsidP="4618209B" w:rsidRDefault="325EFD86" w14:paraId="735845B1" w14:textId="78723C80">
      <w:pPr>
        <w:rPr>
          <w:rFonts w:ascii="Calibri" w:hAnsi="Calibri" w:eastAsia="Calibri" w:cs="Calibri"/>
          <w:color w:val="000000" w:themeColor="text1"/>
          <w:sz w:val="22"/>
          <w:szCs w:val="22"/>
        </w:rPr>
      </w:pPr>
      <w:r w:rsidRPr="4618209B">
        <w:rPr>
          <w:rFonts w:ascii="Calibri" w:hAnsi="Calibri" w:eastAsia="Calibri" w:cs="Calibri"/>
          <w:color w:val="000000" w:themeColor="text1"/>
          <w:sz w:val="22"/>
          <w:szCs w:val="22"/>
        </w:rPr>
        <w:t xml:space="preserve">Molly Gilbride </w:t>
      </w:r>
    </w:p>
    <w:p w:rsidR="003815E7" w:rsidP="00211789" w:rsidRDefault="325EFD86" w14:paraId="6C21B96F" w14:textId="2D070590">
      <w:pPr>
        <w:pStyle w:val="NoSpacing"/>
        <w:contextualSpacing/>
      </w:pPr>
      <w:r w:rsidRPr="7274C1D9">
        <w:rPr>
          <w:rFonts w:ascii="Calibri" w:hAnsi="Calibri" w:eastAsia="Calibri" w:cs="Calibri"/>
          <w:color w:val="000000" w:themeColor="text1"/>
        </w:rPr>
        <w:t>Clinical Quality Manager, Early Intervention Division</w:t>
      </w:r>
    </w:p>
    <w:p w:rsidR="7274C1D9" w:rsidRDefault="7274C1D9" w14:paraId="589D0C20" w14:textId="18E5A1EA"/>
    <w:p w:rsidRPr="00FB1C15" w:rsidR="7274C1D9" w:rsidP="4E4E47E2" w:rsidRDefault="00C21DB0" w14:paraId="4D537F61" w14:textId="2B68FCD2" w14:noSpellErr="1">
      <w:pPr>
        <w:jc w:val="center"/>
        <w:rPr>
          <w:rFonts w:ascii="Calibri" w:hAnsi="Calibri" w:cs="Calibri"/>
          <w:b w:val="1"/>
          <w:bCs w:val="1"/>
          <w:sz w:val="22"/>
          <w:szCs w:val="22"/>
          <w:rPrChange w:author="" w16du:dateUtc="2025-06-18T19:21:00Z" w:id="933761828">
            <w:rPr/>
          </w:rPrChange>
        </w:rPr>
      </w:pPr>
      <w:r w:rsidRPr="4E4E47E2" w:rsidR="00C21DB0">
        <w:rPr>
          <w:rFonts w:ascii="Calibri" w:hAnsi="Calibri" w:cs="Calibri"/>
          <w:b w:val="1"/>
          <w:bCs w:val="1"/>
          <w:sz w:val="22"/>
          <w:szCs w:val="22"/>
        </w:rPr>
        <w:t>COMPLIANCE</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84"/>
        <w:gridCol w:w="2203"/>
        <w:gridCol w:w="2336"/>
        <w:gridCol w:w="2336"/>
      </w:tblGrid>
      <w:tr w:rsidR="5363A7CF" w:rsidTr="4E4E47E2" w14:paraId="09BC5C7B" w14:textId="77777777">
        <w:trPr>
          <w:trHeight w:val="300"/>
        </w:trPr>
        <w:tc>
          <w:tcPr>
            <w:tcW w:w="2484"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5363A7CF" w:rsidP="7274C1D9" w:rsidRDefault="751B6BF2" w14:paraId="1CEA8440" w14:textId="089C1557">
            <w:pPr>
              <w:rPr>
                <w:rFonts w:ascii="Calibri" w:hAnsi="Calibri" w:eastAsia="Calibri" w:cs="Calibri"/>
                <w:color w:val="000000" w:themeColor="text1"/>
                <w:sz w:val="22"/>
                <w:szCs w:val="22"/>
              </w:rPr>
            </w:pPr>
            <w:r w:rsidRPr="7274C1D9">
              <w:rPr>
                <w:rFonts w:ascii="Calibri" w:hAnsi="Calibri" w:eastAsia="Calibri" w:cs="Calibri"/>
                <w:b/>
                <w:bCs/>
                <w:color w:val="000000" w:themeColor="text1"/>
                <w:sz w:val="22"/>
                <w:szCs w:val="22"/>
              </w:rPr>
              <w:t>Legal Requirement/State Standard</w:t>
            </w:r>
            <w:r w:rsidRPr="7274C1D9">
              <w:rPr>
                <w:rFonts w:ascii="Calibri" w:hAnsi="Calibri" w:eastAsia="Calibri" w:cs="Calibri"/>
                <w:color w:val="000000" w:themeColor="text1"/>
                <w:sz w:val="22"/>
                <w:szCs w:val="22"/>
              </w:rPr>
              <w:t xml:space="preserve"> </w:t>
            </w:r>
          </w:p>
        </w:tc>
        <w:tc>
          <w:tcPr>
            <w:tcW w:w="2203"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5363A7CF" w:rsidP="7274C1D9" w:rsidRDefault="751B6BF2" w14:paraId="45F77C0B" w14:textId="04073EEC">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 xml:space="preserve">Noncompliant Policy, Procedure or Practice and EI Division analysis </w:t>
            </w:r>
          </w:p>
        </w:tc>
        <w:tc>
          <w:tcPr>
            <w:tcW w:w="2336"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5363A7CF" w:rsidP="7274C1D9" w:rsidRDefault="751B6BF2" w14:paraId="38201396" w14:textId="6F6F4452">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 xml:space="preserve">Conclusion/Finding </w:t>
            </w:r>
          </w:p>
        </w:tc>
        <w:tc>
          <w:tcPr>
            <w:tcW w:w="2336"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5363A7CF" w:rsidP="7274C1D9" w:rsidRDefault="751B6BF2" w14:paraId="7B3184D6" w14:textId="3E579A4C">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 xml:space="preserve">Next Steps and Required Actions </w:t>
            </w:r>
          </w:p>
        </w:tc>
      </w:tr>
      <w:tr w:rsidR="5363A7CF" w:rsidTr="4E4E47E2" w14:paraId="5DDEB17B" w14:textId="77777777">
        <w:trPr>
          <w:trHeight w:val="300"/>
        </w:trPr>
        <w:tc>
          <w:tcPr>
            <w:tcW w:w="2484" w:type="dxa"/>
            <w:tcBorders>
              <w:top w:val="single" w:color="auto" w:sz="8" w:space="0"/>
              <w:left w:val="single" w:color="auto" w:sz="8" w:space="0"/>
              <w:bottom w:val="single" w:color="auto" w:sz="8" w:space="0"/>
              <w:right w:val="single" w:color="auto" w:sz="8" w:space="0"/>
            </w:tcBorders>
            <w:tcMar/>
          </w:tcPr>
          <w:p w:rsidR="5363A7CF" w:rsidP="7274C1D9" w:rsidRDefault="751B6BF2" w14:paraId="0ED65DCD" w14:textId="3B9E11BE">
            <w:pPr>
              <w:spacing w:before="240" w:after="240"/>
              <w:rPr>
                <w:rFonts w:ascii="Calibri" w:hAnsi="Calibri" w:eastAsia="Calibri" w:cs="Calibri"/>
                <w:szCs w:val="24"/>
              </w:rPr>
            </w:pPr>
            <w:r w:rsidRPr="7274C1D9">
              <w:rPr>
                <w:rFonts w:ascii="Calibri" w:hAnsi="Calibri" w:eastAsia="Calibri" w:cs="Calibri"/>
                <w:sz w:val="22"/>
                <w:szCs w:val="22"/>
              </w:rPr>
              <w:t>1</w:t>
            </w:r>
            <w:r w:rsidRPr="7274C1D9">
              <w:rPr>
                <w:rFonts w:ascii="Calibri" w:hAnsi="Calibri" w:eastAsia="Calibri" w:cs="Calibri"/>
                <w:szCs w:val="24"/>
              </w:rPr>
              <w:t xml:space="preserve">.1 IFSP Service Delivery </w:t>
            </w:r>
          </w:p>
          <w:p w:rsidR="5363A7CF" w:rsidP="7274C1D9" w:rsidRDefault="751B6BF2" w14:paraId="36766A7D" w14:textId="09E9FD71">
            <w:pPr>
              <w:spacing w:before="240" w:after="240"/>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 xml:space="preserve">(34 CFR 303.344(d)(1); 34 CFR 303.344(d)(2))  </w:t>
            </w:r>
          </w:p>
          <w:p w:rsidR="5363A7CF" w:rsidP="7274C1D9" w:rsidRDefault="751B6BF2" w14:paraId="16257A75" w14:textId="0F608F18">
            <w:pPr>
              <w:spacing w:before="240" w:after="240"/>
              <w:rPr>
                <w:rFonts w:ascii="Calibri" w:hAnsi="Calibri" w:eastAsia="Calibri" w:cs="Calibri"/>
                <w:sz w:val="22"/>
                <w:szCs w:val="22"/>
              </w:rPr>
            </w:pPr>
            <w:r w:rsidRPr="7274C1D9">
              <w:rPr>
                <w:rFonts w:ascii="Calibri" w:hAnsi="Calibri" w:eastAsia="Calibri" w:cs="Calibri"/>
                <w:sz w:val="22"/>
                <w:szCs w:val="22"/>
              </w:rPr>
              <w:t xml:space="preserve">As used in </w:t>
            </w:r>
            <w:r w:rsidRPr="7274C1D9">
              <w:rPr>
                <w:szCs w:val="24"/>
              </w:rPr>
              <w:t>paragraph (d)(1)(i)</w:t>
            </w:r>
            <w:r w:rsidRPr="7274C1D9">
              <w:rPr>
                <w:rFonts w:ascii="Calibri" w:hAnsi="Calibri" w:eastAsia="Calibri" w:cs="Calibri"/>
                <w:sz w:val="22"/>
                <w:szCs w:val="22"/>
              </w:rPr>
              <w:t xml:space="preserve"> of this section—</w:t>
            </w:r>
          </w:p>
          <w:p w:rsidR="5363A7CF" w:rsidP="7274C1D9" w:rsidRDefault="751B6BF2" w14:paraId="2B321A3B" w14:textId="389AA669">
            <w:pPr>
              <w:spacing w:before="240" w:after="240"/>
              <w:rPr>
                <w:rFonts w:ascii="Calibri" w:hAnsi="Calibri" w:eastAsia="Calibri" w:cs="Calibri"/>
                <w:sz w:val="22"/>
                <w:szCs w:val="22"/>
              </w:rPr>
            </w:pPr>
            <w:r w:rsidRPr="7274C1D9">
              <w:rPr>
                <w:rFonts w:ascii="Calibri" w:hAnsi="Calibri" w:eastAsia="Calibri" w:cs="Calibri"/>
                <w:i/>
                <w:iCs/>
                <w:sz w:val="22"/>
                <w:szCs w:val="22"/>
              </w:rPr>
              <w:t>Service Provision:</w:t>
            </w:r>
            <w:r w:rsidRPr="7274C1D9">
              <w:rPr>
                <w:rFonts w:ascii="Calibri" w:hAnsi="Calibri" w:eastAsia="Calibri" w:cs="Calibri"/>
                <w:sz w:val="22"/>
                <w:szCs w:val="22"/>
              </w:rPr>
              <w:t xml:space="preserve">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tc>
        <w:tc>
          <w:tcPr>
            <w:tcW w:w="2203" w:type="dxa"/>
            <w:tcBorders>
              <w:top w:val="single" w:color="auto" w:sz="8" w:space="0"/>
              <w:left w:val="single" w:color="auto" w:sz="8" w:space="0"/>
              <w:bottom w:val="single" w:color="auto" w:sz="8" w:space="0"/>
              <w:right w:val="single" w:color="auto" w:sz="8" w:space="0"/>
            </w:tcBorders>
            <w:tcMar/>
          </w:tcPr>
          <w:p w:rsidR="5363A7CF" w:rsidP="7274C1D9" w:rsidRDefault="751B6BF2" w14:paraId="1A7031FF" w14:textId="242D95A8">
            <w:pPr>
              <w:rPr>
                <w:rFonts w:ascii="Calibri" w:hAnsi="Calibri" w:eastAsia="Calibri" w:cs="Calibri"/>
                <w:szCs w:val="24"/>
              </w:rPr>
            </w:pPr>
            <w:r w:rsidRPr="7274C1D9">
              <w:rPr>
                <w:rFonts w:ascii="Calibri" w:hAnsi="Calibri" w:eastAsia="Calibri" w:cs="Calibri"/>
                <w:sz w:val="22"/>
                <w:szCs w:val="22"/>
              </w:rPr>
              <w:t>1</w:t>
            </w:r>
            <w:r w:rsidRPr="7274C1D9">
              <w:rPr>
                <w:rFonts w:ascii="Calibri" w:hAnsi="Calibri" w:eastAsia="Calibri" w:cs="Calibri"/>
                <w:szCs w:val="24"/>
              </w:rPr>
              <w:t>.1</w:t>
            </w:r>
          </w:p>
          <w:p w:rsidR="5363A7CF" w:rsidP="7274C1D9" w:rsidRDefault="751B6BF2" w14:paraId="25542E45" w14:textId="13A6C604">
            <w:pPr>
              <w:rPr>
                <w:rFonts w:ascii="Calibri" w:hAnsi="Calibri" w:eastAsia="Calibri" w:cs="Calibri"/>
                <w:szCs w:val="24"/>
              </w:rPr>
            </w:pPr>
            <w:r w:rsidRPr="7274C1D9">
              <w:rPr>
                <w:rFonts w:ascii="Calibri" w:hAnsi="Calibri" w:eastAsia="Calibri" w:cs="Calibri"/>
                <w:szCs w:val="24"/>
              </w:rPr>
              <w:t xml:space="preserve"> </w:t>
            </w:r>
          </w:p>
          <w:p w:rsidR="5363A7CF" w:rsidP="7274C1D9" w:rsidRDefault="751B6BF2" w14:paraId="5105F5F6" w14:textId="4FE0153F">
            <w:pPr>
              <w:rPr>
                <w:rFonts w:ascii="Calibri" w:hAnsi="Calibri" w:eastAsia="Calibri" w:cs="Calibri"/>
                <w:sz w:val="22"/>
                <w:szCs w:val="22"/>
              </w:rPr>
            </w:pPr>
            <w:r w:rsidRPr="7274C1D9">
              <w:rPr>
                <w:rFonts w:ascii="Calibri" w:hAnsi="Calibri" w:eastAsia="Calibri" w:cs="Calibri"/>
                <w:sz w:val="22"/>
                <w:szCs w:val="22"/>
              </w:rPr>
              <w:t xml:space="preserve">During the record review, the EI Division identified 4 out of 10 children who did not receive the service </w:t>
            </w:r>
            <w:proofErr w:type="gramStart"/>
            <w:r w:rsidRPr="7274C1D9">
              <w:rPr>
                <w:rFonts w:ascii="Calibri" w:hAnsi="Calibri" w:eastAsia="Calibri" w:cs="Calibri"/>
                <w:sz w:val="22"/>
                <w:szCs w:val="22"/>
              </w:rPr>
              <w:t>provided that</w:t>
            </w:r>
            <w:proofErr w:type="gramEnd"/>
            <w:r w:rsidRPr="7274C1D9">
              <w:rPr>
                <w:rFonts w:ascii="Calibri" w:hAnsi="Calibri" w:eastAsia="Calibri" w:cs="Calibri"/>
                <w:sz w:val="22"/>
                <w:szCs w:val="22"/>
              </w:rPr>
              <w:t xml:space="preserve"> matches the services as written on the IFSP and there is not clear documentation of a family exceptional circumstance.</w:t>
            </w:r>
          </w:p>
          <w:p w:rsidR="5363A7CF" w:rsidP="7274C1D9" w:rsidRDefault="751B6BF2" w14:paraId="778C5CD2" w14:textId="6112CD5D">
            <w:pPr>
              <w:rPr>
                <w:szCs w:val="24"/>
              </w:rPr>
            </w:pPr>
            <w:r w:rsidRPr="7274C1D9">
              <w:rPr>
                <w:szCs w:val="24"/>
              </w:rPr>
              <w:t xml:space="preserve"> </w:t>
            </w:r>
          </w:p>
        </w:tc>
        <w:tc>
          <w:tcPr>
            <w:tcW w:w="2336" w:type="dxa"/>
            <w:tcBorders>
              <w:top w:val="single" w:color="auto" w:sz="8" w:space="0"/>
              <w:left w:val="single" w:color="auto" w:sz="8" w:space="0"/>
              <w:bottom w:val="single" w:color="auto" w:sz="8" w:space="0"/>
              <w:right w:val="single" w:color="auto" w:sz="8" w:space="0"/>
            </w:tcBorders>
            <w:tcMar/>
          </w:tcPr>
          <w:p w:rsidR="5363A7CF" w:rsidP="7274C1D9" w:rsidRDefault="751B6BF2" w14:paraId="7A8EDE11" w14:textId="32BAC0E9">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1.1</w:t>
            </w:r>
          </w:p>
          <w:p w:rsidR="5363A7CF" w:rsidP="7274C1D9" w:rsidRDefault="751B6BF2" w14:paraId="1C733A99" w14:textId="399EF56F">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 xml:space="preserve"> </w:t>
            </w:r>
          </w:p>
          <w:p w:rsidR="5363A7CF" w:rsidP="7274C1D9" w:rsidRDefault="751B6BF2" w14:paraId="00FF0120" w14:textId="5F77D841">
            <w:pPr>
              <w:rPr>
                <w:rFonts w:ascii="Calibri" w:hAnsi="Calibri" w:eastAsia="Calibri" w:cs="Calibri"/>
                <w:color w:val="000000" w:themeColor="text1"/>
                <w:sz w:val="22"/>
                <w:szCs w:val="22"/>
              </w:rPr>
            </w:pPr>
            <w:r w:rsidRPr="7274C1D9">
              <w:rPr>
                <w:rFonts w:ascii="Calibri" w:hAnsi="Calibri" w:eastAsia="Calibri" w:cs="Calibri"/>
                <w:color w:val="000000" w:themeColor="text1"/>
                <w:sz w:val="22"/>
                <w:szCs w:val="22"/>
              </w:rPr>
              <w:t>The EI Division finds that the EIS program does not have a procedure that is reasonably designed to provide services as determined through the IFSP process and consented to by the parent, as required under (34 CFR 303.344(d)(1); 34 CFR 303.344(d)(2)) and the Early Intervention Operational Standards, Early Intervention Services (EIOS) VII. C.3 pg. 32.</w:t>
            </w:r>
          </w:p>
        </w:tc>
        <w:tc>
          <w:tcPr>
            <w:tcW w:w="2336" w:type="dxa"/>
            <w:tcBorders>
              <w:top w:val="single" w:color="auto" w:sz="8" w:space="0"/>
              <w:left w:val="single" w:color="auto" w:sz="8" w:space="0"/>
              <w:bottom w:val="single" w:color="auto" w:sz="8" w:space="0"/>
              <w:right w:val="single" w:color="auto" w:sz="8" w:space="0"/>
            </w:tcBorders>
            <w:tcMar/>
          </w:tcPr>
          <w:p w:rsidR="66CAAB8C" w:rsidP="7274C1D9" w:rsidRDefault="00AE5D4E" w14:paraId="3DF3A1AA" w14:textId="570819F2" w14:noSpellErr="1">
            <w:pPr>
              <w:rPr>
                <w:rFonts w:ascii="Calibri" w:hAnsi="Calibri" w:eastAsia="Calibri" w:cs="Calibri"/>
                <w:sz w:val="22"/>
                <w:szCs w:val="22"/>
              </w:rPr>
            </w:pPr>
            <w:r w:rsidRPr="4E4E47E2" w:rsidR="6FA526F8">
              <w:rPr>
                <w:rFonts w:ascii="Calibri" w:hAnsi="Calibri" w:eastAsia="Calibri" w:cs="Calibri"/>
                <w:sz w:val="22"/>
                <w:szCs w:val="22"/>
              </w:rPr>
              <w:t xml:space="preserve">Corrected and </w:t>
            </w:r>
            <w:r w:rsidRPr="4E4E47E2" w:rsidR="4F03F40D">
              <w:rPr>
                <w:rFonts w:ascii="Calibri" w:hAnsi="Calibri" w:eastAsia="Calibri" w:cs="Calibri"/>
                <w:sz w:val="22"/>
                <w:szCs w:val="22"/>
              </w:rPr>
              <w:t>Closed</w:t>
            </w:r>
          </w:p>
        </w:tc>
      </w:tr>
      <w:tr w:rsidR="5363A7CF" w:rsidTr="4E4E47E2" w14:paraId="119C1E8C" w14:textId="77777777">
        <w:trPr>
          <w:trHeight w:val="300"/>
        </w:trPr>
        <w:tc>
          <w:tcPr>
            <w:tcW w:w="2484" w:type="dxa"/>
            <w:tcBorders>
              <w:top w:val="single" w:color="auto" w:sz="8" w:space="0"/>
              <w:left w:val="single" w:color="auto" w:sz="8" w:space="0"/>
              <w:bottom w:val="single" w:color="auto" w:sz="8" w:space="0"/>
              <w:right w:val="single" w:color="auto" w:sz="8" w:space="0"/>
            </w:tcBorders>
            <w:tcMar/>
          </w:tcPr>
          <w:p w:rsidR="5363A7CF" w:rsidP="7274C1D9" w:rsidRDefault="751B6BF2" w14:paraId="665097C5" w14:textId="62EB2822">
            <w:pPr>
              <w:rPr>
                <w:rFonts w:ascii="Calibri" w:hAnsi="Calibri" w:eastAsia="Calibri" w:cs="Calibri"/>
                <w:sz w:val="22"/>
                <w:szCs w:val="22"/>
              </w:rPr>
            </w:pPr>
            <w:r w:rsidRPr="7274C1D9">
              <w:rPr>
                <w:rFonts w:ascii="Calibri" w:hAnsi="Calibri" w:eastAsia="Calibri" w:cs="Calibri"/>
                <w:sz w:val="22"/>
                <w:szCs w:val="22"/>
              </w:rPr>
              <w:lastRenderedPageBreak/>
              <w:t xml:space="preserve"> </w:t>
            </w:r>
          </w:p>
        </w:tc>
        <w:tc>
          <w:tcPr>
            <w:tcW w:w="2203" w:type="dxa"/>
            <w:tcBorders>
              <w:top w:val="single" w:color="auto" w:sz="8" w:space="0"/>
              <w:left w:val="single" w:color="auto" w:sz="8" w:space="0"/>
              <w:bottom w:val="single" w:color="auto" w:sz="8" w:space="0"/>
              <w:right w:val="single" w:color="auto" w:sz="8" w:space="0"/>
            </w:tcBorders>
            <w:tcMar/>
          </w:tcPr>
          <w:p w:rsidR="5363A7CF" w:rsidP="7274C1D9" w:rsidRDefault="751B6BF2" w14:paraId="1DA7A6A8" w14:textId="2C33A91E">
            <w:pPr>
              <w:rPr>
                <w:rFonts w:ascii="Calibri" w:hAnsi="Calibri" w:eastAsia="Calibri" w:cs="Calibri"/>
                <w:sz w:val="22"/>
                <w:szCs w:val="22"/>
              </w:rPr>
            </w:pPr>
            <w:r w:rsidRPr="7274C1D9">
              <w:rPr>
                <w:rFonts w:ascii="Calibri" w:hAnsi="Calibri" w:eastAsia="Calibri" w:cs="Calibri"/>
                <w:sz w:val="22"/>
                <w:szCs w:val="22"/>
              </w:rPr>
              <w:t xml:space="preserve"> </w:t>
            </w:r>
          </w:p>
        </w:tc>
        <w:tc>
          <w:tcPr>
            <w:tcW w:w="2336" w:type="dxa"/>
            <w:tcBorders>
              <w:top w:val="single" w:color="auto" w:sz="8" w:space="0"/>
              <w:left w:val="single" w:color="auto" w:sz="8" w:space="0"/>
              <w:bottom w:val="single" w:color="auto" w:sz="8" w:space="0"/>
              <w:right w:val="single" w:color="auto" w:sz="8" w:space="0"/>
            </w:tcBorders>
            <w:tcMar/>
          </w:tcPr>
          <w:p w:rsidR="5363A7CF" w:rsidP="7274C1D9" w:rsidRDefault="751B6BF2" w14:paraId="1D0C5926" w14:textId="327657F7">
            <w:pPr>
              <w:rPr>
                <w:rFonts w:ascii="Calibri" w:hAnsi="Calibri" w:eastAsia="Calibri" w:cs="Calibri"/>
                <w:sz w:val="22"/>
                <w:szCs w:val="22"/>
              </w:rPr>
            </w:pPr>
            <w:r w:rsidRPr="7274C1D9">
              <w:rPr>
                <w:rFonts w:ascii="Calibri" w:hAnsi="Calibri" w:eastAsia="Calibri" w:cs="Calibri"/>
                <w:sz w:val="22"/>
                <w:szCs w:val="22"/>
              </w:rPr>
              <w:t xml:space="preserve"> </w:t>
            </w:r>
          </w:p>
        </w:tc>
        <w:tc>
          <w:tcPr>
            <w:tcW w:w="2336" w:type="dxa"/>
            <w:tcBorders>
              <w:top w:val="single" w:color="auto" w:sz="8" w:space="0"/>
              <w:left w:val="single" w:color="auto" w:sz="8" w:space="0"/>
              <w:bottom w:val="single" w:color="auto" w:sz="8" w:space="0"/>
              <w:right w:val="single" w:color="auto" w:sz="8" w:space="0"/>
            </w:tcBorders>
            <w:tcMar/>
          </w:tcPr>
          <w:p w:rsidR="5363A7CF" w:rsidP="7274C1D9" w:rsidRDefault="5363A7CF" w14:paraId="0B1A5B6F" w14:textId="05D10847">
            <w:pPr>
              <w:rPr>
                <w:rFonts w:ascii="Calibri" w:hAnsi="Calibri" w:eastAsia="Calibri" w:cs="Calibri"/>
                <w:sz w:val="22"/>
                <w:szCs w:val="22"/>
              </w:rPr>
            </w:pPr>
          </w:p>
        </w:tc>
      </w:tr>
    </w:tbl>
    <w:p w:rsidR="3CF9BE05" w:rsidRDefault="3CF9BE05" w14:paraId="2666098F" w14:textId="475F0FC1"/>
    <w:p w:rsidR="3CF9BE05" w:rsidRDefault="3CF9BE05" w14:paraId="6859DB92" w14:textId="4D0A0ADD"/>
    <w:p w:rsidRPr="00FB1C15" w:rsidR="53E9DBB9" w:rsidP="4E4E47E2" w:rsidRDefault="53E9DBB9" w14:paraId="505B44EC" w14:textId="32D7E3DF" w14:noSpellErr="1">
      <w:pPr>
        <w:jc w:val="center"/>
        <w:rPr>
          <w:rFonts w:ascii="Calibri" w:hAnsi="Calibri" w:cs="Calibri" w:asciiTheme="minorAscii" w:hAnsiTheme="minorAscii" w:cstheme="minorAscii"/>
          <w:b w:val="1"/>
          <w:bCs w:val="1"/>
          <w:sz w:val="22"/>
          <w:szCs w:val="22"/>
          <w:rPrChange w:author="" w16du:dateUtc="2025-06-18T19:21:00Z" w:id="1619179167">
            <w:rPr/>
          </w:rPrChange>
        </w:rPr>
      </w:pPr>
      <w:r w:rsidRPr="4E4E47E2" w:rsidR="53E9DBB9">
        <w:rPr>
          <w:rFonts w:ascii="Calibri" w:hAnsi="Calibri" w:cs="Calibri" w:asciiTheme="minorAscii" w:hAnsiTheme="minorAscii" w:cstheme="minorAscii"/>
          <w:b w:val="1"/>
          <w:bCs w:val="1"/>
          <w:sz w:val="22"/>
          <w:szCs w:val="22"/>
        </w:rPr>
        <w:t>DISPUTE RESOLUTION</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481"/>
        <w:gridCol w:w="2198"/>
        <w:gridCol w:w="2333"/>
        <w:gridCol w:w="2328"/>
      </w:tblGrid>
      <w:tr w:rsidR="3CF9BE05" w:rsidTr="4E4E47E2" w14:paraId="5E94FD86" w14:textId="77777777">
        <w:trPr>
          <w:trHeight w:val="300"/>
        </w:trPr>
        <w:tc>
          <w:tcPr>
            <w:tcW w:w="2484"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3CF9BE05" w:rsidP="3CF9BE05" w:rsidRDefault="3CF9BE05" w14:paraId="1861EC05" w14:textId="004E515A">
            <w:pPr>
              <w:rPr>
                <w:rFonts w:ascii="Calibri" w:hAnsi="Calibri" w:eastAsia="Calibri" w:cs="Calibri"/>
                <w:color w:val="000000" w:themeColor="text1"/>
                <w:sz w:val="22"/>
                <w:szCs w:val="22"/>
              </w:rPr>
            </w:pPr>
            <w:r w:rsidRPr="3CF9BE05">
              <w:rPr>
                <w:rFonts w:ascii="Calibri" w:hAnsi="Calibri" w:eastAsia="Calibri" w:cs="Calibri"/>
                <w:b/>
                <w:bCs/>
                <w:color w:val="000000" w:themeColor="text1"/>
                <w:sz w:val="22"/>
                <w:szCs w:val="22"/>
              </w:rPr>
              <w:t>Legal Requirement/State Standard</w:t>
            </w:r>
            <w:r w:rsidRPr="3CF9BE05">
              <w:rPr>
                <w:rFonts w:ascii="Calibri" w:hAnsi="Calibri" w:eastAsia="Calibri" w:cs="Calibri"/>
                <w:color w:val="000000" w:themeColor="text1"/>
                <w:sz w:val="22"/>
                <w:szCs w:val="22"/>
              </w:rPr>
              <w:t xml:space="preserve"> </w:t>
            </w:r>
          </w:p>
        </w:tc>
        <w:tc>
          <w:tcPr>
            <w:tcW w:w="2203"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3CF9BE05" w:rsidP="3CF9BE05" w:rsidRDefault="3CF9BE05" w14:paraId="3EE621A9" w14:textId="437847A5">
            <w:pPr>
              <w:rPr>
                <w:rFonts w:ascii="Calibri" w:hAnsi="Calibri" w:eastAsia="Calibri" w:cs="Calibri"/>
                <w:color w:val="000000" w:themeColor="text1"/>
                <w:sz w:val="22"/>
                <w:szCs w:val="22"/>
              </w:rPr>
            </w:pPr>
            <w:r w:rsidRPr="3CF9BE05">
              <w:rPr>
                <w:rFonts w:ascii="Calibri" w:hAnsi="Calibri" w:eastAsia="Calibri" w:cs="Calibri"/>
                <w:color w:val="000000" w:themeColor="text1"/>
                <w:sz w:val="22"/>
                <w:szCs w:val="22"/>
              </w:rPr>
              <w:t xml:space="preserve">Noncompliant Policy, Procedure or Practice and EI Division analysis </w:t>
            </w:r>
          </w:p>
        </w:tc>
        <w:tc>
          <w:tcPr>
            <w:tcW w:w="2336"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3CF9BE05" w:rsidP="3CF9BE05" w:rsidRDefault="3CF9BE05" w14:paraId="42EA9C2E" w14:textId="153AB2A2">
            <w:pPr>
              <w:rPr>
                <w:rFonts w:ascii="Calibri" w:hAnsi="Calibri" w:eastAsia="Calibri" w:cs="Calibri"/>
                <w:color w:val="000000" w:themeColor="text1"/>
                <w:sz w:val="22"/>
                <w:szCs w:val="22"/>
              </w:rPr>
            </w:pPr>
            <w:r w:rsidRPr="3CF9BE05">
              <w:rPr>
                <w:rFonts w:ascii="Calibri" w:hAnsi="Calibri" w:eastAsia="Calibri" w:cs="Calibri"/>
                <w:color w:val="000000" w:themeColor="text1"/>
                <w:sz w:val="22"/>
                <w:szCs w:val="22"/>
              </w:rPr>
              <w:t xml:space="preserve">Conclusion/Finding </w:t>
            </w:r>
          </w:p>
        </w:tc>
        <w:tc>
          <w:tcPr>
            <w:tcW w:w="2336"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3CF9BE05" w:rsidP="3CF9BE05" w:rsidRDefault="3CF9BE05" w14:paraId="28221DFA" w14:textId="49FBE217">
            <w:pPr>
              <w:rPr>
                <w:rFonts w:ascii="Calibri" w:hAnsi="Calibri" w:eastAsia="Calibri" w:cs="Calibri"/>
                <w:color w:val="000000" w:themeColor="text1"/>
                <w:sz w:val="22"/>
                <w:szCs w:val="22"/>
              </w:rPr>
            </w:pPr>
            <w:r w:rsidRPr="3CF9BE05">
              <w:rPr>
                <w:rFonts w:ascii="Calibri" w:hAnsi="Calibri" w:eastAsia="Calibri" w:cs="Calibri"/>
                <w:color w:val="000000" w:themeColor="text1"/>
                <w:sz w:val="22"/>
                <w:szCs w:val="22"/>
              </w:rPr>
              <w:t xml:space="preserve">Next Steps and Required Actions </w:t>
            </w:r>
          </w:p>
        </w:tc>
      </w:tr>
      <w:tr w:rsidR="3CF9BE05" w:rsidTr="4E4E47E2" w14:paraId="40C611B1" w14:textId="77777777">
        <w:trPr>
          <w:trHeight w:val="300"/>
        </w:trPr>
        <w:tc>
          <w:tcPr>
            <w:tcW w:w="2484" w:type="dxa"/>
            <w:tcBorders>
              <w:top w:val="single" w:color="auto" w:sz="8" w:space="0"/>
              <w:left w:val="single" w:color="auto" w:sz="8" w:space="0"/>
              <w:bottom w:val="single" w:color="auto" w:sz="8" w:space="0"/>
              <w:right w:val="single" w:color="auto" w:sz="8" w:space="0"/>
            </w:tcBorders>
            <w:tcMar/>
          </w:tcPr>
          <w:p w:rsidR="3CF9BE05" w:rsidP="3CF9BE05" w:rsidRDefault="3CF9BE05" w14:paraId="7D520123" w14:textId="7C875E16">
            <w:pPr>
              <w:rPr>
                <w:rFonts w:ascii="Calibri" w:hAnsi="Calibri" w:eastAsia="Calibri" w:cs="Calibri"/>
                <w:sz w:val="22"/>
                <w:szCs w:val="22"/>
              </w:rPr>
            </w:pPr>
            <w:r w:rsidRPr="3CF9BE05">
              <w:rPr>
                <w:rFonts w:ascii="Calibri" w:hAnsi="Calibri" w:eastAsia="Calibri" w:cs="Calibri"/>
                <w:sz w:val="22"/>
                <w:szCs w:val="22"/>
              </w:rPr>
              <w:t>2.1 Procedural Safeguards</w:t>
            </w:r>
          </w:p>
          <w:p w:rsidR="3CF9BE05" w:rsidP="3CF9BE05" w:rsidRDefault="3CF9BE05" w14:paraId="0506225B" w14:textId="0B8F4086">
            <w:pPr>
              <w:rPr>
                <w:rFonts w:ascii="Calibri" w:hAnsi="Calibri" w:eastAsia="Calibri" w:cs="Calibri"/>
                <w:sz w:val="22"/>
                <w:szCs w:val="22"/>
              </w:rPr>
            </w:pPr>
            <w:r w:rsidRPr="3CF9BE05">
              <w:rPr>
                <w:rFonts w:ascii="Calibri" w:hAnsi="Calibri" w:eastAsia="Calibri" w:cs="Calibri"/>
                <w:sz w:val="22"/>
                <w:szCs w:val="22"/>
              </w:rPr>
              <w:t xml:space="preserve"> </w:t>
            </w:r>
          </w:p>
          <w:p w:rsidR="3CF9BE05" w:rsidP="3CF9BE05" w:rsidRDefault="3CF9BE05" w14:paraId="505A8A08" w14:textId="5F84A37C">
            <w:pPr>
              <w:rPr>
                <w:rFonts w:ascii="Calibri" w:hAnsi="Calibri" w:eastAsia="Calibri" w:cs="Calibri"/>
                <w:color w:val="000000" w:themeColor="text1"/>
                <w:sz w:val="22"/>
                <w:szCs w:val="22"/>
              </w:rPr>
            </w:pPr>
            <w:r w:rsidRPr="3CF9BE05">
              <w:rPr>
                <w:rFonts w:ascii="Calibri" w:hAnsi="Calibri" w:eastAsia="Calibri" w:cs="Calibri"/>
                <w:b/>
                <w:bCs/>
                <w:color w:val="000000" w:themeColor="text1"/>
                <w:sz w:val="22"/>
                <w:szCs w:val="22"/>
              </w:rPr>
              <w:t>303.421 Prior written notice and procedural safeguards notice.</w:t>
            </w:r>
            <w:r w:rsidRPr="3CF9BE05">
              <w:rPr>
                <w:rFonts w:ascii="Calibri" w:hAnsi="Calibri" w:eastAsia="Calibri" w:cs="Calibri"/>
                <w:color w:val="000000" w:themeColor="text1"/>
                <w:sz w:val="22"/>
                <w:szCs w:val="22"/>
              </w:rPr>
              <w:t xml:space="preserve"> a) </w:t>
            </w:r>
            <w:r w:rsidRPr="3CF9BE05">
              <w:rPr>
                <w:rFonts w:ascii="Calibri" w:hAnsi="Calibri" w:eastAsia="Calibri" w:cs="Calibri"/>
                <w:b/>
                <w:bCs/>
                <w:i/>
                <w:iCs/>
                <w:color w:val="000000" w:themeColor="text1"/>
                <w:sz w:val="22"/>
                <w:szCs w:val="22"/>
              </w:rPr>
              <w:t>General.</w:t>
            </w:r>
            <w:r w:rsidRPr="3CF9BE05">
              <w:rPr>
                <w:rFonts w:ascii="Calibri" w:hAnsi="Calibri" w:eastAsia="Calibri" w:cs="Calibri"/>
                <w:color w:val="000000" w:themeColor="text1"/>
                <w:sz w:val="22"/>
                <w:szCs w:val="22"/>
              </w:rPr>
              <w:t xml:space="preserve"> Prior written notice must be provided to </w:t>
            </w:r>
            <w:proofErr w:type="gramStart"/>
            <w:r w:rsidRPr="3CF9BE05">
              <w:rPr>
                <w:rFonts w:ascii="Calibri" w:hAnsi="Calibri" w:eastAsia="Calibri" w:cs="Calibri"/>
                <w:color w:val="000000" w:themeColor="text1"/>
                <w:sz w:val="22"/>
                <w:szCs w:val="22"/>
              </w:rPr>
              <w:t>parents</w:t>
            </w:r>
            <w:proofErr w:type="gramEnd"/>
            <w:r w:rsidRPr="3CF9BE05">
              <w:rPr>
                <w:rFonts w:ascii="Calibri" w:hAnsi="Calibri" w:eastAsia="Calibri" w:cs="Calibri"/>
                <w:color w:val="000000" w:themeColor="text1"/>
                <w:sz w:val="22"/>
                <w:szCs w:val="22"/>
              </w:rPr>
              <w:t xml:space="preserve">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p>
        </w:tc>
        <w:tc>
          <w:tcPr>
            <w:tcW w:w="2203" w:type="dxa"/>
            <w:tcBorders>
              <w:top w:val="single" w:color="auto" w:sz="8" w:space="0"/>
              <w:left w:val="single" w:color="auto" w:sz="8" w:space="0"/>
              <w:bottom w:val="single" w:color="auto" w:sz="8" w:space="0"/>
              <w:right w:val="single" w:color="auto" w:sz="8" w:space="0"/>
            </w:tcBorders>
            <w:tcMar/>
          </w:tcPr>
          <w:p w:rsidR="3CF9BE05" w:rsidP="3CF9BE05" w:rsidRDefault="3CF9BE05" w14:paraId="34CA762C" w14:textId="34015D6B">
            <w:pPr>
              <w:rPr>
                <w:rFonts w:ascii="Calibri" w:hAnsi="Calibri" w:eastAsia="Calibri" w:cs="Calibri"/>
                <w:sz w:val="22"/>
                <w:szCs w:val="22"/>
              </w:rPr>
            </w:pPr>
            <w:r w:rsidRPr="3CF9BE05">
              <w:rPr>
                <w:rFonts w:ascii="Calibri" w:hAnsi="Calibri" w:eastAsia="Calibri" w:cs="Calibri"/>
                <w:sz w:val="22"/>
                <w:szCs w:val="22"/>
              </w:rPr>
              <w:t>2.1</w:t>
            </w:r>
          </w:p>
          <w:p w:rsidR="3CF9BE05" w:rsidP="3CF9BE05" w:rsidRDefault="3CF9BE05" w14:paraId="6D24C95E" w14:textId="286848D8">
            <w:pPr>
              <w:rPr>
                <w:rFonts w:ascii="Calibri" w:hAnsi="Calibri" w:eastAsia="Calibri" w:cs="Calibri"/>
                <w:sz w:val="22"/>
                <w:szCs w:val="22"/>
              </w:rPr>
            </w:pPr>
            <w:r w:rsidRPr="3CF9BE05">
              <w:rPr>
                <w:rFonts w:ascii="Calibri" w:hAnsi="Calibri" w:eastAsia="Calibri" w:cs="Calibri"/>
                <w:sz w:val="22"/>
                <w:szCs w:val="22"/>
              </w:rPr>
              <w:t xml:space="preserve"> </w:t>
            </w:r>
          </w:p>
          <w:p w:rsidR="3CF9BE05" w:rsidP="3CF9BE05" w:rsidRDefault="3CF9BE05" w14:paraId="3F6C2067" w14:textId="337B7789">
            <w:pPr>
              <w:rPr>
                <w:rFonts w:ascii="Calibri" w:hAnsi="Calibri" w:eastAsia="Calibri" w:cs="Calibri"/>
                <w:color w:val="000000" w:themeColor="text1"/>
                <w:sz w:val="22"/>
                <w:szCs w:val="22"/>
              </w:rPr>
            </w:pPr>
            <w:r w:rsidRPr="3CF9BE05">
              <w:rPr>
                <w:rFonts w:ascii="Calibri" w:hAnsi="Calibri" w:eastAsia="Calibri" w:cs="Calibri"/>
                <w:color w:val="000000" w:themeColor="text1"/>
                <w:sz w:val="22"/>
                <w:szCs w:val="22"/>
              </w:rPr>
              <w:t xml:space="preserve">When completing the record review, the EI division identified six </w:t>
            </w:r>
            <w:r w:rsidRPr="3CF9BE05">
              <w:rPr>
                <w:rFonts w:ascii="Calibri" w:hAnsi="Calibri" w:eastAsia="Calibri" w:cs="Calibri"/>
                <w:color w:val="000000" w:themeColor="text1"/>
                <w:sz w:val="20"/>
              </w:rPr>
              <w:t>out of 10</w:t>
            </w:r>
            <w:r w:rsidRPr="3CF9BE05">
              <w:rPr>
                <w:rFonts w:ascii="Calibri" w:hAnsi="Calibri" w:eastAsia="Calibri" w:cs="Calibri"/>
                <w:color w:val="000000" w:themeColor="text1"/>
                <w:sz w:val="22"/>
                <w:szCs w:val="22"/>
              </w:rPr>
              <w:t xml:space="preserve"> children did not receive Prior Written Notice for their Transition Conference</w:t>
            </w:r>
          </w:p>
        </w:tc>
        <w:tc>
          <w:tcPr>
            <w:tcW w:w="2336" w:type="dxa"/>
            <w:tcBorders>
              <w:top w:val="single" w:color="auto" w:sz="8" w:space="0"/>
              <w:left w:val="single" w:color="auto" w:sz="8" w:space="0"/>
              <w:bottom w:val="single" w:color="auto" w:sz="8" w:space="0"/>
              <w:right w:val="single" w:color="auto" w:sz="8" w:space="0"/>
            </w:tcBorders>
            <w:tcMar/>
          </w:tcPr>
          <w:p w:rsidR="3CF9BE05" w:rsidP="3CF9BE05" w:rsidRDefault="3CF9BE05" w14:paraId="08BDC38B" w14:textId="736AB9B0">
            <w:pPr>
              <w:rPr>
                <w:rFonts w:ascii="Calibri" w:hAnsi="Calibri" w:eastAsia="Calibri" w:cs="Calibri"/>
                <w:sz w:val="22"/>
                <w:szCs w:val="22"/>
              </w:rPr>
            </w:pPr>
            <w:r w:rsidRPr="3CF9BE05">
              <w:rPr>
                <w:rFonts w:ascii="Calibri" w:hAnsi="Calibri" w:eastAsia="Calibri" w:cs="Calibri"/>
                <w:sz w:val="22"/>
                <w:szCs w:val="22"/>
              </w:rPr>
              <w:t>2.1</w:t>
            </w:r>
          </w:p>
          <w:p w:rsidR="3CF9BE05" w:rsidP="3CF9BE05" w:rsidRDefault="3CF9BE05" w14:paraId="114A8677" w14:textId="3F37A1E3">
            <w:pPr>
              <w:rPr>
                <w:rFonts w:ascii="Calibri" w:hAnsi="Calibri" w:eastAsia="Calibri" w:cs="Calibri"/>
                <w:sz w:val="22"/>
                <w:szCs w:val="22"/>
              </w:rPr>
            </w:pPr>
            <w:r w:rsidRPr="3CF9BE05">
              <w:rPr>
                <w:rFonts w:ascii="Calibri" w:hAnsi="Calibri" w:eastAsia="Calibri" w:cs="Calibri"/>
                <w:sz w:val="22"/>
                <w:szCs w:val="22"/>
              </w:rPr>
              <w:t xml:space="preserve"> </w:t>
            </w:r>
          </w:p>
          <w:p w:rsidR="3CF9BE05" w:rsidP="3CF9BE05" w:rsidRDefault="3CF9BE05" w14:paraId="234273E1" w14:textId="047E6762">
            <w:pPr>
              <w:rPr>
                <w:rFonts w:ascii="Calibri" w:hAnsi="Calibri" w:eastAsia="Calibri" w:cs="Calibri"/>
                <w:color w:val="000000" w:themeColor="text1"/>
                <w:sz w:val="22"/>
                <w:szCs w:val="22"/>
              </w:rPr>
            </w:pPr>
            <w:r w:rsidRPr="3CF9BE05">
              <w:rPr>
                <w:rFonts w:ascii="Calibri" w:hAnsi="Calibri" w:eastAsia="Calibri" w:cs="Calibri"/>
                <w:color w:val="000000" w:themeColor="text1"/>
                <w:sz w:val="22"/>
                <w:szCs w:val="22"/>
              </w:rPr>
              <w:t>The EI Division finds that the EIS program does not have effective procedures to ensure that parents receive prior written notice for the transition conferences as required under 303.421</w:t>
            </w:r>
          </w:p>
        </w:tc>
        <w:tc>
          <w:tcPr>
            <w:tcW w:w="2336" w:type="dxa"/>
            <w:tcBorders>
              <w:top w:val="single" w:color="auto" w:sz="8" w:space="0"/>
              <w:left w:val="single" w:color="auto" w:sz="8" w:space="0"/>
              <w:bottom w:val="single" w:color="auto" w:sz="8" w:space="0"/>
              <w:right w:val="single" w:color="auto" w:sz="8" w:space="0"/>
            </w:tcBorders>
            <w:tcMar/>
          </w:tcPr>
          <w:p w:rsidR="3CF9BE05" w:rsidP="3CF9BE05" w:rsidRDefault="00AE5D4E" w14:paraId="677C84E9" w14:textId="4ABCB9D3" w14:noSpellErr="1">
            <w:pPr>
              <w:rPr>
                <w:rFonts w:ascii="Calibri" w:hAnsi="Calibri" w:eastAsia="Calibri" w:cs="Calibri"/>
                <w:sz w:val="22"/>
                <w:szCs w:val="22"/>
              </w:rPr>
            </w:pPr>
            <w:r w:rsidRPr="4E4E47E2" w:rsidR="6FA526F8">
              <w:rPr>
                <w:rFonts w:ascii="Calibri" w:hAnsi="Calibri" w:eastAsia="Calibri" w:cs="Calibri"/>
                <w:sz w:val="22"/>
                <w:szCs w:val="22"/>
              </w:rPr>
              <w:t xml:space="preserve">Corrected and </w:t>
            </w:r>
            <w:r w:rsidRPr="4E4E47E2" w:rsidR="01BAC5FF">
              <w:rPr>
                <w:rFonts w:ascii="Calibri" w:hAnsi="Calibri" w:eastAsia="Calibri" w:cs="Calibri"/>
                <w:sz w:val="22"/>
                <w:szCs w:val="22"/>
              </w:rPr>
              <w:t>Closed</w:t>
            </w:r>
          </w:p>
        </w:tc>
      </w:tr>
    </w:tbl>
    <w:p w:rsidR="3CF9BE05" w:rsidRDefault="3CF9BE05" w14:paraId="594FE2BA" w14:textId="2E9B589D"/>
    <w:p w:rsidR="3CF9BE05" w:rsidRDefault="3CF9BE05" w14:paraId="4B820286" w14:textId="6B2AF32C"/>
    <w:p w:rsidR="7274C1D9" w:rsidRDefault="7274C1D9" w14:paraId="05BCFCB6" w14:textId="35BDF137"/>
    <w:p w:rsidR="003815E7" w:rsidP="4618209B" w:rsidRDefault="003815E7" w14:paraId="2C53382D" w14:textId="48294D3D">
      <w:pPr>
        <w:pStyle w:val="NoSpacing"/>
      </w:pPr>
    </w:p>
    <w:p w:rsidR="003815E7" w:rsidP="00436F8C" w:rsidRDefault="003815E7" w14:paraId="5CFE8F4D" w14:textId="77777777">
      <w:pPr>
        <w:pStyle w:val="NoSpacing"/>
        <w:jc w:val="center"/>
        <w:rPr>
          <w:rFonts w:cs="Times New Roman"/>
          <w:b/>
          <w:sz w:val="28"/>
          <w:szCs w:val="28"/>
        </w:rPr>
      </w:pPr>
    </w:p>
    <w:p w:rsidR="003815E7" w:rsidP="00436F8C" w:rsidRDefault="003815E7" w14:paraId="38812056" w14:textId="77777777">
      <w:pPr>
        <w:pStyle w:val="NoSpacing"/>
        <w:jc w:val="center"/>
        <w:rPr>
          <w:rFonts w:cs="Times New Roman"/>
          <w:b/>
          <w:sz w:val="28"/>
          <w:szCs w:val="28"/>
        </w:rPr>
      </w:pPr>
    </w:p>
    <w:p w:rsidR="003815E7" w:rsidP="00436F8C" w:rsidRDefault="003815E7" w14:paraId="556E97D6" w14:textId="77777777">
      <w:pPr>
        <w:pStyle w:val="NoSpacing"/>
        <w:jc w:val="center"/>
        <w:rPr>
          <w:rFonts w:cs="Times New Roman"/>
          <w:b/>
          <w:sz w:val="28"/>
          <w:szCs w:val="28"/>
        </w:rPr>
      </w:pPr>
    </w:p>
    <w:p w:rsidR="003815E7" w:rsidP="00436F8C" w:rsidRDefault="003815E7" w14:paraId="0ABF701C" w14:textId="77777777">
      <w:pPr>
        <w:pStyle w:val="NoSpacing"/>
        <w:jc w:val="center"/>
        <w:rPr>
          <w:rFonts w:cs="Times New Roman"/>
          <w:b/>
          <w:sz w:val="28"/>
          <w:szCs w:val="28"/>
        </w:rPr>
      </w:pPr>
      <w:bookmarkStart w:name="_Hlk146484159" w:id="16"/>
      <w:bookmarkEnd w:id="16"/>
    </w:p>
    <w:sectPr w:rsidR="003815E7">
      <w:headerReference w:type="default" r:id="rId15"/>
      <w:footerReference w:type="default" r:id="rId16"/>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986" w:rsidP="004500C5" w:rsidRDefault="00A11986" w14:paraId="3D224EB5" w14:textId="77777777">
      <w:r>
        <w:separator/>
      </w:r>
    </w:p>
  </w:endnote>
  <w:endnote w:type="continuationSeparator" w:id="0">
    <w:p w:rsidR="00A11986" w:rsidP="004500C5" w:rsidRDefault="00A11986" w14:paraId="6F0FD5C6" w14:textId="77777777">
      <w:r>
        <w:continuationSeparator/>
      </w:r>
    </w:p>
  </w:endnote>
  <w:endnote w:type="continuationNotice" w:id="1">
    <w:p w:rsidR="00A11986" w:rsidRDefault="00A11986" w14:paraId="1B991C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0B59A7D7" w14:textId="77777777">
      <w:trPr>
        <w:trHeight w:val="300"/>
      </w:trPr>
      <w:tc>
        <w:tcPr>
          <w:tcW w:w="3120" w:type="dxa"/>
        </w:tcPr>
        <w:p w:rsidR="4BFCDA00" w:rsidP="4BFCDA00" w:rsidRDefault="4BFCDA00" w14:paraId="736BA4F7" w14:textId="7E17840C">
          <w:pPr>
            <w:pStyle w:val="Header"/>
            <w:ind w:left="-115"/>
          </w:pPr>
        </w:p>
      </w:tc>
      <w:tc>
        <w:tcPr>
          <w:tcW w:w="3120" w:type="dxa"/>
        </w:tcPr>
        <w:p w:rsidR="4BFCDA00" w:rsidP="4BFCDA00" w:rsidRDefault="4BFCDA00" w14:paraId="2DC33F82" w14:textId="37BCEF11">
          <w:pPr>
            <w:pStyle w:val="Header"/>
            <w:jc w:val="center"/>
          </w:pPr>
        </w:p>
      </w:tc>
      <w:tc>
        <w:tcPr>
          <w:tcW w:w="3120" w:type="dxa"/>
        </w:tcPr>
        <w:p w:rsidR="4BFCDA00" w:rsidP="4BFCDA00" w:rsidRDefault="4BFCDA00" w14:paraId="075F67BC" w14:textId="2F73FA8B">
          <w:pPr>
            <w:pStyle w:val="Header"/>
            <w:ind w:right="-115"/>
            <w:jc w:val="right"/>
          </w:pPr>
        </w:p>
      </w:tc>
    </w:tr>
  </w:tbl>
  <w:p w:rsidR="4BFCDA00" w:rsidP="4BFCDA00" w:rsidRDefault="4BFCDA00" w14:paraId="3DCB3FF9" w14:textId="647AC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986" w:rsidP="004500C5" w:rsidRDefault="00A11986" w14:paraId="64E95725" w14:textId="77777777">
      <w:r>
        <w:separator/>
      </w:r>
    </w:p>
  </w:footnote>
  <w:footnote w:type="continuationSeparator" w:id="0">
    <w:p w:rsidR="00A11986" w:rsidP="004500C5" w:rsidRDefault="00A11986" w14:paraId="1628F0D7" w14:textId="77777777">
      <w:r>
        <w:continuationSeparator/>
      </w:r>
    </w:p>
  </w:footnote>
  <w:footnote w:type="continuationNotice" w:id="1">
    <w:p w:rsidR="00A11986" w:rsidRDefault="00A11986" w14:paraId="53D91E3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3CBE8C8C" w14:textId="77777777">
      <w:trPr>
        <w:trHeight w:val="300"/>
      </w:trPr>
      <w:tc>
        <w:tcPr>
          <w:tcW w:w="3120" w:type="dxa"/>
        </w:tcPr>
        <w:p w:rsidR="4BFCDA00" w:rsidP="4BFCDA00" w:rsidRDefault="4BFCDA00" w14:paraId="1DE695D0" w14:textId="52CA7EE7">
          <w:pPr>
            <w:pStyle w:val="Header"/>
            <w:ind w:left="-115"/>
          </w:pPr>
        </w:p>
      </w:tc>
      <w:tc>
        <w:tcPr>
          <w:tcW w:w="3120" w:type="dxa"/>
        </w:tcPr>
        <w:p w:rsidR="4BFCDA00" w:rsidP="4BFCDA00" w:rsidRDefault="4BFCDA00" w14:paraId="12E1C8C9" w14:textId="594DF6DF">
          <w:pPr>
            <w:pStyle w:val="Header"/>
            <w:jc w:val="center"/>
          </w:pPr>
        </w:p>
      </w:tc>
      <w:tc>
        <w:tcPr>
          <w:tcW w:w="3120" w:type="dxa"/>
        </w:tcPr>
        <w:p w:rsidR="4BFCDA00" w:rsidP="4BFCDA00" w:rsidRDefault="4BFCDA00" w14:paraId="08BC85CD" w14:textId="7895628F">
          <w:pPr>
            <w:pStyle w:val="Header"/>
            <w:ind w:right="-115"/>
            <w:jc w:val="right"/>
          </w:pPr>
        </w:p>
      </w:tc>
    </w:tr>
  </w:tbl>
  <w:p w:rsidR="4BFCDA00" w:rsidP="4BFCDA00" w:rsidRDefault="4BFCDA00" w14:paraId="769A3A1D" w14:textId="63F8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7288">
    <w:abstractNumId w:val="2"/>
  </w:num>
  <w:num w:numId="2" w16cid:durableId="1045518703">
    <w:abstractNumId w:val="1"/>
  </w:num>
  <w:num w:numId="3" w16cid:durableId="54356026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7B0C"/>
    <w:rsid w:val="00077C2D"/>
    <w:rsid w:val="000A1DE1"/>
    <w:rsid w:val="000B7B1D"/>
    <w:rsid w:val="000B7D96"/>
    <w:rsid w:val="000F315B"/>
    <w:rsid w:val="001125C0"/>
    <w:rsid w:val="0014364F"/>
    <w:rsid w:val="0015268B"/>
    <w:rsid w:val="0016688A"/>
    <w:rsid w:val="00166C0D"/>
    <w:rsid w:val="00177C77"/>
    <w:rsid w:val="001B6693"/>
    <w:rsid w:val="00211789"/>
    <w:rsid w:val="0021698C"/>
    <w:rsid w:val="0023696A"/>
    <w:rsid w:val="00260D54"/>
    <w:rsid w:val="00276957"/>
    <w:rsid w:val="00276DCC"/>
    <w:rsid w:val="002858B8"/>
    <w:rsid w:val="00287C14"/>
    <w:rsid w:val="002A132F"/>
    <w:rsid w:val="002B2118"/>
    <w:rsid w:val="002D1C21"/>
    <w:rsid w:val="00301022"/>
    <w:rsid w:val="00331752"/>
    <w:rsid w:val="00334DF9"/>
    <w:rsid w:val="00375EAD"/>
    <w:rsid w:val="003815E7"/>
    <w:rsid w:val="00385812"/>
    <w:rsid w:val="00392D0B"/>
    <w:rsid w:val="003A7AFC"/>
    <w:rsid w:val="003C60EF"/>
    <w:rsid w:val="003D1D15"/>
    <w:rsid w:val="00436F8C"/>
    <w:rsid w:val="004500C5"/>
    <w:rsid w:val="004813AC"/>
    <w:rsid w:val="004B37A0"/>
    <w:rsid w:val="004B5CFB"/>
    <w:rsid w:val="004D6B39"/>
    <w:rsid w:val="004E0C3F"/>
    <w:rsid w:val="00512956"/>
    <w:rsid w:val="00530145"/>
    <w:rsid w:val="00533DD3"/>
    <w:rsid w:val="005448AA"/>
    <w:rsid w:val="00551977"/>
    <w:rsid w:val="00556C1C"/>
    <w:rsid w:val="005A1A95"/>
    <w:rsid w:val="005B452B"/>
    <w:rsid w:val="005F04C3"/>
    <w:rsid w:val="006465D7"/>
    <w:rsid w:val="006A32C5"/>
    <w:rsid w:val="006D06D9"/>
    <w:rsid w:val="006D77A6"/>
    <w:rsid w:val="00702109"/>
    <w:rsid w:val="0072610D"/>
    <w:rsid w:val="00757006"/>
    <w:rsid w:val="00770A3F"/>
    <w:rsid w:val="0079544E"/>
    <w:rsid w:val="007B3F4B"/>
    <w:rsid w:val="007B7347"/>
    <w:rsid w:val="007D10F3"/>
    <w:rsid w:val="007E278C"/>
    <w:rsid w:val="007F3CDB"/>
    <w:rsid w:val="00865A8F"/>
    <w:rsid w:val="00877D32"/>
    <w:rsid w:val="008A3200"/>
    <w:rsid w:val="008B68C9"/>
    <w:rsid w:val="008E6181"/>
    <w:rsid w:val="008F335A"/>
    <w:rsid w:val="00924C12"/>
    <w:rsid w:val="009730E5"/>
    <w:rsid w:val="009908FF"/>
    <w:rsid w:val="00995505"/>
    <w:rsid w:val="009B7E19"/>
    <w:rsid w:val="009C4428"/>
    <w:rsid w:val="009C4A6A"/>
    <w:rsid w:val="009C538E"/>
    <w:rsid w:val="009D48CD"/>
    <w:rsid w:val="00A04CBF"/>
    <w:rsid w:val="00A067DB"/>
    <w:rsid w:val="00A11986"/>
    <w:rsid w:val="00A126B9"/>
    <w:rsid w:val="00A3339A"/>
    <w:rsid w:val="00A65101"/>
    <w:rsid w:val="00AE5D4E"/>
    <w:rsid w:val="00B1201A"/>
    <w:rsid w:val="00B403BF"/>
    <w:rsid w:val="00B608D9"/>
    <w:rsid w:val="00BA4055"/>
    <w:rsid w:val="00BA7C40"/>
    <w:rsid w:val="00BA7FB6"/>
    <w:rsid w:val="00C20BFE"/>
    <w:rsid w:val="00C21DB0"/>
    <w:rsid w:val="00C46D29"/>
    <w:rsid w:val="00CA69CB"/>
    <w:rsid w:val="00CA6B7C"/>
    <w:rsid w:val="00CC1778"/>
    <w:rsid w:val="00CE575B"/>
    <w:rsid w:val="00CF3DE8"/>
    <w:rsid w:val="00D0493F"/>
    <w:rsid w:val="00D47AE8"/>
    <w:rsid w:val="00D56F91"/>
    <w:rsid w:val="00D8671C"/>
    <w:rsid w:val="00D91390"/>
    <w:rsid w:val="00DA57C3"/>
    <w:rsid w:val="00DC235A"/>
    <w:rsid w:val="00DC3855"/>
    <w:rsid w:val="00DE2C6A"/>
    <w:rsid w:val="00DF7081"/>
    <w:rsid w:val="00E242A8"/>
    <w:rsid w:val="00E274B8"/>
    <w:rsid w:val="00E72707"/>
    <w:rsid w:val="00ED04D2"/>
    <w:rsid w:val="00F0586E"/>
    <w:rsid w:val="00F1373F"/>
    <w:rsid w:val="00F43932"/>
    <w:rsid w:val="00F93545"/>
    <w:rsid w:val="00FA15D9"/>
    <w:rsid w:val="00FA575E"/>
    <w:rsid w:val="00FB1C15"/>
    <w:rsid w:val="00FC6B42"/>
    <w:rsid w:val="01A2EDF1"/>
    <w:rsid w:val="01BAC5FF"/>
    <w:rsid w:val="0DC2E36B"/>
    <w:rsid w:val="1397E789"/>
    <w:rsid w:val="14929D4B"/>
    <w:rsid w:val="15AA6A77"/>
    <w:rsid w:val="16BCAAAE"/>
    <w:rsid w:val="20CECE22"/>
    <w:rsid w:val="22F354A8"/>
    <w:rsid w:val="252EC7B5"/>
    <w:rsid w:val="263BE1A2"/>
    <w:rsid w:val="27731528"/>
    <w:rsid w:val="2811A09E"/>
    <w:rsid w:val="28519C25"/>
    <w:rsid w:val="2B388BFA"/>
    <w:rsid w:val="2C9E435E"/>
    <w:rsid w:val="2E9DD2C8"/>
    <w:rsid w:val="325EFD86"/>
    <w:rsid w:val="33B9B570"/>
    <w:rsid w:val="3C383A13"/>
    <w:rsid w:val="3CF9BE05"/>
    <w:rsid w:val="3F5E52BE"/>
    <w:rsid w:val="4618209B"/>
    <w:rsid w:val="48A5B17C"/>
    <w:rsid w:val="4B1D7FBA"/>
    <w:rsid w:val="4BFCDA00"/>
    <w:rsid w:val="4D5C3862"/>
    <w:rsid w:val="4E4E47E2"/>
    <w:rsid w:val="4F03F40D"/>
    <w:rsid w:val="4F18BF4B"/>
    <w:rsid w:val="4F1A6142"/>
    <w:rsid w:val="5181E850"/>
    <w:rsid w:val="51E9D157"/>
    <w:rsid w:val="5363A7CF"/>
    <w:rsid w:val="53654303"/>
    <w:rsid w:val="53E9DBB9"/>
    <w:rsid w:val="584F1DD3"/>
    <w:rsid w:val="59158B11"/>
    <w:rsid w:val="5CE608C8"/>
    <w:rsid w:val="5DA30078"/>
    <w:rsid w:val="5DFB8F58"/>
    <w:rsid w:val="62FEE75A"/>
    <w:rsid w:val="64A01EC7"/>
    <w:rsid w:val="66354A35"/>
    <w:rsid w:val="66CAAB8C"/>
    <w:rsid w:val="6741E2FE"/>
    <w:rsid w:val="6E544C3D"/>
    <w:rsid w:val="6EE72EFD"/>
    <w:rsid w:val="6F92FDAA"/>
    <w:rsid w:val="6FA526F8"/>
    <w:rsid w:val="6FE2387F"/>
    <w:rsid w:val="7274C1D9"/>
    <w:rsid w:val="728D3767"/>
    <w:rsid w:val="73D3EFEB"/>
    <w:rsid w:val="751B6BF2"/>
    <w:rsid w:val="76B30032"/>
    <w:rsid w:val="792591B0"/>
    <w:rsid w:val="79DCCB15"/>
    <w:rsid w:val="7F2A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0ED05482-ED92-4FF3-B31A-8A26ED14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11789"/>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rsid w:val="009B7E19"/>
    <w:rPr>
      <w:sz w:val="16"/>
      <w:szCs w:val="16"/>
    </w:rPr>
  </w:style>
  <w:style w:type="paragraph" w:styleId="CommentText">
    <w:name w:val="annotation text"/>
    <w:basedOn w:val="Normal"/>
    <w:link w:val="CommentTextChar"/>
    <w:rsid w:val="009B7E19"/>
    <w:rPr>
      <w:sz w:val="20"/>
    </w:rPr>
  </w:style>
  <w:style w:type="character" w:styleId="CommentTextChar" w:customStyle="1">
    <w:name w:val="Comment Text Char"/>
    <w:basedOn w:val="DefaultParagraphFont"/>
    <w:link w:val="CommentText"/>
    <w:rsid w:val="009B7E19"/>
  </w:style>
  <w:style w:type="paragraph" w:styleId="CommentSubject">
    <w:name w:val="annotation subject"/>
    <w:basedOn w:val="CommentText"/>
    <w:next w:val="CommentText"/>
    <w:link w:val="CommentSubjectChar"/>
    <w:rsid w:val="009B7E19"/>
    <w:rPr>
      <w:b/>
      <w:bCs/>
    </w:rPr>
  </w:style>
  <w:style w:type="character" w:styleId="CommentSubjectChar" w:customStyle="1">
    <w:name w:val="Comment Subject Char"/>
    <w:basedOn w:val="CommentTextChar"/>
    <w:link w:val="CommentSubject"/>
    <w:rsid w:val="009B7E19"/>
    <w:rPr>
      <w:b/>
      <w:bCs/>
    </w:rPr>
  </w:style>
  <w:style w:type="character" w:styleId="normaltextrun" w:customStyle="1">
    <w:name w:val="normaltextrun"/>
    <w:basedOn w:val="DefaultParagraphFont"/>
    <w:rsid w:val="00211789"/>
  </w:style>
  <w:style w:type="paragraph" w:styleId="ListParagraph">
    <w:name w:val="List Paragraph"/>
    <w:basedOn w:val="Normal"/>
    <w:uiPriority w:val="34"/>
    <w:qFormat/>
    <w:rsid w:val="00211789"/>
    <w:pPr>
      <w:ind w:left="720"/>
      <w:contextualSpacing/>
    </w:pPr>
  </w:style>
  <w:style w:type="paragraph" w:styleId="Revision">
    <w:name w:val="Revision"/>
    <w:hidden/>
    <w:uiPriority w:val="99"/>
    <w:semiHidden/>
    <w:rsid w:val="00DC23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01278-9C6E-460E-9B05-A7249679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 Marshall</dc:creator>
  <keywords/>
  <lastModifiedBy>Grossman, Susan (DPH)</lastModifiedBy>
  <revision>13</revision>
  <lastPrinted>2015-01-29T17:50:00.0000000Z</lastPrinted>
  <dcterms:created xsi:type="dcterms:W3CDTF">2025-06-04T12:33:00.0000000Z</dcterms:created>
  <dcterms:modified xsi:type="dcterms:W3CDTF">2025-06-18T20:11:28.4161540Z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