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AF" w:rsidRDefault="0003364A" w:rsidP="00041768">
      <w:pPr>
        <w:jc w:val="both"/>
      </w:pPr>
      <w:r w:rsidRPr="0003364A">
        <w:rPr>
          <w:noProof/>
        </w:rPr>
        <w:drawing>
          <wp:inline distT="0" distB="0" distL="0" distR="0" wp14:anchorId="11022470" wp14:editId="1A3C8899">
            <wp:extent cx="5486400" cy="1093470"/>
            <wp:effectExtent l="0" t="0" r="0" b="0"/>
            <wp:docPr id="2" name="Picture 2" descr="SSD:Users:serimez:DESIGN FILES:ARCHIVE:EmerPrepCampaign:Me:KPPCampaign_New:LetterheadForGeneralUse:KPPLetterhead_HQP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:Users:serimez:DESIGN FILES:ARCHIVE:EmerPrepCampaign:Me:KPPCampaign_New:LetterheadForGeneralUse:KPPLetterhead_HQP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5AF" w:rsidRDefault="00F005AF" w:rsidP="00041768">
      <w:pPr>
        <w:jc w:val="both"/>
      </w:pPr>
    </w:p>
    <w:p w:rsidR="00995B54" w:rsidRDefault="008B742E" w:rsidP="00041768">
      <w:pPr>
        <w:jc w:val="both"/>
      </w:pPr>
      <w:r>
        <w:t>Emergency</w:t>
      </w:r>
      <w:r w:rsidR="00995B54">
        <w:t xml:space="preserve"> Preparedness Month provides an opportunity to raise awareness </w:t>
      </w:r>
      <w:r w:rsidR="00660CE3">
        <w:t>for</w:t>
      </w:r>
      <w:r w:rsidR="00995B54">
        <w:t xml:space="preserve"> the important work </w:t>
      </w:r>
      <w:r w:rsidR="00CA1E6F">
        <w:t>being done</w:t>
      </w:r>
      <w:r w:rsidR="00995B54">
        <w:t xml:space="preserve"> to ensure our communities are safe</w:t>
      </w:r>
      <w:r w:rsidR="00041768">
        <w:t>,</w:t>
      </w:r>
      <w:r w:rsidR="00995B54">
        <w:t xml:space="preserve"> healthy</w:t>
      </w:r>
      <w:r w:rsidR="00BC3493">
        <w:t>,</w:t>
      </w:r>
      <w:r w:rsidR="00995B54">
        <w:t xml:space="preserve"> and ready for emergencies. The Massachusetts Department of Public Health (DPH) Office of Preparedness</w:t>
      </w:r>
      <w:r w:rsidR="00BD531A">
        <w:t xml:space="preserve"> and Emergency Management</w:t>
      </w:r>
      <w:r w:rsidR="00CF2336">
        <w:t xml:space="preserve"> (OPEM)</w:t>
      </w:r>
      <w:r w:rsidR="00BD531A">
        <w:t xml:space="preserve"> </w:t>
      </w:r>
      <w:r w:rsidR="00995B54">
        <w:t>is sponsoring a statewide campaign to encourage Massachusetts residents, families</w:t>
      </w:r>
      <w:r w:rsidR="00334122">
        <w:t>,</w:t>
      </w:r>
      <w:r w:rsidR="00995B54">
        <w:t xml:space="preserve"> and communities to make plans and prepare for public health a</w:t>
      </w:r>
      <w:r w:rsidR="00CA1E6F">
        <w:t>nd medical emergencies, threats</w:t>
      </w:r>
      <w:r w:rsidR="00155D86">
        <w:t>,</w:t>
      </w:r>
      <w:r w:rsidR="00995B54">
        <w:t xml:space="preserve"> and disasters.</w:t>
      </w:r>
      <w:r w:rsidR="00DB55A2">
        <w:t xml:space="preserve"> </w:t>
      </w:r>
      <w:r w:rsidR="00816EA4">
        <w:t>B</w:t>
      </w:r>
      <w:r w:rsidR="00DB55A2">
        <w:t>e sure to read on for more details</w:t>
      </w:r>
      <w:r w:rsidR="00816EA4">
        <w:t xml:space="preserve"> about this year’s planned activities</w:t>
      </w:r>
      <w:r w:rsidR="003D7D1D">
        <w:t>.</w:t>
      </w:r>
    </w:p>
    <w:p w:rsidR="00995B54" w:rsidRDefault="00995B54" w:rsidP="00041768">
      <w:pPr>
        <w:jc w:val="both"/>
      </w:pPr>
    </w:p>
    <w:p w:rsidR="00816EA4" w:rsidRDefault="00613F2F" w:rsidP="00041768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Digital </w:t>
      </w:r>
      <w:r w:rsidR="00816EA4" w:rsidRPr="00F657FC">
        <w:rPr>
          <w:b/>
          <w:sz w:val="32"/>
          <w:szCs w:val="32"/>
          <w:u w:val="single"/>
        </w:rPr>
        <w:t>Media Buy</w:t>
      </w:r>
    </w:p>
    <w:p w:rsidR="00F657FC" w:rsidRPr="00F657FC" w:rsidRDefault="00F657FC" w:rsidP="00041768">
      <w:pPr>
        <w:jc w:val="both"/>
        <w:rPr>
          <w:b/>
          <w:sz w:val="8"/>
          <w:szCs w:val="8"/>
          <w:u w:val="single"/>
        </w:rPr>
      </w:pPr>
    </w:p>
    <w:p w:rsidR="0047379E" w:rsidRDefault="00613F2F" w:rsidP="00041768">
      <w:pPr>
        <w:jc w:val="both"/>
      </w:pPr>
      <w:r>
        <w:t xml:space="preserve">This year we will be placing </w:t>
      </w:r>
      <w:r w:rsidR="00F657FC">
        <w:t>a m</w:t>
      </w:r>
      <w:r w:rsidR="00F657FC" w:rsidRPr="00802EDE">
        <w:t xml:space="preserve">edia buy </w:t>
      </w:r>
      <w:r w:rsidR="00F657FC">
        <w:t xml:space="preserve">for the month of September that </w:t>
      </w:r>
      <w:r>
        <w:t xml:space="preserve">is 100% </w:t>
      </w:r>
      <w:proofErr w:type="gramStart"/>
      <w:r>
        <w:t>digital</w:t>
      </w:r>
      <w:r w:rsidR="00212AD4">
        <w:t>/social</w:t>
      </w:r>
      <w:proofErr w:type="gramEnd"/>
      <w:r>
        <w:t xml:space="preserve">. Traditional television has limitations, and the landscape of how people interact with and watch TV is changing. </w:t>
      </w:r>
      <w:r w:rsidR="00212AD4">
        <w:t>Social media</w:t>
      </w:r>
      <w:r>
        <w:t xml:space="preserve"> outreach affords </w:t>
      </w:r>
      <w:r w:rsidR="0047379E">
        <w:t>a number of benefits, including:</w:t>
      </w:r>
    </w:p>
    <w:p w:rsidR="0047379E" w:rsidRDefault="00613F2F" w:rsidP="0047379E">
      <w:pPr>
        <w:pStyle w:val="ListParagraph"/>
        <w:numPr>
          <w:ilvl w:val="0"/>
          <w:numId w:val="7"/>
        </w:numPr>
        <w:jc w:val="both"/>
      </w:pPr>
      <w:r>
        <w:t>tremendous reach to targeted audiences</w:t>
      </w:r>
    </w:p>
    <w:p w:rsidR="00F657FC" w:rsidRDefault="00613F2F" w:rsidP="0047379E">
      <w:pPr>
        <w:pStyle w:val="ListParagraph"/>
        <w:numPr>
          <w:ilvl w:val="0"/>
          <w:numId w:val="7"/>
        </w:numPr>
        <w:jc w:val="both"/>
      </w:pPr>
      <w:r>
        <w:t xml:space="preserve">flexibility to react and respond to real-time data </w:t>
      </w:r>
      <w:r w:rsidR="004B3A54">
        <w:t>to</w:t>
      </w:r>
      <w:r>
        <w:t xml:space="preserve"> make </w:t>
      </w:r>
      <w:r w:rsidR="004B3A54">
        <w:t xml:space="preserve">immediate adjustments </w:t>
      </w:r>
      <w:r w:rsidR="00212AD4">
        <w:t>for better engagement</w:t>
      </w:r>
    </w:p>
    <w:p w:rsidR="0047379E" w:rsidRDefault="0047379E" w:rsidP="0047379E">
      <w:pPr>
        <w:pStyle w:val="ListParagraph"/>
        <w:numPr>
          <w:ilvl w:val="0"/>
          <w:numId w:val="7"/>
        </w:numPr>
        <w:jc w:val="both"/>
      </w:pPr>
      <w:r>
        <w:t>opportunities for interaction and feedback</w:t>
      </w:r>
      <w:r w:rsidR="00056DCB">
        <w:t xml:space="preserve"> between </w:t>
      </w:r>
      <w:r w:rsidR="003D7D1D">
        <w:t>organizations</w:t>
      </w:r>
      <w:r w:rsidR="00056DCB">
        <w:t xml:space="preserve"> and consumers</w:t>
      </w:r>
    </w:p>
    <w:p w:rsidR="0047379E" w:rsidRDefault="0047379E" w:rsidP="0047379E">
      <w:pPr>
        <w:pStyle w:val="ListParagraph"/>
        <w:numPr>
          <w:ilvl w:val="0"/>
          <w:numId w:val="7"/>
        </w:numPr>
        <w:jc w:val="both"/>
      </w:pPr>
      <w:r>
        <w:t>online communities whose members engage with each other through the use of branded messaging as well as user generated content</w:t>
      </w:r>
    </w:p>
    <w:p w:rsidR="00F657FC" w:rsidRDefault="00F657FC" w:rsidP="00041768">
      <w:pPr>
        <w:jc w:val="both"/>
      </w:pPr>
    </w:p>
    <w:p w:rsidR="00056DCB" w:rsidRDefault="00995B54" w:rsidP="00041768">
      <w:pPr>
        <w:jc w:val="both"/>
      </w:pPr>
      <w:r>
        <w:t xml:space="preserve">This year’s </w:t>
      </w:r>
      <w:r w:rsidRPr="00CA1E6F">
        <w:rPr>
          <w:b/>
        </w:rPr>
        <w:t>Know Plan Prepare</w:t>
      </w:r>
      <w:r>
        <w:t xml:space="preserve"> </w:t>
      </w:r>
      <w:r w:rsidR="00056DCB">
        <w:t>media buy will use the following platforms:</w:t>
      </w:r>
    </w:p>
    <w:p w:rsidR="00EA3222" w:rsidRDefault="00056DCB" w:rsidP="00056DCB">
      <w:pPr>
        <w:pStyle w:val="ListParagraph"/>
        <w:numPr>
          <w:ilvl w:val="0"/>
          <w:numId w:val="8"/>
        </w:numPr>
        <w:jc w:val="both"/>
      </w:pPr>
      <w:r>
        <w:t>Facebook</w:t>
      </w:r>
    </w:p>
    <w:p w:rsidR="00056DCB" w:rsidRDefault="00056DCB" w:rsidP="00056DCB">
      <w:pPr>
        <w:pStyle w:val="ListParagraph"/>
        <w:numPr>
          <w:ilvl w:val="0"/>
          <w:numId w:val="8"/>
        </w:numPr>
        <w:jc w:val="both"/>
      </w:pPr>
      <w:r>
        <w:t>Instagram</w:t>
      </w:r>
    </w:p>
    <w:p w:rsidR="00056DCB" w:rsidRDefault="00056DCB" w:rsidP="00056DCB">
      <w:pPr>
        <w:pStyle w:val="ListParagraph"/>
        <w:numPr>
          <w:ilvl w:val="0"/>
          <w:numId w:val="8"/>
        </w:numPr>
        <w:jc w:val="both"/>
      </w:pPr>
      <w:r>
        <w:t>Google Display</w:t>
      </w:r>
    </w:p>
    <w:p w:rsidR="00056DCB" w:rsidRDefault="00056DCB" w:rsidP="00056DCB">
      <w:pPr>
        <w:pStyle w:val="ListParagraph"/>
        <w:numPr>
          <w:ilvl w:val="0"/>
          <w:numId w:val="8"/>
        </w:numPr>
        <w:jc w:val="both"/>
      </w:pPr>
      <w:r>
        <w:t>YouTube</w:t>
      </w:r>
    </w:p>
    <w:p w:rsidR="00056DCB" w:rsidRDefault="00056DCB" w:rsidP="00056DCB">
      <w:pPr>
        <w:pStyle w:val="ListParagraph"/>
        <w:numPr>
          <w:ilvl w:val="0"/>
          <w:numId w:val="8"/>
        </w:numPr>
        <w:jc w:val="both"/>
      </w:pPr>
      <w:r>
        <w:t>Pinterest</w:t>
      </w:r>
    </w:p>
    <w:p w:rsidR="00056DCB" w:rsidRDefault="00056DCB" w:rsidP="00056DCB">
      <w:pPr>
        <w:pStyle w:val="ListParagraph"/>
        <w:numPr>
          <w:ilvl w:val="0"/>
          <w:numId w:val="8"/>
        </w:numPr>
        <w:jc w:val="both"/>
      </w:pPr>
      <w:r>
        <w:t>Snapchat</w:t>
      </w:r>
    </w:p>
    <w:p w:rsidR="00EA3222" w:rsidRDefault="00EA3222" w:rsidP="00041768">
      <w:pPr>
        <w:jc w:val="both"/>
      </w:pPr>
    </w:p>
    <w:p w:rsidR="00816EA4" w:rsidRDefault="00CF2336" w:rsidP="00041768">
      <w:pPr>
        <w:jc w:val="both"/>
      </w:pPr>
      <w:r>
        <w:t xml:space="preserve">A combination of static and video ads will </w:t>
      </w:r>
      <w:r w:rsidR="00F65A03">
        <w:t>showcase</w:t>
      </w:r>
      <w:r>
        <w:t xml:space="preserve"> existing OPEM materials, and </w:t>
      </w:r>
      <w:r w:rsidR="003B4871">
        <w:t xml:space="preserve">be </w:t>
      </w:r>
      <w:r>
        <w:t>placed across the six platforms.</w:t>
      </w:r>
    </w:p>
    <w:p w:rsidR="00EA3222" w:rsidRDefault="00EA3222" w:rsidP="00041768">
      <w:pPr>
        <w:jc w:val="both"/>
      </w:pPr>
    </w:p>
    <w:p w:rsidR="0075667B" w:rsidRDefault="0075667B" w:rsidP="0075667B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</w:t>
      </w:r>
      <w:r w:rsidR="00CD09A4">
        <w:rPr>
          <w:b/>
          <w:sz w:val="32"/>
          <w:szCs w:val="32"/>
          <w:u w:val="single"/>
        </w:rPr>
        <w:t>reparedness</w:t>
      </w:r>
      <w:r>
        <w:rPr>
          <w:b/>
          <w:sz w:val="32"/>
          <w:szCs w:val="32"/>
          <w:u w:val="single"/>
        </w:rPr>
        <w:t xml:space="preserve"> Items</w:t>
      </w:r>
    </w:p>
    <w:p w:rsidR="0075667B" w:rsidRPr="00F657FC" w:rsidRDefault="0075667B" w:rsidP="0075667B">
      <w:pPr>
        <w:jc w:val="both"/>
        <w:rPr>
          <w:b/>
          <w:sz w:val="8"/>
          <w:szCs w:val="8"/>
          <w:u w:val="single"/>
        </w:rPr>
      </w:pPr>
    </w:p>
    <w:p w:rsidR="004F3741" w:rsidRDefault="00CF2336" w:rsidP="0075667B">
      <w:pPr>
        <w:jc w:val="both"/>
      </w:pPr>
      <w:r>
        <w:t>T</w:t>
      </w:r>
      <w:r w:rsidR="0075667B">
        <w:t xml:space="preserve">his year’s campaign </w:t>
      </w:r>
      <w:r>
        <w:t xml:space="preserve">features all of the print materials from last year, along with two new </w:t>
      </w:r>
      <w:r w:rsidR="005017B5">
        <w:t>item</w:t>
      </w:r>
      <w:r>
        <w:t>s.</w:t>
      </w:r>
      <w:r w:rsidR="0075667B">
        <w:t xml:space="preserve"> </w:t>
      </w:r>
      <w:r w:rsidR="005017B5">
        <w:t>C</w:t>
      </w:r>
      <w:r w:rsidR="004F3741">
        <w:t>urrent materials</w:t>
      </w:r>
      <w:r w:rsidR="005017B5">
        <w:t xml:space="preserve"> include</w:t>
      </w:r>
      <w:r w:rsidR="004F3741">
        <w:t>:</w:t>
      </w:r>
    </w:p>
    <w:p w:rsidR="004F3741" w:rsidRDefault="004F3741" w:rsidP="004F3741">
      <w:pPr>
        <w:pStyle w:val="ListParagraph"/>
        <w:numPr>
          <w:ilvl w:val="0"/>
          <w:numId w:val="10"/>
        </w:numPr>
        <w:jc w:val="both"/>
      </w:pPr>
      <w:r>
        <w:t>Know Plan Prepare brochure (available in English, Spanish, and Portuguese)</w:t>
      </w:r>
    </w:p>
    <w:p w:rsidR="004F3741" w:rsidRDefault="004F3741" w:rsidP="004F3741">
      <w:pPr>
        <w:pStyle w:val="ListParagraph"/>
        <w:numPr>
          <w:ilvl w:val="0"/>
          <w:numId w:val="10"/>
        </w:numPr>
        <w:jc w:val="both"/>
      </w:pPr>
      <w:r>
        <w:t>Know Plan Prepare rack card</w:t>
      </w:r>
    </w:p>
    <w:p w:rsidR="004F3741" w:rsidRDefault="004F3741" w:rsidP="004F3741">
      <w:pPr>
        <w:pStyle w:val="ListParagraph"/>
        <w:numPr>
          <w:ilvl w:val="0"/>
          <w:numId w:val="10"/>
        </w:numPr>
        <w:jc w:val="both"/>
      </w:pPr>
      <w:r>
        <w:t>Fred the Preparedness Dog activity book</w:t>
      </w:r>
    </w:p>
    <w:p w:rsidR="004F3741" w:rsidRDefault="004F3741" w:rsidP="004F3741">
      <w:pPr>
        <w:pStyle w:val="ListParagraph"/>
        <w:numPr>
          <w:ilvl w:val="0"/>
          <w:numId w:val="10"/>
        </w:numPr>
        <w:jc w:val="both"/>
      </w:pPr>
      <w:r>
        <w:t>Disaster Preparedness: For Seniors By Seniors brochure</w:t>
      </w:r>
    </w:p>
    <w:p w:rsidR="004F3741" w:rsidRDefault="004F3741" w:rsidP="004F3741">
      <w:pPr>
        <w:pStyle w:val="ListParagraph"/>
        <w:numPr>
          <w:ilvl w:val="0"/>
          <w:numId w:val="10"/>
        </w:numPr>
        <w:jc w:val="both"/>
      </w:pPr>
      <w:r>
        <w:t>Know Plan Prepare tote bag</w:t>
      </w:r>
    </w:p>
    <w:p w:rsidR="004F3741" w:rsidRDefault="004F3741" w:rsidP="004F3741">
      <w:pPr>
        <w:jc w:val="both"/>
      </w:pPr>
    </w:p>
    <w:p w:rsidR="004F3741" w:rsidRDefault="00334122" w:rsidP="004F3741">
      <w:pPr>
        <w:jc w:val="both"/>
      </w:pPr>
      <w:r>
        <w:t xml:space="preserve">For new materials, we </w:t>
      </w:r>
      <w:r w:rsidR="004F3741">
        <w:t>have:</w:t>
      </w:r>
    </w:p>
    <w:p w:rsidR="00395F52" w:rsidRDefault="004F3741" w:rsidP="004F3741">
      <w:pPr>
        <w:pStyle w:val="ListParagraph"/>
        <w:numPr>
          <w:ilvl w:val="0"/>
          <w:numId w:val="11"/>
        </w:numPr>
        <w:jc w:val="both"/>
      </w:pPr>
      <w:r>
        <w:t xml:space="preserve">Know Plan Prepare </w:t>
      </w:r>
      <w:r w:rsidR="00334122">
        <w:t xml:space="preserve">emergency </w:t>
      </w:r>
      <w:r>
        <w:t>document bag (made available in May of this year)</w:t>
      </w:r>
      <w:r w:rsidR="00395F52">
        <w:t xml:space="preserve"> </w:t>
      </w:r>
    </w:p>
    <w:p w:rsidR="00395F52" w:rsidRDefault="00395F52" w:rsidP="00395F52">
      <w:pPr>
        <w:pStyle w:val="ListParagraph"/>
        <w:numPr>
          <w:ilvl w:val="1"/>
          <w:numId w:val="11"/>
        </w:numPr>
        <w:jc w:val="both"/>
      </w:pPr>
      <w:r>
        <w:t>Printed in English on one side, Spanish on the other</w:t>
      </w:r>
    </w:p>
    <w:p w:rsidR="00395F52" w:rsidRDefault="00395F52" w:rsidP="00395F52">
      <w:pPr>
        <w:pStyle w:val="ListParagraph"/>
        <w:numPr>
          <w:ilvl w:val="1"/>
          <w:numId w:val="11"/>
        </w:numPr>
        <w:jc w:val="both"/>
      </w:pPr>
      <w:r>
        <w:t>Provides a list of key documents and files that people should make copies of to have readily available in the event of an emergency</w:t>
      </w:r>
    </w:p>
    <w:p w:rsidR="004F3741" w:rsidRDefault="00395F52" w:rsidP="00395F52">
      <w:pPr>
        <w:pStyle w:val="ListParagraph"/>
        <w:numPr>
          <w:ilvl w:val="1"/>
          <w:numId w:val="11"/>
        </w:numPr>
        <w:jc w:val="both"/>
      </w:pPr>
      <w:r>
        <w:t>Serves as a great way to store these copies, and can be kept alongside all of the other items people include in their emergency supplies kits</w:t>
      </w:r>
    </w:p>
    <w:p w:rsidR="004F3741" w:rsidRDefault="004F3741" w:rsidP="004F3741">
      <w:pPr>
        <w:pStyle w:val="ListParagraph"/>
        <w:numPr>
          <w:ilvl w:val="0"/>
          <w:numId w:val="11"/>
        </w:numPr>
        <w:jc w:val="both"/>
      </w:pPr>
      <w:r>
        <w:t>Know Plan Prepare booklet – A Personal Planning Tool for Individuals Who Have Access and Functional Needs</w:t>
      </w:r>
    </w:p>
    <w:p w:rsidR="00395F52" w:rsidRDefault="008562D3" w:rsidP="00395F52">
      <w:pPr>
        <w:pStyle w:val="ListParagraph"/>
        <w:numPr>
          <w:ilvl w:val="1"/>
          <w:numId w:val="11"/>
        </w:numPr>
        <w:jc w:val="both"/>
      </w:pPr>
      <w:r>
        <w:t>8-pg booklet that follows a CMIST framework and provides space for people to record their personal needs in the categories of communication</w:t>
      </w:r>
      <w:r w:rsidR="005017B5">
        <w:t>,</w:t>
      </w:r>
      <w:r>
        <w:t xml:space="preserve"> medical needs/maintaining health</w:t>
      </w:r>
      <w:r w:rsidR="005017B5">
        <w:t>,</w:t>
      </w:r>
      <w:r>
        <w:t xml:space="preserve"> independence</w:t>
      </w:r>
      <w:r w:rsidR="005017B5">
        <w:t>,</w:t>
      </w:r>
      <w:r>
        <w:t xml:space="preserve"> service/support</w:t>
      </w:r>
      <w:r w:rsidR="005017B5">
        <w:t>,</w:t>
      </w:r>
      <w:r>
        <w:t xml:space="preserve"> and transportation </w:t>
      </w:r>
    </w:p>
    <w:p w:rsidR="00395F52" w:rsidRDefault="00395F52" w:rsidP="00395F52">
      <w:pPr>
        <w:pStyle w:val="ListParagraph"/>
        <w:numPr>
          <w:ilvl w:val="1"/>
          <w:numId w:val="11"/>
        </w:numPr>
        <w:jc w:val="both"/>
      </w:pPr>
      <w:r>
        <w:t xml:space="preserve">Available in print and as </w:t>
      </w:r>
      <w:hyperlink r:id="rId8" w:history="1">
        <w:r w:rsidRPr="00395F52">
          <w:rPr>
            <w:rStyle w:val="Hyperlink"/>
          </w:rPr>
          <w:t>fillable pdf</w:t>
        </w:r>
      </w:hyperlink>
    </w:p>
    <w:p w:rsidR="004F3741" w:rsidRDefault="004F3741" w:rsidP="005B769E">
      <w:pPr>
        <w:jc w:val="both"/>
      </w:pPr>
    </w:p>
    <w:p w:rsidR="00B61D54" w:rsidRDefault="00AF3ED1" w:rsidP="005B769E">
      <w:pPr>
        <w:jc w:val="both"/>
      </w:pPr>
      <w:r>
        <w:t xml:space="preserve">All of </w:t>
      </w:r>
      <w:r w:rsidR="005B769E">
        <w:t>the</w:t>
      </w:r>
      <w:r w:rsidR="005017B5">
        <w:t>se</w:t>
      </w:r>
      <w:r w:rsidR="005B769E">
        <w:t xml:space="preserve"> materials can be ordered through the </w:t>
      </w:r>
      <w:hyperlink r:id="rId9" w:history="1">
        <w:r w:rsidR="005B769E" w:rsidRPr="005B769E">
          <w:rPr>
            <w:rStyle w:val="Hyperlink"/>
          </w:rPr>
          <w:t>Massachusetts Health Promotion Clearinghouse</w:t>
        </w:r>
      </w:hyperlink>
      <w:r w:rsidR="005B769E">
        <w:t>.</w:t>
      </w:r>
      <w:r w:rsidR="00BC3493">
        <w:t xml:space="preserve"> </w:t>
      </w:r>
      <w:hyperlink r:id="rId10" w:history="1">
        <w:r w:rsidR="00BC3493" w:rsidRPr="00BC3493">
          <w:t>While</w:t>
        </w:r>
      </w:hyperlink>
      <w:r w:rsidR="00BC3493" w:rsidRPr="00BC3493">
        <w:t xml:space="preserve"> the new booklet </w:t>
      </w:r>
      <w:r w:rsidR="00BC3493">
        <w:t xml:space="preserve">has not been delivered yet to the Clearinghouse, it </w:t>
      </w:r>
      <w:r w:rsidR="00BC3493" w:rsidRPr="00BC3493">
        <w:t xml:space="preserve">should be </w:t>
      </w:r>
      <w:r w:rsidR="00BC3493">
        <w:t>there</w:t>
      </w:r>
      <w:r w:rsidR="00BC3493" w:rsidRPr="00BC3493">
        <w:t xml:space="preserve"> by 8/30, </w:t>
      </w:r>
      <w:r w:rsidR="00BC3493">
        <w:t>and</w:t>
      </w:r>
      <w:r w:rsidR="00BC3493" w:rsidRPr="00BC3493">
        <w:t xml:space="preserve"> is available for pre-ordering</w:t>
      </w:r>
      <w:r w:rsidRPr="00BC3493">
        <w:t>.</w:t>
      </w:r>
      <w:r w:rsidRPr="00AF3ED1">
        <w:rPr>
          <w:color w:val="1F497D"/>
          <w:sz w:val="22"/>
          <w:szCs w:val="22"/>
        </w:rPr>
        <w:t xml:space="preserve"> </w:t>
      </w:r>
    </w:p>
    <w:p w:rsidR="00B61D54" w:rsidRDefault="00B61D54" w:rsidP="005B769E">
      <w:pPr>
        <w:jc w:val="both"/>
      </w:pPr>
    </w:p>
    <w:p w:rsidR="00E536B9" w:rsidRPr="00E536B9" w:rsidRDefault="00E536B9" w:rsidP="00E536B9">
      <w:pPr>
        <w:jc w:val="both"/>
      </w:pPr>
      <w:r>
        <w:rPr>
          <w:rStyle w:val="Hyperlink"/>
          <w:color w:val="auto"/>
          <w:u w:val="none"/>
        </w:rPr>
        <w:t>FEMA also maintains a media library and has hard copies available of some</w:t>
      </w:r>
      <w:r w:rsidR="00B63760">
        <w:rPr>
          <w:rStyle w:val="Hyperlink"/>
          <w:color w:val="auto"/>
          <w:u w:val="none"/>
        </w:rPr>
        <w:t xml:space="preserve"> of </w:t>
      </w:r>
      <w:r w:rsidR="00CD09A4">
        <w:rPr>
          <w:rStyle w:val="Hyperlink"/>
          <w:color w:val="auto"/>
          <w:u w:val="none"/>
        </w:rPr>
        <w:t xml:space="preserve">its </w:t>
      </w:r>
      <w:r w:rsidR="00B63760">
        <w:rPr>
          <w:rStyle w:val="Hyperlink"/>
          <w:color w:val="auto"/>
          <w:u w:val="none"/>
        </w:rPr>
        <w:t>p</w:t>
      </w:r>
      <w:r>
        <w:rPr>
          <w:rStyle w:val="Hyperlink"/>
          <w:color w:val="auto"/>
          <w:u w:val="none"/>
        </w:rPr>
        <w:t xml:space="preserve">rinted EP publications. </w:t>
      </w:r>
      <w:r w:rsidR="008C0710">
        <w:rPr>
          <w:rStyle w:val="Hyperlink"/>
          <w:color w:val="auto"/>
          <w:u w:val="none"/>
        </w:rPr>
        <w:t xml:space="preserve">Information and order forms regarding these free publications can be found </w:t>
      </w:r>
      <w:hyperlink r:id="rId11" w:history="1">
        <w:r w:rsidR="008C0710" w:rsidRPr="008C0710">
          <w:rPr>
            <w:rStyle w:val="Hyperlink"/>
          </w:rPr>
          <w:t>here</w:t>
        </w:r>
      </w:hyperlink>
      <w:r>
        <w:rPr>
          <w:rStyle w:val="Hyperlink"/>
          <w:color w:val="auto"/>
          <w:u w:val="none"/>
        </w:rPr>
        <w:t>.</w:t>
      </w:r>
    </w:p>
    <w:p w:rsidR="00816EA4" w:rsidRDefault="00816EA4" w:rsidP="00041768">
      <w:pPr>
        <w:jc w:val="both"/>
      </w:pPr>
    </w:p>
    <w:p w:rsidR="0075667B" w:rsidRDefault="0075667B" w:rsidP="0075667B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Community-Based </w:t>
      </w:r>
      <w:r w:rsidR="00CF6D58">
        <w:rPr>
          <w:b/>
          <w:sz w:val="32"/>
          <w:szCs w:val="32"/>
          <w:u w:val="single"/>
        </w:rPr>
        <w:t>Initiative</w:t>
      </w:r>
    </w:p>
    <w:p w:rsidR="0075667B" w:rsidRPr="00F657FC" w:rsidRDefault="0075667B" w:rsidP="0075667B">
      <w:pPr>
        <w:jc w:val="both"/>
        <w:rPr>
          <w:b/>
          <w:sz w:val="8"/>
          <w:szCs w:val="8"/>
          <w:u w:val="single"/>
        </w:rPr>
      </w:pPr>
    </w:p>
    <w:p w:rsidR="00596421" w:rsidRDefault="00816EA4" w:rsidP="009347AC">
      <w:pPr>
        <w:jc w:val="both"/>
      </w:pPr>
      <w:r w:rsidRPr="00816EA4">
        <w:t xml:space="preserve">This year’s community-based </w:t>
      </w:r>
      <w:r w:rsidR="00CF6D58">
        <w:t>initiative</w:t>
      </w:r>
      <w:r w:rsidR="009347AC">
        <w:t xml:space="preserve"> is unconventional in that we’re not </w:t>
      </w:r>
      <w:r w:rsidR="00633CFA">
        <w:t xml:space="preserve">partnering with and </w:t>
      </w:r>
      <w:r w:rsidR="009347AC">
        <w:t xml:space="preserve">targeting specific </w:t>
      </w:r>
      <w:r w:rsidR="00CF6D58">
        <w:t>populations</w:t>
      </w:r>
      <w:r w:rsidR="00633CFA">
        <w:t xml:space="preserve"> to make them aware of our preparedness materials</w:t>
      </w:r>
      <w:r w:rsidR="009347AC">
        <w:t xml:space="preserve">. </w:t>
      </w:r>
      <w:r w:rsidR="00633CFA">
        <w:t>Rather, w</w:t>
      </w:r>
      <w:r w:rsidR="009347AC">
        <w:t xml:space="preserve">e’ll be piggybacking on our digital/social media buy and using </w:t>
      </w:r>
      <w:r w:rsidR="00633CFA">
        <w:t>Snapchat to engage with users of the app to create user generated and shared content</w:t>
      </w:r>
      <w:r w:rsidR="006A4B7D">
        <w:t xml:space="preserve"> through the use of a Know Plan Prepare filter</w:t>
      </w:r>
      <w:r w:rsidR="00633CFA">
        <w:t>.</w:t>
      </w:r>
      <w:r w:rsidR="006A4B7D">
        <w:t xml:space="preserve"> </w:t>
      </w:r>
    </w:p>
    <w:p w:rsidR="00596421" w:rsidRDefault="00596421" w:rsidP="009347AC">
      <w:pPr>
        <w:jc w:val="both"/>
      </w:pPr>
    </w:p>
    <w:p w:rsidR="007877BA" w:rsidRDefault="007877BA" w:rsidP="009347AC">
      <w:pPr>
        <w:jc w:val="both"/>
      </w:pPr>
      <w:r w:rsidRPr="00596421">
        <w:t>App users take a pi</w:t>
      </w:r>
      <w:r>
        <w:t>cture or video, add the custom e</w:t>
      </w:r>
      <w:r w:rsidRPr="00596421">
        <w:t xml:space="preserve">mergency </w:t>
      </w:r>
      <w:r>
        <w:t>p</w:t>
      </w:r>
      <w:r w:rsidRPr="00596421">
        <w:t xml:space="preserve">reparedness filter, and then share with friends, bringing greater awareness of the Know Plan Prepare </w:t>
      </w:r>
      <w:r>
        <w:t>message</w:t>
      </w:r>
      <w:r w:rsidRPr="00596421">
        <w:t xml:space="preserve"> to more people. </w:t>
      </w:r>
      <w:r>
        <w:t>The</w:t>
      </w:r>
      <w:r w:rsidRPr="00596421">
        <w:t xml:space="preserve"> Snapchat audience skews younger than our traditional target audience, </w:t>
      </w:r>
      <w:r>
        <w:t xml:space="preserve">and </w:t>
      </w:r>
      <w:r w:rsidRPr="00596421">
        <w:t>many Snapchat users engage in a variety of popular social media platforms, enabling our message to spread far and wide and giv</w:t>
      </w:r>
      <w:r>
        <w:t>ing</w:t>
      </w:r>
      <w:r w:rsidRPr="00596421">
        <w:t xml:space="preserve"> us significant cross-platform exposure.</w:t>
      </w:r>
    </w:p>
    <w:p w:rsidR="00080CEE" w:rsidRDefault="00080CEE" w:rsidP="009347AC">
      <w:pPr>
        <w:jc w:val="both"/>
      </w:pPr>
    </w:p>
    <w:p w:rsidR="007877BA" w:rsidRDefault="007877BA" w:rsidP="007877BA">
      <w:pPr>
        <w:jc w:val="both"/>
      </w:pPr>
      <w:r>
        <w:t xml:space="preserve">We have </w:t>
      </w:r>
      <w:r w:rsidR="00D84997">
        <w:t xml:space="preserve">identified </w:t>
      </w:r>
      <w:r>
        <w:t xml:space="preserve">a list of MA-based events during the month of September that target popular family events and based on geography and users of the app, our filter will be made available as an option. </w:t>
      </w:r>
    </w:p>
    <w:p w:rsidR="007877BA" w:rsidRDefault="007877BA" w:rsidP="009347AC">
      <w:pPr>
        <w:jc w:val="both"/>
      </w:pPr>
    </w:p>
    <w:p w:rsidR="008F2847" w:rsidRDefault="008F2847">
      <w:r>
        <w:br w:type="page"/>
      </w:r>
    </w:p>
    <w:p w:rsidR="00080CEE" w:rsidRDefault="00080CEE" w:rsidP="009347AC">
      <w:pPr>
        <w:jc w:val="both"/>
      </w:pPr>
      <w:r>
        <w:lastRenderedPageBreak/>
        <w:t>These events include:</w:t>
      </w:r>
    </w:p>
    <w:p w:rsidR="008F2847" w:rsidRDefault="008F2847" w:rsidP="009347AC">
      <w:pPr>
        <w:jc w:val="both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60"/>
        <w:gridCol w:w="1427"/>
        <w:gridCol w:w="1339"/>
      </w:tblGrid>
      <w:tr w:rsidR="008F2847" w:rsidTr="008F2847">
        <w:tc>
          <w:tcPr>
            <w:tcW w:w="0" w:type="auto"/>
          </w:tcPr>
          <w:p w:rsidR="008F2847" w:rsidRPr="008F2847" w:rsidRDefault="008F2847" w:rsidP="008F2847">
            <w:pPr>
              <w:jc w:val="both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Event</w:t>
            </w:r>
          </w:p>
        </w:tc>
        <w:tc>
          <w:tcPr>
            <w:tcW w:w="0" w:type="auto"/>
          </w:tcPr>
          <w:p w:rsidR="008F2847" w:rsidRPr="008F2847" w:rsidRDefault="008F2847" w:rsidP="008F2847">
            <w:pPr>
              <w:jc w:val="both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Date</w:t>
            </w:r>
          </w:p>
        </w:tc>
        <w:tc>
          <w:tcPr>
            <w:tcW w:w="0" w:type="auto"/>
          </w:tcPr>
          <w:p w:rsidR="008F2847" w:rsidRPr="008F2847" w:rsidRDefault="008F2847" w:rsidP="008F2847">
            <w:pPr>
              <w:jc w:val="both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Time</w:t>
            </w:r>
          </w:p>
        </w:tc>
      </w:tr>
      <w:tr w:rsidR="008F2847" w:rsidTr="00813742">
        <w:tc>
          <w:tcPr>
            <w:tcW w:w="0" w:type="auto"/>
            <w:vAlign w:val="center"/>
          </w:tcPr>
          <w:p w:rsidR="008F2847" w:rsidRPr="008F2847" w:rsidRDefault="008F2847" w:rsidP="00813742">
            <w:pPr>
              <w:jc w:val="center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Big E opening weekend</w:t>
            </w:r>
          </w:p>
        </w:tc>
        <w:tc>
          <w:tcPr>
            <w:tcW w:w="0" w:type="auto"/>
          </w:tcPr>
          <w:p w:rsidR="008F2847" w:rsidRPr="008F2847" w:rsidRDefault="008F2847" w:rsidP="008F2847">
            <w:pPr>
              <w:jc w:val="both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Day One: 9/14</w:t>
            </w:r>
          </w:p>
          <w:p w:rsidR="008F2847" w:rsidRPr="008F2847" w:rsidRDefault="008F2847" w:rsidP="008F2847">
            <w:pPr>
              <w:jc w:val="both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Day Two: 9/15</w:t>
            </w:r>
          </w:p>
        </w:tc>
        <w:tc>
          <w:tcPr>
            <w:tcW w:w="0" w:type="auto"/>
          </w:tcPr>
          <w:p w:rsidR="008F2847" w:rsidRPr="008F2847" w:rsidRDefault="008F2847" w:rsidP="008F2847">
            <w:pPr>
              <w:jc w:val="both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9am-10pm</w:t>
            </w:r>
          </w:p>
          <w:p w:rsidR="008F2847" w:rsidRPr="008F2847" w:rsidRDefault="008F2847" w:rsidP="008F2847">
            <w:pPr>
              <w:jc w:val="both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9am-10pm</w:t>
            </w:r>
          </w:p>
        </w:tc>
      </w:tr>
      <w:tr w:rsidR="008F2847" w:rsidTr="00813742">
        <w:tc>
          <w:tcPr>
            <w:tcW w:w="0" w:type="auto"/>
            <w:vAlign w:val="center"/>
          </w:tcPr>
          <w:p w:rsidR="008F2847" w:rsidRPr="008F2847" w:rsidRDefault="008F2847" w:rsidP="00813742">
            <w:pPr>
              <w:jc w:val="center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Boston Local Food Festival</w:t>
            </w:r>
          </w:p>
        </w:tc>
        <w:tc>
          <w:tcPr>
            <w:tcW w:w="0" w:type="auto"/>
          </w:tcPr>
          <w:p w:rsidR="008F2847" w:rsidRPr="008F2847" w:rsidRDefault="008F2847" w:rsidP="008F2847">
            <w:pPr>
              <w:jc w:val="both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9/15</w:t>
            </w:r>
          </w:p>
        </w:tc>
        <w:tc>
          <w:tcPr>
            <w:tcW w:w="0" w:type="auto"/>
          </w:tcPr>
          <w:p w:rsidR="008F2847" w:rsidRPr="008F2847" w:rsidRDefault="008F2847" w:rsidP="008F2847">
            <w:pPr>
              <w:jc w:val="both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11am-5pm</w:t>
            </w:r>
          </w:p>
        </w:tc>
      </w:tr>
      <w:tr w:rsidR="008F2847" w:rsidTr="00813742">
        <w:tc>
          <w:tcPr>
            <w:tcW w:w="0" w:type="auto"/>
            <w:vAlign w:val="center"/>
          </w:tcPr>
          <w:p w:rsidR="008F2847" w:rsidRPr="008F2847" w:rsidRDefault="008F2847" w:rsidP="00813742">
            <w:pPr>
              <w:jc w:val="center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King Richard’s Faire opening weekend</w:t>
            </w:r>
          </w:p>
        </w:tc>
        <w:tc>
          <w:tcPr>
            <w:tcW w:w="0" w:type="auto"/>
          </w:tcPr>
          <w:p w:rsidR="008F2847" w:rsidRPr="008F2847" w:rsidRDefault="008F2847" w:rsidP="008F2847">
            <w:pPr>
              <w:jc w:val="both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Day One: 9/1</w:t>
            </w:r>
          </w:p>
          <w:p w:rsidR="008F2847" w:rsidRPr="008F2847" w:rsidRDefault="008F2847" w:rsidP="008F2847">
            <w:pPr>
              <w:jc w:val="both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Day Two: 9/2</w:t>
            </w:r>
          </w:p>
        </w:tc>
        <w:tc>
          <w:tcPr>
            <w:tcW w:w="0" w:type="auto"/>
          </w:tcPr>
          <w:p w:rsidR="008F2847" w:rsidRPr="008F2847" w:rsidRDefault="008F2847" w:rsidP="008F2847">
            <w:pPr>
              <w:jc w:val="both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10:30am-6pm</w:t>
            </w:r>
          </w:p>
          <w:p w:rsidR="008F2847" w:rsidRPr="008F2847" w:rsidRDefault="008F2847" w:rsidP="008F2847">
            <w:pPr>
              <w:jc w:val="both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10:30am-6pm</w:t>
            </w:r>
          </w:p>
        </w:tc>
      </w:tr>
      <w:tr w:rsidR="008F2847" w:rsidTr="00813742">
        <w:tc>
          <w:tcPr>
            <w:tcW w:w="0" w:type="auto"/>
            <w:vAlign w:val="center"/>
          </w:tcPr>
          <w:p w:rsidR="008F2847" w:rsidRPr="008F2847" w:rsidRDefault="008F2847" w:rsidP="00813742">
            <w:pPr>
              <w:jc w:val="center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Brimfield Antique Show</w:t>
            </w:r>
          </w:p>
        </w:tc>
        <w:tc>
          <w:tcPr>
            <w:tcW w:w="0" w:type="auto"/>
          </w:tcPr>
          <w:p w:rsidR="008F2847" w:rsidRPr="008F2847" w:rsidRDefault="008F2847" w:rsidP="008F2847">
            <w:pPr>
              <w:jc w:val="both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Day One: 9/7</w:t>
            </w:r>
          </w:p>
          <w:p w:rsidR="008F2847" w:rsidRPr="008F2847" w:rsidRDefault="008F2847" w:rsidP="008F2847">
            <w:pPr>
              <w:jc w:val="both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Day Two: 9/8</w:t>
            </w:r>
          </w:p>
        </w:tc>
        <w:tc>
          <w:tcPr>
            <w:tcW w:w="0" w:type="auto"/>
          </w:tcPr>
          <w:p w:rsidR="008F2847" w:rsidRPr="008F2847" w:rsidRDefault="008F2847" w:rsidP="008F2847">
            <w:pPr>
              <w:jc w:val="both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8am-8pm</w:t>
            </w:r>
          </w:p>
          <w:p w:rsidR="008F2847" w:rsidRPr="008F2847" w:rsidRDefault="008F2847" w:rsidP="008F2847">
            <w:pPr>
              <w:jc w:val="both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8am-8pm</w:t>
            </w:r>
          </w:p>
        </w:tc>
        <w:bookmarkStart w:id="0" w:name="_GoBack"/>
        <w:bookmarkEnd w:id="0"/>
      </w:tr>
      <w:tr w:rsidR="008F2847" w:rsidTr="00813742">
        <w:tc>
          <w:tcPr>
            <w:tcW w:w="0" w:type="auto"/>
            <w:vAlign w:val="center"/>
          </w:tcPr>
          <w:p w:rsidR="008F2847" w:rsidRPr="008F2847" w:rsidRDefault="008F2847" w:rsidP="00813742">
            <w:pPr>
              <w:jc w:val="center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Phantom Gourmet Food Festival</w:t>
            </w:r>
          </w:p>
        </w:tc>
        <w:tc>
          <w:tcPr>
            <w:tcW w:w="0" w:type="auto"/>
          </w:tcPr>
          <w:p w:rsidR="008F2847" w:rsidRPr="008F2847" w:rsidRDefault="008F2847" w:rsidP="008F2847">
            <w:pPr>
              <w:jc w:val="both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9/21</w:t>
            </w:r>
          </w:p>
        </w:tc>
        <w:tc>
          <w:tcPr>
            <w:tcW w:w="0" w:type="auto"/>
          </w:tcPr>
          <w:p w:rsidR="008F2847" w:rsidRPr="008F2847" w:rsidRDefault="008F2847" w:rsidP="008F2847">
            <w:pPr>
              <w:jc w:val="both"/>
              <w:rPr>
                <w:sz w:val="20"/>
                <w:szCs w:val="20"/>
              </w:rPr>
            </w:pPr>
            <w:r w:rsidRPr="008F2847">
              <w:rPr>
                <w:sz w:val="20"/>
                <w:szCs w:val="20"/>
              </w:rPr>
              <w:t>12pm-4pm</w:t>
            </w:r>
          </w:p>
        </w:tc>
      </w:tr>
    </w:tbl>
    <w:p w:rsidR="00080CEE" w:rsidRDefault="00080CEE" w:rsidP="008F2847">
      <w:pPr>
        <w:ind w:left="360"/>
        <w:jc w:val="both"/>
      </w:pPr>
    </w:p>
    <w:p w:rsidR="00BC3493" w:rsidRDefault="00BC3493">
      <w:pPr>
        <w:rPr>
          <w:b/>
          <w:sz w:val="32"/>
          <w:szCs w:val="32"/>
          <w:u w:val="single"/>
        </w:rPr>
      </w:pPr>
    </w:p>
    <w:p w:rsidR="0075667B" w:rsidRDefault="0075667B" w:rsidP="0075667B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Web Resources</w:t>
      </w:r>
    </w:p>
    <w:p w:rsidR="0075667B" w:rsidRPr="00F657FC" w:rsidRDefault="0075667B" w:rsidP="0075667B">
      <w:pPr>
        <w:jc w:val="both"/>
        <w:rPr>
          <w:b/>
          <w:sz w:val="8"/>
          <w:szCs w:val="8"/>
          <w:u w:val="single"/>
        </w:rPr>
      </w:pPr>
    </w:p>
    <w:p w:rsidR="0075667B" w:rsidRDefault="00995B54" w:rsidP="00041768">
      <w:pPr>
        <w:jc w:val="both"/>
      </w:pPr>
      <w:r>
        <w:t xml:space="preserve">DPH continues to maintain one central web page at </w:t>
      </w:r>
      <w:hyperlink r:id="rId12" w:history="1">
        <w:r w:rsidRPr="008D431D">
          <w:rPr>
            <w:rStyle w:val="Hyperlink"/>
          </w:rPr>
          <w:t>mass.gov/</w:t>
        </w:r>
        <w:proofErr w:type="spellStart"/>
        <w:r w:rsidRPr="008D431D">
          <w:rPr>
            <w:rStyle w:val="Hyperlink"/>
          </w:rPr>
          <w:t>KnowPlanPrepare</w:t>
        </w:r>
        <w:proofErr w:type="spellEnd"/>
      </w:hyperlink>
      <w:r>
        <w:t xml:space="preserve"> to provide information, tips</w:t>
      </w:r>
      <w:r w:rsidR="00474AE5">
        <w:t>,</w:t>
      </w:r>
      <w:r>
        <w:t xml:space="preserve"> and links for the public. </w:t>
      </w:r>
      <w:r w:rsidR="0075667B">
        <w:t xml:space="preserve">The preparedness </w:t>
      </w:r>
      <w:hyperlink r:id="rId13" w:history="1">
        <w:r w:rsidR="0075667B" w:rsidRPr="00F47868">
          <w:rPr>
            <w:rStyle w:val="Hyperlink"/>
          </w:rPr>
          <w:t>checklist</w:t>
        </w:r>
      </w:hyperlink>
      <w:r w:rsidR="0075667B">
        <w:t xml:space="preserve"> included in the </w:t>
      </w:r>
      <w:r w:rsidR="00BC3493">
        <w:t>Know Plan Prepare brochure</w:t>
      </w:r>
      <w:r w:rsidR="0075667B">
        <w:t xml:space="preserve"> remains available on the </w:t>
      </w:r>
      <w:r w:rsidR="00DC33E9">
        <w:t>site</w:t>
      </w:r>
      <w:r w:rsidR="0075667B">
        <w:t>. It is posted as a fillable pdf, and individuals can enter their personal information, print copies</w:t>
      </w:r>
      <w:r w:rsidR="00474AE5">
        <w:t>,</w:t>
      </w:r>
      <w:r w:rsidR="0075667B">
        <w:t xml:space="preserve"> and save it to their computers so that they can modify it at any point in time should their information change. </w:t>
      </w:r>
    </w:p>
    <w:p w:rsidR="00995B54" w:rsidRDefault="00995B54" w:rsidP="00041768">
      <w:pPr>
        <w:jc w:val="both"/>
      </w:pPr>
      <w:r>
        <w:t>The web page also provides resources to support local, regional</w:t>
      </w:r>
      <w:r w:rsidR="00474AE5">
        <w:t>,</w:t>
      </w:r>
      <w:r>
        <w:t xml:space="preserve"> and state preparedness initiatives for you to use with your community or organization</w:t>
      </w:r>
      <w:r w:rsidR="00340B54">
        <w:t xml:space="preserve"> including graphics, banners, and press release templates</w:t>
      </w:r>
      <w:r>
        <w:t xml:space="preserve">. </w:t>
      </w:r>
    </w:p>
    <w:p w:rsidR="0075667B" w:rsidRDefault="0075667B" w:rsidP="00041768">
      <w:pPr>
        <w:jc w:val="both"/>
      </w:pPr>
    </w:p>
    <w:p w:rsidR="00BC3493" w:rsidRDefault="002D3BDD" w:rsidP="0075667B">
      <w:pPr>
        <w:jc w:val="both"/>
      </w:pPr>
      <w:r>
        <w:t xml:space="preserve">We have a number of </w:t>
      </w:r>
      <w:r w:rsidR="0075667B">
        <w:t>preparedness videos</w:t>
      </w:r>
      <w:r>
        <w:t xml:space="preserve"> on our campaign page</w:t>
      </w:r>
      <w:r w:rsidR="0075667B">
        <w:t xml:space="preserve">, including the direct appeal, Captain Chaos, and </w:t>
      </w:r>
      <w:r w:rsidR="00E5486A">
        <w:t>a suite of</w:t>
      </w:r>
      <w:r w:rsidR="0075667B">
        <w:t xml:space="preserve"> animated shorts</w:t>
      </w:r>
      <w:r>
        <w:t>, which</w:t>
      </w:r>
      <w:r w:rsidR="0075667B">
        <w:t xml:space="preserve"> can be viewed </w:t>
      </w:r>
      <w:hyperlink r:id="rId14" w:history="1">
        <w:r w:rsidR="0075667B" w:rsidRPr="00801148">
          <w:rPr>
            <w:rStyle w:val="Hyperlink"/>
          </w:rPr>
          <w:t>here</w:t>
        </w:r>
      </w:hyperlink>
      <w:r w:rsidR="0075667B">
        <w:t>. If you’re interested in sharing any of them on your website, blog, or social network</w:t>
      </w:r>
      <w:r w:rsidR="00BC3493">
        <w:t>:</w:t>
      </w:r>
    </w:p>
    <w:p w:rsidR="00BC3493" w:rsidRDefault="00BC3493" w:rsidP="00BC3493">
      <w:pPr>
        <w:pStyle w:val="ListParagraph"/>
        <w:numPr>
          <w:ilvl w:val="0"/>
          <w:numId w:val="13"/>
        </w:numPr>
        <w:jc w:val="both"/>
      </w:pPr>
      <w:r>
        <w:t>C</w:t>
      </w:r>
      <w:r w:rsidR="0075667B">
        <w:t>lick on the white arrow in the top right corner of each video to share</w:t>
      </w:r>
    </w:p>
    <w:p w:rsidR="00BC3493" w:rsidRDefault="0075667B" w:rsidP="00BC3493">
      <w:pPr>
        <w:pStyle w:val="ListParagraph"/>
        <w:numPr>
          <w:ilvl w:val="1"/>
          <w:numId w:val="13"/>
        </w:numPr>
        <w:jc w:val="both"/>
      </w:pPr>
      <w:r>
        <w:t>From this screen, you can directly share on your Facebook</w:t>
      </w:r>
      <w:r w:rsidR="00BC3493">
        <w:t xml:space="preserve"> and </w:t>
      </w:r>
      <w:r>
        <w:t>Twitter</w:t>
      </w:r>
      <w:r w:rsidR="00BC3493">
        <w:t xml:space="preserve"> </w:t>
      </w:r>
      <w:r>
        <w:t>accounts</w:t>
      </w:r>
    </w:p>
    <w:p w:rsidR="00BC3493" w:rsidRDefault="0075667B" w:rsidP="00BC3493">
      <w:pPr>
        <w:pStyle w:val="ListParagraph"/>
        <w:numPr>
          <w:ilvl w:val="0"/>
          <w:numId w:val="13"/>
        </w:numPr>
        <w:jc w:val="both"/>
      </w:pPr>
      <w:r>
        <w:t>For more options, including obtaining the embed code to place the video on your organization’s web page</w:t>
      </w:r>
    </w:p>
    <w:p w:rsidR="00BC3493" w:rsidRDefault="00BC3493" w:rsidP="00BC3493">
      <w:pPr>
        <w:pStyle w:val="ListParagraph"/>
        <w:numPr>
          <w:ilvl w:val="1"/>
          <w:numId w:val="13"/>
        </w:numPr>
        <w:jc w:val="both"/>
      </w:pPr>
      <w:r>
        <w:t>C</w:t>
      </w:r>
      <w:r w:rsidR="0075667B">
        <w:t xml:space="preserve">lick on the three dots under the </w:t>
      </w:r>
      <w:proofErr w:type="spellStart"/>
      <w:r w:rsidR="0075667B">
        <w:t>url</w:t>
      </w:r>
      <w:proofErr w:type="spellEnd"/>
      <w:r w:rsidR="0075667B">
        <w:t xml:space="preserve"> for more options </w:t>
      </w:r>
      <w:r>
        <w:t xml:space="preserve">which </w:t>
      </w:r>
      <w:r w:rsidR="0075667B">
        <w:t>will open the video in YouTube</w:t>
      </w:r>
    </w:p>
    <w:p w:rsidR="00BC3493" w:rsidRDefault="0075667B" w:rsidP="00BC3493">
      <w:pPr>
        <w:pStyle w:val="ListParagraph"/>
        <w:numPr>
          <w:ilvl w:val="0"/>
          <w:numId w:val="17"/>
        </w:numPr>
      </w:pPr>
      <w:r>
        <w:t>Under the video are additional options to share, embed, or email</w:t>
      </w:r>
    </w:p>
    <w:p w:rsidR="00BC3493" w:rsidRDefault="00BC3493" w:rsidP="00BC3493">
      <w:pPr>
        <w:ind w:left="720"/>
      </w:pPr>
    </w:p>
    <w:p w:rsidR="00BC3493" w:rsidRDefault="00BC3493" w:rsidP="00BC3493">
      <w:pPr>
        <w:ind w:left="720"/>
      </w:pPr>
      <w:r w:rsidRPr="000B7C3D">
        <w:t>If you’re unclear on how to embed videos onto your website, talk with your</w:t>
      </w:r>
      <w:r>
        <w:t xml:space="preserve"> organization’s</w:t>
      </w:r>
      <w:r w:rsidRPr="000B7C3D">
        <w:t xml:space="preserve"> website administrator</w:t>
      </w:r>
      <w:r>
        <w:t>.</w:t>
      </w:r>
    </w:p>
    <w:p w:rsidR="00BC3493" w:rsidRDefault="00BC3493" w:rsidP="003F1438">
      <w:pPr>
        <w:jc w:val="both"/>
      </w:pPr>
    </w:p>
    <w:p w:rsidR="00A745A0" w:rsidRDefault="00A745A0" w:rsidP="003F1438">
      <w:pPr>
        <w:jc w:val="both"/>
      </w:pPr>
      <w:r>
        <w:t xml:space="preserve">We’ll also be tweeting daily using the Department’s </w:t>
      </w:r>
      <w:hyperlink r:id="rId15" w:history="1">
        <w:r w:rsidRPr="00A745A0">
          <w:rPr>
            <w:rStyle w:val="Hyperlink"/>
          </w:rPr>
          <w:t>Twitter page</w:t>
        </w:r>
      </w:hyperlink>
      <w:r w:rsidR="001908FD">
        <w:t>, loosely following FEMA’s planned weekly themes, and strongly encourage you to retweet our messages to your followers if your organization maintains its own Twitter account.</w:t>
      </w:r>
      <w:r>
        <w:t xml:space="preserve"> </w:t>
      </w:r>
    </w:p>
    <w:p w:rsidR="00041768" w:rsidRDefault="00041768" w:rsidP="00041768">
      <w:pPr>
        <w:jc w:val="both"/>
      </w:pPr>
    </w:p>
    <w:p w:rsidR="00DC33E9" w:rsidRDefault="00DC33E9" w:rsidP="00DC33E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Questions</w:t>
      </w:r>
    </w:p>
    <w:p w:rsidR="00DC33E9" w:rsidRPr="00F657FC" w:rsidRDefault="00DC33E9" w:rsidP="00DC33E9">
      <w:pPr>
        <w:jc w:val="both"/>
        <w:rPr>
          <w:b/>
          <w:sz w:val="8"/>
          <w:szCs w:val="8"/>
          <w:u w:val="single"/>
        </w:rPr>
      </w:pPr>
    </w:p>
    <w:p w:rsidR="00DC33E9" w:rsidRDefault="00DC33E9" w:rsidP="00041768">
      <w:pPr>
        <w:jc w:val="both"/>
      </w:pPr>
      <w:r>
        <w:t>Please contact</w:t>
      </w:r>
      <w:r w:rsidR="00CB2A12">
        <w:t xml:space="preserve"> </w:t>
      </w:r>
      <w:r w:rsidR="008D431D">
        <w:t>Samantha Stone</w:t>
      </w:r>
      <w:r w:rsidR="00CB2A12">
        <w:t xml:space="preserve"> at </w:t>
      </w:r>
      <w:hyperlink r:id="rId16" w:history="1">
        <w:r w:rsidR="008D431D" w:rsidRPr="008456AC">
          <w:rPr>
            <w:rStyle w:val="Hyperlink"/>
          </w:rPr>
          <w:t>samantha.stone@state.ma.us</w:t>
        </w:r>
      </w:hyperlink>
      <w:r w:rsidR="00CB2A12">
        <w:t xml:space="preserve">. </w:t>
      </w:r>
    </w:p>
    <w:p w:rsidR="00DC33E9" w:rsidRDefault="00DC33E9" w:rsidP="00041768">
      <w:pPr>
        <w:jc w:val="both"/>
      </w:pPr>
    </w:p>
    <w:p w:rsidR="00532F74" w:rsidRDefault="00041768" w:rsidP="00340B54">
      <w:pPr>
        <w:jc w:val="both"/>
      </w:pPr>
      <w:r>
        <w:t>Thank you for</w:t>
      </w:r>
      <w:r w:rsidR="00CB2A12">
        <w:t xml:space="preserve"> all of your efforts that support making our communities more resilient and able to respond to </w:t>
      </w:r>
      <w:r w:rsidR="00486A4D">
        <w:t>emergencies.</w:t>
      </w:r>
      <w:r w:rsidR="00CB2A12">
        <w:t xml:space="preserve"> </w:t>
      </w:r>
    </w:p>
    <w:sectPr w:rsidR="00532F74" w:rsidSect="00041768">
      <w:pgSz w:w="12240" w:h="15840"/>
      <w:pgMar w:top="1440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EDA"/>
    <w:multiLevelType w:val="hybridMultilevel"/>
    <w:tmpl w:val="0D9801DE"/>
    <w:lvl w:ilvl="0" w:tplc="9ADC8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47C7"/>
    <w:multiLevelType w:val="hybridMultilevel"/>
    <w:tmpl w:val="D26A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6625E"/>
    <w:multiLevelType w:val="hybridMultilevel"/>
    <w:tmpl w:val="E190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816A4"/>
    <w:multiLevelType w:val="hybridMultilevel"/>
    <w:tmpl w:val="AD96F0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286419"/>
    <w:multiLevelType w:val="hybridMultilevel"/>
    <w:tmpl w:val="E42AD0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73B10"/>
    <w:multiLevelType w:val="hybridMultilevel"/>
    <w:tmpl w:val="1E0A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530D2"/>
    <w:multiLevelType w:val="hybridMultilevel"/>
    <w:tmpl w:val="2AC8AD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7EE439C"/>
    <w:multiLevelType w:val="hybridMultilevel"/>
    <w:tmpl w:val="959C2F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9C2534B"/>
    <w:multiLevelType w:val="hybridMultilevel"/>
    <w:tmpl w:val="69CC21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1F14B94"/>
    <w:multiLevelType w:val="hybridMultilevel"/>
    <w:tmpl w:val="4F9C7D56"/>
    <w:lvl w:ilvl="0" w:tplc="9ADC8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615A9"/>
    <w:multiLevelType w:val="hybridMultilevel"/>
    <w:tmpl w:val="6E5656A8"/>
    <w:lvl w:ilvl="0" w:tplc="843C78D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8934529"/>
    <w:multiLevelType w:val="hybridMultilevel"/>
    <w:tmpl w:val="15A2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D5138"/>
    <w:multiLevelType w:val="hybridMultilevel"/>
    <w:tmpl w:val="9D6A8D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C76709A"/>
    <w:multiLevelType w:val="hybridMultilevel"/>
    <w:tmpl w:val="CD92FE98"/>
    <w:lvl w:ilvl="0" w:tplc="85DE032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B2E2D"/>
    <w:multiLevelType w:val="hybridMultilevel"/>
    <w:tmpl w:val="53E4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E2C5E"/>
    <w:multiLevelType w:val="hybridMultilevel"/>
    <w:tmpl w:val="AFD87B1E"/>
    <w:lvl w:ilvl="0" w:tplc="85DE0324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8D308E5"/>
    <w:multiLevelType w:val="hybridMultilevel"/>
    <w:tmpl w:val="E0F6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41FCF"/>
    <w:multiLevelType w:val="hybridMultilevel"/>
    <w:tmpl w:val="F8F2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0"/>
  </w:num>
  <w:num w:numId="5">
    <w:abstractNumId w:val="9"/>
  </w:num>
  <w:num w:numId="6">
    <w:abstractNumId w:val="6"/>
  </w:num>
  <w:num w:numId="7">
    <w:abstractNumId w:val="11"/>
  </w:num>
  <w:num w:numId="8">
    <w:abstractNumId w:val="8"/>
  </w:num>
  <w:num w:numId="9">
    <w:abstractNumId w:val="16"/>
  </w:num>
  <w:num w:numId="10">
    <w:abstractNumId w:val="17"/>
  </w:num>
  <w:num w:numId="11">
    <w:abstractNumId w:val="14"/>
  </w:num>
  <w:num w:numId="12">
    <w:abstractNumId w:val="2"/>
  </w:num>
  <w:num w:numId="13">
    <w:abstractNumId w:val="7"/>
  </w:num>
  <w:num w:numId="14">
    <w:abstractNumId w:val="4"/>
  </w:num>
  <w:num w:numId="15">
    <w:abstractNumId w:val="3"/>
  </w:num>
  <w:num w:numId="16">
    <w:abstractNumId w:val="12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12"/>
    <w:rsid w:val="0003364A"/>
    <w:rsid w:val="00041768"/>
    <w:rsid w:val="000465A0"/>
    <w:rsid w:val="00053CCE"/>
    <w:rsid w:val="00056DCB"/>
    <w:rsid w:val="00065C34"/>
    <w:rsid w:val="000756E6"/>
    <w:rsid w:val="00080CEE"/>
    <w:rsid w:val="0009291F"/>
    <w:rsid w:val="00094BB8"/>
    <w:rsid w:val="000B7C3D"/>
    <w:rsid w:val="0010138E"/>
    <w:rsid w:val="00144E6E"/>
    <w:rsid w:val="00155D86"/>
    <w:rsid w:val="001709D6"/>
    <w:rsid w:val="0017720F"/>
    <w:rsid w:val="001908FD"/>
    <w:rsid w:val="001E2765"/>
    <w:rsid w:val="001F0A4E"/>
    <w:rsid w:val="00212AD4"/>
    <w:rsid w:val="00222B68"/>
    <w:rsid w:val="00245FF8"/>
    <w:rsid w:val="0028702F"/>
    <w:rsid w:val="00291027"/>
    <w:rsid w:val="002D3BDD"/>
    <w:rsid w:val="00320041"/>
    <w:rsid w:val="00334122"/>
    <w:rsid w:val="00334C6E"/>
    <w:rsid w:val="00340B54"/>
    <w:rsid w:val="00361F60"/>
    <w:rsid w:val="0037143A"/>
    <w:rsid w:val="00395F52"/>
    <w:rsid w:val="003B4871"/>
    <w:rsid w:val="003D7D1D"/>
    <w:rsid w:val="003F1438"/>
    <w:rsid w:val="00404EBE"/>
    <w:rsid w:val="0042257F"/>
    <w:rsid w:val="00424F44"/>
    <w:rsid w:val="00451F7D"/>
    <w:rsid w:val="0047379E"/>
    <w:rsid w:val="00474AE5"/>
    <w:rsid w:val="00486A4D"/>
    <w:rsid w:val="004B3A54"/>
    <w:rsid w:val="004F3741"/>
    <w:rsid w:val="004F4947"/>
    <w:rsid w:val="005017B5"/>
    <w:rsid w:val="00503580"/>
    <w:rsid w:val="00532F74"/>
    <w:rsid w:val="00542251"/>
    <w:rsid w:val="00543CEA"/>
    <w:rsid w:val="00554D9E"/>
    <w:rsid w:val="00562E2F"/>
    <w:rsid w:val="00567351"/>
    <w:rsid w:val="005731F1"/>
    <w:rsid w:val="00596421"/>
    <w:rsid w:val="005B769E"/>
    <w:rsid w:val="005C383D"/>
    <w:rsid w:val="005D3B21"/>
    <w:rsid w:val="005D436C"/>
    <w:rsid w:val="005F1C55"/>
    <w:rsid w:val="00613F2F"/>
    <w:rsid w:val="00633CFA"/>
    <w:rsid w:val="00660CE3"/>
    <w:rsid w:val="006A4B7D"/>
    <w:rsid w:val="006C60E2"/>
    <w:rsid w:val="006F4BB0"/>
    <w:rsid w:val="00710316"/>
    <w:rsid w:val="007155CA"/>
    <w:rsid w:val="007219FE"/>
    <w:rsid w:val="0075667B"/>
    <w:rsid w:val="00760199"/>
    <w:rsid w:val="007877BA"/>
    <w:rsid w:val="007A74FC"/>
    <w:rsid w:val="007C1E93"/>
    <w:rsid w:val="007C3F65"/>
    <w:rsid w:val="00801148"/>
    <w:rsid w:val="00802EDE"/>
    <w:rsid w:val="00813742"/>
    <w:rsid w:val="00814EEA"/>
    <w:rsid w:val="00816EA4"/>
    <w:rsid w:val="00842C1C"/>
    <w:rsid w:val="00852FDD"/>
    <w:rsid w:val="008562D3"/>
    <w:rsid w:val="0087381A"/>
    <w:rsid w:val="0089142E"/>
    <w:rsid w:val="00893AE4"/>
    <w:rsid w:val="008B57E4"/>
    <w:rsid w:val="008B742E"/>
    <w:rsid w:val="008C0710"/>
    <w:rsid w:val="008D431D"/>
    <w:rsid w:val="008F034E"/>
    <w:rsid w:val="008F07C7"/>
    <w:rsid w:val="008F2847"/>
    <w:rsid w:val="00916B80"/>
    <w:rsid w:val="009347AC"/>
    <w:rsid w:val="00940E51"/>
    <w:rsid w:val="00987A16"/>
    <w:rsid w:val="00995B54"/>
    <w:rsid w:val="009B1A85"/>
    <w:rsid w:val="009D6A7B"/>
    <w:rsid w:val="00A01F76"/>
    <w:rsid w:val="00A03FBB"/>
    <w:rsid w:val="00A07558"/>
    <w:rsid w:val="00A13802"/>
    <w:rsid w:val="00A745A0"/>
    <w:rsid w:val="00AE6AB4"/>
    <w:rsid w:val="00AF3ED1"/>
    <w:rsid w:val="00B07DAB"/>
    <w:rsid w:val="00B22BB2"/>
    <w:rsid w:val="00B61D54"/>
    <w:rsid w:val="00B63760"/>
    <w:rsid w:val="00B7132F"/>
    <w:rsid w:val="00B91010"/>
    <w:rsid w:val="00BC3493"/>
    <w:rsid w:val="00BD531A"/>
    <w:rsid w:val="00BE12AC"/>
    <w:rsid w:val="00C61D09"/>
    <w:rsid w:val="00C6392D"/>
    <w:rsid w:val="00CA1B71"/>
    <w:rsid w:val="00CA1E6F"/>
    <w:rsid w:val="00CB2A12"/>
    <w:rsid w:val="00CD09A4"/>
    <w:rsid w:val="00CD4008"/>
    <w:rsid w:val="00CF2336"/>
    <w:rsid w:val="00CF2469"/>
    <w:rsid w:val="00CF6D58"/>
    <w:rsid w:val="00D01501"/>
    <w:rsid w:val="00D257CE"/>
    <w:rsid w:val="00D62861"/>
    <w:rsid w:val="00D75175"/>
    <w:rsid w:val="00D84997"/>
    <w:rsid w:val="00D902BF"/>
    <w:rsid w:val="00DA41F8"/>
    <w:rsid w:val="00DB55A2"/>
    <w:rsid w:val="00DB5CA8"/>
    <w:rsid w:val="00DB72EE"/>
    <w:rsid w:val="00DC33E9"/>
    <w:rsid w:val="00DF03FE"/>
    <w:rsid w:val="00E01C7E"/>
    <w:rsid w:val="00E21874"/>
    <w:rsid w:val="00E36EF3"/>
    <w:rsid w:val="00E536B9"/>
    <w:rsid w:val="00E5486A"/>
    <w:rsid w:val="00E733A0"/>
    <w:rsid w:val="00E82693"/>
    <w:rsid w:val="00EA3222"/>
    <w:rsid w:val="00EA69A3"/>
    <w:rsid w:val="00ED4483"/>
    <w:rsid w:val="00F005AF"/>
    <w:rsid w:val="00F21937"/>
    <w:rsid w:val="00F47868"/>
    <w:rsid w:val="00F657FC"/>
    <w:rsid w:val="00F65A03"/>
    <w:rsid w:val="00F67A45"/>
    <w:rsid w:val="00F86B8C"/>
    <w:rsid w:val="00FF1699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41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17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17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1031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2EDE"/>
    <w:pPr>
      <w:ind w:left="720"/>
      <w:contextualSpacing/>
    </w:pPr>
  </w:style>
  <w:style w:type="character" w:styleId="CommentReference">
    <w:name w:val="annotation reference"/>
    <w:basedOn w:val="DefaultParagraphFont"/>
    <w:rsid w:val="00543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3C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3CEA"/>
  </w:style>
  <w:style w:type="paragraph" w:styleId="CommentSubject">
    <w:name w:val="annotation subject"/>
    <w:basedOn w:val="CommentText"/>
    <w:next w:val="CommentText"/>
    <w:link w:val="CommentSubjectChar"/>
    <w:rsid w:val="00543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3CEA"/>
    <w:rPr>
      <w:b/>
      <w:bCs/>
    </w:rPr>
  </w:style>
  <w:style w:type="paragraph" w:styleId="Revision">
    <w:name w:val="Revision"/>
    <w:hidden/>
    <w:uiPriority w:val="99"/>
    <w:semiHidden/>
    <w:rsid w:val="005017B5"/>
    <w:rPr>
      <w:sz w:val="24"/>
      <w:szCs w:val="24"/>
    </w:rPr>
  </w:style>
  <w:style w:type="table" w:styleId="TableGrid">
    <w:name w:val="Table Grid"/>
    <w:basedOn w:val="TableNormal"/>
    <w:rsid w:val="008F2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41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17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17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1031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2EDE"/>
    <w:pPr>
      <w:ind w:left="720"/>
      <w:contextualSpacing/>
    </w:pPr>
  </w:style>
  <w:style w:type="character" w:styleId="CommentReference">
    <w:name w:val="annotation reference"/>
    <w:basedOn w:val="DefaultParagraphFont"/>
    <w:rsid w:val="00543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3C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3CEA"/>
  </w:style>
  <w:style w:type="paragraph" w:styleId="CommentSubject">
    <w:name w:val="annotation subject"/>
    <w:basedOn w:val="CommentText"/>
    <w:next w:val="CommentText"/>
    <w:link w:val="CommentSubjectChar"/>
    <w:rsid w:val="00543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3CEA"/>
    <w:rPr>
      <w:b/>
      <w:bCs/>
    </w:rPr>
  </w:style>
  <w:style w:type="paragraph" w:styleId="Revision">
    <w:name w:val="Revision"/>
    <w:hidden/>
    <w:uiPriority w:val="99"/>
    <w:semiHidden/>
    <w:rsid w:val="005017B5"/>
    <w:rPr>
      <w:sz w:val="24"/>
      <w:szCs w:val="24"/>
    </w:rPr>
  </w:style>
  <w:style w:type="table" w:styleId="TableGrid">
    <w:name w:val="Table Grid"/>
    <w:basedOn w:val="TableNormal"/>
    <w:rsid w:val="008F2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files/documents/2019/08/02/know-plan-prepare-booklet.pdf" TargetMode="External"/><Relationship Id="rId13" Type="http://schemas.openxmlformats.org/officeDocument/2006/relationships/hyperlink" Target="http://www.mass.gov/eohhs/gov/departments/dph/programs/emergency-prep/personal-prep/preparedness-checklist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ass.gov/knowplanprepa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amantha.stone@state.ma.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ady.gov/publicatio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witter.com/MassDPH" TargetMode="External"/><Relationship Id="rId10" Type="http://schemas.openxmlformats.org/officeDocument/2006/relationships/hyperlink" Target="mailto:Whi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ssclearinghouse.ehs.state.ma.us/category/EMPR.html" TargetMode="External"/><Relationship Id="rId14" Type="http://schemas.openxmlformats.org/officeDocument/2006/relationships/hyperlink" Target="http://www.mass.gov/eohhs/gov/departments/dph/programs/emergency-prep/personal-prep/preparedness-vide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1ADDB-E8B9-402B-867E-AA686D11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BF905BD1</Template>
  <TotalTime>7</TotalTime>
  <Pages>3</Pages>
  <Words>989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milesky</dc:creator>
  <cp:lastModifiedBy> </cp:lastModifiedBy>
  <cp:revision>3</cp:revision>
  <cp:lastPrinted>2019-08-20T16:43:00Z</cp:lastPrinted>
  <dcterms:created xsi:type="dcterms:W3CDTF">2019-08-23T15:56:00Z</dcterms:created>
  <dcterms:modified xsi:type="dcterms:W3CDTF">2019-08-26T14:29:00Z</dcterms:modified>
</cp:coreProperties>
</file>