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9DE7" w14:textId="77777777" w:rsidR="006647CB" w:rsidRPr="006647CB" w:rsidRDefault="006647CB" w:rsidP="006647CB">
      <w:pPr>
        <w:pStyle w:val="Title"/>
        <w:jc w:val="center"/>
        <w:rPr>
          <w:rFonts w:asciiTheme="minorHAnsi" w:eastAsiaTheme="minorEastAsia" w:hAnsiTheme="minorHAnsi" w:cstheme="minorBidi"/>
          <w:sz w:val="40"/>
          <w:szCs w:val="40"/>
          <w:lang w:val="es-ES"/>
        </w:rPr>
      </w:pPr>
      <w:r w:rsidRPr="006647CB">
        <w:rPr>
          <w:rFonts w:asciiTheme="minorHAnsi" w:eastAsiaTheme="minorEastAsia" w:hAnsiTheme="minorHAnsi" w:cstheme="minorBidi"/>
          <w:sz w:val="40"/>
          <w:szCs w:val="40"/>
          <w:lang w:val="es-ES"/>
        </w:rPr>
        <w:t xml:space="preserve">Commonwealth </w:t>
      </w:r>
      <w:proofErr w:type="spellStart"/>
      <w:r w:rsidRPr="006647CB">
        <w:rPr>
          <w:rFonts w:asciiTheme="minorHAnsi" w:eastAsiaTheme="minorEastAsia" w:hAnsiTheme="minorHAnsi" w:cstheme="minorBidi"/>
          <w:sz w:val="40"/>
          <w:szCs w:val="40"/>
          <w:lang w:val="es-ES"/>
        </w:rPr>
        <w:t>of</w:t>
      </w:r>
      <w:proofErr w:type="spellEnd"/>
      <w:r w:rsidRPr="006647CB">
        <w:rPr>
          <w:rFonts w:asciiTheme="minorHAnsi" w:eastAsiaTheme="minorEastAsia" w:hAnsiTheme="minorHAnsi" w:cstheme="minorBidi"/>
          <w:sz w:val="40"/>
          <w:szCs w:val="40"/>
          <w:lang w:val="es-ES"/>
        </w:rPr>
        <w:t xml:space="preserve"> Massachusetts</w:t>
      </w:r>
    </w:p>
    <w:p w14:paraId="63D48CBE" w14:textId="77777777" w:rsidR="006647CB" w:rsidRPr="006647CB" w:rsidRDefault="006647CB" w:rsidP="006647CB">
      <w:pPr>
        <w:pStyle w:val="Title"/>
        <w:jc w:val="center"/>
        <w:rPr>
          <w:rFonts w:asciiTheme="minorHAnsi" w:eastAsiaTheme="minorEastAsia" w:hAnsiTheme="minorHAnsi" w:cstheme="minorBidi"/>
          <w:sz w:val="40"/>
          <w:szCs w:val="40"/>
          <w:lang w:val="es-ES"/>
        </w:rPr>
      </w:pPr>
      <w:r w:rsidRPr="006647CB">
        <w:rPr>
          <w:rFonts w:asciiTheme="minorHAnsi" w:eastAsiaTheme="minorEastAsia" w:hAnsiTheme="minorHAnsi" w:cstheme="minorBidi"/>
          <w:sz w:val="40"/>
          <w:szCs w:val="40"/>
          <w:lang w:val="es-ES"/>
        </w:rPr>
        <w:t xml:space="preserve">Executive Office </w:t>
      </w:r>
      <w:proofErr w:type="spellStart"/>
      <w:r w:rsidRPr="006647CB">
        <w:rPr>
          <w:rFonts w:asciiTheme="minorHAnsi" w:eastAsiaTheme="minorEastAsia" w:hAnsiTheme="minorHAnsi" w:cstheme="minorBidi"/>
          <w:sz w:val="40"/>
          <w:szCs w:val="40"/>
          <w:lang w:val="es-ES"/>
        </w:rPr>
        <w:t>of</w:t>
      </w:r>
      <w:proofErr w:type="spellEnd"/>
      <w:r w:rsidRPr="006647CB">
        <w:rPr>
          <w:rFonts w:asciiTheme="minorHAnsi" w:eastAsiaTheme="minorEastAsia" w:hAnsiTheme="minorHAnsi" w:cstheme="minorBidi"/>
          <w:sz w:val="40"/>
          <w:szCs w:val="40"/>
          <w:lang w:val="es-ES"/>
        </w:rPr>
        <w:t xml:space="preserve"> Energy and </w:t>
      </w:r>
      <w:proofErr w:type="spellStart"/>
      <w:r w:rsidRPr="006647CB">
        <w:rPr>
          <w:rFonts w:asciiTheme="minorHAnsi" w:eastAsiaTheme="minorEastAsia" w:hAnsiTheme="minorHAnsi" w:cstheme="minorBidi"/>
          <w:sz w:val="40"/>
          <w:szCs w:val="40"/>
          <w:lang w:val="es-ES"/>
        </w:rPr>
        <w:t>Environmental</w:t>
      </w:r>
      <w:proofErr w:type="spellEnd"/>
      <w:r w:rsidRPr="006647CB">
        <w:rPr>
          <w:rFonts w:asciiTheme="minorHAnsi" w:eastAsiaTheme="minorEastAsia" w:hAnsiTheme="minorHAnsi" w:cstheme="minorBidi"/>
          <w:sz w:val="40"/>
          <w:szCs w:val="40"/>
          <w:lang w:val="es-ES"/>
        </w:rPr>
        <w:t xml:space="preserve"> </w:t>
      </w:r>
      <w:proofErr w:type="spellStart"/>
      <w:r w:rsidRPr="006647CB">
        <w:rPr>
          <w:rFonts w:asciiTheme="minorHAnsi" w:eastAsiaTheme="minorEastAsia" w:hAnsiTheme="minorHAnsi" w:cstheme="minorBidi"/>
          <w:sz w:val="40"/>
          <w:szCs w:val="40"/>
          <w:lang w:val="es-ES"/>
        </w:rPr>
        <w:t>Affairs</w:t>
      </w:r>
      <w:proofErr w:type="spellEnd"/>
    </w:p>
    <w:p w14:paraId="28707C9E" w14:textId="6C284F74" w:rsidR="006647CB" w:rsidRDefault="006647CB" w:rsidP="006647CB">
      <w:pPr>
        <w:pStyle w:val="Title"/>
        <w:jc w:val="center"/>
        <w:rPr>
          <w:rFonts w:asciiTheme="minorHAnsi" w:eastAsiaTheme="minorEastAsia" w:hAnsiTheme="minorHAnsi" w:cstheme="minorBidi"/>
          <w:sz w:val="40"/>
          <w:szCs w:val="40"/>
          <w:lang w:val="es-ES"/>
        </w:rPr>
      </w:pPr>
      <w:r w:rsidRPr="006647CB">
        <w:rPr>
          <w:rFonts w:asciiTheme="minorHAnsi" w:eastAsiaTheme="minorEastAsia" w:hAnsiTheme="minorHAnsi" w:cstheme="minorBidi"/>
          <w:sz w:val="40"/>
          <w:szCs w:val="40"/>
          <w:lang w:val="es-ES"/>
        </w:rPr>
        <w:t>DEPARTMENT OF ENERGY RESOURCES</w:t>
      </w:r>
    </w:p>
    <w:p w14:paraId="28DDAE3E" w14:textId="4D9356A9" w:rsidR="37FBD9DC" w:rsidRPr="00120FDA" w:rsidRDefault="0003175A" w:rsidP="0C9BD487">
      <w:pPr>
        <w:pStyle w:val="Title"/>
        <w:jc w:val="center"/>
        <w:rPr>
          <w:rFonts w:asciiTheme="minorHAnsi" w:eastAsiaTheme="minorEastAsia" w:hAnsiTheme="minorHAnsi" w:cstheme="minorBidi"/>
          <w:sz w:val="40"/>
          <w:szCs w:val="40"/>
          <w:lang w:val="es-ES"/>
        </w:rPr>
      </w:pPr>
      <w:r w:rsidRPr="00120FDA">
        <w:rPr>
          <w:rFonts w:asciiTheme="minorHAnsi" w:eastAsiaTheme="minorEastAsia" w:hAnsiTheme="minorHAnsi" w:cstheme="minorBidi"/>
          <w:sz w:val="40"/>
          <w:szCs w:val="40"/>
          <w:lang w:val="es-ES"/>
        </w:rPr>
        <w:t xml:space="preserve">Mancomunidad de </w:t>
      </w:r>
      <w:r w:rsidR="37FBD9DC" w:rsidRPr="00120FDA">
        <w:rPr>
          <w:rFonts w:asciiTheme="minorHAnsi" w:eastAsiaTheme="minorEastAsia" w:hAnsiTheme="minorHAnsi" w:cstheme="minorBidi"/>
          <w:sz w:val="40"/>
          <w:szCs w:val="40"/>
          <w:lang w:val="es-ES"/>
        </w:rPr>
        <w:t>Massachusetts</w:t>
      </w:r>
    </w:p>
    <w:p w14:paraId="28DDAE3F" w14:textId="77777777" w:rsidR="00120FDA" w:rsidRPr="00120FDA" w:rsidRDefault="00120FDA" w:rsidP="00120FDA">
      <w:pPr>
        <w:pStyle w:val="Title"/>
        <w:jc w:val="center"/>
        <w:rPr>
          <w:rFonts w:asciiTheme="minorHAnsi" w:eastAsiaTheme="minorEastAsia" w:hAnsiTheme="minorHAnsi" w:cstheme="minorBidi"/>
          <w:sz w:val="40"/>
          <w:szCs w:val="40"/>
          <w:lang w:val="es-ES"/>
        </w:rPr>
      </w:pPr>
      <w:r w:rsidRPr="00120FDA">
        <w:rPr>
          <w:rFonts w:asciiTheme="minorHAnsi" w:eastAsiaTheme="minorEastAsia" w:hAnsiTheme="minorHAnsi" w:cstheme="minorBidi"/>
          <w:sz w:val="40"/>
          <w:szCs w:val="40"/>
          <w:lang w:val="es-ES"/>
        </w:rPr>
        <w:t>Oficina Ejecutiva de Energía y Asuntos Ambientales</w:t>
      </w:r>
    </w:p>
    <w:p w14:paraId="28DDAE40" w14:textId="77777777" w:rsidR="37FBD9DC" w:rsidRPr="003228F9" w:rsidRDefault="00120FDA" w:rsidP="00120FDA">
      <w:pPr>
        <w:pStyle w:val="Title"/>
        <w:jc w:val="center"/>
        <w:rPr>
          <w:rFonts w:asciiTheme="minorHAnsi" w:eastAsiaTheme="minorEastAsia" w:hAnsiTheme="minorHAnsi" w:cstheme="minorBidi"/>
          <w:sz w:val="40"/>
          <w:szCs w:val="40"/>
          <w:lang w:val="es-ES"/>
        </w:rPr>
      </w:pPr>
      <w:r w:rsidRPr="003228F9">
        <w:rPr>
          <w:rFonts w:asciiTheme="minorHAnsi" w:eastAsiaTheme="minorEastAsia" w:hAnsiTheme="minorHAnsi" w:cstheme="minorBidi"/>
          <w:sz w:val="40"/>
          <w:szCs w:val="40"/>
          <w:lang w:val="es-ES"/>
        </w:rPr>
        <w:t xml:space="preserve">DEPARTAMENTO DE RECURSOS ENERGÉTICOS </w:t>
      </w:r>
    </w:p>
    <w:p w14:paraId="28DDAE41" w14:textId="77777777" w:rsidR="165A47C6" w:rsidRPr="003228F9" w:rsidRDefault="165A47C6" w:rsidP="0C9BD487">
      <w:pPr>
        <w:spacing w:before="2"/>
        <w:rPr>
          <w:rFonts w:eastAsiaTheme="minorEastAsia"/>
          <w:color w:val="000000" w:themeColor="text1"/>
          <w:lang w:val="es-ES"/>
        </w:rPr>
      </w:pPr>
    </w:p>
    <w:p w14:paraId="28DDAE42" w14:textId="77777777" w:rsidR="00D54110" w:rsidRPr="00D54110" w:rsidRDefault="00D54110" w:rsidP="00D54110">
      <w:pPr>
        <w:pStyle w:val="Title"/>
        <w:ind w:left="1042" w:right="1029"/>
        <w:jc w:val="center"/>
        <w:rPr>
          <w:rFonts w:asciiTheme="minorHAnsi" w:eastAsiaTheme="minorEastAsia" w:hAnsiTheme="minorHAnsi" w:cstheme="minorBidi"/>
          <w:b/>
          <w:bCs/>
          <w:color w:val="000000" w:themeColor="text1"/>
          <w:sz w:val="28"/>
          <w:szCs w:val="28"/>
          <w:lang w:val="es-ES"/>
        </w:rPr>
      </w:pPr>
      <w:r w:rsidRPr="00D54110">
        <w:rPr>
          <w:rFonts w:asciiTheme="minorHAnsi" w:eastAsiaTheme="minorEastAsia" w:hAnsiTheme="minorHAnsi" w:cstheme="minorBidi"/>
          <w:b/>
          <w:bCs/>
          <w:color w:val="000000" w:themeColor="text1"/>
          <w:sz w:val="28"/>
          <w:szCs w:val="28"/>
          <w:lang w:val="es-ES"/>
        </w:rPr>
        <w:t xml:space="preserve">PROGRAMA DE INFORMES DE ENERGÍA PARA </w:t>
      </w:r>
      <w:r>
        <w:rPr>
          <w:rFonts w:asciiTheme="minorHAnsi" w:eastAsiaTheme="minorEastAsia" w:hAnsiTheme="minorHAnsi" w:cstheme="minorBidi"/>
          <w:b/>
          <w:bCs/>
          <w:color w:val="000000" w:themeColor="text1"/>
          <w:sz w:val="28"/>
          <w:szCs w:val="28"/>
          <w:lang w:val="es-ES"/>
        </w:rPr>
        <w:t xml:space="preserve">EDIFICIOS GRANDES </w:t>
      </w:r>
    </w:p>
    <w:p w14:paraId="28DDAE43" w14:textId="77777777" w:rsidR="00D54110" w:rsidRPr="003228F9" w:rsidRDefault="00D54110" w:rsidP="00D54110">
      <w:pPr>
        <w:pStyle w:val="Title"/>
        <w:ind w:left="1042" w:right="1029"/>
        <w:jc w:val="center"/>
        <w:rPr>
          <w:rFonts w:asciiTheme="minorHAnsi" w:eastAsiaTheme="minorEastAsia" w:hAnsiTheme="minorHAnsi" w:cstheme="minorBidi"/>
          <w:b/>
          <w:bCs/>
          <w:color w:val="000000" w:themeColor="text1"/>
          <w:sz w:val="28"/>
          <w:szCs w:val="28"/>
          <w:lang w:val="es-ES"/>
        </w:rPr>
      </w:pPr>
      <w:r w:rsidRPr="003228F9">
        <w:rPr>
          <w:rFonts w:asciiTheme="minorHAnsi" w:eastAsiaTheme="minorEastAsia" w:hAnsiTheme="minorHAnsi" w:cstheme="minorBidi"/>
          <w:b/>
          <w:bCs/>
          <w:color w:val="000000" w:themeColor="text1"/>
          <w:sz w:val="28"/>
          <w:szCs w:val="28"/>
          <w:lang w:val="es-ES"/>
        </w:rPr>
        <w:t>(225 CMR 27.00)</w:t>
      </w:r>
    </w:p>
    <w:p w14:paraId="28DDAE44" w14:textId="77777777" w:rsidR="00D467F4" w:rsidRPr="003228F9" w:rsidRDefault="00D54110" w:rsidP="00D54110">
      <w:pPr>
        <w:pStyle w:val="Title"/>
        <w:ind w:left="1042" w:right="1029"/>
        <w:jc w:val="center"/>
        <w:rPr>
          <w:b/>
          <w:bCs/>
          <w:sz w:val="24"/>
          <w:szCs w:val="24"/>
          <w:lang w:val="es-ES"/>
        </w:rPr>
      </w:pPr>
      <w:r w:rsidRPr="003228F9">
        <w:rPr>
          <w:rFonts w:asciiTheme="minorHAnsi" w:eastAsiaTheme="minorHAnsi" w:hAnsiTheme="minorHAnsi" w:cstheme="minorBidi"/>
          <w:b/>
          <w:bCs/>
          <w:spacing w:val="0"/>
          <w:kern w:val="0"/>
          <w:sz w:val="24"/>
          <w:szCs w:val="24"/>
          <w:lang w:val="es-ES"/>
        </w:rPr>
        <w:t>Borrador publicado para consulta pública: 31 de marzo de</w:t>
      </w:r>
      <w:r w:rsidRPr="00D54110">
        <w:rPr>
          <w:rFonts w:asciiTheme="minorHAnsi" w:eastAsiaTheme="minorEastAsia" w:hAnsiTheme="minorHAnsi" w:cstheme="minorBidi"/>
          <w:b/>
          <w:bCs/>
          <w:color w:val="000000" w:themeColor="text1"/>
          <w:sz w:val="28"/>
          <w:szCs w:val="28"/>
          <w:lang w:val="es-ES"/>
        </w:rPr>
        <w:t xml:space="preserve"> </w:t>
      </w:r>
      <w:r w:rsidRPr="003228F9">
        <w:rPr>
          <w:rFonts w:asciiTheme="minorHAnsi" w:eastAsiaTheme="minorHAnsi" w:hAnsiTheme="minorHAnsi" w:cstheme="minorBidi"/>
          <w:b/>
          <w:bCs/>
          <w:spacing w:val="0"/>
          <w:kern w:val="0"/>
          <w:sz w:val="24"/>
          <w:szCs w:val="24"/>
          <w:lang w:val="es-ES"/>
        </w:rPr>
        <w:t>2025</w:t>
      </w:r>
    </w:p>
    <w:p w14:paraId="28DDAE45" w14:textId="77777777" w:rsidR="002C6DC4" w:rsidRPr="003228F9" w:rsidRDefault="002C6DC4" w:rsidP="0C9BD487">
      <w:pPr>
        <w:rPr>
          <w:rFonts w:eastAsiaTheme="minorEastAsia"/>
          <w:lang w:val="es-ES"/>
        </w:rPr>
      </w:pPr>
    </w:p>
    <w:p w14:paraId="28DDAE46" w14:textId="77777777" w:rsidR="6FA781CB" w:rsidRPr="00CA70D1" w:rsidRDefault="00C32764" w:rsidP="0C9BD487">
      <w:pPr>
        <w:jc w:val="center"/>
        <w:rPr>
          <w:rStyle w:val="Strong"/>
          <w:rFonts w:eastAsiaTheme="minorEastAsia"/>
          <w:lang w:val="es-ES_tradnl"/>
        </w:rPr>
      </w:pPr>
      <w:r w:rsidRPr="00CA70D1">
        <w:rPr>
          <w:rStyle w:val="Strong"/>
          <w:rFonts w:eastAsiaTheme="minorEastAsia"/>
          <w:lang w:val="es-ES_tradnl"/>
        </w:rPr>
        <w:t>Solicitud de comentarios públicos del Departamento de Recursos Energéticos de Massachusetts (DOER) sobre las exenciones a las reglas del programa de Informes de Energía de Edificios Grandes (LBER), de conformidad con 225 CMR 27.05.</w:t>
      </w:r>
    </w:p>
    <w:p w14:paraId="28DDAE47" w14:textId="77777777" w:rsidR="001A07AB" w:rsidRPr="00CA70D1" w:rsidRDefault="00ED4812" w:rsidP="0C9BD487">
      <w:pPr>
        <w:rPr>
          <w:rFonts w:eastAsiaTheme="minorEastAsia"/>
          <w:lang w:val="es-ES_tradnl"/>
        </w:rPr>
      </w:pPr>
      <w:r w:rsidRPr="00CA70D1">
        <w:rPr>
          <w:rFonts w:eastAsiaTheme="minorEastAsia"/>
          <w:lang w:val="es-ES_tradnl"/>
        </w:rPr>
        <w:t>Actualmente, los siguientes tipos de edificios están exentos de tener que informar su consumo de energía según la política LBER:</w:t>
      </w:r>
    </w:p>
    <w:p w14:paraId="28DDAE48" w14:textId="77777777" w:rsidR="00066878" w:rsidRPr="00CA70D1" w:rsidRDefault="00ED4812" w:rsidP="0C9BD487">
      <w:pPr>
        <w:numPr>
          <w:ilvl w:val="0"/>
          <w:numId w:val="1"/>
        </w:numPr>
        <w:rPr>
          <w:rFonts w:eastAsiaTheme="minorEastAsia"/>
          <w:lang w:val="es-ES_tradnl"/>
        </w:rPr>
      </w:pPr>
      <w:r w:rsidRPr="00CA70D1">
        <w:rPr>
          <w:rFonts w:eastAsiaTheme="minorEastAsia"/>
          <w:lang w:val="es-ES_tradnl"/>
        </w:rPr>
        <w:t>El edificio estuvo vacío durante un año calendario completo;</w:t>
      </w:r>
    </w:p>
    <w:p w14:paraId="28DDAE49" w14:textId="77777777" w:rsidR="00066878" w:rsidRPr="00CA70D1" w:rsidRDefault="00ED4812" w:rsidP="0C9BD487">
      <w:pPr>
        <w:numPr>
          <w:ilvl w:val="0"/>
          <w:numId w:val="2"/>
        </w:numPr>
        <w:rPr>
          <w:rFonts w:eastAsiaTheme="minorEastAsia"/>
          <w:lang w:val="es-ES_tradnl"/>
        </w:rPr>
      </w:pPr>
      <w:r w:rsidRPr="00CA70D1">
        <w:rPr>
          <w:rFonts w:eastAsiaTheme="minorEastAsia"/>
          <w:lang w:val="es-ES_tradnl"/>
        </w:rPr>
        <w:t>El edificio fue demolido durante el año calendario anterior;</w:t>
      </w:r>
    </w:p>
    <w:p w14:paraId="28DDAE4A" w14:textId="77777777" w:rsidR="00066878" w:rsidRPr="00CA70D1" w:rsidRDefault="00ED4812" w:rsidP="0C9BD487">
      <w:pPr>
        <w:numPr>
          <w:ilvl w:val="0"/>
          <w:numId w:val="3"/>
        </w:numPr>
        <w:rPr>
          <w:rFonts w:eastAsiaTheme="minorEastAsia"/>
          <w:lang w:val="es-ES_tradnl"/>
        </w:rPr>
      </w:pPr>
      <w:r w:rsidRPr="00CA70D1">
        <w:rPr>
          <w:rFonts w:eastAsiaTheme="minorEastAsia"/>
          <w:lang w:val="es-ES_tradnl"/>
        </w:rPr>
        <w:t>El edificio estuvo vacío durante más del 50 % del año debido a causas ambientales naturales, incluyendo, entre otras, incendios, inundaciones y daños causados ​​por el viento;</w:t>
      </w:r>
    </w:p>
    <w:p w14:paraId="28DDAE4B" w14:textId="77777777" w:rsidR="00066878" w:rsidRPr="00CA70D1" w:rsidRDefault="00ED4812" w:rsidP="0C9BD487">
      <w:pPr>
        <w:numPr>
          <w:ilvl w:val="0"/>
          <w:numId w:val="4"/>
        </w:numPr>
        <w:rPr>
          <w:rFonts w:eastAsiaTheme="minorEastAsia"/>
          <w:lang w:val="es-ES_tradnl"/>
        </w:rPr>
      </w:pPr>
      <w:r w:rsidRPr="00CA70D1">
        <w:rPr>
          <w:rFonts w:eastAsiaTheme="minorEastAsia"/>
          <w:lang w:val="es-ES_tradnl"/>
        </w:rPr>
        <w:t>El propietario del edificio se ha decl</w:t>
      </w:r>
      <w:r w:rsidR="004B51FB" w:rsidRPr="00CA70D1">
        <w:rPr>
          <w:rFonts w:eastAsiaTheme="minorEastAsia"/>
          <w:lang w:val="es-ES_tradnl"/>
        </w:rPr>
        <w:t>arado en quiebra</w:t>
      </w:r>
      <w:r w:rsidRPr="00CA70D1">
        <w:rPr>
          <w:rFonts w:eastAsiaTheme="minorEastAsia"/>
          <w:lang w:val="es-ES_tradnl"/>
        </w:rPr>
        <w:t>, suponiendo que su interés en el edificio haya cambiado;</w:t>
      </w:r>
    </w:p>
    <w:p w14:paraId="28DDAE4C" w14:textId="77777777" w:rsidR="00066878" w:rsidRPr="00CA70D1" w:rsidRDefault="004B51FB" w:rsidP="0C9BD487">
      <w:pPr>
        <w:numPr>
          <w:ilvl w:val="0"/>
          <w:numId w:val="5"/>
        </w:numPr>
        <w:rPr>
          <w:rFonts w:eastAsiaTheme="minorEastAsia"/>
          <w:lang w:val="es-ES_tradnl"/>
        </w:rPr>
      </w:pPr>
      <w:r w:rsidRPr="00CA70D1">
        <w:rPr>
          <w:rFonts w:eastAsiaTheme="minorEastAsia"/>
          <w:lang w:val="es-ES_tradnl"/>
        </w:rPr>
        <w:t xml:space="preserve">Otras circunstancias únicas o imprevistas que justifiquen una exclusión de los Requisitos de Informes de Energía del Edificio, según lo determine el </w:t>
      </w:r>
      <w:proofErr w:type="gramStart"/>
      <w:r w:rsidRPr="00CA70D1">
        <w:rPr>
          <w:rFonts w:eastAsiaTheme="minorEastAsia"/>
          <w:lang w:val="es-ES_tradnl"/>
        </w:rPr>
        <w:t>Departamento.</w:t>
      </w:r>
      <w:r w:rsidR="00066878" w:rsidRPr="00CA70D1">
        <w:rPr>
          <w:rFonts w:eastAsiaTheme="minorEastAsia"/>
          <w:lang w:val="es-ES_tradnl"/>
        </w:rPr>
        <w:t>.</w:t>
      </w:r>
      <w:proofErr w:type="gramEnd"/>
      <w:r w:rsidR="00066878" w:rsidRPr="00CA70D1">
        <w:rPr>
          <w:rFonts w:eastAsiaTheme="minorEastAsia"/>
          <w:lang w:val="es-ES_tradnl"/>
        </w:rPr>
        <w:t>  </w:t>
      </w:r>
    </w:p>
    <w:p w14:paraId="28DDAE4D" w14:textId="77777777" w:rsidR="001A07AB" w:rsidRPr="009F1F58" w:rsidRDefault="00DB165A" w:rsidP="0C9BD487">
      <w:pPr>
        <w:rPr>
          <w:rFonts w:eastAsiaTheme="minorEastAsia"/>
          <w:lang w:val="es-ES"/>
        </w:rPr>
      </w:pPr>
      <w:r w:rsidRPr="00DB165A">
        <w:rPr>
          <w:rFonts w:eastAsiaTheme="minorEastAsia"/>
          <w:lang w:val="es-ES"/>
        </w:rPr>
        <w:t>El DOER solicita la opinión pública sobre otras situaciones que justifiquen la exención de los requisitos de la LBER para edificios de más de 20,000 pies cuadrados. Por ejemplo, las situaciones que podrían justificar una exención podrían ser cuando un edificio no tiene energía que reportar o una estructura de más de 20,000 pies cuadrados no cumple con la siguiente definición de edificio:</w:t>
      </w:r>
      <w:r w:rsidR="00035141" w:rsidRPr="009F1F58">
        <w:rPr>
          <w:rFonts w:eastAsiaTheme="minorEastAsia"/>
          <w:lang w:val="es-ES"/>
        </w:rPr>
        <w:t xml:space="preserve"> </w:t>
      </w:r>
    </w:p>
    <w:p w14:paraId="28DDAE4E" w14:textId="77777777" w:rsidR="00C700E1" w:rsidRPr="009F1F58" w:rsidRDefault="009F1F58" w:rsidP="0C9BD487">
      <w:pPr>
        <w:pStyle w:val="Quote"/>
        <w:rPr>
          <w:rFonts w:eastAsiaTheme="minorEastAsia"/>
          <w:lang w:val="es-ES"/>
        </w:rPr>
      </w:pPr>
      <w:r w:rsidRPr="009F1F58">
        <w:rPr>
          <w:rFonts w:eastAsiaTheme="minorEastAsia"/>
          <w:u w:val="single"/>
          <w:lang w:val="es-ES"/>
        </w:rPr>
        <w:t xml:space="preserve">Edificio. </w:t>
      </w:r>
      <w:r w:rsidRPr="00AD5FF3">
        <w:rPr>
          <w:rFonts w:eastAsiaTheme="minorEastAsia"/>
          <w:lang w:val="es-ES"/>
        </w:rPr>
        <w:t>Una estructura de consumo energético ubicada dentro de una parcela o una estructura única y continua de consumo energético que abarca varias parcelas.</w:t>
      </w:r>
    </w:p>
    <w:p w14:paraId="28DDAE4F" w14:textId="77777777" w:rsidR="00F853FA" w:rsidRPr="00AD5FF3" w:rsidRDefault="00AD5FF3" w:rsidP="0C9BD487">
      <w:pPr>
        <w:rPr>
          <w:rFonts w:eastAsiaTheme="minorEastAsia"/>
          <w:b/>
          <w:bCs/>
          <w:color w:val="000000" w:themeColor="text1"/>
          <w:lang w:val="es-ES"/>
        </w:rPr>
      </w:pPr>
      <w:r w:rsidRPr="00AD5FF3">
        <w:rPr>
          <w:rFonts w:eastAsiaTheme="minorEastAsia"/>
          <w:b/>
          <w:bCs/>
          <w:color w:val="000000" w:themeColor="text1"/>
          <w:lang w:val="es-ES"/>
        </w:rPr>
        <w:t xml:space="preserve">Identifique otras situaciones </w:t>
      </w:r>
      <w:r>
        <w:rPr>
          <w:rFonts w:eastAsiaTheme="minorEastAsia"/>
          <w:b/>
          <w:bCs/>
          <w:color w:val="000000" w:themeColor="text1"/>
          <w:lang w:val="es-ES"/>
        </w:rPr>
        <w:t>en las que DOER debería considerar</w:t>
      </w:r>
      <w:r w:rsidRPr="00AD5FF3">
        <w:rPr>
          <w:rFonts w:eastAsiaTheme="minorEastAsia"/>
          <w:b/>
          <w:bCs/>
          <w:color w:val="000000" w:themeColor="text1"/>
          <w:lang w:val="es-ES"/>
        </w:rPr>
        <w:t xml:space="preserve"> la exención de los requisitos de LBER que exigen a la empresa de servicios públicos que informe sobre el uso de energía o que el propietario informe sobre el uso de energía no proporcionado por la empresa de servicios públicos.</w:t>
      </w:r>
    </w:p>
    <w:p w14:paraId="28DDAE50" w14:textId="3617AD49" w:rsidR="00F853FA" w:rsidRPr="00643E9D" w:rsidRDefault="00AD5FF3" w:rsidP="00AF7F36">
      <w:pPr>
        <w:rPr>
          <w:color w:val="404040" w:themeColor="text1" w:themeTint="BF"/>
          <w:lang w:val="es-ES"/>
        </w:rPr>
      </w:pPr>
      <w:r>
        <w:rPr>
          <w:color w:val="404040" w:themeColor="text1" w:themeTint="BF"/>
          <w:lang w:val="es-ES"/>
        </w:rPr>
        <w:lastRenderedPageBreak/>
        <w:t>Por favor e</w:t>
      </w:r>
      <w:r w:rsidRPr="00AD5FF3">
        <w:rPr>
          <w:color w:val="404040" w:themeColor="text1" w:themeTint="BF"/>
          <w:lang w:val="es-ES"/>
        </w:rPr>
        <w:t>nvíe sus comentarios al DOE</w:t>
      </w:r>
      <w:r w:rsidR="003228F9">
        <w:rPr>
          <w:color w:val="404040" w:themeColor="text1" w:themeTint="BF"/>
          <w:lang w:val="es-ES"/>
        </w:rPr>
        <w:t>R antes del 23 de abril a las 5</w:t>
      </w:r>
      <w:r w:rsidRPr="00AD5FF3">
        <w:rPr>
          <w:color w:val="404040" w:themeColor="text1" w:themeTint="BF"/>
          <w:lang w:val="es-ES"/>
        </w:rPr>
        <w:t>:00</w:t>
      </w:r>
      <w:r w:rsidR="003228F9">
        <w:rPr>
          <w:color w:val="404040" w:themeColor="text1" w:themeTint="BF"/>
          <w:lang w:val="es-ES"/>
        </w:rPr>
        <w:t xml:space="preserve"> pm</w:t>
      </w:r>
      <w:r w:rsidRPr="00AD5FF3">
        <w:rPr>
          <w:color w:val="404040" w:themeColor="text1" w:themeTint="BF"/>
          <w:lang w:val="es-ES"/>
        </w:rPr>
        <w:t xml:space="preserve"> EDT. Puede enviarlos por correo electrónico a </w:t>
      </w:r>
      <w:r w:rsidRPr="003228F9">
        <w:rPr>
          <w:rStyle w:val="Hyperlink"/>
          <w:lang w:val="es-ES"/>
        </w:rPr>
        <w:t>DOER.BER@mass.gov</w:t>
      </w:r>
      <w:r w:rsidRPr="00AD5FF3">
        <w:rPr>
          <w:color w:val="404040" w:themeColor="text1" w:themeTint="BF"/>
          <w:lang w:val="es-ES"/>
        </w:rPr>
        <w:t xml:space="preserve"> con el asunto </w:t>
      </w:r>
      <w:r w:rsidRPr="00AD5FF3">
        <w:rPr>
          <w:b/>
          <w:color w:val="404040" w:themeColor="text1" w:themeTint="BF"/>
          <w:lang w:val="es-ES"/>
        </w:rPr>
        <w:t>"Comentarios sobre Exenciones de Edificios (</w:t>
      </w:r>
      <w:proofErr w:type="spellStart"/>
      <w:r w:rsidRPr="00AD5FF3">
        <w:rPr>
          <w:b/>
          <w:bCs/>
          <w:lang w:val="es-ES"/>
        </w:rPr>
        <w:t>Building</w:t>
      </w:r>
      <w:proofErr w:type="spellEnd"/>
      <w:r w:rsidRPr="00AD5FF3">
        <w:rPr>
          <w:b/>
          <w:bCs/>
          <w:lang w:val="es-ES"/>
        </w:rPr>
        <w:t xml:space="preserve"> </w:t>
      </w:r>
      <w:proofErr w:type="spellStart"/>
      <w:r w:rsidRPr="00AD5FF3">
        <w:rPr>
          <w:b/>
          <w:bCs/>
          <w:lang w:val="es-ES"/>
        </w:rPr>
        <w:t>Exemptions</w:t>
      </w:r>
      <w:proofErr w:type="spellEnd"/>
      <w:r w:rsidRPr="00AD5FF3">
        <w:rPr>
          <w:b/>
          <w:bCs/>
          <w:lang w:val="es-ES"/>
        </w:rPr>
        <w:t xml:space="preserve"> </w:t>
      </w:r>
      <w:proofErr w:type="spellStart"/>
      <w:r w:rsidRPr="00AD5FF3">
        <w:rPr>
          <w:b/>
          <w:bCs/>
          <w:lang w:val="es-ES"/>
        </w:rPr>
        <w:t>Feedback</w:t>
      </w:r>
      <w:proofErr w:type="spellEnd"/>
      <w:r>
        <w:rPr>
          <w:b/>
          <w:bCs/>
          <w:lang w:val="es-ES"/>
        </w:rPr>
        <w:t xml:space="preserve"> en ingl</w:t>
      </w:r>
      <w:r>
        <w:rPr>
          <w:rFonts w:cstheme="minorHAnsi"/>
          <w:b/>
          <w:bCs/>
          <w:lang w:val="es-ES"/>
        </w:rPr>
        <w:t>é</w:t>
      </w:r>
      <w:r>
        <w:rPr>
          <w:b/>
          <w:bCs/>
          <w:lang w:val="es-ES"/>
        </w:rPr>
        <w:t>s)</w:t>
      </w:r>
      <w:r w:rsidRPr="00AD5FF3">
        <w:rPr>
          <w:b/>
          <w:color w:val="404040" w:themeColor="text1" w:themeTint="BF"/>
          <w:lang w:val="es-ES"/>
        </w:rPr>
        <w:t>”</w:t>
      </w:r>
      <w:r w:rsidRPr="00AD5FF3">
        <w:rPr>
          <w:color w:val="404040" w:themeColor="text1" w:themeTint="BF"/>
          <w:lang w:val="es-ES"/>
        </w:rPr>
        <w:t xml:space="preserve">  o por correo postal al </w:t>
      </w:r>
      <w:r w:rsidR="00465532" w:rsidRPr="00465532">
        <w:rPr>
          <w:color w:val="404040" w:themeColor="text1" w:themeTint="BF"/>
          <w:lang w:val="es-ES"/>
        </w:rPr>
        <w:t xml:space="preserve">Massachusetts </w:t>
      </w:r>
      <w:proofErr w:type="spellStart"/>
      <w:r w:rsidR="00465532" w:rsidRPr="00465532">
        <w:rPr>
          <w:color w:val="404040" w:themeColor="text1" w:themeTint="BF"/>
          <w:lang w:val="es-ES"/>
        </w:rPr>
        <w:t>Department</w:t>
      </w:r>
      <w:proofErr w:type="spellEnd"/>
      <w:r w:rsidR="00465532" w:rsidRPr="00465532">
        <w:rPr>
          <w:color w:val="404040" w:themeColor="text1" w:themeTint="BF"/>
          <w:lang w:val="es-ES"/>
        </w:rPr>
        <w:t xml:space="preserve"> </w:t>
      </w:r>
      <w:proofErr w:type="spellStart"/>
      <w:r w:rsidR="00465532" w:rsidRPr="00465532">
        <w:rPr>
          <w:color w:val="404040" w:themeColor="text1" w:themeTint="BF"/>
          <w:lang w:val="es-ES"/>
        </w:rPr>
        <w:t>of</w:t>
      </w:r>
      <w:proofErr w:type="spellEnd"/>
      <w:r w:rsidR="00465532" w:rsidRPr="00465532">
        <w:rPr>
          <w:color w:val="404040" w:themeColor="text1" w:themeTint="BF"/>
          <w:lang w:val="es-ES"/>
        </w:rPr>
        <w:t xml:space="preserve"> Energy </w:t>
      </w:r>
      <w:proofErr w:type="spellStart"/>
      <w:r w:rsidR="00465532" w:rsidRPr="00465532">
        <w:rPr>
          <w:color w:val="404040" w:themeColor="text1" w:themeTint="BF"/>
          <w:lang w:val="es-ES"/>
        </w:rPr>
        <w:t>Resources</w:t>
      </w:r>
      <w:proofErr w:type="spellEnd"/>
      <w:r w:rsidR="00465532" w:rsidRPr="00465532">
        <w:rPr>
          <w:color w:val="404040" w:themeColor="text1" w:themeTint="BF"/>
          <w:lang w:val="es-ES"/>
        </w:rPr>
        <w:t xml:space="preserve"> c/o LBER, 100 Cambridge St. 9th </w:t>
      </w:r>
      <w:proofErr w:type="spellStart"/>
      <w:r w:rsidR="00465532" w:rsidRPr="00465532">
        <w:rPr>
          <w:color w:val="404040" w:themeColor="text1" w:themeTint="BF"/>
          <w:lang w:val="es-ES"/>
        </w:rPr>
        <w:t>Floor</w:t>
      </w:r>
      <w:proofErr w:type="spellEnd"/>
      <w:r w:rsidR="00465532" w:rsidRPr="00465532">
        <w:rPr>
          <w:color w:val="404040" w:themeColor="text1" w:themeTint="BF"/>
          <w:lang w:val="es-ES"/>
        </w:rPr>
        <w:t>, Boston, MA, 02114</w:t>
      </w:r>
      <w:r>
        <w:rPr>
          <w:color w:val="404040" w:themeColor="text1" w:themeTint="BF"/>
          <w:lang w:val="es-ES"/>
        </w:rPr>
        <w:t>. Por favor te</w:t>
      </w:r>
      <w:r w:rsidRPr="00AD5FF3">
        <w:rPr>
          <w:color w:val="404040" w:themeColor="text1" w:themeTint="BF"/>
          <w:lang w:val="es-ES"/>
        </w:rPr>
        <w:t>nga en cuenta que la recepción de comentarios por escrito por correo postal podría demorarse.</w:t>
      </w:r>
    </w:p>
    <w:sectPr w:rsidR="00F853FA" w:rsidRPr="00643E9D" w:rsidSect="0008324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D924" w14:textId="77777777" w:rsidR="00C70E5A" w:rsidRDefault="00C70E5A" w:rsidP="001A15F9">
      <w:pPr>
        <w:spacing w:after="0" w:line="240" w:lineRule="auto"/>
      </w:pPr>
      <w:r>
        <w:separator/>
      </w:r>
    </w:p>
  </w:endnote>
  <w:endnote w:type="continuationSeparator" w:id="0">
    <w:p w14:paraId="15375BC2" w14:textId="77777777" w:rsidR="00C70E5A" w:rsidRDefault="00C70E5A" w:rsidP="001A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C2DE" w14:textId="77777777" w:rsidR="00C70E5A" w:rsidRDefault="00C70E5A" w:rsidP="001A15F9">
      <w:pPr>
        <w:spacing w:after="0" w:line="240" w:lineRule="auto"/>
      </w:pPr>
      <w:r>
        <w:separator/>
      </w:r>
    </w:p>
  </w:footnote>
  <w:footnote w:type="continuationSeparator" w:id="0">
    <w:p w14:paraId="40EB9C9F" w14:textId="77777777" w:rsidR="00C70E5A" w:rsidRDefault="00C70E5A" w:rsidP="001A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9A7C" w14:textId="39274AA9" w:rsidR="001A15F9" w:rsidRPr="001A15F9" w:rsidRDefault="001A15F9" w:rsidP="001A15F9">
    <w:pPr>
      <w:pStyle w:val="Header"/>
      <w:jc w:val="right"/>
      <w:rPr>
        <w:rFonts w:ascii="Arial" w:hAnsi="Arial" w:cs="Arial"/>
        <w:b/>
        <w:bCs/>
        <w:i/>
        <w:iCs/>
        <w:color w:val="D9D9D9" w:themeColor="background1" w:themeShade="D9"/>
        <w:sz w:val="18"/>
        <w:szCs w:val="18"/>
      </w:rPr>
    </w:pPr>
    <w:r>
      <w:rPr>
        <w:rFonts w:ascii="Arial" w:hAnsi="Arial" w:cs="Arial"/>
        <w:b/>
        <w:bCs/>
        <w:i/>
        <w:iCs/>
        <w:color w:val="D9D9D9" w:themeColor="background1" w:themeShade="D9"/>
        <w:sz w:val="18"/>
        <w:szCs w:val="18"/>
      </w:rPr>
      <w:t>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E7C77"/>
    <w:multiLevelType w:val="multilevel"/>
    <w:tmpl w:val="7788F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E6CB1"/>
    <w:multiLevelType w:val="multilevel"/>
    <w:tmpl w:val="06C8A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F84CCF"/>
    <w:multiLevelType w:val="multilevel"/>
    <w:tmpl w:val="E4788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3F3784"/>
    <w:multiLevelType w:val="multilevel"/>
    <w:tmpl w:val="1FBA6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9053BB"/>
    <w:multiLevelType w:val="multilevel"/>
    <w:tmpl w:val="C3C031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735377">
    <w:abstractNumId w:val="3"/>
  </w:num>
  <w:num w:numId="2" w16cid:durableId="1366171544">
    <w:abstractNumId w:val="4"/>
  </w:num>
  <w:num w:numId="3" w16cid:durableId="1532569118">
    <w:abstractNumId w:val="0"/>
  </w:num>
  <w:num w:numId="4" w16cid:durableId="1757551089">
    <w:abstractNumId w:val="1"/>
  </w:num>
  <w:num w:numId="5" w16cid:durableId="649287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9A3BC7"/>
    <w:rsid w:val="0003175A"/>
    <w:rsid w:val="00035141"/>
    <w:rsid w:val="00066878"/>
    <w:rsid w:val="00083242"/>
    <w:rsid w:val="000E4A69"/>
    <w:rsid w:val="00105442"/>
    <w:rsid w:val="00120FDA"/>
    <w:rsid w:val="00171341"/>
    <w:rsid w:val="001A07AB"/>
    <w:rsid w:val="001A15F9"/>
    <w:rsid w:val="002C6DC4"/>
    <w:rsid w:val="003228F9"/>
    <w:rsid w:val="0037038D"/>
    <w:rsid w:val="00390992"/>
    <w:rsid w:val="00414106"/>
    <w:rsid w:val="00431C80"/>
    <w:rsid w:val="00465532"/>
    <w:rsid w:val="004B51FB"/>
    <w:rsid w:val="00643E9D"/>
    <w:rsid w:val="006647CB"/>
    <w:rsid w:val="006E7F24"/>
    <w:rsid w:val="006F29DD"/>
    <w:rsid w:val="0080701A"/>
    <w:rsid w:val="00842DE4"/>
    <w:rsid w:val="00845EB6"/>
    <w:rsid w:val="008775DE"/>
    <w:rsid w:val="008A031E"/>
    <w:rsid w:val="008E402D"/>
    <w:rsid w:val="00905870"/>
    <w:rsid w:val="00942623"/>
    <w:rsid w:val="009900F0"/>
    <w:rsid w:val="009C452E"/>
    <w:rsid w:val="009D581B"/>
    <w:rsid w:val="009F1F58"/>
    <w:rsid w:val="00A43278"/>
    <w:rsid w:val="00AD5FF3"/>
    <w:rsid w:val="00AF7F36"/>
    <w:rsid w:val="00C32764"/>
    <w:rsid w:val="00C700E1"/>
    <w:rsid w:val="00C70E5A"/>
    <w:rsid w:val="00CA70D1"/>
    <w:rsid w:val="00D467F4"/>
    <w:rsid w:val="00D54110"/>
    <w:rsid w:val="00DB165A"/>
    <w:rsid w:val="00ED4812"/>
    <w:rsid w:val="00EE1462"/>
    <w:rsid w:val="00F31436"/>
    <w:rsid w:val="00F473C9"/>
    <w:rsid w:val="00F853FA"/>
    <w:rsid w:val="00F9574D"/>
    <w:rsid w:val="061812CC"/>
    <w:rsid w:val="078CEFA1"/>
    <w:rsid w:val="081ECDF0"/>
    <w:rsid w:val="08E42BA2"/>
    <w:rsid w:val="09C6CA5E"/>
    <w:rsid w:val="0B56BB16"/>
    <w:rsid w:val="0C9BD487"/>
    <w:rsid w:val="0EC3F275"/>
    <w:rsid w:val="0ED74530"/>
    <w:rsid w:val="0EF41169"/>
    <w:rsid w:val="117CC9A3"/>
    <w:rsid w:val="133455CB"/>
    <w:rsid w:val="165A47C6"/>
    <w:rsid w:val="1743727A"/>
    <w:rsid w:val="18E8DFE5"/>
    <w:rsid w:val="19D2704C"/>
    <w:rsid w:val="1B0C26AB"/>
    <w:rsid w:val="1D08922B"/>
    <w:rsid w:val="1EB4552F"/>
    <w:rsid w:val="2108C76A"/>
    <w:rsid w:val="27C92EE3"/>
    <w:rsid w:val="29DF13DD"/>
    <w:rsid w:val="2A54E8D7"/>
    <w:rsid w:val="2A79A5C8"/>
    <w:rsid w:val="2C2E51FF"/>
    <w:rsid w:val="2CA73013"/>
    <w:rsid w:val="2EF796EB"/>
    <w:rsid w:val="3396E4CA"/>
    <w:rsid w:val="3451F389"/>
    <w:rsid w:val="36D38603"/>
    <w:rsid w:val="37FBD9DC"/>
    <w:rsid w:val="39732F4D"/>
    <w:rsid w:val="3E607B00"/>
    <w:rsid w:val="3F7B16D6"/>
    <w:rsid w:val="41BCC71E"/>
    <w:rsid w:val="43F247CD"/>
    <w:rsid w:val="46B580BF"/>
    <w:rsid w:val="4A425F47"/>
    <w:rsid w:val="4A4D07B0"/>
    <w:rsid w:val="511B7DCD"/>
    <w:rsid w:val="522F1E27"/>
    <w:rsid w:val="5468E38B"/>
    <w:rsid w:val="5745C146"/>
    <w:rsid w:val="57D505EB"/>
    <w:rsid w:val="5A2756C6"/>
    <w:rsid w:val="5FFADE68"/>
    <w:rsid w:val="60041BA3"/>
    <w:rsid w:val="6111B1EE"/>
    <w:rsid w:val="629A3BC7"/>
    <w:rsid w:val="646F292E"/>
    <w:rsid w:val="6594107A"/>
    <w:rsid w:val="693501FC"/>
    <w:rsid w:val="6C232027"/>
    <w:rsid w:val="6FA781CB"/>
    <w:rsid w:val="716C5F4E"/>
    <w:rsid w:val="73E6AFA8"/>
    <w:rsid w:val="74F1FEEE"/>
    <w:rsid w:val="77004C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DAE3E"/>
  <w15:docId w15:val="{8AEC217A-D2BA-481B-AD90-7AAD2468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083242"/>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083242"/>
    <w:pPr>
      <w:spacing w:after="0" w:line="240" w:lineRule="auto"/>
      <w:contextualSpacing/>
    </w:pPr>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105442"/>
    <w:rPr>
      <w:b/>
      <w:bCs/>
    </w:rPr>
  </w:style>
  <w:style w:type="paragraph" w:styleId="Quote">
    <w:name w:val="Quote"/>
    <w:basedOn w:val="Normal"/>
    <w:next w:val="Normal"/>
    <w:link w:val="QuoteChar"/>
    <w:uiPriority w:val="29"/>
    <w:qFormat/>
    <w:rsid w:val="0037038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7038D"/>
    <w:rPr>
      <w:i/>
      <w:iCs/>
      <w:color w:val="404040" w:themeColor="text1" w:themeTint="BF"/>
    </w:rPr>
  </w:style>
  <w:style w:type="character" w:customStyle="1" w:styleId="Mention1">
    <w:name w:val="Mention1"/>
    <w:basedOn w:val="DefaultParagraphFont"/>
    <w:uiPriority w:val="99"/>
    <w:unhideWhenUsed/>
    <w:rsid w:val="00083242"/>
    <w:rPr>
      <w:color w:val="2B579A"/>
      <w:shd w:val="clear" w:color="auto" w:fill="E6E6E6"/>
    </w:rPr>
  </w:style>
  <w:style w:type="paragraph" w:styleId="CommentText">
    <w:name w:val="annotation text"/>
    <w:basedOn w:val="Normal"/>
    <w:link w:val="CommentTextChar"/>
    <w:uiPriority w:val="99"/>
    <w:semiHidden/>
    <w:unhideWhenUsed/>
    <w:rsid w:val="00083242"/>
    <w:pPr>
      <w:spacing w:line="240" w:lineRule="auto"/>
    </w:pPr>
    <w:rPr>
      <w:sz w:val="20"/>
      <w:szCs w:val="20"/>
    </w:rPr>
  </w:style>
  <w:style w:type="character" w:customStyle="1" w:styleId="CommentTextChar">
    <w:name w:val="Comment Text Char"/>
    <w:basedOn w:val="DefaultParagraphFont"/>
    <w:link w:val="CommentText"/>
    <w:uiPriority w:val="99"/>
    <w:semiHidden/>
    <w:rsid w:val="00083242"/>
    <w:rPr>
      <w:sz w:val="20"/>
      <w:szCs w:val="20"/>
    </w:rPr>
  </w:style>
  <w:style w:type="character" w:styleId="CommentReference">
    <w:name w:val="annotation reference"/>
    <w:basedOn w:val="DefaultParagraphFont"/>
    <w:uiPriority w:val="99"/>
    <w:semiHidden/>
    <w:unhideWhenUsed/>
    <w:rsid w:val="00083242"/>
    <w:rPr>
      <w:sz w:val="16"/>
      <w:szCs w:val="16"/>
    </w:rPr>
  </w:style>
  <w:style w:type="character" w:styleId="Hyperlink">
    <w:name w:val="Hyperlink"/>
    <w:basedOn w:val="DefaultParagraphFont"/>
    <w:uiPriority w:val="99"/>
    <w:unhideWhenUsed/>
    <w:rsid w:val="00F853FA"/>
    <w:rPr>
      <w:color w:val="0563C1" w:themeColor="hyperlink"/>
      <w:u w:val="single"/>
    </w:rPr>
  </w:style>
  <w:style w:type="paragraph" w:styleId="BalloonText">
    <w:name w:val="Balloon Text"/>
    <w:basedOn w:val="Normal"/>
    <w:link w:val="BalloonTextChar"/>
    <w:uiPriority w:val="99"/>
    <w:semiHidden/>
    <w:unhideWhenUsed/>
    <w:rsid w:val="00942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623"/>
    <w:rPr>
      <w:rFonts w:ascii="Tahoma" w:hAnsi="Tahoma" w:cs="Tahoma"/>
      <w:sz w:val="16"/>
      <w:szCs w:val="16"/>
    </w:rPr>
  </w:style>
  <w:style w:type="paragraph" w:styleId="Header">
    <w:name w:val="header"/>
    <w:basedOn w:val="Normal"/>
    <w:link w:val="HeaderChar"/>
    <w:uiPriority w:val="99"/>
    <w:unhideWhenUsed/>
    <w:rsid w:val="001A1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5F9"/>
  </w:style>
  <w:style w:type="paragraph" w:styleId="Footer">
    <w:name w:val="footer"/>
    <w:basedOn w:val="Normal"/>
    <w:link w:val="FooterChar"/>
    <w:uiPriority w:val="99"/>
    <w:unhideWhenUsed/>
    <w:rsid w:val="001A1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961">
      <w:bodyDiv w:val="1"/>
      <w:marLeft w:val="0"/>
      <w:marRight w:val="0"/>
      <w:marTop w:val="0"/>
      <w:marBottom w:val="0"/>
      <w:divBdr>
        <w:top w:val="none" w:sz="0" w:space="0" w:color="auto"/>
        <w:left w:val="none" w:sz="0" w:space="0" w:color="auto"/>
        <w:bottom w:val="none" w:sz="0" w:space="0" w:color="auto"/>
        <w:right w:val="none" w:sz="0" w:space="0" w:color="auto"/>
      </w:divBdr>
    </w:div>
    <w:div w:id="13420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8" ma:contentTypeDescription="Create a new document." ma:contentTypeScope="" ma:versionID="c3e036dcd5f937416962895f43033063">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2f6dbcf1707347d0b04ba8aed786a688"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SubmittedtoDatabase_x003f_" minOccurs="0"/>
                <xsd:element ref="ns2:SubmittedtoDatabas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SubmittedtoDatabase_x003f_" ma:index="18" nillable="true" ma:displayName="Submitted to Database?" ma:default="1" ma:format="Dropdown" ma:internalName="SubmittedtoDatabase_x003f_">
      <xsd:simpleType>
        <xsd:restriction base="dms:Boolean"/>
      </xsd:simpleType>
    </xsd:element>
    <xsd:element name="SubmittedtoDatabase" ma:index="19" nillable="true" ma:displayName="Submitted to Database" ma:default="1" ma:format="Dropdown" ma:internalName="SubmittedtoDatabase">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66e2b1-b30a-41cb-92b2-3bf633a55bf1}"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dtoDatabase_x003f_ xmlns="79499340-b9cf-4458-9368-33036c1b4dc9">true</SubmittedtoDatabase_x003f_>
    <SubmittedtoDatabase xmlns="79499340-b9cf-4458-9368-33036c1b4dc9">true</SubmittedtoDatabase>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Props1.xml><?xml version="1.0" encoding="utf-8"?>
<ds:datastoreItem xmlns:ds="http://schemas.openxmlformats.org/officeDocument/2006/customXml" ds:itemID="{97E89542-B557-483B-80B3-6776357B0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0190C-82CF-4578-90C3-D582187A1566}">
  <ds:schemaRefs>
    <ds:schemaRef ds:uri="http://schemas.microsoft.com/sharepoint/v3/contenttype/forms"/>
  </ds:schemaRefs>
</ds:datastoreItem>
</file>

<file path=customXml/itemProps3.xml><?xml version="1.0" encoding="utf-8"?>
<ds:datastoreItem xmlns:ds="http://schemas.openxmlformats.org/officeDocument/2006/customXml" ds:itemID="{34CB0326-E1AE-4B5D-896F-195BCF2D9753}">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2221</Characters>
  <Application>Microsoft Office Word</Application>
  <DocSecurity>0</DocSecurity>
  <Lines>38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Huckabee, Jerrylyn (ENE)</dc:creator>
  <cp:lastModifiedBy>Alla Pe</cp:lastModifiedBy>
  <cp:revision>6</cp:revision>
  <dcterms:created xsi:type="dcterms:W3CDTF">2025-03-31T01:25:00Z</dcterms:created>
  <dcterms:modified xsi:type="dcterms:W3CDTF">2025-03-31T01:28:00Z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