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35DB" w14:textId="77777777" w:rsidR="002315DF" w:rsidRPr="002315DF" w:rsidRDefault="002315DF" w:rsidP="002315DF">
      <w:pPr>
        <w:spacing w:before="74" w:line="253" w:lineRule="exact"/>
        <w:ind w:left="1044" w:right="1029"/>
        <w:jc w:val="center"/>
        <w:rPr>
          <w:b/>
          <w:lang w:val="es-ES_tradnl"/>
        </w:rPr>
      </w:pPr>
      <w:r w:rsidRPr="002315DF">
        <w:rPr>
          <w:b/>
          <w:lang w:val="es-ES_tradnl"/>
        </w:rPr>
        <w:t xml:space="preserve">Commonwealth </w:t>
      </w:r>
      <w:proofErr w:type="spellStart"/>
      <w:r w:rsidRPr="002315DF">
        <w:rPr>
          <w:b/>
          <w:lang w:val="es-ES_tradnl"/>
        </w:rPr>
        <w:t>of</w:t>
      </w:r>
      <w:proofErr w:type="spellEnd"/>
      <w:r w:rsidRPr="002315DF">
        <w:rPr>
          <w:b/>
          <w:lang w:val="es-ES_tradnl"/>
        </w:rPr>
        <w:t xml:space="preserve"> Massachusetts</w:t>
      </w:r>
    </w:p>
    <w:p w14:paraId="135604C1" w14:textId="77777777" w:rsidR="002315DF" w:rsidRPr="002315DF" w:rsidRDefault="002315DF" w:rsidP="002315DF">
      <w:pPr>
        <w:spacing w:before="74" w:line="253" w:lineRule="exact"/>
        <w:ind w:left="1044" w:right="1029"/>
        <w:jc w:val="center"/>
        <w:rPr>
          <w:b/>
          <w:lang w:val="es-ES_tradnl"/>
        </w:rPr>
      </w:pPr>
      <w:r w:rsidRPr="002315DF">
        <w:rPr>
          <w:b/>
          <w:lang w:val="es-ES_tradnl"/>
        </w:rPr>
        <w:t xml:space="preserve">Executive Office </w:t>
      </w:r>
      <w:proofErr w:type="spellStart"/>
      <w:r w:rsidRPr="002315DF">
        <w:rPr>
          <w:b/>
          <w:lang w:val="es-ES_tradnl"/>
        </w:rPr>
        <w:t>of</w:t>
      </w:r>
      <w:proofErr w:type="spellEnd"/>
      <w:r w:rsidRPr="002315DF">
        <w:rPr>
          <w:b/>
          <w:lang w:val="es-ES_tradnl"/>
        </w:rPr>
        <w:t xml:space="preserve"> Energy and </w:t>
      </w:r>
      <w:proofErr w:type="spellStart"/>
      <w:r w:rsidRPr="002315DF">
        <w:rPr>
          <w:b/>
          <w:lang w:val="es-ES_tradnl"/>
        </w:rPr>
        <w:t>Environmental</w:t>
      </w:r>
      <w:proofErr w:type="spellEnd"/>
      <w:r w:rsidRPr="002315DF">
        <w:rPr>
          <w:b/>
          <w:lang w:val="es-ES_tradnl"/>
        </w:rPr>
        <w:t xml:space="preserve"> </w:t>
      </w:r>
      <w:proofErr w:type="spellStart"/>
      <w:r w:rsidRPr="002315DF">
        <w:rPr>
          <w:b/>
          <w:lang w:val="es-ES_tradnl"/>
        </w:rPr>
        <w:t>Affairs</w:t>
      </w:r>
      <w:proofErr w:type="spellEnd"/>
    </w:p>
    <w:p w14:paraId="35F0124A" w14:textId="66010CB2" w:rsidR="002315DF" w:rsidRDefault="002315DF" w:rsidP="002315DF">
      <w:pPr>
        <w:spacing w:before="74" w:line="253" w:lineRule="exact"/>
        <w:ind w:left="1044" w:right="1029"/>
        <w:jc w:val="center"/>
        <w:rPr>
          <w:b/>
          <w:lang w:val="es-ES_tradnl"/>
        </w:rPr>
      </w:pPr>
      <w:r w:rsidRPr="002315DF">
        <w:rPr>
          <w:b/>
          <w:lang w:val="es-ES_tradnl"/>
        </w:rPr>
        <w:t>DEPARTMENT OF ENERGY RESOURCES</w:t>
      </w:r>
    </w:p>
    <w:p w14:paraId="47896334" w14:textId="3C6CD339" w:rsidR="00B346BD" w:rsidRPr="004D5E2B" w:rsidRDefault="00B346BD" w:rsidP="00B346BD">
      <w:pPr>
        <w:spacing w:before="74" w:line="253" w:lineRule="exact"/>
        <w:ind w:left="1044" w:right="1029"/>
        <w:jc w:val="center"/>
        <w:rPr>
          <w:b/>
          <w:lang w:val="es-ES_tradnl"/>
        </w:rPr>
      </w:pPr>
      <w:r w:rsidRPr="004D5E2B">
        <w:rPr>
          <w:b/>
          <w:lang w:val="es-ES_tradnl"/>
        </w:rPr>
        <w:t>Mancomunidad de Massachusetts</w:t>
      </w:r>
    </w:p>
    <w:p w14:paraId="47896335" w14:textId="77777777" w:rsidR="00B346BD" w:rsidRPr="004D5E2B" w:rsidRDefault="00B346BD" w:rsidP="00B346BD">
      <w:pPr>
        <w:spacing w:before="74" w:line="253" w:lineRule="exact"/>
        <w:ind w:left="1044" w:right="1029"/>
        <w:jc w:val="center"/>
        <w:rPr>
          <w:b/>
          <w:lang w:val="es-ES_tradnl"/>
        </w:rPr>
      </w:pPr>
      <w:r w:rsidRPr="004D5E2B">
        <w:rPr>
          <w:b/>
          <w:lang w:val="es-ES_tradnl"/>
        </w:rPr>
        <w:t>Oficina Ejecutiva de Energía y Asuntos Ambientales</w:t>
      </w:r>
    </w:p>
    <w:p w14:paraId="47896336" w14:textId="77777777" w:rsidR="00D85E99" w:rsidRPr="004D5E2B" w:rsidRDefault="00B346BD" w:rsidP="00B346BD">
      <w:pPr>
        <w:spacing w:before="74" w:line="253" w:lineRule="exact"/>
        <w:ind w:left="1044" w:right="1029"/>
        <w:jc w:val="center"/>
        <w:rPr>
          <w:b/>
          <w:lang w:val="es-ES_tradnl"/>
        </w:rPr>
      </w:pPr>
      <w:r w:rsidRPr="004D5E2B">
        <w:rPr>
          <w:b/>
          <w:lang w:val="es-ES_tradnl"/>
        </w:rPr>
        <w:t>DEPARTAMENTO DE RECURSOS ENERGÉTICOS</w:t>
      </w:r>
    </w:p>
    <w:p w14:paraId="47896337" w14:textId="77777777" w:rsidR="00D85E99" w:rsidRPr="004D5E2B" w:rsidRDefault="00D85E99">
      <w:pPr>
        <w:pStyle w:val="BodyText"/>
        <w:spacing w:before="2"/>
        <w:rPr>
          <w:b/>
          <w:sz w:val="22"/>
          <w:lang w:val="es-ES_tradnl"/>
        </w:rPr>
      </w:pPr>
    </w:p>
    <w:p w14:paraId="47896338" w14:textId="77777777" w:rsidR="00D85E99" w:rsidRPr="004D5E2B" w:rsidRDefault="00B346BD" w:rsidP="00B346BD">
      <w:pPr>
        <w:pStyle w:val="Title"/>
        <w:rPr>
          <w:lang w:val="es-ES_tradnl"/>
        </w:rPr>
      </w:pPr>
      <w:r w:rsidRPr="004D5E2B">
        <w:rPr>
          <w:lang w:val="es-ES_tradnl"/>
        </w:rPr>
        <w:t>PROGRAMA DE INFORMES DE ENERGÍA PARA EDIFICIOS GRANDES (225 CMR 27.00)</w:t>
      </w:r>
    </w:p>
    <w:p w14:paraId="47896339" w14:textId="77777777" w:rsidR="00D85E99" w:rsidRPr="004D5E2B" w:rsidRDefault="005D023E">
      <w:pPr>
        <w:pStyle w:val="Title"/>
        <w:spacing w:before="254"/>
        <w:ind w:left="1050"/>
        <w:rPr>
          <w:lang w:val="es-ES_tradnl"/>
        </w:rPr>
      </w:pPr>
      <w:r w:rsidRPr="004D5E2B">
        <w:rPr>
          <w:spacing w:val="-2"/>
          <w:lang w:val="es-ES_tradnl"/>
        </w:rPr>
        <w:t>PAUTAS</w:t>
      </w:r>
    </w:p>
    <w:p w14:paraId="4789633A" w14:textId="77777777" w:rsidR="00D85E99" w:rsidRPr="004D5E2B" w:rsidRDefault="00D85E99">
      <w:pPr>
        <w:pStyle w:val="BodyText"/>
        <w:spacing w:before="18"/>
        <w:rPr>
          <w:b/>
          <w:sz w:val="28"/>
          <w:lang w:val="es-ES_tradnl"/>
        </w:rPr>
      </w:pPr>
    </w:p>
    <w:p w14:paraId="4789633B" w14:textId="77777777" w:rsidR="00D85E99" w:rsidRPr="004D5E2B" w:rsidRDefault="005D023E" w:rsidP="1CBEAB8A">
      <w:pPr>
        <w:ind w:left="1042" w:right="1031"/>
        <w:jc w:val="center"/>
        <w:rPr>
          <w:b/>
          <w:bCs/>
          <w:sz w:val="26"/>
          <w:szCs w:val="26"/>
          <w:lang w:val="es-ES_tradnl"/>
        </w:rPr>
      </w:pPr>
      <w:r w:rsidRPr="004D5E2B">
        <w:rPr>
          <w:b/>
          <w:bCs/>
          <w:sz w:val="26"/>
          <w:szCs w:val="26"/>
          <w:u w:val="single"/>
          <w:lang w:val="es-ES_tradnl"/>
        </w:rPr>
        <w:t xml:space="preserve">BORRADOR de las pautas sobre </w:t>
      </w:r>
      <w:r w:rsidR="004D5E2B" w:rsidRPr="004D5E2B">
        <w:rPr>
          <w:b/>
          <w:bCs/>
          <w:sz w:val="26"/>
          <w:szCs w:val="26"/>
          <w:u w:val="single"/>
          <w:lang w:val="es-ES_tradnl"/>
        </w:rPr>
        <w:t>el Área B</w:t>
      </w:r>
      <w:r w:rsidRPr="004D5E2B">
        <w:rPr>
          <w:b/>
          <w:bCs/>
          <w:sz w:val="26"/>
          <w:szCs w:val="26"/>
          <w:u w:val="single"/>
          <w:lang w:val="es-ES_tradnl"/>
        </w:rPr>
        <w:t xml:space="preserve">ruta </w:t>
      </w:r>
      <w:r w:rsidR="004D5E2B" w:rsidRPr="004D5E2B">
        <w:rPr>
          <w:b/>
          <w:bCs/>
          <w:sz w:val="26"/>
          <w:szCs w:val="26"/>
          <w:u w:val="single"/>
          <w:lang w:val="es-ES_tradnl"/>
        </w:rPr>
        <w:t xml:space="preserve">de Piso </w:t>
      </w:r>
      <w:r w:rsidRPr="004D5E2B">
        <w:rPr>
          <w:b/>
          <w:bCs/>
          <w:sz w:val="26"/>
          <w:szCs w:val="26"/>
          <w:u w:val="single"/>
          <w:lang w:val="es-ES_tradnl"/>
        </w:rPr>
        <w:t>(GFA)</w:t>
      </w:r>
    </w:p>
    <w:p w14:paraId="4789633C" w14:textId="77777777" w:rsidR="00D85E99" w:rsidRPr="004D5E2B" w:rsidRDefault="005D023E" w:rsidP="1CBEAB8A">
      <w:pPr>
        <w:spacing w:before="250"/>
        <w:ind w:left="1220" w:right="1029"/>
        <w:jc w:val="center"/>
        <w:rPr>
          <w:b/>
          <w:bCs/>
          <w:sz w:val="24"/>
          <w:szCs w:val="24"/>
          <w:lang w:val="es-ES_tradnl"/>
        </w:rPr>
      </w:pPr>
      <w:r w:rsidRPr="004D5E2B">
        <w:rPr>
          <w:b/>
          <w:bCs/>
          <w:sz w:val="24"/>
          <w:szCs w:val="24"/>
          <w:lang w:val="es-ES_tradnl"/>
        </w:rPr>
        <w:t>Borrador publicado para comentarios públicos: 31 de marzo de 2025</w:t>
      </w:r>
    </w:p>
    <w:p w14:paraId="4789633D" w14:textId="77777777" w:rsidR="00D85E99" w:rsidRPr="004D5E2B" w:rsidDel="00957E93" w:rsidRDefault="00D85E99" w:rsidP="02CDBA2B">
      <w:pPr>
        <w:pStyle w:val="BodyText"/>
        <w:ind w:left="1223" w:right="1029"/>
        <w:jc w:val="center"/>
        <w:rPr>
          <w:b/>
          <w:bCs/>
          <w:lang w:val="es-ES_tradnl"/>
        </w:rPr>
      </w:pPr>
    </w:p>
    <w:p w14:paraId="4789633E" w14:textId="77777777" w:rsidR="00D85E99" w:rsidRPr="004D5E2B" w:rsidRDefault="00966B6E" w:rsidP="00E55467">
      <w:pPr>
        <w:pStyle w:val="Heading2"/>
        <w:rPr>
          <w:lang w:val="es-ES_tradnl"/>
        </w:rPr>
      </w:pPr>
      <w:r w:rsidRPr="004D5E2B">
        <w:rPr>
          <w:lang w:val="es-ES_tradnl"/>
        </w:rPr>
        <w:t>Propósito</w:t>
      </w:r>
    </w:p>
    <w:p w14:paraId="4789633F" w14:textId="77777777" w:rsidR="00D85E99" w:rsidRPr="004D5E2B" w:rsidRDefault="00D85E99">
      <w:pPr>
        <w:pStyle w:val="BodyText"/>
        <w:rPr>
          <w:lang w:val="es-ES_tradnl"/>
        </w:rPr>
      </w:pPr>
    </w:p>
    <w:p w14:paraId="47896340" w14:textId="77777777" w:rsidR="00D85E99" w:rsidRPr="004D5E2B" w:rsidRDefault="009106CD" w:rsidP="007C2991">
      <w:pPr>
        <w:pStyle w:val="BodyText"/>
        <w:ind w:left="463" w:right="165"/>
        <w:rPr>
          <w:lang w:val="es-ES_tradnl"/>
        </w:rPr>
      </w:pPr>
      <w:r w:rsidRPr="004D5E2B">
        <w:rPr>
          <w:lang w:val="es-ES_tradnl"/>
        </w:rPr>
        <w:t>Esta g</w:t>
      </w:r>
      <w:r w:rsidR="00D7679E" w:rsidRPr="004D5E2B">
        <w:rPr>
          <w:lang w:val="es-ES_tradnl"/>
        </w:rPr>
        <w:t>uía proporciona a las partes interesadas en los Informes de Energía de Edificios Grandes (LBER</w:t>
      </w:r>
      <w:r w:rsidRPr="004D5E2B">
        <w:rPr>
          <w:lang w:val="es-ES_tradnl"/>
        </w:rPr>
        <w:t xml:space="preserve"> por sus siglas en inglés</w:t>
      </w:r>
      <w:r w:rsidR="00D7679E" w:rsidRPr="004D5E2B">
        <w:rPr>
          <w:lang w:val="es-ES_tradnl"/>
        </w:rPr>
        <w:t>) orientación sobre cómo el Departamento de Recursos Energéticos de Massachusetts (DOER</w:t>
      </w:r>
      <w:r w:rsidRPr="004D5E2B">
        <w:rPr>
          <w:lang w:val="es-ES_tradnl"/>
        </w:rPr>
        <w:t xml:space="preserve"> por sus siglas en inglés</w:t>
      </w:r>
      <w:r w:rsidR="00D7679E" w:rsidRPr="004D5E2B">
        <w:rPr>
          <w:lang w:val="es-ES_tradnl"/>
        </w:rPr>
        <w:t>) definirá y calculará el Área Bruta de Piso (GFA</w:t>
      </w:r>
      <w:r w:rsidRPr="004D5E2B">
        <w:rPr>
          <w:lang w:val="es-ES_tradnl"/>
        </w:rPr>
        <w:t xml:space="preserve"> por sus siglas en inglés</w:t>
      </w:r>
      <w:r w:rsidR="00D7679E" w:rsidRPr="004D5E2B">
        <w:rPr>
          <w:lang w:val="es-ES_tradnl"/>
        </w:rPr>
        <w:t xml:space="preserve">) a los efectos de 225 CMR 27.00. Todos los términos </w:t>
      </w:r>
      <w:r w:rsidRPr="004D5E2B">
        <w:rPr>
          <w:lang w:val="es-ES_tradnl"/>
        </w:rPr>
        <w:t>en mayúscula en esta g</w:t>
      </w:r>
      <w:r w:rsidR="00D7679E" w:rsidRPr="004D5E2B">
        <w:rPr>
          <w:lang w:val="es-ES_tradnl"/>
        </w:rPr>
        <w:t>uía son nombres propios o están definidos en 225 CMR 27.02.</w:t>
      </w:r>
    </w:p>
    <w:p w14:paraId="47896341" w14:textId="77777777" w:rsidR="0035104D" w:rsidRPr="004D5E2B" w:rsidRDefault="0035104D" w:rsidP="007C2991">
      <w:pPr>
        <w:pStyle w:val="BodyText"/>
        <w:ind w:left="463" w:right="165"/>
        <w:rPr>
          <w:lang w:val="es-ES_tradnl"/>
        </w:rPr>
      </w:pPr>
    </w:p>
    <w:p w14:paraId="47896342" w14:textId="77777777" w:rsidR="0035104D" w:rsidRPr="004D5E2B" w:rsidRDefault="0035104D" w:rsidP="0035104D">
      <w:pPr>
        <w:pStyle w:val="Heading2"/>
        <w:rPr>
          <w:lang w:val="es-ES_tradnl"/>
        </w:rPr>
      </w:pPr>
      <w:r w:rsidRPr="004D5E2B">
        <w:rPr>
          <w:lang w:val="es-ES_tradnl"/>
        </w:rPr>
        <w:t>G</w:t>
      </w:r>
      <w:r w:rsidR="009106CD" w:rsidRPr="004D5E2B">
        <w:rPr>
          <w:lang w:val="es-ES_tradnl"/>
        </w:rPr>
        <w:t>FA bajo</w:t>
      </w:r>
      <w:r w:rsidR="0047544E" w:rsidRPr="004D5E2B">
        <w:rPr>
          <w:lang w:val="es-ES_tradnl"/>
        </w:rPr>
        <w:t xml:space="preserve"> LBER </w:t>
      </w:r>
    </w:p>
    <w:p w14:paraId="47896343" w14:textId="77777777" w:rsidR="0035104D" w:rsidRPr="004D5E2B" w:rsidRDefault="0035104D" w:rsidP="007C2991">
      <w:pPr>
        <w:pStyle w:val="BodyText"/>
        <w:ind w:left="463" w:right="165"/>
        <w:rPr>
          <w:lang w:val="es-ES_tradnl"/>
        </w:rPr>
      </w:pPr>
    </w:p>
    <w:p w14:paraId="47896344" w14:textId="77777777" w:rsidR="009106CD" w:rsidRPr="004D5E2B" w:rsidRDefault="009106CD" w:rsidP="009106CD">
      <w:pPr>
        <w:ind w:left="360"/>
        <w:rPr>
          <w:sz w:val="24"/>
          <w:szCs w:val="24"/>
          <w:lang w:val="es-ES_tradnl"/>
        </w:rPr>
      </w:pPr>
      <w:proofErr w:type="spellStart"/>
      <w:r w:rsidRPr="004D5E2B">
        <w:rPr>
          <w:sz w:val="24"/>
          <w:szCs w:val="24"/>
          <w:lang w:val="es-ES_tradnl"/>
        </w:rPr>
        <w:t>G.L.c</w:t>
      </w:r>
      <w:proofErr w:type="spellEnd"/>
      <w:r w:rsidRPr="004D5E2B">
        <w:rPr>
          <w:sz w:val="24"/>
          <w:szCs w:val="24"/>
          <w:lang w:val="es-ES_tradnl"/>
        </w:rPr>
        <w:t xml:space="preserve">. 25A, </w:t>
      </w:r>
      <w:r w:rsidRPr="004E5F14">
        <w:rPr>
          <w:sz w:val="24"/>
          <w:szCs w:val="24"/>
          <w:lang w:val="es-ES_tradnl"/>
        </w:rPr>
        <w:t>§</w:t>
      </w:r>
      <w:r w:rsidRPr="004D5E2B">
        <w:rPr>
          <w:sz w:val="24"/>
          <w:szCs w:val="24"/>
          <w:lang w:val="es-ES_tradnl"/>
        </w:rPr>
        <w:t xml:space="preserve"> 20 CMR 27.00 exigen la declaración de la información sobre el consumo de energía para los edificios en la</w:t>
      </w:r>
      <w:r w:rsidR="009D1D1C" w:rsidRPr="004D5E2B">
        <w:rPr>
          <w:sz w:val="24"/>
          <w:szCs w:val="24"/>
          <w:lang w:val="es-ES_tradnl"/>
        </w:rPr>
        <w:t xml:space="preserve"> Mancomunidad con una área</w:t>
      </w:r>
      <w:r w:rsidRPr="004D5E2B">
        <w:rPr>
          <w:sz w:val="24"/>
          <w:szCs w:val="24"/>
          <w:lang w:val="es-ES_tradnl"/>
        </w:rPr>
        <w:t xml:space="preserve"> bruta </w:t>
      </w:r>
      <w:r w:rsidR="009D1D1C" w:rsidRPr="004D5E2B">
        <w:rPr>
          <w:sz w:val="24"/>
          <w:szCs w:val="24"/>
          <w:lang w:val="es-ES_tradnl"/>
        </w:rPr>
        <w:t>de piso</w:t>
      </w:r>
      <w:r w:rsidRPr="004D5E2B">
        <w:rPr>
          <w:sz w:val="24"/>
          <w:szCs w:val="24"/>
          <w:lang w:val="es-ES_tradnl"/>
        </w:rPr>
        <w:t xml:space="preserve"> igual o superior a 20.000 pies cuadrados (18.</w:t>
      </w:r>
      <w:r w:rsidR="009D1D1C" w:rsidRPr="004D5E2B">
        <w:rPr>
          <w:sz w:val="24"/>
          <w:szCs w:val="24"/>
          <w:lang w:val="es-ES_tradnl"/>
        </w:rPr>
        <w:t>000 m²). El área</w:t>
      </w:r>
      <w:r w:rsidRPr="004D5E2B">
        <w:rPr>
          <w:sz w:val="24"/>
          <w:szCs w:val="24"/>
          <w:lang w:val="es-ES_tradnl"/>
        </w:rPr>
        <w:t xml:space="preserve"> </w:t>
      </w:r>
      <w:r w:rsidR="009D1D1C" w:rsidRPr="004D5E2B">
        <w:rPr>
          <w:sz w:val="24"/>
          <w:szCs w:val="24"/>
          <w:lang w:val="es-ES_tradnl"/>
        </w:rPr>
        <w:t>bruta de piso</w:t>
      </w:r>
      <w:r w:rsidRPr="004D5E2B">
        <w:rPr>
          <w:sz w:val="24"/>
          <w:szCs w:val="24"/>
          <w:lang w:val="es-ES_tradnl"/>
        </w:rPr>
        <w:t xml:space="preserve"> se define </w:t>
      </w:r>
      <w:r w:rsidR="001857A0" w:rsidRPr="004D5E2B">
        <w:rPr>
          <w:sz w:val="24"/>
          <w:szCs w:val="24"/>
          <w:lang w:val="es-ES_tradnl"/>
        </w:rPr>
        <w:t xml:space="preserve">en 225 CMR 27.02 </w:t>
      </w:r>
      <w:r w:rsidRPr="004D5E2B">
        <w:rPr>
          <w:sz w:val="24"/>
          <w:szCs w:val="24"/>
          <w:lang w:val="es-ES_tradnl"/>
        </w:rPr>
        <w:t>de la siguiente manera:</w:t>
      </w:r>
    </w:p>
    <w:p w14:paraId="47896345" w14:textId="77777777" w:rsidR="009106CD" w:rsidRPr="004D5E2B" w:rsidRDefault="009106CD" w:rsidP="009106CD">
      <w:pPr>
        <w:ind w:left="360"/>
        <w:rPr>
          <w:sz w:val="24"/>
          <w:szCs w:val="24"/>
          <w:lang w:val="es-ES_tradnl"/>
        </w:rPr>
      </w:pPr>
    </w:p>
    <w:p w14:paraId="47896346" w14:textId="77777777" w:rsidR="009106CD" w:rsidRPr="004D5E2B" w:rsidRDefault="009D1D1C" w:rsidP="009106CD">
      <w:pPr>
        <w:ind w:left="360"/>
        <w:rPr>
          <w:sz w:val="24"/>
          <w:szCs w:val="24"/>
          <w:lang w:val="es-ES_tradnl"/>
        </w:rPr>
      </w:pPr>
      <w:r w:rsidRPr="004D5E2B">
        <w:rPr>
          <w:sz w:val="24"/>
          <w:szCs w:val="24"/>
          <w:u w:val="single"/>
          <w:lang w:val="es-ES_tradnl"/>
        </w:rPr>
        <w:t>Área</w:t>
      </w:r>
      <w:r w:rsidR="009106CD" w:rsidRPr="004D5E2B">
        <w:rPr>
          <w:sz w:val="24"/>
          <w:szCs w:val="24"/>
          <w:u w:val="single"/>
          <w:lang w:val="es-ES_tradnl"/>
        </w:rPr>
        <w:t xml:space="preserve"> </w:t>
      </w:r>
      <w:r w:rsidR="002C170B" w:rsidRPr="004D5E2B">
        <w:rPr>
          <w:sz w:val="24"/>
          <w:szCs w:val="24"/>
          <w:u w:val="single"/>
          <w:lang w:val="es-ES_tradnl"/>
        </w:rPr>
        <w:t xml:space="preserve">bruta </w:t>
      </w:r>
      <w:r w:rsidRPr="004D5E2B">
        <w:rPr>
          <w:sz w:val="24"/>
          <w:szCs w:val="24"/>
          <w:u w:val="single"/>
          <w:lang w:val="es-ES_tradnl"/>
        </w:rPr>
        <w:t>de piso</w:t>
      </w:r>
      <w:r w:rsidR="009106CD" w:rsidRPr="004D5E2B">
        <w:rPr>
          <w:sz w:val="24"/>
          <w:szCs w:val="24"/>
          <w:lang w:val="es-ES_tradnl"/>
        </w:rPr>
        <w:t xml:space="preserve">. </w:t>
      </w:r>
      <w:r w:rsidRPr="004D5E2B">
        <w:rPr>
          <w:sz w:val="24"/>
          <w:szCs w:val="24"/>
          <w:lang w:val="es-ES_tradnl"/>
        </w:rPr>
        <w:t>El área</w:t>
      </w:r>
      <w:r w:rsidR="009106CD" w:rsidRPr="004D5E2B">
        <w:rPr>
          <w:sz w:val="24"/>
          <w:szCs w:val="24"/>
          <w:lang w:val="es-ES_tradnl"/>
        </w:rPr>
        <w:t xml:space="preserve"> total interna de</w:t>
      </w:r>
      <w:r w:rsidRPr="004D5E2B">
        <w:rPr>
          <w:sz w:val="24"/>
          <w:szCs w:val="24"/>
          <w:lang w:val="es-ES_tradnl"/>
        </w:rPr>
        <w:t xml:space="preserve"> piso de</w:t>
      </w:r>
      <w:r w:rsidR="009106CD" w:rsidRPr="004D5E2B">
        <w:rPr>
          <w:sz w:val="24"/>
          <w:szCs w:val="24"/>
          <w:lang w:val="es-ES_tradnl"/>
        </w:rPr>
        <w:t xml:space="preserve"> un edificio, medida hasta la cara exterior de las paredes.</w:t>
      </w:r>
    </w:p>
    <w:p w14:paraId="47896347" w14:textId="77777777" w:rsidR="00D85E99" w:rsidRPr="004D5E2B" w:rsidRDefault="00D85E99" w:rsidP="00E55467">
      <w:pPr>
        <w:pStyle w:val="Heading2"/>
        <w:rPr>
          <w:lang w:val="es-ES_tradnl"/>
        </w:rPr>
      </w:pPr>
    </w:p>
    <w:p w14:paraId="47896348" w14:textId="77777777" w:rsidR="005A0E4F" w:rsidRPr="004D5E2B" w:rsidRDefault="009D1D1C" w:rsidP="003B2501">
      <w:pPr>
        <w:pStyle w:val="Heading2"/>
        <w:rPr>
          <w:rFonts w:ascii="Times New Roman" w:hAnsi="Times New Roman" w:cs="Times New Roman"/>
          <w:sz w:val="24"/>
          <w:szCs w:val="24"/>
          <w:lang w:val="es-ES_tradnl"/>
        </w:rPr>
      </w:pPr>
      <w:r w:rsidRPr="004D5E2B">
        <w:rPr>
          <w:rFonts w:ascii="Times New Roman" w:hAnsi="Times New Roman" w:cs="Times New Roman"/>
          <w:sz w:val="24"/>
          <w:szCs w:val="24"/>
          <w:lang w:val="es-ES_tradnl"/>
        </w:rPr>
        <w:t>Área Bruta</w:t>
      </w:r>
      <w:r w:rsidR="000E5706" w:rsidRPr="004D5E2B">
        <w:rPr>
          <w:rFonts w:ascii="Times New Roman" w:hAnsi="Times New Roman" w:cs="Times New Roman"/>
          <w:sz w:val="24"/>
          <w:szCs w:val="24"/>
          <w:lang w:val="es-ES_tradnl"/>
        </w:rPr>
        <w:t xml:space="preserve"> </w:t>
      </w:r>
      <w:r w:rsidRPr="004D5E2B">
        <w:rPr>
          <w:rFonts w:ascii="Times New Roman" w:hAnsi="Times New Roman" w:cs="Times New Roman"/>
          <w:sz w:val="24"/>
          <w:szCs w:val="24"/>
          <w:lang w:val="es-ES_tradnl"/>
        </w:rPr>
        <w:t xml:space="preserve">de Piso </w:t>
      </w:r>
      <w:r w:rsidR="000E5706" w:rsidRPr="004D5E2B">
        <w:rPr>
          <w:rFonts w:ascii="Times New Roman" w:hAnsi="Times New Roman" w:cs="Times New Roman"/>
          <w:sz w:val="24"/>
          <w:szCs w:val="24"/>
          <w:lang w:val="es-ES_tradnl"/>
        </w:rPr>
        <w:t>Predeterminada</w:t>
      </w:r>
      <w:r w:rsidRPr="004D5E2B">
        <w:rPr>
          <w:rFonts w:ascii="Times New Roman" w:hAnsi="Times New Roman" w:cs="Times New Roman"/>
          <w:sz w:val="24"/>
          <w:szCs w:val="24"/>
          <w:lang w:val="es-ES_tradnl"/>
        </w:rPr>
        <w:t xml:space="preserve"> </w:t>
      </w:r>
    </w:p>
    <w:p w14:paraId="47896349" w14:textId="77777777" w:rsidR="00E55467" w:rsidRPr="004D5E2B" w:rsidRDefault="005A0E4F" w:rsidP="00E55467">
      <w:pPr>
        <w:ind w:left="360"/>
        <w:rPr>
          <w:sz w:val="24"/>
          <w:szCs w:val="24"/>
          <w:lang w:val="es-ES_tradnl"/>
        </w:rPr>
      </w:pPr>
      <w:r w:rsidRPr="004D5E2B">
        <w:rPr>
          <w:sz w:val="24"/>
          <w:szCs w:val="24"/>
          <w:lang w:val="es-ES_tradnl"/>
        </w:rPr>
        <w:tab/>
      </w:r>
    </w:p>
    <w:p w14:paraId="4789634A" w14:textId="77777777" w:rsidR="00E33F52" w:rsidRPr="004D5E2B" w:rsidRDefault="00E33F52" w:rsidP="004F7E66">
      <w:pPr>
        <w:ind w:left="360"/>
        <w:rPr>
          <w:sz w:val="24"/>
          <w:szCs w:val="24"/>
          <w:lang w:val="es-ES_tradnl"/>
        </w:rPr>
      </w:pPr>
      <w:r w:rsidRPr="004D5E2B">
        <w:rPr>
          <w:sz w:val="24"/>
          <w:szCs w:val="24"/>
          <w:lang w:val="es-ES_tradnl"/>
        </w:rPr>
        <w:t xml:space="preserve">El valor predeterminado </w:t>
      </w:r>
      <w:r w:rsidR="009D1D1C" w:rsidRPr="004D5E2B">
        <w:rPr>
          <w:sz w:val="24"/>
          <w:szCs w:val="24"/>
          <w:lang w:val="es-ES_tradnl"/>
        </w:rPr>
        <w:t>del área bruta de piso</w:t>
      </w:r>
      <w:r w:rsidRPr="004D5E2B">
        <w:rPr>
          <w:sz w:val="24"/>
          <w:szCs w:val="24"/>
          <w:lang w:val="es-ES_tradnl"/>
        </w:rPr>
        <w:t xml:space="preserve"> (GFA por sus siglas en inglés) para un edificio incluido en la Lista de Edificios Cubiertos se determina utilizando datos públicos (por ejemplo, registros municipales de propiedad). Si el propietario de un edificio considera que el valor de GFA es incorrecto, puede solicitar "Recalcular mi </w:t>
      </w:r>
      <w:r w:rsidR="009D1D1C" w:rsidRPr="004D5E2B">
        <w:rPr>
          <w:sz w:val="24"/>
          <w:szCs w:val="24"/>
          <w:lang w:val="es-ES_tradnl"/>
        </w:rPr>
        <w:t>Área Bruta de Piso</w:t>
      </w:r>
      <w:r w:rsidRPr="004D5E2B">
        <w:rPr>
          <w:sz w:val="24"/>
          <w:szCs w:val="24"/>
          <w:lang w:val="es-ES_tradnl"/>
        </w:rPr>
        <w:t>" a través del Centro de Ayuda de LBER. El propietario debe incluir</w:t>
      </w:r>
      <w:r w:rsidR="00262C91" w:rsidRPr="004D5E2B">
        <w:rPr>
          <w:sz w:val="24"/>
          <w:szCs w:val="24"/>
          <w:lang w:val="es-ES_tradnl"/>
        </w:rPr>
        <w:t xml:space="preserve"> la documentación pertinente. [Por favor c</w:t>
      </w:r>
      <w:r w:rsidRPr="004D5E2B">
        <w:rPr>
          <w:sz w:val="24"/>
          <w:szCs w:val="24"/>
          <w:lang w:val="es-ES_tradnl"/>
        </w:rPr>
        <w:t>onsulte las preguntas adjuntas para obtener información sobre la documentación pertinente].</w:t>
      </w:r>
    </w:p>
    <w:p w14:paraId="4789634B" w14:textId="77777777" w:rsidR="004723AC" w:rsidRPr="004D5E2B" w:rsidRDefault="004723AC" w:rsidP="00E55467">
      <w:pPr>
        <w:rPr>
          <w:sz w:val="24"/>
          <w:szCs w:val="24"/>
          <w:lang w:val="es-ES_tradnl"/>
        </w:rPr>
      </w:pPr>
    </w:p>
    <w:p w14:paraId="4789634C" w14:textId="77777777" w:rsidR="00D85E99" w:rsidRPr="004D5E2B" w:rsidRDefault="00262C91" w:rsidP="196104DB">
      <w:pPr>
        <w:pStyle w:val="Heading2"/>
        <w:spacing w:line="259" w:lineRule="auto"/>
        <w:rPr>
          <w:rFonts w:ascii="Times New Roman" w:hAnsi="Times New Roman" w:cs="Times New Roman"/>
          <w:sz w:val="24"/>
          <w:szCs w:val="24"/>
          <w:lang w:val="es-ES_tradnl"/>
        </w:rPr>
      </w:pPr>
      <w:r w:rsidRPr="004D5E2B">
        <w:rPr>
          <w:rFonts w:ascii="Times New Roman" w:hAnsi="Times New Roman" w:cs="Times New Roman"/>
          <w:sz w:val="24"/>
          <w:szCs w:val="24"/>
          <w:lang w:val="es-ES_tradnl"/>
        </w:rPr>
        <w:t>Cambio del Valor Predeterminado del GFA</w:t>
      </w:r>
    </w:p>
    <w:p w14:paraId="4789634D" w14:textId="77777777" w:rsidR="00D85E99" w:rsidRPr="004D5E2B" w:rsidRDefault="00D85E99" w:rsidP="00E55467">
      <w:pPr>
        <w:rPr>
          <w:sz w:val="24"/>
          <w:szCs w:val="24"/>
          <w:lang w:val="es-ES_tradnl"/>
        </w:rPr>
      </w:pPr>
    </w:p>
    <w:p w14:paraId="4789634E" w14:textId="77777777" w:rsidR="0005507B" w:rsidRPr="004D5E2B" w:rsidRDefault="0005507B" w:rsidP="00A90C4B">
      <w:pPr>
        <w:pStyle w:val="ListParagraph"/>
        <w:shd w:val="clear" w:color="auto" w:fill="FFFFFF" w:themeFill="background1"/>
        <w:spacing w:after="195"/>
        <w:ind w:left="360" w:firstLine="0"/>
        <w:rPr>
          <w:rFonts w:eastAsia="Helvetica"/>
          <w:color w:val="000000" w:themeColor="text1"/>
          <w:sz w:val="24"/>
          <w:szCs w:val="24"/>
          <w:lang w:val="es-ES_tradnl"/>
        </w:rPr>
      </w:pPr>
      <w:r w:rsidRPr="004D5E2B">
        <w:rPr>
          <w:rFonts w:eastAsia="Helvetica"/>
          <w:color w:val="000000" w:themeColor="text1"/>
          <w:sz w:val="24"/>
          <w:szCs w:val="24"/>
          <w:lang w:val="es-ES_tradnl"/>
        </w:rPr>
        <w:t xml:space="preserve">Si el propietario de un edificio desea que el GFA de su edificio, </w:t>
      </w:r>
      <w:r w:rsidR="001B7A25" w:rsidRPr="004D5E2B">
        <w:rPr>
          <w:rFonts w:eastAsia="Helvetica"/>
          <w:color w:val="000000" w:themeColor="text1"/>
          <w:sz w:val="24"/>
          <w:szCs w:val="24"/>
          <w:lang w:val="es-ES_tradnl"/>
        </w:rPr>
        <w:t>bajo</w:t>
      </w:r>
      <w:r w:rsidRPr="004D5E2B">
        <w:rPr>
          <w:rFonts w:eastAsia="Helvetica"/>
          <w:color w:val="000000" w:themeColor="text1"/>
          <w:sz w:val="24"/>
          <w:szCs w:val="24"/>
          <w:lang w:val="es-ES_tradnl"/>
        </w:rPr>
        <w:t xml:space="preserve"> 225 CMR 27.00, se ajuste mejor a los </w:t>
      </w:r>
      <w:r w:rsidRPr="004D5E2B">
        <w:rPr>
          <w:rStyle w:val="Hyperlink"/>
          <w:lang w:val="es-ES_tradnl"/>
        </w:rPr>
        <w:t>estándares de las Métricas de</w:t>
      </w:r>
      <w:r w:rsidR="009D1D1C" w:rsidRPr="004D5E2B">
        <w:rPr>
          <w:rStyle w:val="Hyperlink"/>
          <w:lang w:val="es-ES_tradnl"/>
        </w:rPr>
        <w:t>l</w:t>
      </w:r>
      <w:r w:rsidRPr="004D5E2B">
        <w:rPr>
          <w:rStyle w:val="Hyperlink"/>
          <w:lang w:val="es-ES_tradnl"/>
        </w:rPr>
        <w:t xml:space="preserve"> </w:t>
      </w:r>
      <w:r w:rsidR="009D1D1C" w:rsidRPr="004D5E2B">
        <w:rPr>
          <w:rStyle w:val="Hyperlink"/>
          <w:lang w:val="es-ES_tradnl"/>
        </w:rPr>
        <w:t>Área</w:t>
      </w:r>
      <w:r w:rsidRPr="004D5E2B">
        <w:rPr>
          <w:rStyle w:val="Hyperlink"/>
          <w:lang w:val="es-ES_tradnl"/>
        </w:rPr>
        <w:t xml:space="preserve"> Bruta </w:t>
      </w:r>
      <w:r w:rsidR="009D1D1C" w:rsidRPr="004D5E2B">
        <w:rPr>
          <w:rStyle w:val="Hyperlink"/>
          <w:lang w:val="es-ES_tradnl"/>
        </w:rPr>
        <w:t xml:space="preserve">de Piso </w:t>
      </w:r>
      <w:r w:rsidRPr="004D5E2B">
        <w:rPr>
          <w:rStyle w:val="Hyperlink"/>
          <w:lang w:val="es-ES_tradnl"/>
        </w:rPr>
        <w:t>de la Propiedad</w:t>
      </w:r>
      <w:r w:rsidRPr="004D5E2B">
        <w:rPr>
          <w:rFonts w:eastAsia="Helvetica"/>
          <w:color w:val="000000" w:themeColor="text1"/>
          <w:sz w:val="24"/>
          <w:szCs w:val="24"/>
          <w:lang w:val="es-ES_tradnl"/>
        </w:rPr>
        <w:t xml:space="preserve"> del Gestor de Cartera Energy </w:t>
      </w:r>
      <w:proofErr w:type="spellStart"/>
      <w:r w:rsidRPr="004D5E2B">
        <w:rPr>
          <w:rFonts w:eastAsia="Helvetica"/>
          <w:color w:val="000000" w:themeColor="text1"/>
          <w:sz w:val="24"/>
          <w:szCs w:val="24"/>
          <w:lang w:val="es-ES_tradnl"/>
        </w:rPr>
        <w:t>Star</w:t>
      </w:r>
      <w:proofErr w:type="spellEnd"/>
      <w:r w:rsidRPr="004D5E2B">
        <w:rPr>
          <w:rFonts w:eastAsia="Helvetica"/>
          <w:color w:val="000000" w:themeColor="text1"/>
          <w:sz w:val="24"/>
          <w:szCs w:val="24"/>
          <w:lang w:val="es-ES_tradnl"/>
        </w:rPr>
        <w:t xml:space="preserve"> (ESPM</w:t>
      </w:r>
      <w:r w:rsidR="001B7A25" w:rsidRPr="004D5E2B">
        <w:rPr>
          <w:rFonts w:eastAsia="Helvetica"/>
          <w:color w:val="000000" w:themeColor="text1"/>
          <w:sz w:val="24"/>
          <w:szCs w:val="24"/>
          <w:lang w:val="es-ES_tradnl"/>
        </w:rPr>
        <w:t xml:space="preserve"> por sus siglas en inglés</w:t>
      </w:r>
      <w:r w:rsidRPr="004D5E2B">
        <w:rPr>
          <w:rFonts w:eastAsia="Helvetica"/>
          <w:color w:val="000000" w:themeColor="text1"/>
          <w:sz w:val="24"/>
          <w:szCs w:val="24"/>
          <w:lang w:val="es-ES_tradnl"/>
        </w:rPr>
        <w:t xml:space="preserve">), </w:t>
      </w:r>
      <w:r w:rsidR="001B7A25" w:rsidRPr="004D5E2B">
        <w:rPr>
          <w:rFonts w:eastAsia="Helvetica"/>
          <w:color w:val="000000" w:themeColor="text1"/>
          <w:sz w:val="24"/>
          <w:szCs w:val="24"/>
          <w:lang w:val="es-ES_tradnl"/>
        </w:rPr>
        <w:t xml:space="preserve">el dueño </w:t>
      </w:r>
      <w:r w:rsidRPr="004D5E2B">
        <w:rPr>
          <w:rFonts w:eastAsia="Helvetica"/>
          <w:color w:val="000000" w:themeColor="text1"/>
          <w:sz w:val="24"/>
          <w:szCs w:val="24"/>
          <w:lang w:val="es-ES_tradnl"/>
        </w:rPr>
        <w:t>puede solicitar que se calcule el GFA de su edificio para que se ajuste al estándar nacional.</w:t>
      </w:r>
    </w:p>
    <w:p w14:paraId="4789634F" w14:textId="77777777" w:rsidR="00B3642C" w:rsidRPr="004D5E2B" w:rsidRDefault="00B3642C" w:rsidP="003B2501">
      <w:pPr>
        <w:pStyle w:val="ListParagraph"/>
        <w:shd w:val="clear" w:color="auto" w:fill="FFFFFF" w:themeFill="background1"/>
        <w:spacing w:after="195"/>
        <w:ind w:left="360" w:firstLine="0"/>
        <w:rPr>
          <w:rFonts w:eastAsia="Helvetica"/>
          <w:color w:val="000000" w:themeColor="text1"/>
          <w:sz w:val="24"/>
          <w:szCs w:val="24"/>
          <w:lang w:val="es-ES_tradnl"/>
        </w:rPr>
      </w:pPr>
    </w:p>
    <w:p w14:paraId="47896350" w14:textId="77777777" w:rsidR="00B3642C" w:rsidRPr="004D5E2B" w:rsidRDefault="00B3642C" w:rsidP="003B2501">
      <w:pPr>
        <w:pStyle w:val="ListParagraph"/>
        <w:shd w:val="clear" w:color="auto" w:fill="FFFFFF" w:themeFill="background1"/>
        <w:spacing w:after="195"/>
        <w:ind w:left="360" w:firstLine="0"/>
        <w:rPr>
          <w:rFonts w:eastAsia="Helvetica"/>
          <w:color w:val="000000" w:themeColor="text1"/>
          <w:sz w:val="24"/>
          <w:szCs w:val="24"/>
          <w:lang w:val="es-ES_tradnl"/>
        </w:rPr>
      </w:pPr>
    </w:p>
    <w:p w14:paraId="47896351" w14:textId="77777777" w:rsidR="00B3642C" w:rsidRPr="004D5E2B" w:rsidRDefault="00B3642C" w:rsidP="003B2501">
      <w:pPr>
        <w:pStyle w:val="ListParagraph"/>
        <w:shd w:val="clear" w:color="auto" w:fill="FFFFFF" w:themeFill="background1"/>
        <w:spacing w:after="195"/>
        <w:ind w:left="360" w:firstLine="0"/>
        <w:rPr>
          <w:rFonts w:eastAsia="Helvetica"/>
          <w:color w:val="000000" w:themeColor="text1"/>
          <w:sz w:val="24"/>
          <w:szCs w:val="24"/>
          <w:lang w:val="es-ES_tradnl"/>
        </w:rPr>
      </w:pPr>
    </w:p>
    <w:p w14:paraId="47896352" w14:textId="77777777" w:rsidR="00B3642C" w:rsidRPr="004D5E2B" w:rsidRDefault="00B3642C" w:rsidP="003B2501">
      <w:pPr>
        <w:pStyle w:val="ListParagraph"/>
        <w:shd w:val="clear" w:color="auto" w:fill="FFFFFF" w:themeFill="background1"/>
        <w:spacing w:after="195"/>
        <w:ind w:left="360" w:firstLine="0"/>
        <w:rPr>
          <w:rFonts w:eastAsia="Helvetica"/>
          <w:color w:val="000000" w:themeColor="text1"/>
          <w:sz w:val="24"/>
          <w:szCs w:val="24"/>
          <w:lang w:val="es-ES_tradnl"/>
        </w:rPr>
      </w:pPr>
      <w:r w:rsidRPr="004D5E2B">
        <w:rPr>
          <w:rFonts w:eastAsia="Helvetica"/>
          <w:color w:val="000000" w:themeColor="text1"/>
          <w:sz w:val="24"/>
          <w:szCs w:val="24"/>
          <w:lang w:val="es-ES_tradnl"/>
        </w:rPr>
        <w:t>El DOER señala que el ESPM se diseñó como una herramienta para que los propietarios de edificios monitoreen el rendimiento de sus activos, y que el LBER es una política que facilita la divulgación pública del Consumo Energético del Edificio. Por lo tanto, el DOER reconoce que puede haber un Consumo Energético asociado a un edificio qu</w:t>
      </w:r>
      <w:r w:rsidR="00FD13E0" w:rsidRPr="004D5E2B">
        <w:rPr>
          <w:rFonts w:eastAsia="Helvetica"/>
          <w:color w:val="000000" w:themeColor="text1"/>
          <w:sz w:val="24"/>
          <w:szCs w:val="24"/>
          <w:lang w:val="es-ES_tradnl"/>
        </w:rPr>
        <w:t>e el propietario desee monitore</w:t>
      </w:r>
      <w:r w:rsidRPr="004D5E2B">
        <w:rPr>
          <w:rFonts w:eastAsia="Helvetica"/>
          <w:color w:val="000000" w:themeColor="text1"/>
          <w:sz w:val="24"/>
          <w:szCs w:val="24"/>
          <w:lang w:val="es-ES_tradnl"/>
        </w:rPr>
        <w:t>ar en el ESPM, pero que no debería incluirse en el Consumo Energético del Edificio (por ejemplo, campos deportivos externos sin un edificio asociado).</w:t>
      </w:r>
    </w:p>
    <w:p w14:paraId="47896353" w14:textId="77777777" w:rsidR="447A4A8B" w:rsidRPr="004D5E2B" w:rsidRDefault="00C804E0" w:rsidP="00C804E0">
      <w:pPr>
        <w:pStyle w:val="ListParagraph"/>
        <w:shd w:val="clear" w:color="auto" w:fill="FFFFFF" w:themeFill="background1"/>
        <w:spacing w:after="195"/>
        <w:ind w:left="360" w:firstLine="0"/>
        <w:rPr>
          <w:rFonts w:eastAsia="Helvetica"/>
          <w:color w:val="000000" w:themeColor="text1"/>
          <w:sz w:val="24"/>
          <w:szCs w:val="24"/>
          <w:lang w:val="es-ES_tradnl"/>
        </w:rPr>
      </w:pPr>
      <w:r w:rsidRPr="004D5E2B">
        <w:rPr>
          <w:rFonts w:eastAsia="Helvetica"/>
          <w:color w:val="000000" w:themeColor="text1"/>
          <w:sz w:val="24"/>
          <w:szCs w:val="24"/>
          <w:lang w:val="es-ES_tradnl"/>
        </w:rPr>
        <w:t>Para solicitar un cambio en el GFA predeterminado para que se ajuste mejor a las directrices del ESPM, comuníquese con el servicio de asistencia (</w:t>
      </w:r>
      <w:proofErr w:type="spellStart"/>
      <w:r>
        <w:fldChar w:fldCharType="begin"/>
      </w:r>
      <w:r>
        <w:instrText>HYPERLINK "https://ma.beam-portal.org/helpdesk/kb/"</w:instrText>
      </w:r>
      <w:r>
        <w:fldChar w:fldCharType="separate"/>
      </w:r>
      <w:r w:rsidRPr="004D5E2B">
        <w:rPr>
          <w:rStyle w:val="Hyperlink"/>
          <w:rFonts w:eastAsia="Helvetica"/>
          <w:sz w:val="24"/>
          <w:szCs w:val="24"/>
          <w:lang w:val="es-ES_tradnl"/>
        </w:rPr>
        <w:t>Helpdesk</w:t>
      </w:r>
      <w:proofErr w:type="spellEnd"/>
      <w:r>
        <w:fldChar w:fldCharType="end"/>
      </w:r>
      <w:r w:rsidRPr="004D5E2B">
        <w:rPr>
          <w:lang w:val="es-ES_tradnl"/>
        </w:rPr>
        <w:t>)</w:t>
      </w:r>
      <w:r w:rsidRPr="004D5E2B">
        <w:rPr>
          <w:rFonts w:eastAsia="Helvetica"/>
          <w:color w:val="000000" w:themeColor="text1"/>
          <w:sz w:val="24"/>
          <w:szCs w:val="24"/>
          <w:lang w:val="es-ES_tradnl"/>
        </w:rPr>
        <w:t xml:space="preserve"> y envíe el formulario "Actualizar la Información de la Lista de Edificios Cubiertos (</w:t>
      </w:r>
      <w:proofErr w:type="spellStart"/>
      <w:r w:rsidRPr="004D5E2B">
        <w:rPr>
          <w:rFonts w:eastAsia="Helvetica"/>
          <w:color w:val="000000" w:themeColor="text1"/>
          <w:sz w:val="24"/>
          <w:szCs w:val="24"/>
          <w:lang w:val="es-ES_tradnl"/>
        </w:rPr>
        <w:t>Update</w:t>
      </w:r>
      <w:proofErr w:type="spellEnd"/>
      <w:r w:rsidRPr="004D5E2B">
        <w:rPr>
          <w:rFonts w:eastAsia="Helvetica"/>
          <w:color w:val="000000" w:themeColor="text1"/>
          <w:sz w:val="24"/>
          <w:szCs w:val="24"/>
          <w:lang w:val="es-ES_tradnl"/>
        </w:rPr>
        <w:t xml:space="preserve"> </w:t>
      </w:r>
      <w:proofErr w:type="spellStart"/>
      <w:r w:rsidRPr="004D5E2B">
        <w:rPr>
          <w:rFonts w:eastAsia="Helvetica"/>
          <w:color w:val="000000" w:themeColor="text1"/>
          <w:sz w:val="24"/>
          <w:szCs w:val="24"/>
          <w:lang w:val="es-ES_tradnl"/>
        </w:rPr>
        <w:t>Covered</w:t>
      </w:r>
      <w:proofErr w:type="spellEnd"/>
      <w:r w:rsidRPr="004D5E2B">
        <w:rPr>
          <w:rFonts w:eastAsia="Helvetica"/>
          <w:color w:val="000000" w:themeColor="text1"/>
          <w:sz w:val="24"/>
          <w:szCs w:val="24"/>
          <w:lang w:val="es-ES_tradnl"/>
        </w:rPr>
        <w:t xml:space="preserve"> </w:t>
      </w:r>
      <w:proofErr w:type="spellStart"/>
      <w:r w:rsidRPr="004D5E2B">
        <w:rPr>
          <w:rFonts w:eastAsia="Helvetica"/>
          <w:color w:val="000000" w:themeColor="text1"/>
          <w:sz w:val="24"/>
          <w:szCs w:val="24"/>
          <w:lang w:val="es-ES_tradnl"/>
        </w:rPr>
        <w:t>Buildings</w:t>
      </w:r>
      <w:proofErr w:type="spellEnd"/>
      <w:r w:rsidRPr="004D5E2B">
        <w:rPr>
          <w:rFonts w:eastAsia="Helvetica"/>
          <w:color w:val="000000" w:themeColor="text1"/>
          <w:sz w:val="24"/>
          <w:szCs w:val="24"/>
          <w:lang w:val="es-ES_tradnl"/>
        </w:rPr>
        <w:t xml:space="preserve"> </w:t>
      </w:r>
      <w:proofErr w:type="spellStart"/>
      <w:r w:rsidRPr="004D5E2B">
        <w:rPr>
          <w:rFonts w:eastAsia="Helvetica"/>
          <w:color w:val="000000" w:themeColor="text1"/>
          <w:sz w:val="24"/>
          <w:szCs w:val="24"/>
          <w:lang w:val="es-ES_tradnl"/>
        </w:rPr>
        <w:t>List</w:t>
      </w:r>
      <w:proofErr w:type="spellEnd"/>
      <w:r w:rsidRPr="004D5E2B">
        <w:rPr>
          <w:rFonts w:eastAsia="Helvetica"/>
          <w:color w:val="000000" w:themeColor="text1"/>
          <w:sz w:val="24"/>
          <w:szCs w:val="24"/>
          <w:lang w:val="es-ES_tradnl"/>
        </w:rPr>
        <w:t xml:space="preserve"> </w:t>
      </w:r>
      <w:proofErr w:type="spellStart"/>
      <w:r w:rsidRPr="004D5E2B">
        <w:rPr>
          <w:rFonts w:eastAsia="Helvetica"/>
          <w:color w:val="000000" w:themeColor="text1"/>
          <w:sz w:val="24"/>
          <w:szCs w:val="24"/>
          <w:lang w:val="es-ES_tradnl"/>
        </w:rPr>
        <w:t>Information</w:t>
      </w:r>
      <w:proofErr w:type="spellEnd"/>
      <w:r w:rsidRPr="004D5E2B">
        <w:rPr>
          <w:rFonts w:eastAsia="Helvetica"/>
          <w:color w:val="000000" w:themeColor="text1"/>
          <w:sz w:val="24"/>
          <w:szCs w:val="24"/>
          <w:lang w:val="es-ES_tradnl"/>
        </w:rPr>
        <w:t xml:space="preserve"> en inglés)".</w:t>
      </w:r>
    </w:p>
    <w:p w14:paraId="47896354" w14:textId="77777777" w:rsidR="00D85E99" w:rsidRPr="004D5E2B" w:rsidRDefault="00C804E0" w:rsidP="00E55467">
      <w:pPr>
        <w:pStyle w:val="Heading2"/>
        <w:spacing w:line="259" w:lineRule="auto"/>
        <w:rPr>
          <w:sz w:val="24"/>
          <w:szCs w:val="24"/>
          <w:lang w:val="es-ES_tradnl"/>
        </w:rPr>
      </w:pPr>
      <w:r w:rsidRPr="004D5E2B">
        <w:rPr>
          <w:sz w:val="24"/>
          <w:szCs w:val="24"/>
          <w:lang w:val="es-ES_tradnl"/>
        </w:rPr>
        <w:t>Medi</w:t>
      </w:r>
      <w:r w:rsidR="009D1D1C" w:rsidRPr="004D5E2B">
        <w:rPr>
          <w:sz w:val="24"/>
          <w:szCs w:val="24"/>
          <w:lang w:val="es-ES_tradnl"/>
        </w:rPr>
        <w:t>ción del Área</w:t>
      </w:r>
      <w:r w:rsidRPr="004D5E2B">
        <w:rPr>
          <w:sz w:val="24"/>
          <w:szCs w:val="24"/>
          <w:lang w:val="es-ES_tradnl"/>
        </w:rPr>
        <w:t xml:space="preserve"> Bruta</w:t>
      </w:r>
      <w:r w:rsidR="009D1D1C" w:rsidRPr="004D5E2B">
        <w:rPr>
          <w:sz w:val="24"/>
          <w:szCs w:val="24"/>
          <w:lang w:val="es-ES_tradnl"/>
        </w:rPr>
        <w:t xml:space="preserve"> de Piso</w:t>
      </w:r>
      <w:r w:rsidRPr="004D5E2B">
        <w:rPr>
          <w:sz w:val="24"/>
          <w:szCs w:val="24"/>
          <w:lang w:val="es-ES_tradnl"/>
        </w:rPr>
        <w:t xml:space="preserve"> (GFA)</w:t>
      </w:r>
    </w:p>
    <w:p w14:paraId="47896355" w14:textId="77777777" w:rsidR="005F5BAD" w:rsidRPr="004D5E2B" w:rsidRDefault="005F5BAD" w:rsidP="02CDBA2B">
      <w:pPr>
        <w:spacing w:after="195"/>
        <w:rPr>
          <w:lang w:val="es-ES_tradnl"/>
        </w:rPr>
      </w:pPr>
    </w:p>
    <w:p w14:paraId="47896356" w14:textId="77777777" w:rsidR="00C804E0" w:rsidRPr="004D5E2B" w:rsidRDefault="00C804E0" w:rsidP="00C804E0">
      <w:pPr>
        <w:shd w:val="clear" w:color="auto" w:fill="FFFFFF" w:themeFill="background1"/>
        <w:spacing w:after="195"/>
        <w:ind w:left="360"/>
        <w:rPr>
          <w:rFonts w:eastAsia="Helvetica"/>
          <w:color w:val="000000" w:themeColor="text1"/>
          <w:sz w:val="24"/>
          <w:szCs w:val="24"/>
          <w:lang w:val="es-ES_tradnl"/>
        </w:rPr>
      </w:pPr>
      <w:r w:rsidRPr="004D5E2B">
        <w:rPr>
          <w:rFonts w:eastAsia="Helvetica"/>
          <w:color w:val="000000" w:themeColor="text1"/>
          <w:sz w:val="24"/>
          <w:szCs w:val="24"/>
          <w:lang w:val="es-ES_tradnl"/>
        </w:rPr>
        <w:t>El DOER utilizó la guía de ESPM para determinar qué debe incluirse y excluirse en el cálculo de la GFA. El DOER podría actualizar esta guía para reflejar futuras actualizaciones de la guía de ESPM.</w:t>
      </w:r>
    </w:p>
    <w:p w14:paraId="47896357" w14:textId="77777777" w:rsidR="00C804E0" w:rsidRPr="004D5E2B" w:rsidRDefault="00C804E0" w:rsidP="00C804E0">
      <w:pPr>
        <w:shd w:val="clear" w:color="auto" w:fill="FFFFFF" w:themeFill="background1"/>
        <w:spacing w:after="195"/>
        <w:ind w:left="360"/>
        <w:rPr>
          <w:rFonts w:eastAsia="Helvetica"/>
          <w:color w:val="000000" w:themeColor="text1"/>
          <w:sz w:val="24"/>
          <w:szCs w:val="24"/>
          <w:lang w:val="es-ES_tradnl"/>
        </w:rPr>
      </w:pPr>
      <w:r w:rsidRPr="004D5E2B">
        <w:rPr>
          <w:rFonts w:eastAsia="Helvetica"/>
          <w:color w:val="000000" w:themeColor="text1"/>
          <w:sz w:val="24"/>
          <w:szCs w:val="24"/>
          <w:lang w:val="es-ES_tradnl"/>
        </w:rPr>
        <w:t xml:space="preserve">• </w:t>
      </w:r>
      <w:r w:rsidRPr="004D5E2B">
        <w:rPr>
          <w:rFonts w:eastAsia="Helvetica"/>
          <w:b/>
          <w:bCs/>
          <w:i/>
          <w:iCs/>
          <w:color w:val="000000" w:themeColor="text1"/>
          <w:sz w:val="24"/>
          <w:szCs w:val="24"/>
          <w:lang w:val="es-ES_tradnl"/>
        </w:rPr>
        <w:t>“Los edificios individual</w:t>
      </w:r>
      <w:r w:rsidR="00666F2B" w:rsidRPr="004D5E2B">
        <w:rPr>
          <w:rFonts w:eastAsia="Helvetica"/>
          <w:b/>
          <w:bCs/>
          <w:i/>
          <w:iCs/>
          <w:color w:val="000000" w:themeColor="text1"/>
          <w:sz w:val="24"/>
          <w:szCs w:val="24"/>
          <w:lang w:val="es-ES_tradnl"/>
        </w:rPr>
        <w:t>e</w:t>
      </w:r>
      <w:r w:rsidRPr="004D5E2B">
        <w:rPr>
          <w:rFonts w:eastAsia="Helvetica"/>
          <w:b/>
          <w:bCs/>
          <w:i/>
          <w:iCs/>
          <w:color w:val="000000" w:themeColor="text1"/>
          <w:sz w:val="24"/>
          <w:szCs w:val="24"/>
          <w:lang w:val="es-ES_tradnl"/>
        </w:rPr>
        <w:t>s” y “los conjuntos de edificios”</w:t>
      </w:r>
      <w:r w:rsidRPr="004D5E2B">
        <w:rPr>
          <w:rFonts w:eastAsia="Helvetica"/>
          <w:color w:val="000000" w:themeColor="text1"/>
          <w:sz w:val="24"/>
          <w:szCs w:val="24"/>
          <w:lang w:val="es-ES_tradnl"/>
        </w:rPr>
        <w:t xml:space="preserve"> miden la GFA entre la superficie exterior de las paredes exteriores del/los edificio(s) (también se acepta medir desde el perímetro interior de las paredes exteriores si es más fácil hacerlo). Esto incluye todas las áreas dentro del/ los edificio(s), incluidas las áreas auxiliares. La GFA no es lo mismo que el espacio alquilable, sino que incluye toda el área dentro del/ los edificio(s).</w:t>
      </w:r>
    </w:p>
    <w:p w14:paraId="47896358" w14:textId="77777777" w:rsidR="63172CED" w:rsidRPr="004D5E2B" w:rsidRDefault="00C804E0" w:rsidP="00183A6C">
      <w:pPr>
        <w:pStyle w:val="ListParagraph"/>
        <w:numPr>
          <w:ilvl w:val="1"/>
          <w:numId w:val="1"/>
        </w:numPr>
        <w:shd w:val="clear" w:color="auto" w:fill="FFFFFF" w:themeFill="background1"/>
        <w:ind w:right="195"/>
        <w:rPr>
          <w:rFonts w:eastAsia="Helvetica"/>
          <w:color w:val="000000" w:themeColor="text1"/>
          <w:sz w:val="24"/>
          <w:szCs w:val="24"/>
          <w:lang w:val="es-ES_tradnl"/>
        </w:rPr>
      </w:pPr>
      <w:r w:rsidRPr="004D5E2B">
        <w:rPr>
          <w:rFonts w:eastAsia="Helvetica"/>
          <w:b/>
          <w:bCs/>
          <w:color w:val="000000" w:themeColor="text1"/>
          <w:sz w:val="24"/>
          <w:szCs w:val="24"/>
          <w:lang w:val="es-ES_tradnl"/>
        </w:rPr>
        <w:t xml:space="preserve">Incluir en el GFA: </w:t>
      </w:r>
      <w:r w:rsidRPr="004D5E2B">
        <w:rPr>
          <w:rFonts w:eastAsia="Helvetica"/>
          <w:color w:val="000000" w:themeColor="text1"/>
          <w:sz w:val="24"/>
          <w:szCs w:val="24"/>
          <w:lang w:val="es-ES_tradnl"/>
        </w:rPr>
        <w:t>vestíbulos, espacios para inquilinos, áreas comunes, salas de reuniones, salas de descanso, atrios (contar solo la planta baja), baños, huecos de ascensor, huecos de escalera, áreas de equipos mecánicos, sótanos, trasteros y estacionamientos.</w:t>
      </w:r>
    </w:p>
    <w:p w14:paraId="47896359" w14:textId="77777777" w:rsidR="63172CED" w:rsidRPr="004D5E2B" w:rsidRDefault="009A52DB" w:rsidP="00183A6C">
      <w:pPr>
        <w:pStyle w:val="ListParagraph"/>
        <w:numPr>
          <w:ilvl w:val="1"/>
          <w:numId w:val="1"/>
        </w:numPr>
        <w:shd w:val="clear" w:color="auto" w:fill="FFFFFF" w:themeFill="background1"/>
        <w:ind w:right="195"/>
        <w:rPr>
          <w:rFonts w:eastAsia="Helvetica"/>
          <w:color w:val="000000" w:themeColor="text1"/>
          <w:sz w:val="24"/>
          <w:szCs w:val="24"/>
          <w:lang w:val="es-ES_tradnl"/>
        </w:rPr>
      </w:pPr>
      <w:r w:rsidRPr="004D5E2B">
        <w:rPr>
          <w:rFonts w:eastAsia="Helvetica"/>
          <w:b/>
          <w:bCs/>
          <w:color w:val="000000" w:themeColor="text1"/>
          <w:sz w:val="24"/>
          <w:szCs w:val="24"/>
          <w:lang w:val="es-ES_tradnl"/>
        </w:rPr>
        <w:t xml:space="preserve">No incluir en el GFA: </w:t>
      </w:r>
      <w:r w:rsidRPr="004D5E2B">
        <w:rPr>
          <w:rFonts w:eastAsia="Helvetica"/>
          <w:color w:val="000000" w:themeColor="text1"/>
          <w:sz w:val="24"/>
          <w:szCs w:val="24"/>
          <w:lang w:val="es-ES_tradnl"/>
        </w:rPr>
        <w:t>espacios exteriores, balcones, patios, muelles de carga exteriores, entradas para vehículos, pasillos cubiertos, canchas de juego al aire libre (tenis, baloncesto, etc.), estacionamiento exterior en superficie, el espacio intersticial entre pisos (donde se ubican las tuberías y la ventilación), espacios de acceso.</w:t>
      </w:r>
    </w:p>
    <w:p w14:paraId="4789635A" w14:textId="77777777" w:rsidR="002C79AC" w:rsidRPr="004D5E2B" w:rsidRDefault="002C79AC" w:rsidP="00183A6C">
      <w:pPr>
        <w:pStyle w:val="ListParagraph"/>
        <w:numPr>
          <w:ilvl w:val="1"/>
          <w:numId w:val="1"/>
        </w:numPr>
        <w:shd w:val="clear" w:color="auto" w:fill="FFFFFF" w:themeFill="background1"/>
        <w:ind w:right="195"/>
        <w:rPr>
          <w:rFonts w:eastAsia="Helvetica"/>
          <w:color w:val="000000" w:themeColor="text1"/>
          <w:sz w:val="24"/>
          <w:szCs w:val="24"/>
          <w:lang w:val="es-ES_tradnl"/>
        </w:rPr>
      </w:pPr>
      <w:r w:rsidRPr="004D5E2B">
        <w:rPr>
          <w:rFonts w:eastAsia="Helvetica"/>
          <w:b/>
          <w:bCs/>
          <w:color w:val="000000" w:themeColor="text1"/>
          <w:sz w:val="24"/>
          <w:szCs w:val="24"/>
          <w:lang w:val="es-ES_tradnl"/>
        </w:rPr>
        <w:t xml:space="preserve">Las preguntas sobre el cálculo del GFA pueden dirigirse al DOER: </w:t>
      </w:r>
      <w:r w:rsidRPr="004D5E2B">
        <w:rPr>
          <w:rFonts w:eastAsia="Helvetica"/>
          <w:color w:val="000000" w:themeColor="text1"/>
          <w:sz w:val="24"/>
          <w:szCs w:val="24"/>
          <w:lang w:val="es-ES_tradnl"/>
        </w:rPr>
        <w:t>En general, se incluyen los espacios dentro de los muros exteriores y no los espacios fuera de ellos. Si el propietario de un edificio necesita aclaración sobre si un espacio en un edif</w:t>
      </w:r>
      <w:r w:rsidR="00BF30FB" w:rsidRPr="004D5E2B">
        <w:rPr>
          <w:rFonts w:eastAsia="Helvetica"/>
          <w:color w:val="000000" w:themeColor="text1"/>
          <w:sz w:val="24"/>
          <w:szCs w:val="24"/>
          <w:lang w:val="es-ES_tradnl"/>
        </w:rPr>
        <w:t>icio cubierto cuenta para su GFA</w:t>
      </w:r>
      <w:r w:rsidRPr="004D5E2B">
        <w:rPr>
          <w:rFonts w:eastAsia="Helvetica"/>
          <w:color w:val="000000" w:themeColor="text1"/>
          <w:sz w:val="24"/>
          <w:szCs w:val="24"/>
          <w:lang w:val="es-ES_tradnl"/>
        </w:rPr>
        <w:t xml:space="preserve">, envíe una consulta general al servicio de asistencia </w:t>
      </w:r>
      <w:r w:rsidR="00BF30FB" w:rsidRPr="004D5E2B">
        <w:rPr>
          <w:rFonts w:eastAsia="Helvetica"/>
          <w:color w:val="000000" w:themeColor="text1"/>
          <w:sz w:val="24"/>
          <w:szCs w:val="24"/>
          <w:lang w:val="es-ES_tradnl"/>
        </w:rPr>
        <w:t>“</w:t>
      </w:r>
      <w:proofErr w:type="spellStart"/>
      <w:r w:rsidR="00BF30FB">
        <w:fldChar w:fldCharType="begin"/>
      </w:r>
      <w:r w:rsidR="00BF30FB">
        <w:instrText>HYPERLINK "https://ma.beam-portal.org/helpdesk/kb/"</w:instrText>
      </w:r>
      <w:r w:rsidR="00BF30FB">
        <w:fldChar w:fldCharType="separate"/>
      </w:r>
      <w:r w:rsidR="00BF30FB" w:rsidRPr="004D5E2B">
        <w:rPr>
          <w:rStyle w:val="Hyperlink"/>
          <w:rFonts w:eastAsia="Helvetica"/>
          <w:sz w:val="24"/>
          <w:szCs w:val="24"/>
          <w:lang w:val="es-ES_tradnl"/>
        </w:rPr>
        <w:t>Helpdesk</w:t>
      </w:r>
      <w:proofErr w:type="spellEnd"/>
      <w:r w:rsidR="00BF30FB">
        <w:fldChar w:fldCharType="end"/>
      </w:r>
      <w:r w:rsidR="00BF30FB" w:rsidRPr="004D5E2B">
        <w:rPr>
          <w:lang w:val="es-ES_tradnl"/>
        </w:rPr>
        <w:t xml:space="preserve">” </w:t>
      </w:r>
      <w:r w:rsidRPr="004D5E2B">
        <w:rPr>
          <w:rFonts w:eastAsia="Helvetica"/>
          <w:color w:val="000000" w:themeColor="text1"/>
          <w:sz w:val="24"/>
          <w:szCs w:val="24"/>
          <w:lang w:val="es-ES_tradnl"/>
        </w:rPr>
        <w:t>para obtener una decisión.</w:t>
      </w:r>
    </w:p>
    <w:p w14:paraId="4789635B" w14:textId="77777777" w:rsidR="00A62D8C" w:rsidRPr="004D5E2B" w:rsidRDefault="00A62D8C" w:rsidP="02CDBA2B">
      <w:pPr>
        <w:shd w:val="clear" w:color="auto" w:fill="FFFFFF" w:themeFill="background1"/>
        <w:ind w:right="195"/>
        <w:rPr>
          <w:rFonts w:eastAsia="Helvetica"/>
          <w:color w:val="000000" w:themeColor="text1"/>
          <w:sz w:val="24"/>
          <w:szCs w:val="24"/>
          <w:lang w:val="es-ES_tradnl"/>
        </w:rPr>
      </w:pPr>
    </w:p>
    <w:p w14:paraId="4789635C" w14:textId="77777777" w:rsidR="00BF30FB" w:rsidRPr="004D5E2B" w:rsidRDefault="00BF30FB" w:rsidP="00E55467">
      <w:pPr>
        <w:shd w:val="clear" w:color="auto" w:fill="FFFFFF" w:themeFill="background1"/>
        <w:ind w:left="1080" w:right="195"/>
        <w:rPr>
          <w:rFonts w:eastAsia="Helvetica"/>
          <w:b/>
          <w:bCs/>
          <w:color w:val="000000" w:themeColor="text1"/>
          <w:sz w:val="24"/>
          <w:szCs w:val="24"/>
          <w:lang w:val="es-ES_tradnl"/>
        </w:rPr>
      </w:pPr>
      <w:r w:rsidRPr="004D5E2B">
        <w:rPr>
          <w:rFonts w:eastAsia="Helvetica"/>
          <w:b/>
          <w:bCs/>
          <w:color w:val="000000" w:themeColor="text1"/>
          <w:sz w:val="24"/>
          <w:szCs w:val="24"/>
          <w:lang w:val="es-ES_tradnl"/>
        </w:rPr>
        <w:t>Con la aprobación por escrito del DOER, puede excluir del cálculo del GFA el GFA de ciertas actividades específicas que cumplan los siguientes criterios:</w:t>
      </w:r>
    </w:p>
    <w:p w14:paraId="4789635D" w14:textId="77777777" w:rsidR="00BF30FB" w:rsidRPr="004D5E2B" w:rsidRDefault="00BF30FB" w:rsidP="00E55467">
      <w:pPr>
        <w:pStyle w:val="ListParagraph"/>
        <w:numPr>
          <w:ilvl w:val="1"/>
          <w:numId w:val="1"/>
        </w:numPr>
        <w:shd w:val="clear" w:color="auto" w:fill="FFFFFF" w:themeFill="background1"/>
        <w:ind w:right="195"/>
        <w:rPr>
          <w:rFonts w:eastAsia="Helvetica"/>
          <w:color w:val="000000" w:themeColor="text1"/>
          <w:sz w:val="24"/>
          <w:szCs w:val="24"/>
          <w:lang w:val="es-ES_tradnl"/>
        </w:rPr>
      </w:pPr>
      <w:r w:rsidRPr="004D5E2B">
        <w:rPr>
          <w:rFonts w:eastAsia="Helvetica"/>
          <w:color w:val="000000" w:themeColor="text1"/>
          <w:sz w:val="24"/>
          <w:szCs w:val="24"/>
          <w:lang w:val="es-ES_tradnl"/>
        </w:rPr>
        <w:t xml:space="preserve">Los patrones de consumo energético de la actividad difieren significativamente de los del resto del edificio (p. ej., una torre de telefonía </w:t>
      </w:r>
      <w:r w:rsidR="002163D2" w:rsidRPr="004D5E2B">
        <w:rPr>
          <w:rFonts w:eastAsia="Helvetica"/>
          <w:color w:val="000000" w:themeColor="text1"/>
          <w:sz w:val="24"/>
          <w:szCs w:val="24"/>
          <w:lang w:val="es-ES_tradnl"/>
        </w:rPr>
        <w:t>móvil en un edificio o un estaciona</w:t>
      </w:r>
      <w:r w:rsidRPr="004D5E2B">
        <w:rPr>
          <w:rFonts w:eastAsia="Helvetica"/>
          <w:color w:val="000000" w:themeColor="text1"/>
          <w:sz w:val="24"/>
          <w:szCs w:val="24"/>
          <w:lang w:val="es-ES_tradnl"/>
        </w:rPr>
        <w:t>miento con una infraestructura importante de carga para vehículos eléctricos).</w:t>
      </w:r>
    </w:p>
    <w:p w14:paraId="4789635E" w14:textId="77777777" w:rsidR="002B53B2" w:rsidRPr="004D5E2B" w:rsidRDefault="002B53B2" w:rsidP="00E55467">
      <w:pPr>
        <w:pStyle w:val="ListParagraph"/>
        <w:numPr>
          <w:ilvl w:val="1"/>
          <w:numId w:val="1"/>
        </w:numPr>
        <w:shd w:val="clear" w:color="auto" w:fill="FFFFFF" w:themeFill="background1"/>
        <w:ind w:right="195"/>
        <w:rPr>
          <w:rFonts w:eastAsia="Helvetica"/>
          <w:color w:val="000000" w:themeColor="text1"/>
          <w:sz w:val="24"/>
          <w:szCs w:val="24"/>
          <w:lang w:val="es-ES_tradnl"/>
        </w:rPr>
      </w:pPr>
      <w:r w:rsidRPr="004D5E2B">
        <w:rPr>
          <w:rFonts w:eastAsia="Helvetica"/>
          <w:color w:val="000000" w:themeColor="text1"/>
          <w:sz w:val="24"/>
          <w:szCs w:val="24"/>
          <w:lang w:val="es-ES_tradnl"/>
        </w:rPr>
        <w:t>La actividad no consume una cantidad significativa de energía (p. ej., una zona de venta minorista agrícola al aire libre sin iluminación o con calefacción).</w:t>
      </w:r>
    </w:p>
    <w:p w14:paraId="4789635F" w14:textId="77777777" w:rsidR="002B53B2" w:rsidRPr="004D5E2B" w:rsidRDefault="002B53B2" w:rsidP="002B53B2">
      <w:pPr>
        <w:pStyle w:val="ListParagraph"/>
        <w:shd w:val="clear" w:color="auto" w:fill="FFFFFF" w:themeFill="background1"/>
        <w:ind w:left="1440" w:right="195" w:firstLine="0"/>
        <w:rPr>
          <w:rFonts w:eastAsia="Helvetica"/>
          <w:color w:val="000000" w:themeColor="text1"/>
          <w:sz w:val="24"/>
          <w:szCs w:val="24"/>
          <w:lang w:val="es-ES_tradnl"/>
        </w:rPr>
      </w:pPr>
    </w:p>
    <w:p w14:paraId="47896360" w14:textId="77777777" w:rsidR="0059719E" w:rsidRPr="004D5E2B" w:rsidRDefault="0059719E" w:rsidP="00536E14">
      <w:pPr>
        <w:pStyle w:val="ListParagraph"/>
        <w:shd w:val="clear" w:color="auto" w:fill="FFFFFF" w:themeFill="background1"/>
        <w:ind w:left="360" w:right="195" w:firstLine="0"/>
        <w:rPr>
          <w:rFonts w:eastAsia="Helvetica"/>
          <w:color w:val="000000" w:themeColor="text1"/>
          <w:sz w:val="24"/>
          <w:szCs w:val="24"/>
          <w:lang w:val="es-ES_tradnl"/>
        </w:rPr>
      </w:pPr>
    </w:p>
    <w:p w14:paraId="47896361" w14:textId="77777777" w:rsidR="00B554E2" w:rsidRPr="004D5E2B" w:rsidRDefault="00B554E2" w:rsidP="00536E14">
      <w:pPr>
        <w:pStyle w:val="ListParagraph"/>
        <w:shd w:val="clear" w:color="auto" w:fill="FFFFFF" w:themeFill="background1"/>
        <w:ind w:left="360" w:right="195" w:firstLine="0"/>
        <w:rPr>
          <w:rFonts w:eastAsia="Helvetica"/>
          <w:color w:val="000000" w:themeColor="text1"/>
          <w:sz w:val="24"/>
          <w:szCs w:val="24"/>
          <w:lang w:val="es-ES_tradnl"/>
        </w:rPr>
      </w:pPr>
      <w:r w:rsidRPr="004D5E2B">
        <w:rPr>
          <w:rFonts w:eastAsia="Helvetica"/>
          <w:color w:val="000000" w:themeColor="text1"/>
          <w:sz w:val="24"/>
          <w:szCs w:val="24"/>
          <w:lang w:val="es-ES_tradnl"/>
        </w:rPr>
        <w:t xml:space="preserve">Para obtener la aprobación de DOER, debe enviar un ticket al </w:t>
      </w:r>
      <w:proofErr w:type="spellStart"/>
      <w:r w:rsidRPr="004D5E2B">
        <w:rPr>
          <w:rStyle w:val="Hyperlink"/>
          <w:lang w:val="es-ES_tradnl"/>
        </w:rPr>
        <w:t>Helpdesk</w:t>
      </w:r>
      <w:proofErr w:type="spellEnd"/>
      <w:r w:rsidRPr="004D5E2B">
        <w:rPr>
          <w:rFonts w:eastAsia="Helvetica"/>
          <w:color w:val="000000" w:themeColor="text1"/>
          <w:sz w:val="24"/>
          <w:szCs w:val="24"/>
          <w:lang w:val="es-ES_tradnl"/>
        </w:rPr>
        <w:t xml:space="preserve"> explicando cuál de estos criterios cumple su edificio y proporcionar cualquier documentación de respaldo correspondiente.</w:t>
      </w:r>
    </w:p>
    <w:p w14:paraId="47896362" w14:textId="77777777" w:rsidR="00B554E2" w:rsidRPr="004D5E2B" w:rsidRDefault="00B554E2" w:rsidP="00536E14">
      <w:pPr>
        <w:pStyle w:val="ListParagraph"/>
        <w:shd w:val="clear" w:color="auto" w:fill="FFFFFF" w:themeFill="background1"/>
        <w:ind w:left="360" w:right="195" w:firstLine="0"/>
        <w:rPr>
          <w:rFonts w:eastAsia="Helvetica"/>
          <w:color w:val="000000" w:themeColor="text1"/>
          <w:sz w:val="24"/>
          <w:szCs w:val="24"/>
          <w:lang w:val="es-ES_tradnl"/>
        </w:rPr>
      </w:pPr>
    </w:p>
    <w:p w14:paraId="47896363" w14:textId="77777777" w:rsidR="4A04170C" w:rsidRPr="004D5E2B" w:rsidRDefault="4A04170C" w:rsidP="00536E14">
      <w:pPr>
        <w:pStyle w:val="ListParagraph"/>
        <w:shd w:val="clear" w:color="auto" w:fill="FFFFFF" w:themeFill="background1"/>
        <w:ind w:left="360" w:right="195" w:firstLine="0"/>
        <w:rPr>
          <w:rFonts w:eastAsia="Helvetica"/>
          <w:color w:val="000000" w:themeColor="text1"/>
          <w:sz w:val="24"/>
          <w:szCs w:val="24"/>
          <w:lang w:val="es-ES_tradnl"/>
        </w:rPr>
      </w:pPr>
    </w:p>
    <w:p w14:paraId="47896364" w14:textId="77777777" w:rsidR="00000603" w:rsidRPr="004D5E2B" w:rsidRDefault="00000603">
      <w:pPr>
        <w:rPr>
          <w:rFonts w:eastAsia="Helvetica"/>
          <w:color w:val="000000" w:themeColor="text1"/>
          <w:sz w:val="24"/>
          <w:szCs w:val="24"/>
          <w:lang w:val="es-ES_tradnl"/>
        </w:rPr>
      </w:pPr>
      <w:r w:rsidRPr="004D5E2B">
        <w:rPr>
          <w:rFonts w:eastAsia="Helvetica"/>
          <w:color w:val="000000" w:themeColor="text1"/>
          <w:sz w:val="24"/>
          <w:szCs w:val="24"/>
          <w:lang w:val="es-ES_tradnl"/>
        </w:rPr>
        <w:br w:type="page"/>
      </w:r>
    </w:p>
    <w:p w14:paraId="7F001FAD" w14:textId="77777777" w:rsidR="002D64A2" w:rsidRPr="002D64A2" w:rsidRDefault="002D64A2" w:rsidP="002D64A2">
      <w:pPr>
        <w:pStyle w:val="Title"/>
        <w:rPr>
          <w:rFonts w:asciiTheme="minorHAnsi" w:hAnsiTheme="minorHAnsi" w:cstheme="minorBidi"/>
          <w:sz w:val="40"/>
          <w:szCs w:val="40"/>
          <w:lang w:val="es-ES_tradnl"/>
        </w:rPr>
      </w:pPr>
      <w:r w:rsidRPr="002D64A2">
        <w:rPr>
          <w:rFonts w:asciiTheme="minorHAnsi" w:hAnsiTheme="minorHAnsi" w:cstheme="minorBidi"/>
          <w:sz w:val="40"/>
          <w:szCs w:val="40"/>
          <w:lang w:val="es-ES_tradnl"/>
        </w:rPr>
        <w:lastRenderedPageBreak/>
        <w:t xml:space="preserve">Commonwealth </w:t>
      </w:r>
      <w:proofErr w:type="spellStart"/>
      <w:r w:rsidRPr="002D64A2">
        <w:rPr>
          <w:rFonts w:asciiTheme="minorHAnsi" w:hAnsiTheme="minorHAnsi" w:cstheme="minorBidi"/>
          <w:sz w:val="40"/>
          <w:szCs w:val="40"/>
          <w:lang w:val="es-ES_tradnl"/>
        </w:rPr>
        <w:t>of</w:t>
      </w:r>
      <w:proofErr w:type="spellEnd"/>
      <w:r w:rsidRPr="002D64A2">
        <w:rPr>
          <w:rFonts w:asciiTheme="minorHAnsi" w:hAnsiTheme="minorHAnsi" w:cstheme="minorBidi"/>
          <w:sz w:val="40"/>
          <w:szCs w:val="40"/>
          <w:lang w:val="es-ES_tradnl"/>
        </w:rPr>
        <w:t xml:space="preserve"> Massachusetts</w:t>
      </w:r>
    </w:p>
    <w:p w14:paraId="42CC3179" w14:textId="77777777" w:rsidR="002D64A2" w:rsidRPr="002D64A2" w:rsidRDefault="002D64A2" w:rsidP="002D64A2">
      <w:pPr>
        <w:pStyle w:val="Title"/>
        <w:rPr>
          <w:rFonts w:asciiTheme="minorHAnsi" w:hAnsiTheme="minorHAnsi" w:cstheme="minorBidi"/>
          <w:sz w:val="40"/>
          <w:szCs w:val="40"/>
          <w:lang w:val="es-ES_tradnl"/>
        </w:rPr>
      </w:pPr>
      <w:r w:rsidRPr="002D64A2">
        <w:rPr>
          <w:rFonts w:asciiTheme="minorHAnsi" w:hAnsiTheme="minorHAnsi" w:cstheme="minorBidi"/>
          <w:sz w:val="40"/>
          <w:szCs w:val="40"/>
          <w:lang w:val="es-ES_tradnl"/>
        </w:rPr>
        <w:t xml:space="preserve">Executive Office </w:t>
      </w:r>
      <w:proofErr w:type="spellStart"/>
      <w:r w:rsidRPr="002D64A2">
        <w:rPr>
          <w:rFonts w:asciiTheme="minorHAnsi" w:hAnsiTheme="minorHAnsi" w:cstheme="minorBidi"/>
          <w:sz w:val="40"/>
          <w:szCs w:val="40"/>
          <w:lang w:val="es-ES_tradnl"/>
        </w:rPr>
        <w:t>of</w:t>
      </w:r>
      <w:proofErr w:type="spellEnd"/>
      <w:r w:rsidRPr="002D64A2">
        <w:rPr>
          <w:rFonts w:asciiTheme="minorHAnsi" w:hAnsiTheme="minorHAnsi" w:cstheme="minorBidi"/>
          <w:sz w:val="40"/>
          <w:szCs w:val="40"/>
          <w:lang w:val="es-ES_tradnl"/>
        </w:rPr>
        <w:t xml:space="preserve"> Energy and </w:t>
      </w:r>
      <w:proofErr w:type="spellStart"/>
      <w:r w:rsidRPr="002D64A2">
        <w:rPr>
          <w:rFonts w:asciiTheme="minorHAnsi" w:hAnsiTheme="minorHAnsi" w:cstheme="minorBidi"/>
          <w:sz w:val="40"/>
          <w:szCs w:val="40"/>
          <w:lang w:val="es-ES_tradnl"/>
        </w:rPr>
        <w:t>Environmental</w:t>
      </w:r>
      <w:proofErr w:type="spellEnd"/>
      <w:r w:rsidRPr="002D64A2">
        <w:rPr>
          <w:rFonts w:asciiTheme="minorHAnsi" w:hAnsiTheme="minorHAnsi" w:cstheme="minorBidi"/>
          <w:sz w:val="40"/>
          <w:szCs w:val="40"/>
          <w:lang w:val="es-ES_tradnl"/>
        </w:rPr>
        <w:t xml:space="preserve"> </w:t>
      </w:r>
      <w:proofErr w:type="spellStart"/>
      <w:r w:rsidRPr="002D64A2">
        <w:rPr>
          <w:rFonts w:asciiTheme="minorHAnsi" w:hAnsiTheme="minorHAnsi" w:cstheme="minorBidi"/>
          <w:sz w:val="40"/>
          <w:szCs w:val="40"/>
          <w:lang w:val="es-ES_tradnl"/>
        </w:rPr>
        <w:t>Affairs</w:t>
      </w:r>
      <w:proofErr w:type="spellEnd"/>
    </w:p>
    <w:p w14:paraId="259267A6" w14:textId="2E92D217" w:rsidR="002D64A2" w:rsidRDefault="002D64A2" w:rsidP="002D64A2">
      <w:pPr>
        <w:pStyle w:val="Title"/>
        <w:rPr>
          <w:rFonts w:asciiTheme="minorHAnsi" w:hAnsiTheme="minorHAnsi" w:cstheme="minorBidi"/>
          <w:sz w:val="40"/>
          <w:szCs w:val="40"/>
          <w:lang w:val="es-ES_tradnl"/>
        </w:rPr>
      </w:pPr>
      <w:r w:rsidRPr="002D64A2">
        <w:rPr>
          <w:rFonts w:asciiTheme="minorHAnsi" w:hAnsiTheme="minorHAnsi" w:cstheme="minorBidi"/>
          <w:sz w:val="40"/>
          <w:szCs w:val="40"/>
          <w:lang w:val="es-ES_tradnl"/>
        </w:rPr>
        <w:t>DEPARTMENT OF ENERGY RESOURCES</w:t>
      </w:r>
    </w:p>
    <w:p w14:paraId="47896365" w14:textId="6BFEB5D4" w:rsidR="00000603" w:rsidRPr="004D5E2B" w:rsidRDefault="00666F2B" w:rsidP="00000603">
      <w:pPr>
        <w:pStyle w:val="Title"/>
        <w:rPr>
          <w:rFonts w:asciiTheme="minorHAnsi" w:hAnsiTheme="minorHAnsi" w:cstheme="minorBidi"/>
          <w:b w:val="0"/>
          <w:bCs w:val="0"/>
          <w:sz w:val="40"/>
          <w:szCs w:val="40"/>
          <w:lang w:val="es-ES_tradnl"/>
        </w:rPr>
      </w:pPr>
      <w:r w:rsidRPr="004D5E2B">
        <w:rPr>
          <w:rFonts w:asciiTheme="minorHAnsi" w:hAnsiTheme="minorHAnsi" w:cstheme="minorBidi"/>
          <w:sz w:val="40"/>
          <w:szCs w:val="40"/>
          <w:lang w:val="es-ES_tradnl"/>
        </w:rPr>
        <w:t xml:space="preserve">Mancomunidad de </w:t>
      </w:r>
      <w:r w:rsidR="00000603" w:rsidRPr="004D5E2B">
        <w:rPr>
          <w:rFonts w:asciiTheme="minorHAnsi" w:hAnsiTheme="minorHAnsi" w:cstheme="minorBidi"/>
          <w:sz w:val="40"/>
          <w:szCs w:val="40"/>
          <w:lang w:val="es-ES_tradnl"/>
        </w:rPr>
        <w:t>Massachusetts</w:t>
      </w:r>
    </w:p>
    <w:p w14:paraId="47896366" w14:textId="77777777" w:rsidR="00666F2B" w:rsidRPr="004D5E2B" w:rsidRDefault="00666F2B" w:rsidP="00666F2B">
      <w:pPr>
        <w:spacing w:before="74" w:line="253" w:lineRule="exact"/>
        <w:ind w:left="1044" w:right="1029"/>
        <w:jc w:val="center"/>
        <w:rPr>
          <w:rFonts w:asciiTheme="minorHAnsi" w:hAnsiTheme="minorHAnsi" w:cstheme="minorHAnsi"/>
          <w:b/>
          <w:bCs/>
          <w:sz w:val="40"/>
          <w:szCs w:val="40"/>
          <w:lang w:val="es-ES_tradnl"/>
        </w:rPr>
      </w:pPr>
      <w:r w:rsidRPr="004D5E2B">
        <w:rPr>
          <w:rFonts w:asciiTheme="minorHAnsi" w:hAnsiTheme="minorHAnsi" w:cstheme="minorHAnsi"/>
          <w:b/>
          <w:bCs/>
          <w:sz w:val="40"/>
          <w:szCs w:val="40"/>
          <w:lang w:val="es-ES_tradnl"/>
        </w:rPr>
        <w:t>Oficina Ejecutiva de Energía y Asuntos Ambientales</w:t>
      </w:r>
    </w:p>
    <w:p w14:paraId="47896367" w14:textId="77777777" w:rsidR="00666F2B" w:rsidRPr="004D5E2B" w:rsidRDefault="00666F2B" w:rsidP="00666F2B">
      <w:pPr>
        <w:spacing w:before="74" w:line="253" w:lineRule="exact"/>
        <w:ind w:left="1044" w:right="1029"/>
        <w:jc w:val="center"/>
        <w:rPr>
          <w:rFonts w:asciiTheme="minorHAnsi" w:hAnsiTheme="minorHAnsi" w:cstheme="minorBidi"/>
          <w:b/>
          <w:bCs/>
          <w:sz w:val="40"/>
          <w:szCs w:val="40"/>
          <w:lang w:val="es-ES_tradnl"/>
        </w:rPr>
      </w:pPr>
    </w:p>
    <w:p w14:paraId="47896368" w14:textId="77777777" w:rsidR="00666F2B" w:rsidRPr="004D5E2B" w:rsidRDefault="00666F2B" w:rsidP="00666F2B">
      <w:pPr>
        <w:spacing w:before="74" w:line="253" w:lineRule="exact"/>
        <w:ind w:left="1044" w:right="1029"/>
        <w:jc w:val="center"/>
        <w:rPr>
          <w:rFonts w:asciiTheme="minorHAnsi" w:hAnsiTheme="minorHAnsi" w:cstheme="minorBidi"/>
          <w:b/>
          <w:bCs/>
          <w:sz w:val="40"/>
          <w:szCs w:val="40"/>
          <w:lang w:val="es-ES_tradnl"/>
        </w:rPr>
      </w:pPr>
      <w:r w:rsidRPr="004D5E2B">
        <w:rPr>
          <w:rFonts w:asciiTheme="minorHAnsi" w:hAnsiTheme="minorHAnsi" w:cstheme="minorBidi"/>
          <w:b/>
          <w:bCs/>
          <w:sz w:val="40"/>
          <w:szCs w:val="40"/>
          <w:lang w:val="es-ES_tradnl"/>
        </w:rPr>
        <w:t>DEPARTAMENTO DE RECURSOS ENERGÉTICOS</w:t>
      </w:r>
    </w:p>
    <w:p w14:paraId="47896369" w14:textId="77777777" w:rsidR="00000603" w:rsidRPr="004D5E2B" w:rsidRDefault="00000603" w:rsidP="00000603">
      <w:pPr>
        <w:spacing w:before="2"/>
        <w:rPr>
          <w:rFonts w:cstheme="minorHAnsi"/>
          <w:color w:val="000000" w:themeColor="text1"/>
          <w:lang w:val="es-ES_tradnl"/>
        </w:rPr>
      </w:pPr>
    </w:p>
    <w:p w14:paraId="4789636A" w14:textId="77777777" w:rsidR="00000603" w:rsidRPr="004D5E2B" w:rsidRDefault="000B6C4D" w:rsidP="000B6C4D">
      <w:pPr>
        <w:pStyle w:val="Title"/>
        <w:rPr>
          <w:rFonts w:asciiTheme="minorHAnsi" w:hAnsiTheme="minorHAnsi" w:cstheme="minorHAnsi"/>
          <w:b w:val="0"/>
          <w:bCs w:val="0"/>
          <w:color w:val="000000" w:themeColor="text1"/>
          <w:lang w:val="es-ES_tradnl"/>
        </w:rPr>
      </w:pPr>
      <w:r w:rsidRPr="004D5E2B">
        <w:rPr>
          <w:rFonts w:asciiTheme="minorHAnsi" w:hAnsiTheme="minorHAnsi" w:cstheme="minorHAnsi"/>
          <w:color w:val="000000" w:themeColor="text1"/>
          <w:lang w:val="es-ES_tradnl"/>
        </w:rPr>
        <w:t>PROGRAMA DE INFORMES DE ENERGÍA PARA EDIFICIOS GRANDES       (225 CMR 27.00)</w:t>
      </w:r>
    </w:p>
    <w:p w14:paraId="4789636B" w14:textId="77777777" w:rsidR="00000603" w:rsidRPr="004D5E2B" w:rsidRDefault="000B6C4D" w:rsidP="00000603">
      <w:pPr>
        <w:spacing w:before="250"/>
        <w:ind w:left="1220" w:right="1029"/>
        <w:jc w:val="center"/>
        <w:rPr>
          <w:b/>
          <w:bCs/>
          <w:sz w:val="24"/>
          <w:szCs w:val="24"/>
          <w:lang w:val="es-ES_tradnl"/>
        </w:rPr>
      </w:pPr>
      <w:r w:rsidRPr="004D5E2B">
        <w:rPr>
          <w:b/>
          <w:bCs/>
          <w:sz w:val="24"/>
          <w:szCs w:val="24"/>
          <w:lang w:val="es-ES_tradnl"/>
        </w:rPr>
        <w:t>Preguntas emitidas para comentario público: 31 de marzo de 2025</w:t>
      </w:r>
    </w:p>
    <w:p w14:paraId="4789636C" w14:textId="77777777" w:rsidR="00000603" w:rsidRPr="004D5E2B" w:rsidRDefault="00000603" w:rsidP="00000603">
      <w:pPr>
        <w:rPr>
          <w:lang w:val="es-ES_tradnl"/>
        </w:rPr>
      </w:pPr>
    </w:p>
    <w:p w14:paraId="4789636D" w14:textId="77777777" w:rsidR="00000603" w:rsidRPr="004D5E2B" w:rsidRDefault="00000603" w:rsidP="00000603">
      <w:pPr>
        <w:rPr>
          <w:rFonts w:cstheme="minorHAnsi"/>
          <w:lang w:val="es-ES_tradnl"/>
        </w:rPr>
      </w:pPr>
    </w:p>
    <w:p w14:paraId="4789636E" w14:textId="77777777" w:rsidR="000B6C4D" w:rsidRPr="004D5E2B" w:rsidRDefault="000B6C4D" w:rsidP="00000603">
      <w:pPr>
        <w:rPr>
          <w:rStyle w:val="Strong"/>
          <w:rFonts w:cstheme="minorHAnsi"/>
          <w:lang w:val="es-ES_tradnl"/>
        </w:rPr>
      </w:pPr>
      <w:r w:rsidRPr="004D5E2B">
        <w:rPr>
          <w:rStyle w:val="Strong"/>
          <w:rFonts w:cstheme="minorHAnsi"/>
          <w:lang w:val="es-ES_tradnl"/>
        </w:rPr>
        <w:t>Solicitud de comentarios públicos del Departamento de Recursos Energéticos de Massachusetts (DOER) sobre la determinación del Área Bruta de Piso en las reglas del programa de Informes de Energía de Edificios, de conformidad con 225 CMR 27.02.</w:t>
      </w:r>
    </w:p>
    <w:p w14:paraId="4789636F" w14:textId="77777777" w:rsidR="00000603" w:rsidRPr="004D5E2B" w:rsidRDefault="000B6C4D" w:rsidP="00000603">
      <w:pPr>
        <w:rPr>
          <w:rFonts w:cstheme="minorHAnsi"/>
          <w:lang w:val="es-ES_tradnl"/>
        </w:rPr>
      </w:pPr>
      <w:r w:rsidRPr="004D5E2B">
        <w:rPr>
          <w:rFonts w:cstheme="minorHAnsi"/>
          <w:lang w:val="es-ES_tradnl"/>
        </w:rPr>
        <w:t>Actualmente la definición de Área Bruta de Piso en la normativa es:</w:t>
      </w:r>
    </w:p>
    <w:p w14:paraId="47896370" w14:textId="77777777" w:rsidR="000B6C4D" w:rsidRPr="004D5E2B" w:rsidRDefault="000B6C4D" w:rsidP="00000603">
      <w:pPr>
        <w:pStyle w:val="Quote"/>
        <w:rPr>
          <w:rFonts w:cstheme="minorHAnsi"/>
          <w:lang w:val="es-ES_tradnl"/>
        </w:rPr>
      </w:pPr>
      <w:r w:rsidRPr="004D5E2B">
        <w:rPr>
          <w:rFonts w:cstheme="minorHAnsi"/>
          <w:u w:val="single"/>
          <w:lang w:val="es-ES_tradnl"/>
        </w:rPr>
        <w:t>Área Bruta de piso</w:t>
      </w:r>
      <w:r w:rsidR="00000603" w:rsidRPr="004D5E2B">
        <w:rPr>
          <w:rFonts w:cstheme="minorHAnsi"/>
          <w:lang w:val="es-ES_tradnl"/>
        </w:rPr>
        <w:t xml:space="preserve">. </w:t>
      </w:r>
      <w:r w:rsidRPr="004D5E2B">
        <w:rPr>
          <w:rFonts w:cstheme="minorHAnsi"/>
          <w:lang w:val="es-ES_tradnl"/>
        </w:rPr>
        <w:t xml:space="preserve">La superficie total de piso dentro de un edificio, medida hasta la cara exterior de las paredes. El Departamento podrá aclarar la definición de área bruta </w:t>
      </w:r>
      <w:r w:rsidR="009D1D1C" w:rsidRPr="004D5E2B">
        <w:rPr>
          <w:rFonts w:cstheme="minorHAnsi"/>
          <w:lang w:val="es-ES_tradnl"/>
        </w:rPr>
        <w:t>de piso en sus Directrices de Área</w:t>
      </w:r>
      <w:r w:rsidRPr="004D5E2B">
        <w:rPr>
          <w:rFonts w:cstheme="minorHAnsi"/>
          <w:lang w:val="es-ES_tradnl"/>
        </w:rPr>
        <w:t xml:space="preserve"> Bruta</w:t>
      </w:r>
      <w:r w:rsidR="009D1D1C" w:rsidRPr="004D5E2B">
        <w:rPr>
          <w:rFonts w:cstheme="minorHAnsi"/>
          <w:lang w:val="es-ES_tradnl"/>
        </w:rPr>
        <w:t xml:space="preserve"> de piso</w:t>
      </w:r>
      <w:r w:rsidRPr="004D5E2B">
        <w:rPr>
          <w:rFonts w:cstheme="minorHAnsi"/>
          <w:lang w:val="es-ES_tradnl"/>
        </w:rPr>
        <w:t>.</w:t>
      </w:r>
    </w:p>
    <w:p w14:paraId="47896371" w14:textId="77777777" w:rsidR="009D1D1C" w:rsidRPr="004D5E2B" w:rsidRDefault="009D1D1C" w:rsidP="00000603">
      <w:pPr>
        <w:rPr>
          <w:rFonts w:cstheme="minorHAnsi"/>
          <w:lang w:val="es-ES_tradnl"/>
        </w:rPr>
      </w:pPr>
      <w:r w:rsidRPr="004D5E2B">
        <w:rPr>
          <w:rFonts w:cstheme="minorHAnsi"/>
          <w:lang w:val="es-ES_tradnl"/>
        </w:rPr>
        <w:t xml:space="preserve">El DOER ha publicado un borrador de la Guía que aclara cómo calcular </w:t>
      </w:r>
      <w:r w:rsidR="005B336E" w:rsidRPr="004D5E2B">
        <w:rPr>
          <w:rFonts w:cstheme="minorHAnsi"/>
          <w:lang w:val="es-ES_tradnl"/>
        </w:rPr>
        <w:t xml:space="preserve">el </w:t>
      </w:r>
      <w:r w:rsidR="005B336E" w:rsidRPr="004D5E2B">
        <w:rPr>
          <w:lang w:val="es-ES_tradnl"/>
        </w:rPr>
        <w:t>Á</w:t>
      </w:r>
      <w:r w:rsidR="005B336E" w:rsidRPr="004D5E2B">
        <w:rPr>
          <w:rFonts w:cstheme="minorHAnsi"/>
          <w:lang w:val="es-ES_tradnl"/>
        </w:rPr>
        <w:t>rea</w:t>
      </w:r>
      <w:r w:rsidRPr="004D5E2B">
        <w:rPr>
          <w:rFonts w:cstheme="minorHAnsi"/>
          <w:lang w:val="es-ES_tradnl"/>
        </w:rPr>
        <w:t xml:space="preserve"> Bruta</w:t>
      </w:r>
      <w:r w:rsidR="005B336E" w:rsidRPr="004D5E2B">
        <w:rPr>
          <w:rFonts w:cstheme="minorHAnsi"/>
          <w:lang w:val="es-ES_tradnl"/>
        </w:rPr>
        <w:t xml:space="preserve"> de Piso</w:t>
      </w:r>
      <w:r w:rsidRPr="004D5E2B">
        <w:rPr>
          <w:rFonts w:cstheme="minorHAnsi"/>
          <w:lang w:val="es-ES_tradnl"/>
        </w:rPr>
        <w:t xml:space="preserve">, junto con este documento. Además de los comentarios sobre el borrador, el DOER solicita la opinión pública sobre la documentación comúnmente utilizada para demostrar </w:t>
      </w:r>
      <w:r w:rsidR="007077CC" w:rsidRPr="004D5E2B">
        <w:rPr>
          <w:rFonts w:cstheme="minorHAnsi"/>
          <w:lang w:val="es-ES_tradnl"/>
        </w:rPr>
        <w:t xml:space="preserve">el </w:t>
      </w:r>
      <w:r w:rsidR="007077CC" w:rsidRPr="004D5E2B">
        <w:rPr>
          <w:lang w:val="es-ES_tradnl"/>
        </w:rPr>
        <w:t>á</w:t>
      </w:r>
      <w:r w:rsidR="007077CC" w:rsidRPr="004D5E2B">
        <w:rPr>
          <w:rFonts w:cstheme="minorHAnsi"/>
          <w:lang w:val="es-ES_tradnl"/>
        </w:rPr>
        <w:t xml:space="preserve">rea </w:t>
      </w:r>
      <w:r w:rsidRPr="004D5E2B">
        <w:rPr>
          <w:rFonts w:cstheme="minorHAnsi"/>
          <w:lang w:val="es-ES_tradnl"/>
        </w:rPr>
        <w:t>de un edificio. Por favor, responda a las preguntas:</w:t>
      </w:r>
    </w:p>
    <w:p w14:paraId="47896372" w14:textId="77777777" w:rsidR="00000603" w:rsidRPr="004D5E2B" w:rsidRDefault="00000603" w:rsidP="00000603">
      <w:pPr>
        <w:rPr>
          <w:rFonts w:cstheme="minorHAnsi"/>
          <w:lang w:val="es-ES_tradnl"/>
        </w:rPr>
      </w:pPr>
    </w:p>
    <w:p w14:paraId="47896373" w14:textId="77777777" w:rsidR="001B5E94" w:rsidRPr="004D5E2B" w:rsidRDefault="001B5E94" w:rsidP="00000603">
      <w:pPr>
        <w:rPr>
          <w:rFonts w:cstheme="minorBidi"/>
          <w:b/>
          <w:bCs/>
          <w:color w:val="404040" w:themeColor="text1" w:themeTint="BF"/>
          <w:lang w:val="es-ES_tradnl"/>
        </w:rPr>
      </w:pPr>
      <w:r w:rsidRPr="004D5E2B">
        <w:rPr>
          <w:rFonts w:cstheme="minorBidi"/>
          <w:b/>
          <w:bCs/>
          <w:color w:val="404040" w:themeColor="text1" w:themeTint="BF"/>
          <w:lang w:val="es-ES_tradnl"/>
        </w:rPr>
        <w:t xml:space="preserve">¿Cuáles son las formas habituales en que los propietarios de edificios pueden comprobar el </w:t>
      </w:r>
      <w:r w:rsidRPr="004D5E2B">
        <w:rPr>
          <w:b/>
          <w:bCs/>
          <w:color w:val="404040" w:themeColor="text1" w:themeTint="BF"/>
          <w:lang w:val="es-ES_tradnl"/>
        </w:rPr>
        <w:t>á</w:t>
      </w:r>
      <w:r w:rsidRPr="004D5E2B">
        <w:rPr>
          <w:rFonts w:cstheme="minorBidi"/>
          <w:b/>
          <w:bCs/>
          <w:color w:val="404040" w:themeColor="text1" w:themeTint="BF"/>
          <w:lang w:val="es-ES_tradnl"/>
        </w:rPr>
        <w:t xml:space="preserve">rea de piso de su edificio? ¿Qué métodos para comprobar el </w:t>
      </w:r>
      <w:r w:rsidRPr="004D5E2B">
        <w:rPr>
          <w:b/>
          <w:bCs/>
          <w:color w:val="404040" w:themeColor="text1" w:themeTint="BF"/>
          <w:lang w:val="es-ES_tradnl"/>
        </w:rPr>
        <w:t>á</w:t>
      </w:r>
      <w:r w:rsidRPr="004D5E2B">
        <w:rPr>
          <w:rFonts w:cstheme="minorBidi"/>
          <w:b/>
          <w:bCs/>
          <w:color w:val="404040" w:themeColor="text1" w:themeTint="BF"/>
          <w:lang w:val="es-ES_tradnl"/>
        </w:rPr>
        <w:t>rea de piso son más fiables o fáciles de obtener?</w:t>
      </w:r>
    </w:p>
    <w:p w14:paraId="47896374" w14:textId="77777777" w:rsidR="00000603" w:rsidRPr="004D5E2B" w:rsidRDefault="00000603" w:rsidP="00000603">
      <w:pPr>
        <w:rPr>
          <w:b/>
          <w:bCs/>
          <w:color w:val="404040" w:themeColor="text1" w:themeTint="BF"/>
          <w:lang w:val="es-ES_tradnl"/>
        </w:rPr>
      </w:pPr>
    </w:p>
    <w:p w14:paraId="47896375" w14:textId="28F536F2" w:rsidR="00AB19CD" w:rsidRPr="004D5E2B" w:rsidRDefault="00AB19CD" w:rsidP="00000603">
      <w:pPr>
        <w:rPr>
          <w:color w:val="404040" w:themeColor="text1" w:themeTint="BF"/>
          <w:lang w:val="es-ES_tradnl"/>
        </w:rPr>
      </w:pPr>
      <w:r w:rsidRPr="004D5E2B">
        <w:rPr>
          <w:color w:val="404040" w:themeColor="text1" w:themeTint="BF"/>
          <w:lang w:val="es-ES_tradnl"/>
        </w:rPr>
        <w:t xml:space="preserve">Por favor, envíe sus comentarios al DOER antes del 23 de abril a las 5:00 pm EDT. Puede enviarlos por correo electrónico a </w:t>
      </w:r>
      <w:r w:rsidRPr="004D5E2B">
        <w:rPr>
          <w:rStyle w:val="Hyperlink"/>
          <w:lang w:val="es-ES_tradnl"/>
        </w:rPr>
        <w:t>DOER.BER@mass.gov</w:t>
      </w:r>
      <w:r w:rsidRPr="004D5E2B">
        <w:rPr>
          <w:color w:val="404040" w:themeColor="text1" w:themeTint="BF"/>
          <w:lang w:val="es-ES_tradnl"/>
        </w:rPr>
        <w:t xml:space="preserve"> con el asunto </w:t>
      </w:r>
      <w:r w:rsidRPr="004D5E2B">
        <w:rPr>
          <w:b/>
          <w:bCs/>
          <w:lang w:val="es-ES_tradnl"/>
        </w:rPr>
        <w:t>"</w:t>
      </w:r>
      <w:r w:rsidR="00227035" w:rsidRPr="00227035">
        <w:rPr>
          <w:b/>
          <w:bCs/>
          <w:lang w:val="es-ES_tradnl"/>
        </w:rPr>
        <w:t>Comentarios sobre la Guía de Área de Piso Bruta</w:t>
      </w:r>
      <w:r w:rsidR="00C04D79">
        <w:rPr>
          <w:b/>
          <w:bCs/>
          <w:lang w:val="es-ES_tradnl"/>
        </w:rPr>
        <w:t>” (</w:t>
      </w:r>
      <w:r w:rsidR="005C2A3A" w:rsidRPr="005C2A3A">
        <w:rPr>
          <w:b/>
          <w:bCs/>
          <w:lang w:val="es-ES_tradnl"/>
        </w:rPr>
        <w:t xml:space="preserve">Gross </w:t>
      </w:r>
      <w:proofErr w:type="spellStart"/>
      <w:r w:rsidR="005C2A3A" w:rsidRPr="005C2A3A">
        <w:rPr>
          <w:b/>
          <w:bCs/>
          <w:lang w:val="es-ES_tradnl"/>
        </w:rPr>
        <w:t>Floor</w:t>
      </w:r>
      <w:proofErr w:type="spellEnd"/>
      <w:r w:rsidR="005C2A3A" w:rsidRPr="005C2A3A">
        <w:rPr>
          <w:b/>
          <w:bCs/>
          <w:lang w:val="es-ES_tradnl"/>
        </w:rPr>
        <w:t xml:space="preserve"> </w:t>
      </w:r>
      <w:proofErr w:type="spellStart"/>
      <w:r w:rsidR="005C2A3A" w:rsidRPr="005C2A3A">
        <w:rPr>
          <w:b/>
          <w:bCs/>
          <w:lang w:val="es-ES_tradnl"/>
        </w:rPr>
        <w:t>Area</w:t>
      </w:r>
      <w:proofErr w:type="spellEnd"/>
      <w:r w:rsidR="005C2A3A" w:rsidRPr="005C2A3A">
        <w:rPr>
          <w:b/>
          <w:bCs/>
          <w:lang w:val="es-ES_tradnl"/>
        </w:rPr>
        <w:t xml:space="preserve"> </w:t>
      </w:r>
      <w:proofErr w:type="spellStart"/>
      <w:r w:rsidR="005C2A3A" w:rsidRPr="005C2A3A">
        <w:rPr>
          <w:b/>
          <w:bCs/>
          <w:lang w:val="es-ES_tradnl"/>
        </w:rPr>
        <w:t>Guideline</w:t>
      </w:r>
      <w:proofErr w:type="spellEnd"/>
      <w:r w:rsidR="005C2A3A" w:rsidRPr="005C2A3A">
        <w:rPr>
          <w:b/>
          <w:bCs/>
          <w:lang w:val="es-ES_tradnl"/>
        </w:rPr>
        <w:t xml:space="preserve"> </w:t>
      </w:r>
      <w:proofErr w:type="spellStart"/>
      <w:r w:rsidR="005C2A3A" w:rsidRPr="005C2A3A">
        <w:rPr>
          <w:b/>
          <w:bCs/>
          <w:lang w:val="es-ES_tradnl"/>
        </w:rPr>
        <w:t>Feedback</w:t>
      </w:r>
      <w:proofErr w:type="spellEnd"/>
      <w:r w:rsidR="00C04D79">
        <w:rPr>
          <w:b/>
          <w:bCs/>
          <w:lang w:val="es-ES_tradnl"/>
        </w:rPr>
        <w:t>)</w:t>
      </w:r>
      <w:r w:rsidRPr="004D5E2B">
        <w:rPr>
          <w:color w:val="404040" w:themeColor="text1" w:themeTint="BF"/>
          <w:lang w:val="es-ES_tradnl"/>
        </w:rPr>
        <w:t xml:space="preserve"> o por correo postal al </w:t>
      </w:r>
      <w:r w:rsidR="00AA2B7D" w:rsidRPr="00AA2B7D">
        <w:rPr>
          <w:color w:val="404040" w:themeColor="text1" w:themeTint="BF"/>
          <w:lang w:val="es-ES_tradnl"/>
        </w:rPr>
        <w:t xml:space="preserve">Massachusetts </w:t>
      </w:r>
      <w:proofErr w:type="spellStart"/>
      <w:r w:rsidR="00AA2B7D" w:rsidRPr="00AA2B7D">
        <w:rPr>
          <w:color w:val="404040" w:themeColor="text1" w:themeTint="BF"/>
          <w:lang w:val="es-ES_tradnl"/>
        </w:rPr>
        <w:t>Department</w:t>
      </w:r>
      <w:proofErr w:type="spellEnd"/>
      <w:r w:rsidR="00AA2B7D" w:rsidRPr="00AA2B7D">
        <w:rPr>
          <w:color w:val="404040" w:themeColor="text1" w:themeTint="BF"/>
          <w:lang w:val="es-ES_tradnl"/>
        </w:rPr>
        <w:t xml:space="preserve"> </w:t>
      </w:r>
      <w:proofErr w:type="spellStart"/>
      <w:r w:rsidR="00AA2B7D" w:rsidRPr="00AA2B7D">
        <w:rPr>
          <w:color w:val="404040" w:themeColor="text1" w:themeTint="BF"/>
          <w:lang w:val="es-ES_tradnl"/>
        </w:rPr>
        <w:t>of</w:t>
      </w:r>
      <w:proofErr w:type="spellEnd"/>
      <w:r w:rsidR="00AA2B7D" w:rsidRPr="00AA2B7D">
        <w:rPr>
          <w:color w:val="404040" w:themeColor="text1" w:themeTint="BF"/>
          <w:lang w:val="es-ES_tradnl"/>
        </w:rPr>
        <w:t xml:space="preserve"> Energy </w:t>
      </w:r>
      <w:proofErr w:type="spellStart"/>
      <w:r w:rsidR="00AA2B7D" w:rsidRPr="00AA2B7D">
        <w:rPr>
          <w:color w:val="404040" w:themeColor="text1" w:themeTint="BF"/>
          <w:lang w:val="es-ES_tradnl"/>
        </w:rPr>
        <w:t>Resources</w:t>
      </w:r>
      <w:proofErr w:type="spellEnd"/>
      <w:r w:rsidR="00AA2B7D" w:rsidRPr="00AA2B7D">
        <w:rPr>
          <w:color w:val="404040" w:themeColor="text1" w:themeTint="BF"/>
          <w:lang w:val="es-ES_tradnl"/>
        </w:rPr>
        <w:t xml:space="preserve"> c/o LBER, 100 Cambridge St. 9th </w:t>
      </w:r>
      <w:proofErr w:type="spellStart"/>
      <w:r w:rsidR="00AA2B7D" w:rsidRPr="00AA2B7D">
        <w:rPr>
          <w:color w:val="404040" w:themeColor="text1" w:themeTint="BF"/>
          <w:lang w:val="es-ES_tradnl"/>
        </w:rPr>
        <w:t>Floor</w:t>
      </w:r>
      <w:proofErr w:type="spellEnd"/>
      <w:r w:rsidR="00AA2B7D" w:rsidRPr="00AA2B7D">
        <w:rPr>
          <w:color w:val="404040" w:themeColor="text1" w:themeTint="BF"/>
          <w:lang w:val="es-ES_tradnl"/>
        </w:rPr>
        <w:t>, Boston, MA, 02114</w:t>
      </w:r>
      <w:r w:rsidRPr="004D5E2B">
        <w:rPr>
          <w:color w:val="404040" w:themeColor="text1" w:themeTint="BF"/>
          <w:lang w:val="es-ES_tradnl"/>
        </w:rPr>
        <w:t xml:space="preserve">. </w:t>
      </w:r>
      <w:r w:rsidR="00535026" w:rsidRPr="004D5E2B">
        <w:rPr>
          <w:color w:val="404040" w:themeColor="text1" w:themeTint="BF"/>
          <w:lang w:val="es-ES_tradnl"/>
        </w:rPr>
        <w:t>Por favor t</w:t>
      </w:r>
      <w:r w:rsidRPr="004D5E2B">
        <w:rPr>
          <w:color w:val="404040" w:themeColor="text1" w:themeTint="BF"/>
          <w:lang w:val="es-ES_tradnl"/>
        </w:rPr>
        <w:t>enga en cuenta que la recepción de comentarios por escrito por correo postal podría demorarse.</w:t>
      </w:r>
    </w:p>
    <w:p w14:paraId="47896376" w14:textId="77777777" w:rsidR="00AB19CD" w:rsidRPr="004D5E2B" w:rsidRDefault="00AB19CD" w:rsidP="00000603">
      <w:pPr>
        <w:rPr>
          <w:color w:val="404040" w:themeColor="text1" w:themeTint="BF"/>
          <w:lang w:val="es-ES_tradnl"/>
        </w:rPr>
      </w:pPr>
    </w:p>
    <w:p w14:paraId="47896377" w14:textId="77777777" w:rsidR="0022268D" w:rsidRPr="004D5E2B" w:rsidRDefault="0022268D" w:rsidP="00536E14">
      <w:pPr>
        <w:pStyle w:val="ListParagraph"/>
        <w:shd w:val="clear" w:color="auto" w:fill="FFFFFF" w:themeFill="background1"/>
        <w:ind w:left="360" w:right="195" w:firstLine="0"/>
        <w:rPr>
          <w:rFonts w:eastAsia="Helvetica"/>
          <w:color w:val="000000" w:themeColor="text1"/>
          <w:sz w:val="24"/>
          <w:szCs w:val="24"/>
          <w:lang w:val="es-ES_tradnl"/>
        </w:rPr>
      </w:pPr>
    </w:p>
    <w:p w14:paraId="47896378" w14:textId="77777777" w:rsidR="0022268D" w:rsidRPr="004D5E2B" w:rsidRDefault="0022268D" w:rsidP="00536E14">
      <w:pPr>
        <w:pStyle w:val="ListParagraph"/>
        <w:shd w:val="clear" w:color="auto" w:fill="FFFFFF" w:themeFill="background1"/>
        <w:ind w:left="360" w:right="195" w:firstLine="0"/>
        <w:rPr>
          <w:rFonts w:eastAsia="Helvetica"/>
          <w:color w:val="000000" w:themeColor="text1"/>
          <w:sz w:val="24"/>
          <w:szCs w:val="24"/>
          <w:lang w:val="es-ES_tradnl"/>
        </w:rPr>
      </w:pPr>
    </w:p>
    <w:p w14:paraId="47896379" w14:textId="77777777" w:rsidR="00AC3B60" w:rsidRPr="004D5E2B" w:rsidRDefault="00AC3B60" w:rsidP="00AC3B60">
      <w:pPr>
        <w:shd w:val="clear" w:color="auto" w:fill="FFFFFF" w:themeFill="background1"/>
        <w:ind w:right="195"/>
        <w:rPr>
          <w:rFonts w:eastAsia="Helvetica"/>
          <w:color w:val="0063D3"/>
          <w:sz w:val="24"/>
          <w:szCs w:val="24"/>
          <w:lang w:val="es-ES_tradnl"/>
        </w:rPr>
      </w:pPr>
    </w:p>
    <w:p w14:paraId="4789637A" w14:textId="77777777" w:rsidR="00B46E95" w:rsidRPr="004D5E2B" w:rsidRDefault="00B46E95" w:rsidP="02CDBA2B">
      <w:pPr>
        <w:pStyle w:val="ListParagraph"/>
        <w:spacing w:after="195"/>
        <w:rPr>
          <w:lang w:val="es-ES_tradnl"/>
        </w:rPr>
      </w:pPr>
    </w:p>
    <w:sectPr w:rsidR="00B46E95" w:rsidRPr="004D5E2B" w:rsidSect="00C63584">
      <w:headerReference w:type="default" r:id="rId11"/>
      <w:pgSz w:w="12240" w:h="15840"/>
      <w:pgMar w:top="92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637E" w14:textId="77777777" w:rsidR="006C6CEE" w:rsidRDefault="006C6CEE" w:rsidP="00966AEC">
      <w:r>
        <w:separator/>
      </w:r>
    </w:p>
  </w:endnote>
  <w:endnote w:type="continuationSeparator" w:id="0">
    <w:p w14:paraId="4789637F" w14:textId="77777777" w:rsidR="006C6CEE" w:rsidRDefault="006C6CEE" w:rsidP="00966AEC">
      <w:r>
        <w:continuationSeparator/>
      </w:r>
    </w:p>
  </w:endnote>
  <w:endnote w:type="continuationNotice" w:id="1">
    <w:p w14:paraId="47896380" w14:textId="77777777" w:rsidR="006C6CEE" w:rsidRDefault="006C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637B" w14:textId="77777777" w:rsidR="006C6CEE" w:rsidRDefault="006C6CEE" w:rsidP="00966AEC">
      <w:r>
        <w:separator/>
      </w:r>
    </w:p>
  </w:footnote>
  <w:footnote w:type="continuationSeparator" w:id="0">
    <w:p w14:paraId="4789637C" w14:textId="77777777" w:rsidR="006C6CEE" w:rsidRDefault="006C6CEE" w:rsidP="00966AEC">
      <w:r>
        <w:continuationSeparator/>
      </w:r>
    </w:p>
  </w:footnote>
  <w:footnote w:type="continuationNotice" w:id="1">
    <w:p w14:paraId="4789637D" w14:textId="77777777" w:rsidR="006C6CEE" w:rsidRDefault="006C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EFC6" w14:textId="343C2250" w:rsidR="00566988" w:rsidRPr="00566988" w:rsidRDefault="00566988" w:rsidP="00566988">
    <w:pPr>
      <w:pStyle w:val="Header"/>
      <w:jc w:val="right"/>
      <w:rPr>
        <w:rFonts w:ascii="Arial" w:hAnsi="Arial" w:cs="Arial"/>
        <w:b/>
        <w:bCs/>
        <w:i/>
        <w:iCs/>
        <w:color w:val="D9D9D9" w:themeColor="background1" w:themeShade="D9"/>
        <w:sz w:val="18"/>
        <w:szCs w:val="18"/>
      </w:rPr>
    </w:pPr>
    <w:r>
      <w:rPr>
        <w:rFonts w:ascii="Arial" w:hAnsi="Arial" w:cs="Arial"/>
        <w:b/>
        <w:bCs/>
        <w:i/>
        <w:iCs/>
        <w:color w:val="D9D9D9" w:themeColor="background1" w:themeShade="D9"/>
        <w:sz w:val="18"/>
        <w:szCs w:val="18"/>
      </w:rPr>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4ED"/>
    <w:multiLevelType w:val="hybridMultilevel"/>
    <w:tmpl w:val="4D82FB3E"/>
    <w:lvl w:ilvl="0" w:tplc="0D3E5644">
      <w:start w:val="1"/>
      <w:numFmt w:val="decimal"/>
      <w:lvlText w:val="%1)"/>
      <w:lvlJc w:val="left"/>
      <w:pPr>
        <w:ind w:left="46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EA0902">
      <w:start w:val="1"/>
      <w:numFmt w:val="lowerLetter"/>
      <w:lvlText w:val="%2)"/>
      <w:lvlJc w:val="left"/>
      <w:pPr>
        <w:ind w:left="824" w:hanging="360"/>
      </w:pPr>
      <w:rPr>
        <w:rFonts w:hint="default"/>
        <w:spacing w:val="0"/>
        <w:w w:val="99"/>
        <w:lang w:val="en-US" w:eastAsia="en-US" w:bidi="ar-SA"/>
      </w:rPr>
    </w:lvl>
    <w:lvl w:ilvl="2" w:tplc="05EC8B7A">
      <w:start w:val="1"/>
      <w:numFmt w:val="lowerRoman"/>
      <w:lvlText w:val="%3."/>
      <w:lvlJc w:val="left"/>
      <w:pPr>
        <w:ind w:left="1184"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5FD4CAEE">
      <w:start w:val="1"/>
      <w:numFmt w:val="decimal"/>
      <w:lvlText w:val="(%4)"/>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tplc="82D47C8C">
      <w:numFmt w:val="bullet"/>
      <w:lvlText w:val="•"/>
      <w:lvlJc w:val="left"/>
      <w:pPr>
        <w:ind w:left="1540" w:hanging="360"/>
      </w:pPr>
      <w:rPr>
        <w:rFonts w:hint="default"/>
        <w:lang w:val="en-US" w:eastAsia="en-US" w:bidi="ar-SA"/>
      </w:rPr>
    </w:lvl>
    <w:lvl w:ilvl="5" w:tplc="A406FE76">
      <w:numFmt w:val="bullet"/>
      <w:lvlText w:val="•"/>
      <w:lvlJc w:val="left"/>
      <w:pPr>
        <w:ind w:left="3066" w:hanging="360"/>
      </w:pPr>
      <w:rPr>
        <w:rFonts w:hint="default"/>
        <w:lang w:val="en-US" w:eastAsia="en-US" w:bidi="ar-SA"/>
      </w:rPr>
    </w:lvl>
    <w:lvl w:ilvl="6" w:tplc="A9769550">
      <w:numFmt w:val="bullet"/>
      <w:lvlText w:val="•"/>
      <w:lvlJc w:val="left"/>
      <w:pPr>
        <w:ind w:left="4593" w:hanging="360"/>
      </w:pPr>
      <w:rPr>
        <w:rFonts w:hint="default"/>
        <w:lang w:val="en-US" w:eastAsia="en-US" w:bidi="ar-SA"/>
      </w:rPr>
    </w:lvl>
    <w:lvl w:ilvl="7" w:tplc="B06EF1B8">
      <w:numFmt w:val="bullet"/>
      <w:lvlText w:val="•"/>
      <w:lvlJc w:val="left"/>
      <w:pPr>
        <w:ind w:left="6120" w:hanging="360"/>
      </w:pPr>
      <w:rPr>
        <w:rFonts w:hint="default"/>
        <w:lang w:val="en-US" w:eastAsia="en-US" w:bidi="ar-SA"/>
      </w:rPr>
    </w:lvl>
    <w:lvl w:ilvl="8" w:tplc="C4801576">
      <w:numFmt w:val="bullet"/>
      <w:lvlText w:val="•"/>
      <w:lvlJc w:val="left"/>
      <w:pPr>
        <w:ind w:left="7646" w:hanging="360"/>
      </w:pPr>
      <w:rPr>
        <w:rFonts w:hint="default"/>
        <w:lang w:val="en-US" w:eastAsia="en-US" w:bidi="ar-SA"/>
      </w:rPr>
    </w:lvl>
  </w:abstractNum>
  <w:abstractNum w:abstractNumId="1" w15:restartNumberingAfterBreak="0">
    <w:nsid w:val="2DBB8229"/>
    <w:multiLevelType w:val="hybridMultilevel"/>
    <w:tmpl w:val="FFFFFFFF"/>
    <w:lvl w:ilvl="0" w:tplc="5986C89A">
      <w:start w:val="1"/>
      <w:numFmt w:val="bullet"/>
      <w:lvlText w:val=""/>
      <w:lvlJc w:val="left"/>
      <w:pPr>
        <w:ind w:left="720" w:hanging="360"/>
      </w:pPr>
      <w:rPr>
        <w:rFonts w:ascii="Symbol" w:hAnsi="Symbol" w:hint="default"/>
      </w:rPr>
    </w:lvl>
    <w:lvl w:ilvl="1" w:tplc="60D68B30">
      <w:start w:val="1"/>
      <w:numFmt w:val="bullet"/>
      <w:lvlText w:val="o"/>
      <w:lvlJc w:val="left"/>
      <w:pPr>
        <w:ind w:left="1440" w:hanging="360"/>
      </w:pPr>
      <w:rPr>
        <w:rFonts w:ascii="Courier New" w:hAnsi="Courier New" w:hint="default"/>
      </w:rPr>
    </w:lvl>
    <w:lvl w:ilvl="2" w:tplc="3FCAB2C4">
      <w:start w:val="1"/>
      <w:numFmt w:val="bullet"/>
      <w:lvlText w:val=""/>
      <w:lvlJc w:val="left"/>
      <w:pPr>
        <w:ind w:left="2160" w:hanging="360"/>
      </w:pPr>
      <w:rPr>
        <w:rFonts w:ascii="Wingdings" w:hAnsi="Wingdings" w:hint="default"/>
      </w:rPr>
    </w:lvl>
    <w:lvl w:ilvl="3" w:tplc="7E5051FE">
      <w:start w:val="1"/>
      <w:numFmt w:val="bullet"/>
      <w:lvlText w:val=""/>
      <w:lvlJc w:val="left"/>
      <w:pPr>
        <w:ind w:left="2880" w:hanging="360"/>
      </w:pPr>
      <w:rPr>
        <w:rFonts w:ascii="Symbol" w:hAnsi="Symbol" w:hint="default"/>
      </w:rPr>
    </w:lvl>
    <w:lvl w:ilvl="4" w:tplc="06CAF008">
      <w:start w:val="1"/>
      <w:numFmt w:val="bullet"/>
      <w:lvlText w:val="o"/>
      <w:lvlJc w:val="left"/>
      <w:pPr>
        <w:ind w:left="3600" w:hanging="360"/>
      </w:pPr>
      <w:rPr>
        <w:rFonts w:ascii="Courier New" w:hAnsi="Courier New" w:hint="default"/>
      </w:rPr>
    </w:lvl>
    <w:lvl w:ilvl="5" w:tplc="E1CABDCC">
      <w:start w:val="1"/>
      <w:numFmt w:val="bullet"/>
      <w:lvlText w:val=""/>
      <w:lvlJc w:val="left"/>
      <w:pPr>
        <w:ind w:left="4320" w:hanging="360"/>
      </w:pPr>
      <w:rPr>
        <w:rFonts w:ascii="Wingdings" w:hAnsi="Wingdings" w:hint="default"/>
      </w:rPr>
    </w:lvl>
    <w:lvl w:ilvl="6" w:tplc="DA16F6D0">
      <w:start w:val="1"/>
      <w:numFmt w:val="bullet"/>
      <w:lvlText w:val=""/>
      <w:lvlJc w:val="left"/>
      <w:pPr>
        <w:ind w:left="5040" w:hanging="360"/>
      </w:pPr>
      <w:rPr>
        <w:rFonts w:ascii="Symbol" w:hAnsi="Symbol" w:hint="default"/>
      </w:rPr>
    </w:lvl>
    <w:lvl w:ilvl="7" w:tplc="4DA6392C">
      <w:start w:val="1"/>
      <w:numFmt w:val="bullet"/>
      <w:lvlText w:val="o"/>
      <w:lvlJc w:val="left"/>
      <w:pPr>
        <w:ind w:left="5760" w:hanging="360"/>
      </w:pPr>
      <w:rPr>
        <w:rFonts w:ascii="Courier New" w:hAnsi="Courier New" w:hint="default"/>
      </w:rPr>
    </w:lvl>
    <w:lvl w:ilvl="8" w:tplc="A46EA17C">
      <w:start w:val="1"/>
      <w:numFmt w:val="bullet"/>
      <w:lvlText w:val=""/>
      <w:lvlJc w:val="left"/>
      <w:pPr>
        <w:ind w:left="6480" w:hanging="360"/>
      </w:pPr>
      <w:rPr>
        <w:rFonts w:ascii="Wingdings" w:hAnsi="Wingdings" w:hint="default"/>
      </w:rPr>
    </w:lvl>
  </w:abstractNum>
  <w:abstractNum w:abstractNumId="2" w15:restartNumberingAfterBreak="0">
    <w:nsid w:val="39181FBD"/>
    <w:multiLevelType w:val="hybridMultilevel"/>
    <w:tmpl w:val="ACAE18D6"/>
    <w:lvl w:ilvl="0" w:tplc="372872F4">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496DB66">
      <w:start w:val="1"/>
      <w:numFmt w:val="decimal"/>
      <w:lvlText w:val="(%2)"/>
      <w:lvlJc w:val="left"/>
      <w:pPr>
        <w:ind w:left="154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61020CAC">
      <w:numFmt w:val="bullet"/>
      <w:lvlText w:val="•"/>
      <w:lvlJc w:val="left"/>
      <w:pPr>
        <w:ind w:left="2557" w:hanging="360"/>
      </w:pPr>
      <w:rPr>
        <w:rFonts w:hint="default"/>
        <w:lang w:val="en-US" w:eastAsia="en-US" w:bidi="ar-SA"/>
      </w:rPr>
    </w:lvl>
    <w:lvl w:ilvl="3" w:tplc="7B6C6F90">
      <w:numFmt w:val="bullet"/>
      <w:lvlText w:val="•"/>
      <w:lvlJc w:val="left"/>
      <w:pPr>
        <w:ind w:left="3575" w:hanging="360"/>
      </w:pPr>
      <w:rPr>
        <w:rFonts w:hint="default"/>
        <w:lang w:val="en-US" w:eastAsia="en-US" w:bidi="ar-SA"/>
      </w:rPr>
    </w:lvl>
    <w:lvl w:ilvl="4" w:tplc="7B32B442">
      <w:numFmt w:val="bullet"/>
      <w:lvlText w:val="•"/>
      <w:lvlJc w:val="left"/>
      <w:pPr>
        <w:ind w:left="4593" w:hanging="360"/>
      </w:pPr>
      <w:rPr>
        <w:rFonts w:hint="default"/>
        <w:lang w:val="en-US" w:eastAsia="en-US" w:bidi="ar-SA"/>
      </w:rPr>
    </w:lvl>
    <w:lvl w:ilvl="5" w:tplc="F65E0B2C">
      <w:numFmt w:val="bullet"/>
      <w:lvlText w:val="•"/>
      <w:lvlJc w:val="left"/>
      <w:pPr>
        <w:ind w:left="5611" w:hanging="360"/>
      </w:pPr>
      <w:rPr>
        <w:rFonts w:hint="default"/>
        <w:lang w:val="en-US" w:eastAsia="en-US" w:bidi="ar-SA"/>
      </w:rPr>
    </w:lvl>
    <w:lvl w:ilvl="6" w:tplc="FF889CBC">
      <w:numFmt w:val="bullet"/>
      <w:lvlText w:val="•"/>
      <w:lvlJc w:val="left"/>
      <w:pPr>
        <w:ind w:left="6628" w:hanging="360"/>
      </w:pPr>
      <w:rPr>
        <w:rFonts w:hint="default"/>
        <w:lang w:val="en-US" w:eastAsia="en-US" w:bidi="ar-SA"/>
      </w:rPr>
    </w:lvl>
    <w:lvl w:ilvl="7" w:tplc="405EE666">
      <w:numFmt w:val="bullet"/>
      <w:lvlText w:val="•"/>
      <w:lvlJc w:val="left"/>
      <w:pPr>
        <w:ind w:left="7646" w:hanging="360"/>
      </w:pPr>
      <w:rPr>
        <w:rFonts w:hint="default"/>
        <w:lang w:val="en-US" w:eastAsia="en-US" w:bidi="ar-SA"/>
      </w:rPr>
    </w:lvl>
    <w:lvl w:ilvl="8" w:tplc="89585F8E">
      <w:numFmt w:val="bullet"/>
      <w:lvlText w:val="•"/>
      <w:lvlJc w:val="left"/>
      <w:pPr>
        <w:ind w:left="8664" w:hanging="360"/>
      </w:pPr>
      <w:rPr>
        <w:rFonts w:hint="default"/>
        <w:lang w:val="en-US" w:eastAsia="en-US" w:bidi="ar-SA"/>
      </w:rPr>
    </w:lvl>
  </w:abstractNum>
  <w:abstractNum w:abstractNumId="3" w15:restartNumberingAfterBreak="0">
    <w:nsid w:val="41CE3227"/>
    <w:multiLevelType w:val="hybridMultilevel"/>
    <w:tmpl w:val="8B547954"/>
    <w:lvl w:ilvl="0" w:tplc="04090001">
      <w:start w:val="1"/>
      <w:numFmt w:val="bullet"/>
      <w:lvlText w:val=""/>
      <w:lvlJc w:val="left"/>
      <w:pPr>
        <w:ind w:left="1762" w:hanging="360"/>
      </w:pPr>
      <w:rPr>
        <w:rFonts w:ascii="Symbol" w:hAnsi="Symbol" w:hint="default"/>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4" w15:restartNumberingAfterBreak="0">
    <w:nsid w:val="50B440FE"/>
    <w:multiLevelType w:val="hybridMultilevel"/>
    <w:tmpl w:val="33A2281C"/>
    <w:lvl w:ilvl="0" w:tplc="33A4AC0C">
      <w:numFmt w:val="bullet"/>
      <w:lvlText w:val="-"/>
      <w:lvlJc w:val="left"/>
      <w:pPr>
        <w:ind w:left="824"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568BCE6">
      <w:numFmt w:val="bullet"/>
      <w:lvlText w:val="•"/>
      <w:lvlJc w:val="left"/>
      <w:pPr>
        <w:ind w:left="1808" w:hanging="360"/>
      </w:pPr>
      <w:rPr>
        <w:rFonts w:hint="default"/>
        <w:lang w:val="en-US" w:eastAsia="en-US" w:bidi="ar-SA"/>
      </w:rPr>
    </w:lvl>
    <w:lvl w:ilvl="2" w:tplc="4B50AF08">
      <w:numFmt w:val="bullet"/>
      <w:lvlText w:val="•"/>
      <w:lvlJc w:val="left"/>
      <w:pPr>
        <w:ind w:left="2796" w:hanging="360"/>
      </w:pPr>
      <w:rPr>
        <w:rFonts w:hint="default"/>
        <w:lang w:val="en-US" w:eastAsia="en-US" w:bidi="ar-SA"/>
      </w:rPr>
    </w:lvl>
    <w:lvl w:ilvl="3" w:tplc="5D18BA4A">
      <w:numFmt w:val="bullet"/>
      <w:lvlText w:val="•"/>
      <w:lvlJc w:val="left"/>
      <w:pPr>
        <w:ind w:left="3784" w:hanging="360"/>
      </w:pPr>
      <w:rPr>
        <w:rFonts w:hint="default"/>
        <w:lang w:val="en-US" w:eastAsia="en-US" w:bidi="ar-SA"/>
      </w:rPr>
    </w:lvl>
    <w:lvl w:ilvl="4" w:tplc="19F4EAB2">
      <w:numFmt w:val="bullet"/>
      <w:lvlText w:val="•"/>
      <w:lvlJc w:val="left"/>
      <w:pPr>
        <w:ind w:left="4772" w:hanging="360"/>
      </w:pPr>
      <w:rPr>
        <w:rFonts w:hint="default"/>
        <w:lang w:val="en-US" w:eastAsia="en-US" w:bidi="ar-SA"/>
      </w:rPr>
    </w:lvl>
    <w:lvl w:ilvl="5" w:tplc="384AEC3C">
      <w:numFmt w:val="bullet"/>
      <w:lvlText w:val="•"/>
      <w:lvlJc w:val="left"/>
      <w:pPr>
        <w:ind w:left="5760" w:hanging="360"/>
      </w:pPr>
      <w:rPr>
        <w:rFonts w:hint="default"/>
        <w:lang w:val="en-US" w:eastAsia="en-US" w:bidi="ar-SA"/>
      </w:rPr>
    </w:lvl>
    <w:lvl w:ilvl="6" w:tplc="779C1D28">
      <w:numFmt w:val="bullet"/>
      <w:lvlText w:val="•"/>
      <w:lvlJc w:val="left"/>
      <w:pPr>
        <w:ind w:left="6748" w:hanging="360"/>
      </w:pPr>
      <w:rPr>
        <w:rFonts w:hint="default"/>
        <w:lang w:val="en-US" w:eastAsia="en-US" w:bidi="ar-SA"/>
      </w:rPr>
    </w:lvl>
    <w:lvl w:ilvl="7" w:tplc="F950FFBA">
      <w:numFmt w:val="bullet"/>
      <w:lvlText w:val="•"/>
      <w:lvlJc w:val="left"/>
      <w:pPr>
        <w:ind w:left="7736" w:hanging="360"/>
      </w:pPr>
      <w:rPr>
        <w:rFonts w:hint="default"/>
        <w:lang w:val="en-US" w:eastAsia="en-US" w:bidi="ar-SA"/>
      </w:rPr>
    </w:lvl>
    <w:lvl w:ilvl="8" w:tplc="234A5168">
      <w:numFmt w:val="bullet"/>
      <w:lvlText w:val="•"/>
      <w:lvlJc w:val="left"/>
      <w:pPr>
        <w:ind w:left="8724" w:hanging="360"/>
      </w:pPr>
      <w:rPr>
        <w:rFonts w:hint="default"/>
        <w:lang w:val="en-US" w:eastAsia="en-US" w:bidi="ar-SA"/>
      </w:rPr>
    </w:lvl>
  </w:abstractNum>
  <w:abstractNum w:abstractNumId="5" w15:restartNumberingAfterBreak="0">
    <w:nsid w:val="71D54E7A"/>
    <w:multiLevelType w:val="hybridMultilevel"/>
    <w:tmpl w:val="B4E4FCEA"/>
    <w:lvl w:ilvl="0" w:tplc="4DEE38E0">
      <w:start w:val="1"/>
      <w:numFmt w:val="lowerRoman"/>
      <w:lvlText w:val="%1."/>
      <w:lvlJc w:val="left"/>
      <w:pPr>
        <w:ind w:left="1184"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739A63B4">
      <w:numFmt w:val="bullet"/>
      <w:lvlText w:val="•"/>
      <w:lvlJc w:val="left"/>
      <w:pPr>
        <w:ind w:left="2132" w:hanging="488"/>
      </w:pPr>
      <w:rPr>
        <w:rFonts w:hint="default"/>
        <w:lang w:val="en-US" w:eastAsia="en-US" w:bidi="ar-SA"/>
      </w:rPr>
    </w:lvl>
    <w:lvl w:ilvl="2" w:tplc="8EE21C0E">
      <w:numFmt w:val="bullet"/>
      <w:lvlText w:val="•"/>
      <w:lvlJc w:val="left"/>
      <w:pPr>
        <w:ind w:left="3084" w:hanging="488"/>
      </w:pPr>
      <w:rPr>
        <w:rFonts w:hint="default"/>
        <w:lang w:val="en-US" w:eastAsia="en-US" w:bidi="ar-SA"/>
      </w:rPr>
    </w:lvl>
    <w:lvl w:ilvl="3" w:tplc="88C8006A">
      <w:numFmt w:val="bullet"/>
      <w:lvlText w:val="•"/>
      <w:lvlJc w:val="left"/>
      <w:pPr>
        <w:ind w:left="4036" w:hanging="488"/>
      </w:pPr>
      <w:rPr>
        <w:rFonts w:hint="default"/>
        <w:lang w:val="en-US" w:eastAsia="en-US" w:bidi="ar-SA"/>
      </w:rPr>
    </w:lvl>
    <w:lvl w:ilvl="4" w:tplc="48E035C6">
      <w:numFmt w:val="bullet"/>
      <w:lvlText w:val="•"/>
      <w:lvlJc w:val="left"/>
      <w:pPr>
        <w:ind w:left="4988" w:hanging="488"/>
      </w:pPr>
      <w:rPr>
        <w:rFonts w:hint="default"/>
        <w:lang w:val="en-US" w:eastAsia="en-US" w:bidi="ar-SA"/>
      </w:rPr>
    </w:lvl>
    <w:lvl w:ilvl="5" w:tplc="7FA8B296">
      <w:numFmt w:val="bullet"/>
      <w:lvlText w:val="•"/>
      <w:lvlJc w:val="left"/>
      <w:pPr>
        <w:ind w:left="5940" w:hanging="488"/>
      </w:pPr>
      <w:rPr>
        <w:rFonts w:hint="default"/>
        <w:lang w:val="en-US" w:eastAsia="en-US" w:bidi="ar-SA"/>
      </w:rPr>
    </w:lvl>
    <w:lvl w:ilvl="6" w:tplc="C12EB5C0">
      <w:numFmt w:val="bullet"/>
      <w:lvlText w:val="•"/>
      <w:lvlJc w:val="left"/>
      <w:pPr>
        <w:ind w:left="6892" w:hanging="488"/>
      </w:pPr>
      <w:rPr>
        <w:rFonts w:hint="default"/>
        <w:lang w:val="en-US" w:eastAsia="en-US" w:bidi="ar-SA"/>
      </w:rPr>
    </w:lvl>
    <w:lvl w:ilvl="7" w:tplc="38627A42">
      <w:numFmt w:val="bullet"/>
      <w:lvlText w:val="•"/>
      <w:lvlJc w:val="left"/>
      <w:pPr>
        <w:ind w:left="7844" w:hanging="488"/>
      </w:pPr>
      <w:rPr>
        <w:rFonts w:hint="default"/>
        <w:lang w:val="en-US" w:eastAsia="en-US" w:bidi="ar-SA"/>
      </w:rPr>
    </w:lvl>
    <w:lvl w:ilvl="8" w:tplc="DA5CB358">
      <w:numFmt w:val="bullet"/>
      <w:lvlText w:val="•"/>
      <w:lvlJc w:val="left"/>
      <w:pPr>
        <w:ind w:left="8796" w:hanging="488"/>
      </w:pPr>
      <w:rPr>
        <w:rFonts w:hint="default"/>
        <w:lang w:val="en-US" w:eastAsia="en-US" w:bidi="ar-SA"/>
      </w:rPr>
    </w:lvl>
  </w:abstractNum>
  <w:num w:numId="1" w16cid:durableId="1370254794">
    <w:abstractNumId w:val="1"/>
  </w:num>
  <w:num w:numId="2" w16cid:durableId="561520133">
    <w:abstractNumId w:val="5"/>
  </w:num>
  <w:num w:numId="3" w16cid:durableId="925111527">
    <w:abstractNumId w:val="2"/>
  </w:num>
  <w:num w:numId="4" w16cid:durableId="1313171879">
    <w:abstractNumId w:val="4"/>
  </w:num>
  <w:num w:numId="5" w16cid:durableId="81920128">
    <w:abstractNumId w:val="0"/>
  </w:num>
  <w:num w:numId="6" w16cid:durableId="17138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99"/>
    <w:rsid w:val="00000163"/>
    <w:rsid w:val="00000603"/>
    <w:rsid w:val="00001814"/>
    <w:rsid w:val="00003DA3"/>
    <w:rsid w:val="00005E3B"/>
    <w:rsid w:val="000108F8"/>
    <w:rsid w:val="00013640"/>
    <w:rsid w:val="000175DB"/>
    <w:rsid w:val="00022618"/>
    <w:rsid w:val="00022998"/>
    <w:rsid w:val="00025990"/>
    <w:rsid w:val="000262C9"/>
    <w:rsid w:val="00031EAF"/>
    <w:rsid w:val="000351D3"/>
    <w:rsid w:val="0004497B"/>
    <w:rsid w:val="000467FD"/>
    <w:rsid w:val="00052909"/>
    <w:rsid w:val="0005507B"/>
    <w:rsid w:val="0007195D"/>
    <w:rsid w:val="00081D0A"/>
    <w:rsid w:val="000822BB"/>
    <w:rsid w:val="00090F6B"/>
    <w:rsid w:val="00094ECB"/>
    <w:rsid w:val="000A5E38"/>
    <w:rsid w:val="000A6CF7"/>
    <w:rsid w:val="000A6D7F"/>
    <w:rsid w:val="000B5841"/>
    <w:rsid w:val="000B5866"/>
    <w:rsid w:val="000B6C4D"/>
    <w:rsid w:val="000B7DE9"/>
    <w:rsid w:val="000C476B"/>
    <w:rsid w:val="000D5E91"/>
    <w:rsid w:val="000E4542"/>
    <w:rsid w:val="000E5706"/>
    <w:rsid w:val="001009B8"/>
    <w:rsid w:val="001075CF"/>
    <w:rsid w:val="00111782"/>
    <w:rsid w:val="00113A6F"/>
    <w:rsid w:val="001155F9"/>
    <w:rsid w:val="00116F03"/>
    <w:rsid w:val="001220D8"/>
    <w:rsid w:val="00122A7C"/>
    <w:rsid w:val="001246E8"/>
    <w:rsid w:val="001307DF"/>
    <w:rsid w:val="00132F4B"/>
    <w:rsid w:val="001353DB"/>
    <w:rsid w:val="00137FEC"/>
    <w:rsid w:val="00144D7A"/>
    <w:rsid w:val="00183A6C"/>
    <w:rsid w:val="00183F40"/>
    <w:rsid w:val="001857A0"/>
    <w:rsid w:val="0019045C"/>
    <w:rsid w:val="001927DD"/>
    <w:rsid w:val="001B2382"/>
    <w:rsid w:val="001B2F14"/>
    <w:rsid w:val="001B5E94"/>
    <w:rsid w:val="001B6FB7"/>
    <w:rsid w:val="001B7A25"/>
    <w:rsid w:val="001C4780"/>
    <w:rsid w:val="001F0A23"/>
    <w:rsid w:val="00205602"/>
    <w:rsid w:val="0021016D"/>
    <w:rsid w:val="002163D2"/>
    <w:rsid w:val="00216B62"/>
    <w:rsid w:val="0022268D"/>
    <w:rsid w:val="00227035"/>
    <w:rsid w:val="002315DF"/>
    <w:rsid w:val="00232874"/>
    <w:rsid w:val="002343DC"/>
    <w:rsid w:val="00242E32"/>
    <w:rsid w:val="00243267"/>
    <w:rsid w:val="00244DE3"/>
    <w:rsid w:val="0025680E"/>
    <w:rsid w:val="0026087B"/>
    <w:rsid w:val="00262AE9"/>
    <w:rsid w:val="00262C91"/>
    <w:rsid w:val="00266574"/>
    <w:rsid w:val="002721A4"/>
    <w:rsid w:val="00272DF8"/>
    <w:rsid w:val="0028434F"/>
    <w:rsid w:val="00294F2B"/>
    <w:rsid w:val="002B1207"/>
    <w:rsid w:val="002B254F"/>
    <w:rsid w:val="002B53B2"/>
    <w:rsid w:val="002B70CF"/>
    <w:rsid w:val="002B77A6"/>
    <w:rsid w:val="002C170B"/>
    <w:rsid w:val="002C7862"/>
    <w:rsid w:val="002C79AC"/>
    <w:rsid w:val="002D09E2"/>
    <w:rsid w:val="002D36BD"/>
    <w:rsid w:val="002D48CF"/>
    <w:rsid w:val="002D64A2"/>
    <w:rsid w:val="002F0A1B"/>
    <w:rsid w:val="002F46D9"/>
    <w:rsid w:val="002F4B1D"/>
    <w:rsid w:val="00300DB3"/>
    <w:rsid w:val="00313A40"/>
    <w:rsid w:val="0031567F"/>
    <w:rsid w:val="00321F90"/>
    <w:rsid w:val="00322371"/>
    <w:rsid w:val="003231DC"/>
    <w:rsid w:val="00326627"/>
    <w:rsid w:val="00332031"/>
    <w:rsid w:val="003324DA"/>
    <w:rsid w:val="003333BF"/>
    <w:rsid w:val="0034036B"/>
    <w:rsid w:val="00342CCF"/>
    <w:rsid w:val="00344F33"/>
    <w:rsid w:val="0034771F"/>
    <w:rsid w:val="0035104D"/>
    <w:rsid w:val="0035353B"/>
    <w:rsid w:val="0035466C"/>
    <w:rsid w:val="00356102"/>
    <w:rsid w:val="00360062"/>
    <w:rsid w:val="0036025D"/>
    <w:rsid w:val="0036743C"/>
    <w:rsid w:val="0036757B"/>
    <w:rsid w:val="00381B59"/>
    <w:rsid w:val="003934AD"/>
    <w:rsid w:val="003A229F"/>
    <w:rsid w:val="003A28CB"/>
    <w:rsid w:val="003A6361"/>
    <w:rsid w:val="003A6DBC"/>
    <w:rsid w:val="003B2501"/>
    <w:rsid w:val="003C0ED3"/>
    <w:rsid w:val="003C1764"/>
    <w:rsid w:val="003D565F"/>
    <w:rsid w:val="003F7D1F"/>
    <w:rsid w:val="00407C82"/>
    <w:rsid w:val="00413C72"/>
    <w:rsid w:val="00414503"/>
    <w:rsid w:val="0041535C"/>
    <w:rsid w:val="00416788"/>
    <w:rsid w:val="00420F5D"/>
    <w:rsid w:val="00432B63"/>
    <w:rsid w:val="00454394"/>
    <w:rsid w:val="00454CE0"/>
    <w:rsid w:val="004620A0"/>
    <w:rsid w:val="004628CB"/>
    <w:rsid w:val="00463651"/>
    <w:rsid w:val="004723AC"/>
    <w:rsid w:val="00475238"/>
    <w:rsid w:val="0047544E"/>
    <w:rsid w:val="004759AC"/>
    <w:rsid w:val="004826D4"/>
    <w:rsid w:val="004847E3"/>
    <w:rsid w:val="004A19E3"/>
    <w:rsid w:val="004A4382"/>
    <w:rsid w:val="004A4C06"/>
    <w:rsid w:val="004A5E02"/>
    <w:rsid w:val="004B0FC5"/>
    <w:rsid w:val="004B7C0B"/>
    <w:rsid w:val="004D5E2B"/>
    <w:rsid w:val="004D7E31"/>
    <w:rsid w:val="004E5F14"/>
    <w:rsid w:val="004F7C0B"/>
    <w:rsid w:val="004F7E66"/>
    <w:rsid w:val="0051549D"/>
    <w:rsid w:val="0051641C"/>
    <w:rsid w:val="005251A4"/>
    <w:rsid w:val="00533DD1"/>
    <w:rsid w:val="00534E81"/>
    <w:rsid w:val="00535026"/>
    <w:rsid w:val="00536E14"/>
    <w:rsid w:val="00540AE2"/>
    <w:rsid w:val="00545658"/>
    <w:rsid w:val="00551F72"/>
    <w:rsid w:val="00555E6D"/>
    <w:rsid w:val="00562D5E"/>
    <w:rsid w:val="005668D7"/>
    <w:rsid w:val="00566988"/>
    <w:rsid w:val="00571DB6"/>
    <w:rsid w:val="00575588"/>
    <w:rsid w:val="0057697D"/>
    <w:rsid w:val="0059719E"/>
    <w:rsid w:val="005A0E4F"/>
    <w:rsid w:val="005A132D"/>
    <w:rsid w:val="005A199C"/>
    <w:rsid w:val="005A4B10"/>
    <w:rsid w:val="005A7C92"/>
    <w:rsid w:val="005B14DD"/>
    <w:rsid w:val="005B1ECA"/>
    <w:rsid w:val="005B2717"/>
    <w:rsid w:val="005B336E"/>
    <w:rsid w:val="005B4A1F"/>
    <w:rsid w:val="005C060F"/>
    <w:rsid w:val="005C2A3A"/>
    <w:rsid w:val="005D023E"/>
    <w:rsid w:val="005D2D7A"/>
    <w:rsid w:val="005D33FC"/>
    <w:rsid w:val="005D50B9"/>
    <w:rsid w:val="005E7128"/>
    <w:rsid w:val="005F5081"/>
    <w:rsid w:val="005F5BAD"/>
    <w:rsid w:val="005F6FE6"/>
    <w:rsid w:val="00602A0B"/>
    <w:rsid w:val="00603006"/>
    <w:rsid w:val="00612948"/>
    <w:rsid w:val="00614D02"/>
    <w:rsid w:val="00620441"/>
    <w:rsid w:val="00621CEC"/>
    <w:rsid w:val="00622A90"/>
    <w:rsid w:val="00632D25"/>
    <w:rsid w:val="0063382F"/>
    <w:rsid w:val="00640714"/>
    <w:rsid w:val="00642960"/>
    <w:rsid w:val="00644FE0"/>
    <w:rsid w:val="00645056"/>
    <w:rsid w:val="0065497C"/>
    <w:rsid w:val="006639A5"/>
    <w:rsid w:val="00666F2B"/>
    <w:rsid w:val="00667AE9"/>
    <w:rsid w:val="00673311"/>
    <w:rsid w:val="00676EAA"/>
    <w:rsid w:val="00681470"/>
    <w:rsid w:val="00685389"/>
    <w:rsid w:val="00691404"/>
    <w:rsid w:val="0069391B"/>
    <w:rsid w:val="006A2D01"/>
    <w:rsid w:val="006A37EF"/>
    <w:rsid w:val="006A5839"/>
    <w:rsid w:val="006B6B0F"/>
    <w:rsid w:val="006C672A"/>
    <w:rsid w:val="006C6CEE"/>
    <w:rsid w:val="006D14A7"/>
    <w:rsid w:val="006D657E"/>
    <w:rsid w:val="006D7AE0"/>
    <w:rsid w:val="006E2901"/>
    <w:rsid w:val="006E47D7"/>
    <w:rsid w:val="00701DD8"/>
    <w:rsid w:val="007077CC"/>
    <w:rsid w:val="0071014C"/>
    <w:rsid w:val="00711259"/>
    <w:rsid w:val="007160A5"/>
    <w:rsid w:val="00723D2E"/>
    <w:rsid w:val="00731984"/>
    <w:rsid w:val="00731F14"/>
    <w:rsid w:val="00733257"/>
    <w:rsid w:val="00743311"/>
    <w:rsid w:val="00746699"/>
    <w:rsid w:val="00776D61"/>
    <w:rsid w:val="007771AC"/>
    <w:rsid w:val="007A06E9"/>
    <w:rsid w:val="007A0A2E"/>
    <w:rsid w:val="007A1767"/>
    <w:rsid w:val="007B02EC"/>
    <w:rsid w:val="007C2991"/>
    <w:rsid w:val="007C431A"/>
    <w:rsid w:val="007E55BC"/>
    <w:rsid w:val="007E6347"/>
    <w:rsid w:val="0080516C"/>
    <w:rsid w:val="0080E760"/>
    <w:rsid w:val="00810E79"/>
    <w:rsid w:val="00814493"/>
    <w:rsid w:val="00815DEB"/>
    <w:rsid w:val="00816601"/>
    <w:rsid w:val="00816A07"/>
    <w:rsid w:val="00821D2D"/>
    <w:rsid w:val="0082465A"/>
    <w:rsid w:val="00837F85"/>
    <w:rsid w:val="00850C44"/>
    <w:rsid w:val="008558BA"/>
    <w:rsid w:val="008559A1"/>
    <w:rsid w:val="00856B95"/>
    <w:rsid w:val="008621DF"/>
    <w:rsid w:val="00862A36"/>
    <w:rsid w:val="00872D2E"/>
    <w:rsid w:val="00890AF6"/>
    <w:rsid w:val="0089400D"/>
    <w:rsid w:val="00895180"/>
    <w:rsid w:val="00896DCF"/>
    <w:rsid w:val="008A0317"/>
    <w:rsid w:val="008A70E3"/>
    <w:rsid w:val="008C18EE"/>
    <w:rsid w:val="008C2D5E"/>
    <w:rsid w:val="008C71F2"/>
    <w:rsid w:val="008F078F"/>
    <w:rsid w:val="008F37A7"/>
    <w:rsid w:val="00904FD8"/>
    <w:rsid w:val="009106CD"/>
    <w:rsid w:val="00913437"/>
    <w:rsid w:val="009141DF"/>
    <w:rsid w:val="00914E6F"/>
    <w:rsid w:val="00914F43"/>
    <w:rsid w:val="0094313B"/>
    <w:rsid w:val="0094551B"/>
    <w:rsid w:val="00957E93"/>
    <w:rsid w:val="00966AEC"/>
    <w:rsid w:val="00966B6E"/>
    <w:rsid w:val="00974AB7"/>
    <w:rsid w:val="009764BA"/>
    <w:rsid w:val="00977352"/>
    <w:rsid w:val="0098100A"/>
    <w:rsid w:val="00990EAB"/>
    <w:rsid w:val="0099699C"/>
    <w:rsid w:val="009A1F3C"/>
    <w:rsid w:val="009A52DB"/>
    <w:rsid w:val="009A684C"/>
    <w:rsid w:val="009B5327"/>
    <w:rsid w:val="009C19C3"/>
    <w:rsid w:val="009D1A96"/>
    <w:rsid w:val="009D1D1C"/>
    <w:rsid w:val="009D6E73"/>
    <w:rsid w:val="009F70CD"/>
    <w:rsid w:val="00A008D8"/>
    <w:rsid w:val="00A03CCA"/>
    <w:rsid w:val="00A11DFA"/>
    <w:rsid w:val="00A169F3"/>
    <w:rsid w:val="00A22924"/>
    <w:rsid w:val="00A256D9"/>
    <w:rsid w:val="00A30795"/>
    <w:rsid w:val="00A330C4"/>
    <w:rsid w:val="00A36727"/>
    <w:rsid w:val="00A43281"/>
    <w:rsid w:val="00A5251C"/>
    <w:rsid w:val="00A55E1E"/>
    <w:rsid w:val="00A62D8C"/>
    <w:rsid w:val="00A710CA"/>
    <w:rsid w:val="00A749CD"/>
    <w:rsid w:val="00A76E24"/>
    <w:rsid w:val="00A90C4B"/>
    <w:rsid w:val="00A92C22"/>
    <w:rsid w:val="00A96A27"/>
    <w:rsid w:val="00AA0D02"/>
    <w:rsid w:val="00AA1722"/>
    <w:rsid w:val="00AA2B7D"/>
    <w:rsid w:val="00AA2BCE"/>
    <w:rsid w:val="00AAC293"/>
    <w:rsid w:val="00AB19CD"/>
    <w:rsid w:val="00AB4B44"/>
    <w:rsid w:val="00AC19B2"/>
    <w:rsid w:val="00AC266B"/>
    <w:rsid w:val="00AC3B60"/>
    <w:rsid w:val="00AC46AB"/>
    <w:rsid w:val="00AE6875"/>
    <w:rsid w:val="00AE7AB7"/>
    <w:rsid w:val="00B1191D"/>
    <w:rsid w:val="00B13CDF"/>
    <w:rsid w:val="00B24BA4"/>
    <w:rsid w:val="00B32DA5"/>
    <w:rsid w:val="00B346BD"/>
    <w:rsid w:val="00B3642C"/>
    <w:rsid w:val="00B3708D"/>
    <w:rsid w:val="00B46E95"/>
    <w:rsid w:val="00B51719"/>
    <w:rsid w:val="00B51A60"/>
    <w:rsid w:val="00B51B3D"/>
    <w:rsid w:val="00B554E2"/>
    <w:rsid w:val="00B56D92"/>
    <w:rsid w:val="00B62875"/>
    <w:rsid w:val="00B62F6A"/>
    <w:rsid w:val="00B66EFC"/>
    <w:rsid w:val="00B66F12"/>
    <w:rsid w:val="00B82923"/>
    <w:rsid w:val="00BA15C4"/>
    <w:rsid w:val="00BB16E6"/>
    <w:rsid w:val="00BB2B76"/>
    <w:rsid w:val="00BD51AA"/>
    <w:rsid w:val="00BD7635"/>
    <w:rsid w:val="00BE52FD"/>
    <w:rsid w:val="00BF30FB"/>
    <w:rsid w:val="00BF4A7F"/>
    <w:rsid w:val="00C001B0"/>
    <w:rsid w:val="00C02CA8"/>
    <w:rsid w:val="00C03134"/>
    <w:rsid w:val="00C04D79"/>
    <w:rsid w:val="00C20EC7"/>
    <w:rsid w:val="00C24FE3"/>
    <w:rsid w:val="00C300FA"/>
    <w:rsid w:val="00C3260A"/>
    <w:rsid w:val="00C33995"/>
    <w:rsid w:val="00C3493C"/>
    <w:rsid w:val="00C349A0"/>
    <w:rsid w:val="00C4541F"/>
    <w:rsid w:val="00C46260"/>
    <w:rsid w:val="00C51A4E"/>
    <w:rsid w:val="00C52461"/>
    <w:rsid w:val="00C63584"/>
    <w:rsid w:val="00C65354"/>
    <w:rsid w:val="00C804E0"/>
    <w:rsid w:val="00C82017"/>
    <w:rsid w:val="00C835D0"/>
    <w:rsid w:val="00C8487F"/>
    <w:rsid w:val="00CA0EAB"/>
    <w:rsid w:val="00CA3450"/>
    <w:rsid w:val="00CB069E"/>
    <w:rsid w:val="00CB2B4C"/>
    <w:rsid w:val="00CB50D2"/>
    <w:rsid w:val="00CB602B"/>
    <w:rsid w:val="00CB653A"/>
    <w:rsid w:val="00CC1C49"/>
    <w:rsid w:val="00CC2A67"/>
    <w:rsid w:val="00CC692B"/>
    <w:rsid w:val="00CD1203"/>
    <w:rsid w:val="00CD648A"/>
    <w:rsid w:val="00CE052E"/>
    <w:rsid w:val="00CE1D48"/>
    <w:rsid w:val="00CE1DDD"/>
    <w:rsid w:val="00CF51CF"/>
    <w:rsid w:val="00D07F1C"/>
    <w:rsid w:val="00D16309"/>
    <w:rsid w:val="00D244E8"/>
    <w:rsid w:val="00D26512"/>
    <w:rsid w:val="00D305A0"/>
    <w:rsid w:val="00D32052"/>
    <w:rsid w:val="00D32F70"/>
    <w:rsid w:val="00D3597D"/>
    <w:rsid w:val="00D36B8F"/>
    <w:rsid w:val="00D37A1A"/>
    <w:rsid w:val="00D44AC3"/>
    <w:rsid w:val="00D64BB2"/>
    <w:rsid w:val="00D7621B"/>
    <w:rsid w:val="00D7679E"/>
    <w:rsid w:val="00D85E99"/>
    <w:rsid w:val="00D9096F"/>
    <w:rsid w:val="00D948C1"/>
    <w:rsid w:val="00DF3F02"/>
    <w:rsid w:val="00DF79C3"/>
    <w:rsid w:val="00E00E5F"/>
    <w:rsid w:val="00E05C9F"/>
    <w:rsid w:val="00E112BE"/>
    <w:rsid w:val="00E1293F"/>
    <w:rsid w:val="00E16452"/>
    <w:rsid w:val="00E16C80"/>
    <w:rsid w:val="00E3366E"/>
    <w:rsid w:val="00E33F52"/>
    <w:rsid w:val="00E45895"/>
    <w:rsid w:val="00E54E9E"/>
    <w:rsid w:val="00E55467"/>
    <w:rsid w:val="00E55648"/>
    <w:rsid w:val="00E763E6"/>
    <w:rsid w:val="00E8294D"/>
    <w:rsid w:val="00E9177F"/>
    <w:rsid w:val="00EA1F9D"/>
    <w:rsid w:val="00EA47FF"/>
    <w:rsid w:val="00EB62C8"/>
    <w:rsid w:val="00EC2A6E"/>
    <w:rsid w:val="00EC3396"/>
    <w:rsid w:val="00ED00C2"/>
    <w:rsid w:val="00ED2623"/>
    <w:rsid w:val="00ED3D0A"/>
    <w:rsid w:val="00ED6546"/>
    <w:rsid w:val="00EE1462"/>
    <w:rsid w:val="00EE255A"/>
    <w:rsid w:val="00EE6DD1"/>
    <w:rsid w:val="00EF6B4C"/>
    <w:rsid w:val="00F049A1"/>
    <w:rsid w:val="00F0697B"/>
    <w:rsid w:val="00F08C97"/>
    <w:rsid w:val="00F127C7"/>
    <w:rsid w:val="00F140D0"/>
    <w:rsid w:val="00F22C94"/>
    <w:rsid w:val="00F23CE8"/>
    <w:rsid w:val="00F27417"/>
    <w:rsid w:val="00F27B8B"/>
    <w:rsid w:val="00F31436"/>
    <w:rsid w:val="00F314A0"/>
    <w:rsid w:val="00F35D95"/>
    <w:rsid w:val="00F404B3"/>
    <w:rsid w:val="00F47384"/>
    <w:rsid w:val="00F5654C"/>
    <w:rsid w:val="00F7506D"/>
    <w:rsid w:val="00F77086"/>
    <w:rsid w:val="00F97760"/>
    <w:rsid w:val="00FA0125"/>
    <w:rsid w:val="00FA19AF"/>
    <w:rsid w:val="00FA24A3"/>
    <w:rsid w:val="00FA2D77"/>
    <w:rsid w:val="00FB4987"/>
    <w:rsid w:val="00FB5A8F"/>
    <w:rsid w:val="00FC1192"/>
    <w:rsid w:val="00FD13E0"/>
    <w:rsid w:val="00FD7B27"/>
    <w:rsid w:val="00FE1F04"/>
    <w:rsid w:val="014D5017"/>
    <w:rsid w:val="0182CD76"/>
    <w:rsid w:val="02CDBA2B"/>
    <w:rsid w:val="0347DA23"/>
    <w:rsid w:val="039A027F"/>
    <w:rsid w:val="039B0820"/>
    <w:rsid w:val="04434988"/>
    <w:rsid w:val="063952C3"/>
    <w:rsid w:val="064E12D9"/>
    <w:rsid w:val="06C84AB0"/>
    <w:rsid w:val="09275E0C"/>
    <w:rsid w:val="097A4B78"/>
    <w:rsid w:val="09EC6649"/>
    <w:rsid w:val="0A331F0C"/>
    <w:rsid w:val="0AAB0578"/>
    <w:rsid w:val="0AEB1BA2"/>
    <w:rsid w:val="0BA5AFB1"/>
    <w:rsid w:val="0CF3B9B5"/>
    <w:rsid w:val="0D115E89"/>
    <w:rsid w:val="0D9F6999"/>
    <w:rsid w:val="0DD06E20"/>
    <w:rsid w:val="0E783FA2"/>
    <w:rsid w:val="0E7B4626"/>
    <w:rsid w:val="0E8D7DAD"/>
    <w:rsid w:val="0E927D36"/>
    <w:rsid w:val="1106B21E"/>
    <w:rsid w:val="111B4006"/>
    <w:rsid w:val="119671BA"/>
    <w:rsid w:val="12082EFC"/>
    <w:rsid w:val="1265DD48"/>
    <w:rsid w:val="12EA6AC7"/>
    <w:rsid w:val="1336DFC5"/>
    <w:rsid w:val="1473D0AC"/>
    <w:rsid w:val="1491E160"/>
    <w:rsid w:val="1524BF58"/>
    <w:rsid w:val="157F9B91"/>
    <w:rsid w:val="1628637E"/>
    <w:rsid w:val="163C1D24"/>
    <w:rsid w:val="16860E95"/>
    <w:rsid w:val="16DF49EC"/>
    <w:rsid w:val="175B78F9"/>
    <w:rsid w:val="17B4CA2F"/>
    <w:rsid w:val="17DA52E2"/>
    <w:rsid w:val="17F93A3B"/>
    <w:rsid w:val="180A2FBF"/>
    <w:rsid w:val="186014A9"/>
    <w:rsid w:val="187871F1"/>
    <w:rsid w:val="196104DB"/>
    <w:rsid w:val="1A1B522E"/>
    <w:rsid w:val="1B5583B1"/>
    <w:rsid w:val="1C37C741"/>
    <w:rsid w:val="1C7541DD"/>
    <w:rsid w:val="1CB13362"/>
    <w:rsid w:val="1CBEAB8A"/>
    <w:rsid w:val="1CC530C9"/>
    <w:rsid w:val="1DCD43C2"/>
    <w:rsid w:val="1E24C99D"/>
    <w:rsid w:val="1E987B68"/>
    <w:rsid w:val="1EBCD41F"/>
    <w:rsid w:val="1EBE99BE"/>
    <w:rsid w:val="1EC74B79"/>
    <w:rsid w:val="1EDAC8E8"/>
    <w:rsid w:val="20154162"/>
    <w:rsid w:val="215F5A9B"/>
    <w:rsid w:val="2173F2B0"/>
    <w:rsid w:val="224EE309"/>
    <w:rsid w:val="22669098"/>
    <w:rsid w:val="22A3AC2D"/>
    <w:rsid w:val="22FBE783"/>
    <w:rsid w:val="23AC7CF5"/>
    <w:rsid w:val="244BF61E"/>
    <w:rsid w:val="24653458"/>
    <w:rsid w:val="2525721B"/>
    <w:rsid w:val="25500972"/>
    <w:rsid w:val="259A8C0A"/>
    <w:rsid w:val="27199860"/>
    <w:rsid w:val="2756C446"/>
    <w:rsid w:val="2846B648"/>
    <w:rsid w:val="297B39DA"/>
    <w:rsid w:val="2B0ABD53"/>
    <w:rsid w:val="2B95C036"/>
    <w:rsid w:val="2C316C95"/>
    <w:rsid w:val="2C872EC4"/>
    <w:rsid w:val="2D2097B4"/>
    <w:rsid w:val="2D559DF2"/>
    <w:rsid w:val="2DCBC559"/>
    <w:rsid w:val="2E11F51E"/>
    <w:rsid w:val="2E1642FD"/>
    <w:rsid w:val="2E3B8799"/>
    <w:rsid w:val="2ECD1067"/>
    <w:rsid w:val="2EFFE1F7"/>
    <w:rsid w:val="30B89C26"/>
    <w:rsid w:val="30F9F01D"/>
    <w:rsid w:val="340EA031"/>
    <w:rsid w:val="34C8441B"/>
    <w:rsid w:val="3567C8BF"/>
    <w:rsid w:val="3643F82C"/>
    <w:rsid w:val="367B2AD9"/>
    <w:rsid w:val="37013E52"/>
    <w:rsid w:val="37D75265"/>
    <w:rsid w:val="3840BD5A"/>
    <w:rsid w:val="384211B9"/>
    <w:rsid w:val="38A46156"/>
    <w:rsid w:val="390A4293"/>
    <w:rsid w:val="39107F82"/>
    <w:rsid w:val="3912C1C1"/>
    <w:rsid w:val="397137AD"/>
    <w:rsid w:val="399F04E3"/>
    <w:rsid w:val="39C7DEB8"/>
    <w:rsid w:val="39CED2DE"/>
    <w:rsid w:val="3A037347"/>
    <w:rsid w:val="3AD1D60F"/>
    <w:rsid w:val="3B1D8426"/>
    <w:rsid w:val="3B5173C2"/>
    <w:rsid w:val="3BD75D77"/>
    <w:rsid w:val="3BE57B6F"/>
    <w:rsid w:val="3CCC4E65"/>
    <w:rsid w:val="3D812662"/>
    <w:rsid w:val="3D9BB760"/>
    <w:rsid w:val="3F49D3E7"/>
    <w:rsid w:val="3FAA3D52"/>
    <w:rsid w:val="3FBAACBF"/>
    <w:rsid w:val="40226751"/>
    <w:rsid w:val="408D87FC"/>
    <w:rsid w:val="40FA8572"/>
    <w:rsid w:val="4148C21E"/>
    <w:rsid w:val="41853F5A"/>
    <w:rsid w:val="421505D4"/>
    <w:rsid w:val="428BD853"/>
    <w:rsid w:val="42965010"/>
    <w:rsid w:val="42B4B68C"/>
    <w:rsid w:val="431D37F1"/>
    <w:rsid w:val="44326C49"/>
    <w:rsid w:val="447A4A8B"/>
    <w:rsid w:val="44A83812"/>
    <w:rsid w:val="44B4B57D"/>
    <w:rsid w:val="44CC877A"/>
    <w:rsid w:val="44E2E186"/>
    <w:rsid w:val="45518BF9"/>
    <w:rsid w:val="4583CEF7"/>
    <w:rsid w:val="45E4F218"/>
    <w:rsid w:val="4601ECC3"/>
    <w:rsid w:val="46804A75"/>
    <w:rsid w:val="46DE4238"/>
    <w:rsid w:val="473BF87C"/>
    <w:rsid w:val="476BA103"/>
    <w:rsid w:val="479BD2AA"/>
    <w:rsid w:val="4805FC1F"/>
    <w:rsid w:val="4816C393"/>
    <w:rsid w:val="48744F74"/>
    <w:rsid w:val="48FEEF16"/>
    <w:rsid w:val="49A46D94"/>
    <w:rsid w:val="49AE4BBF"/>
    <w:rsid w:val="4A04170C"/>
    <w:rsid w:val="4A1E3194"/>
    <w:rsid w:val="4C2F6AE1"/>
    <w:rsid w:val="4C61CB86"/>
    <w:rsid w:val="4D61E820"/>
    <w:rsid w:val="4E731302"/>
    <w:rsid w:val="4F7FEF42"/>
    <w:rsid w:val="50524367"/>
    <w:rsid w:val="50B935D0"/>
    <w:rsid w:val="512058C4"/>
    <w:rsid w:val="5148A9C6"/>
    <w:rsid w:val="51966190"/>
    <w:rsid w:val="51CDEBDA"/>
    <w:rsid w:val="51EB9275"/>
    <w:rsid w:val="5216799B"/>
    <w:rsid w:val="52188639"/>
    <w:rsid w:val="5299D96D"/>
    <w:rsid w:val="52DE3523"/>
    <w:rsid w:val="52F92D8A"/>
    <w:rsid w:val="5463B4FF"/>
    <w:rsid w:val="5512C80C"/>
    <w:rsid w:val="552D0B1D"/>
    <w:rsid w:val="55C0833D"/>
    <w:rsid w:val="56EAC8B2"/>
    <w:rsid w:val="572FA0C0"/>
    <w:rsid w:val="57A2E7A8"/>
    <w:rsid w:val="57CF59AD"/>
    <w:rsid w:val="58525BFA"/>
    <w:rsid w:val="58ADF399"/>
    <w:rsid w:val="592E9B28"/>
    <w:rsid w:val="5947C84C"/>
    <w:rsid w:val="5A92173E"/>
    <w:rsid w:val="5AACFB09"/>
    <w:rsid w:val="5BFFB179"/>
    <w:rsid w:val="5C661173"/>
    <w:rsid w:val="5DBD283C"/>
    <w:rsid w:val="5F1B0ADF"/>
    <w:rsid w:val="5F79E860"/>
    <w:rsid w:val="5F7AA4DD"/>
    <w:rsid w:val="5FDCD6CF"/>
    <w:rsid w:val="5FF1347F"/>
    <w:rsid w:val="610A27C4"/>
    <w:rsid w:val="62F2C3EA"/>
    <w:rsid w:val="63172CED"/>
    <w:rsid w:val="6332C472"/>
    <w:rsid w:val="63367EF4"/>
    <w:rsid w:val="636C9902"/>
    <w:rsid w:val="63780FC9"/>
    <w:rsid w:val="638A007E"/>
    <w:rsid w:val="63E21952"/>
    <w:rsid w:val="6433AD8B"/>
    <w:rsid w:val="64BDADEA"/>
    <w:rsid w:val="65E5774D"/>
    <w:rsid w:val="66284323"/>
    <w:rsid w:val="6664599B"/>
    <w:rsid w:val="66D57A10"/>
    <w:rsid w:val="6797D875"/>
    <w:rsid w:val="679D1A0C"/>
    <w:rsid w:val="67C21A6B"/>
    <w:rsid w:val="67D747C6"/>
    <w:rsid w:val="687348C5"/>
    <w:rsid w:val="694B55C8"/>
    <w:rsid w:val="698CEC65"/>
    <w:rsid w:val="6A4CA173"/>
    <w:rsid w:val="6A50486F"/>
    <w:rsid w:val="6AC9A783"/>
    <w:rsid w:val="6BA6A178"/>
    <w:rsid w:val="6BE39C39"/>
    <w:rsid w:val="6C654A1F"/>
    <w:rsid w:val="6CAB14E1"/>
    <w:rsid w:val="6CBE1C47"/>
    <w:rsid w:val="6D273C9C"/>
    <w:rsid w:val="6D8BD01C"/>
    <w:rsid w:val="6DF7F313"/>
    <w:rsid w:val="6E1FCADF"/>
    <w:rsid w:val="700AA144"/>
    <w:rsid w:val="70FDB1C0"/>
    <w:rsid w:val="7192F871"/>
    <w:rsid w:val="72B7AD2A"/>
    <w:rsid w:val="7312B363"/>
    <w:rsid w:val="733F518F"/>
    <w:rsid w:val="7347D50F"/>
    <w:rsid w:val="7379E889"/>
    <w:rsid w:val="73E6ECC8"/>
    <w:rsid w:val="7424A63A"/>
    <w:rsid w:val="7426F77C"/>
    <w:rsid w:val="747170CD"/>
    <w:rsid w:val="75AD0E81"/>
    <w:rsid w:val="75B8BFFD"/>
    <w:rsid w:val="76438CE0"/>
    <w:rsid w:val="76562A78"/>
    <w:rsid w:val="768ABF0D"/>
    <w:rsid w:val="769A506D"/>
    <w:rsid w:val="76DDB6B7"/>
    <w:rsid w:val="775AF012"/>
    <w:rsid w:val="78500558"/>
    <w:rsid w:val="78879BAC"/>
    <w:rsid w:val="78917D56"/>
    <w:rsid w:val="78A988D9"/>
    <w:rsid w:val="78C326BD"/>
    <w:rsid w:val="7ABDCDA4"/>
    <w:rsid w:val="7CB44829"/>
    <w:rsid w:val="7CC8EE08"/>
    <w:rsid w:val="7CD0D231"/>
    <w:rsid w:val="7CDA930F"/>
    <w:rsid w:val="7DA83841"/>
    <w:rsid w:val="7DD17505"/>
    <w:rsid w:val="7E774E7F"/>
    <w:rsid w:val="7EB0FE4C"/>
    <w:rsid w:val="7EC0D3E1"/>
    <w:rsid w:val="7EE69E2F"/>
    <w:rsid w:val="7EE767FF"/>
    <w:rsid w:val="7F21AC81"/>
    <w:rsid w:val="7F33A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6334"/>
  <w15:docId w15:val="{8AEC217A-D2BA-481B-AD90-7AAD2468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8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AC3B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3584"/>
    <w:rPr>
      <w:sz w:val="24"/>
      <w:szCs w:val="24"/>
    </w:rPr>
  </w:style>
  <w:style w:type="paragraph" w:styleId="Title">
    <w:name w:val="Title"/>
    <w:basedOn w:val="Normal"/>
    <w:link w:val="TitleChar"/>
    <w:uiPriority w:val="10"/>
    <w:qFormat/>
    <w:rsid w:val="00C63584"/>
    <w:pPr>
      <w:ind w:left="1042" w:right="1029"/>
      <w:jc w:val="center"/>
    </w:pPr>
    <w:rPr>
      <w:b/>
      <w:bCs/>
      <w:sz w:val="28"/>
      <w:szCs w:val="28"/>
    </w:rPr>
  </w:style>
  <w:style w:type="paragraph" w:styleId="ListParagraph">
    <w:name w:val="List Paragraph"/>
    <w:basedOn w:val="Normal"/>
    <w:uiPriority w:val="1"/>
    <w:qFormat/>
    <w:rsid w:val="00C63584"/>
    <w:pPr>
      <w:ind w:left="1184" w:hanging="359"/>
    </w:pPr>
  </w:style>
  <w:style w:type="paragraph" w:customStyle="1" w:styleId="TableParagraph">
    <w:name w:val="Table Paragraph"/>
    <w:basedOn w:val="Normal"/>
    <w:uiPriority w:val="1"/>
    <w:qFormat/>
    <w:rsid w:val="00C63584"/>
    <w:pPr>
      <w:ind w:left="107"/>
    </w:pPr>
  </w:style>
  <w:style w:type="paragraph" w:styleId="Revision">
    <w:name w:val="Revision"/>
    <w:hidden/>
    <w:uiPriority w:val="99"/>
    <w:semiHidden/>
    <w:rsid w:val="00F0697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C63584"/>
    <w:rPr>
      <w:color w:val="0000FF" w:themeColor="hyperlink"/>
      <w:u w:val="single"/>
    </w:rPr>
  </w:style>
  <w:style w:type="character" w:styleId="CommentReference">
    <w:name w:val="annotation reference"/>
    <w:basedOn w:val="DefaultParagraphFont"/>
    <w:uiPriority w:val="99"/>
    <w:semiHidden/>
    <w:unhideWhenUsed/>
    <w:rsid w:val="00CB2B4C"/>
    <w:rPr>
      <w:sz w:val="16"/>
      <w:szCs w:val="16"/>
    </w:rPr>
  </w:style>
  <w:style w:type="paragraph" w:styleId="CommentText">
    <w:name w:val="annotation text"/>
    <w:basedOn w:val="Normal"/>
    <w:link w:val="CommentTextChar"/>
    <w:uiPriority w:val="99"/>
    <w:unhideWhenUsed/>
    <w:rsid w:val="00CB2B4C"/>
    <w:rPr>
      <w:sz w:val="20"/>
      <w:szCs w:val="20"/>
    </w:rPr>
  </w:style>
  <w:style w:type="character" w:customStyle="1" w:styleId="CommentTextChar">
    <w:name w:val="Comment Text Char"/>
    <w:basedOn w:val="DefaultParagraphFont"/>
    <w:link w:val="CommentText"/>
    <w:uiPriority w:val="99"/>
    <w:rsid w:val="00CB2B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2B4C"/>
    <w:rPr>
      <w:b/>
      <w:bCs/>
    </w:rPr>
  </w:style>
  <w:style w:type="character" w:customStyle="1" w:styleId="CommentSubjectChar">
    <w:name w:val="Comment Subject Char"/>
    <w:basedOn w:val="CommentTextChar"/>
    <w:link w:val="CommentSubject"/>
    <w:uiPriority w:val="99"/>
    <w:semiHidden/>
    <w:rsid w:val="00CB2B4C"/>
    <w:rPr>
      <w:rFonts w:ascii="Times New Roman" w:eastAsia="Times New Roman" w:hAnsi="Times New Roman" w:cs="Times New Roman"/>
      <w:b/>
      <w:bCs/>
      <w:sz w:val="20"/>
      <w:szCs w:val="20"/>
    </w:rPr>
  </w:style>
  <w:style w:type="character" w:customStyle="1" w:styleId="Mention1">
    <w:name w:val="Mention1"/>
    <w:basedOn w:val="DefaultParagraphFont"/>
    <w:uiPriority w:val="99"/>
    <w:unhideWhenUsed/>
    <w:rsid w:val="00CB2B4C"/>
    <w:rPr>
      <w:color w:val="2B579A"/>
      <w:shd w:val="clear" w:color="auto" w:fill="E1DFDD"/>
    </w:rPr>
  </w:style>
  <w:style w:type="character" w:styleId="FollowedHyperlink">
    <w:name w:val="FollowedHyperlink"/>
    <w:basedOn w:val="DefaultParagraphFont"/>
    <w:uiPriority w:val="99"/>
    <w:semiHidden/>
    <w:unhideWhenUsed/>
    <w:rsid w:val="000E4542"/>
    <w:rPr>
      <w:color w:val="800080" w:themeColor="followedHyperlink"/>
      <w:u w:val="single"/>
    </w:rPr>
  </w:style>
  <w:style w:type="character" w:customStyle="1" w:styleId="Heading2Char">
    <w:name w:val="Heading 2 Char"/>
    <w:basedOn w:val="DefaultParagraphFont"/>
    <w:link w:val="Heading2"/>
    <w:uiPriority w:val="9"/>
    <w:rsid w:val="00AC3B60"/>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66AEC"/>
    <w:rPr>
      <w:sz w:val="20"/>
      <w:szCs w:val="20"/>
    </w:rPr>
  </w:style>
  <w:style w:type="character" w:customStyle="1" w:styleId="FootnoteTextChar">
    <w:name w:val="Footnote Text Char"/>
    <w:basedOn w:val="DefaultParagraphFont"/>
    <w:link w:val="FootnoteText"/>
    <w:uiPriority w:val="99"/>
    <w:semiHidden/>
    <w:rsid w:val="00966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AEC"/>
    <w:rPr>
      <w:vertAlign w:val="superscript"/>
    </w:rPr>
  </w:style>
  <w:style w:type="paragraph" w:styleId="Header">
    <w:name w:val="header"/>
    <w:basedOn w:val="Normal"/>
    <w:link w:val="HeaderChar"/>
    <w:uiPriority w:val="99"/>
    <w:unhideWhenUsed/>
    <w:rsid w:val="0080516C"/>
    <w:pPr>
      <w:tabs>
        <w:tab w:val="center" w:pos="4680"/>
        <w:tab w:val="right" w:pos="9360"/>
      </w:tabs>
    </w:pPr>
  </w:style>
  <w:style w:type="character" w:customStyle="1" w:styleId="HeaderChar">
    <w:name w:val="Header Char"/>
    <w:basedOn w:val="DefaultParagraphFont"/>
    <w:link w:val="Header"/>
    <w:uiPriority w:val="99"/>
    <w:rsid w:val="0080516C"/>
    <w:rPr>
      <w:rFonts w:ascii="Times New Roman" w:eastAsia="Times New Roman" w:hAnsi="Times New Roman" w:cs="Times New Roman"/>
    </w:rPr>
  </w:style>
  <w:style w:type="paragraph" w:styleId="Footer">
    <w:name w:val="footer"/>
    <w:basedOn w:val="Normal"/>
    <w:link w:val="FooterChar"/>
    <w:uiPriority w:val="99"/>
    <w:unhideWhenUsed/>
    <w:rsid w:val="0080516C"/>
    <w:pPr>
      <w:tabs>
        <w:tab w:val="center" w:pos="4680"/>
        <w:tab w:val="right" w:pos="9360"/>
      </w:tabs>
    </w:pPr>
  </w:style>
  <w:style w:type="character" w:customStyle="1" w:styleId="FooterChar">
    <w:name w:val="Footer Char"/>
    <w:basedOn w:val="DefaultParagraphFont"/>
    <w:link w:val="Footer"/>
    <w:uiPriority w:val="99"/>
    <w:rsid w:val="0080516C"/>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33DD1"/>
    <w:rPr>
      <w:color w:val="605E5C"/>
      <w:shd w:val="clear" w:color="auto" w:fill="E1DFDD"/>
    </w:rPr>
  </w:style>
  <w:style w:type="character" w:customStyle="1" w:styleId="TitleChar">
    <w:name w:val="Title Char"/>
    <w:basedOn w:val="DefaultParagraphFont"/>
    <w:link w:val="Title"/>
    <w:uiPriority w:val="10"/>
    <w:rsid w:val="00000603"/>
    <w:rPr>
      <w:rFonts w:ascii="Times New Roman" w:eastAsia="Times New Roman" w:hAnsi="Times New Roman" w:cs="Times New Roman"/>
      <w:b/>
      <w:bCs/>
      <w:sz w:val="28"/>
      <w:szCs w:val="28"/>
    </w:rPr>
  </w:style>
  <w:style w:type="character" w:styleId="Strong">
    <w:name w:val="Strong"/>
    <w:basedOn w:val="DefaultParagraphFont"/>
    <w:uiPriority w:val="22"/>
    <w:qFormat/>
    <w:rsid w:val="00000603"/>
    <w:rPr>
      <w:b/>
      <w:bCs/>
    </w:rPr>
  </w:style>
  <w:style w:type="paragraph" w:styleId="Quote">
    <w:name w:val="Quote"/>
    <w:basedOn w:val="Normal"/>
    <w:next w:val="Normal"/>
    <w:link w:val="QuoteChar"/>
    <w:uiPriority w:val="29"/>
    <w:qFormat/>
    <w:rsid w:val="00000603"/>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00603"/>
    <w:rPr>
      <w:i/>
      <w:iCs/>
      <w:color w:val="404040" w:themeColor="text1" w:themeTint="BF"/>
    </w:rPr>
  </w:style>
  <w:style w:type="paragraph" w:styleId="BalloonText">
    <w:name w:val="Balloon Text"/>
    <w:basedOn w:val="Normal"/>
    <w:link w:val="BalloonTextChar"/>
    <w:uiPriority w:val="99"/>
    <w:semiHidden/>
    <w:unhideWhenUsed/>
    <w:rsid w:val="00B346BD"/>
    <w:rPr>
      <w:rFonts w:ascii="Tahoma" w:hAnsi="Tahoma" w:cs="Tahoma"/>
      <w:sz w:val="16"/>
      <w:szCs w:val="16"/>
    </w:rPr>
  </w:style>
  <w:style w:type="character" w:customStyle="1" w:styleId="BalloonTextChar">
    <w:name w:val="Balloon Text Char"/>
    <w:basedOn w:val="DefaultParagraphFont"/>
    <w:link w:val="BalloonText"/>
    <w:uiPriority w:val="99"/>
    <w:semiHidden/>
    <w:rsid w:val="00B346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3899">
      <w:bodyDiv w:val="1"/>
      <w:marLeft w:val="0"/>
      <w:marRight w:val="0"/>
      <w:marTop w:val="0"/>
      <w:marBottom w:val="0"/>
      <w:divBdr>
        <w:top w:val="none" w:sz="0" w:space="0" w:color="auto"/>
        <w:left w:val="none" w:sz="0" w:space="0" w:color="auto"/>
        <w:bottom w:val="none" w:sz="0" w:space="0" w:color="auto"/>
        <w:right w:val="none" w:sz="0" w:space="0" w:color="auto"/>
      </w:divBdr>
    </w:div>
    <w:div w:id="165035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8" ma:contentTypeDescription="Create a new document." ma:contentTypeScope="" ma:versionID="c3e036dcd5f937416962895f4303306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f6dbcf1707347d0b04ba8aed786a68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4DE76-5F7E-40ED-AB34-9EE09AF12E8D}">
  <ds:schemaRefs>
    <ds:schemaRef ds:uri="http://schemas.openxmlformats.org/officeDocument/2006/bibliography"/>
  </ds:schemaRefs>
</ds:datastoreItem>
</file>

<file path=customXml/itemProps2.xml><?xml version="1.0" encoding="utf-8"?>
<ds:datastoreItem xmlns:ds="http://schemas.openxmlformats.org/officeDocument/2006/customXml" ds:itemID="{B065466E-4DF3-4D26-9C43-BB442076B175}">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3.xml><?xml version="1.0" encoding="utf-8"?>
<ds:datastoreItem xmlns:ds="http://schemas.openxmlformats.org/officeDocument/2006/customXml" ds:itemID="{C78BEC89-C50D-4AB8-A5C8-B0803FA1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E1600-A903-4E54-AF13-DE4DBD8D7FA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6378</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Microsoft Word - Statement of Qualification Guideline CLEAN 103120241</vt:lpstr>
    </vt:vector>
  </TitlesOfParts>
  <Company/>
  <LinksUpToDate>false</LinksUpToDate>
  <CharactersWithSpaces>7511</CharactersWithSpaces>
  <SharedDoc>false</SharedDoc>
  <HLinks>
    <vt:vector size="42" baseType="variant">
      <vt:variant>
        <vt:i4>7012376</vt:i4>
      </vt:variant>
      <vt:variant>
        <vt:i4>15</vt:i4>
      </vt:variant>
      <vt:variant>
        <vt:i4>0</vt:i4>
      </vt:variant>
      <vt:variant>
        <vt:i4>5</vt:i4>
      </vt:variant>
      <vt:variant>
        <vt:lpwstr>mailto:DOER.BER@mass.gov</vt:lpwstr>
      </vt:variant>
      <vt:variant>
        <vt:lpwstr/>
      </vt:variant>
      <vt:variant>
        <vt:i4>8323179</vt:i4>
      </vt:variant>
      <vt:variant>
        <vt:i4>12</vt:i4>
      </vt:variant>
      <vt:variant>
        <vt:i4>0</vt:i4>
      </vt:variant>
      <vt:variant>
        <vt:i4>5</vt:i4>
      </vt:variant>
      <vt:variant>
        <vt:lpwstr>https://ma.beam-portal.org/helpdesk/kb/</vt:lpwstr>
      </vt:variant>
      <vt:variant>
        <vt:lpwstr/>
      </vt:variant>
      <vt:variant>
        <vt:i4>8323179</vt:i4>
      </vt:variant>
      <vt:variant>
        <vt:i4>9</vt:i4>
      </vt:variant>
      <vt:variant>
        <vt:i4>0</vt:i4>
      </vt:variant>
      <vt:variant>
        <vt:i4>5</vt:i4>
      </vt:variant>
      <vt:variant>
        <vt:lpwstr>https://ma.beam-portal.org/helpdesk/kb/</vt:lpwstr>
      </vt:variant>
      <vt:variant>
        <vt:lpwstr/>
      </vt:variant>
      <vt:variant>
        <vt:i4>8323179</vt:i4>
      </vt:variant>
      <vt:variant>
        <vt:i4>6</vt:i4>
      </vt:variant>
      <vt:variant>
        <vt:i4>0</vt:i4>
      </vt:variant>
      <vt:variant>
        <vt:i4>5</vt:i4>
      </vt:variant>
      <vt:variant>
        <vt:lpwstr>https://ma.beam-portal.org/helpdesk/kb/</vt:lpwstr>
      </vt:variant>
      <vt:variant>
        <vt:lpwstr/>
      </vt:variant>
      <vt:variant>
        <vt:i4>74</vt:i4>
      </vt:variant>
      <vt:variant>
        <vt:i4>3</vt:i4>
      </vt:variant>
      <vt:variant>
        <vt:i4>0</vt:i4>
      </vt:variant>
      <vt:variant>
        <vt:i4>5</vt:i4>
      </vt:variant>
      <vt:variant>
        <vt:lpwstr>https://portfoliomanager.energystar.gov/pm/glossary</vt:lpwstr>
      </vt:variant>
      <vt:variant>
        <vt:lpwstr>PropertyGFASelfReported</vt:lpwstr>
      </vt:variant>
      <vt:variant>
        <vt:i4>8323179</vt:i4>
      </vt:variant>
      <vt:variant>
        <vt:i4>0</vt:i4>
      </vt:variant>
      <vt:variant>
        <vt:i4>0</vt:i4>
      </vt:variant>
      <vt:variant>
        <vt:i4>5</vt:i4>
      </vt:variant>
      <vt:variant>
        <vt:lpwstr>https://ma.beam-portal.org/helpdesk/kb/</vt:lpwstr>
      </vt:variant>
      <vt:variant>
        <vt:lpwstr/>
      </vt:variant>
      <vt:variant>
        <vt:i4>6619199</vt:i4>
      </vt:variant>
      <vt:variant>
        <vt:i4>0</vt:i4>
      </vt:variant>
      <vt:variant>
        <vt:i4>0</vt:i4>
      </vt:variant>
      <vt:variant>
        <vt:i4>5</vt:i4>
      </vt:variant>
      <vt:variant>
        <vt:lpwstr>https://portfoliomanager.energystar.gov/pm/glossary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Qualification Guideline CLEAN 103120241</dc:title>
  <dc:creator>Fletcher, Grace (ENE)</dc:creator>
  <cp:lastModifiedBy>Alla Pe</cp:lastModifiedBy>
  <cp:revision>10</cp:revision>
  <dcterms:created xsi:type="dcterms:W3CDTF">2025-03-31T01:50:00Z</dcterms:created>
  <dcterms:modified xsi:type="dcterms:W3CDTF">2025-03-31T02:06:00Z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2024-11-04T00:00:00Z</vt:filetime>
  </property>
  <property fmtid="{D5CDD505-2E9C-101B-9397-08002B2CF9AE}" pid="4" name="Producer">
    <vt:lpwstr>Microsoft: Print To PDF</vt:lpwstr>
  </property>
  <property fmtid="{D5CDD505-2E9C-101B-9397-08002B2CF9AE}" pid="5" name="ContentTypeId">
    <vt:lpwstr>0x010100CCE5B1B55FDC6F46992CBD8D384DCF63</vt:lpwstr>
  </property>
  <property fmtid="{D5CDD505-2E9C-101B-9397-08002B2CF9AE}" pid="6" name="MediaServiceImageTags">
    <vt:lpwstr/>
  </property>
</Properties>
</file>