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86CF" w14:textId="77777777" w:rsidR="008F6E02" w:rsidRPr="008F6E02" w:rsidRDefault="008F6E02" w:rsidP="008F6E02">
      <w:pPr>
        <w:spacing w:line="275" w:lineRule="exact"/>
        <w:ind w:left="1042" w:right="1033"/>
        <w:jc w:val="center"/>
        <w:rPr>
          <w:b/>
        </w:rPr>
      </w:pPr>
      <w:r w:rsidRPr="008F6E02">
        <w:rPr>
          <w:b/>
        </w:rPr>
        <w:t>Commonwealth of Massachusetts</w:t>
      </w:r>
    </w:p>
    <w:p w14:paraId="2DB390A3" w14:textId="77777777" w:rsidR="008F6E02" w:rsidRPr="008F6E02" w:rsidRDefault="008F6E02" w:rsidP="008F6E02">
      <w:pPr>
        <w:spacing w:line="275" w:lineRule="exact"/>
        <w:ind w:left="1042" w:right="1033"/>
        <w:jc w:val="center"/>
        <w:rPr>
          <w:b/>
        </w:rPr>
      </w:pPr>
      <w:r w:rsidRPr="008F6E02">
        <w:rPr>
          <w:b/>
        </w:rPr>
        <w:t>Executive Office of Energy and Environmental Affairs</w:t>
      </w:r>
    </w:p>
    <w:p w14:paraId="34215889" w14:textId="77777777" w:rsidR="008F6E02" w:rsidRDefault="008F6E02" w:rsidP="008F6E02">
      <w:pPr>
        <w:spacing w:line="275" w:lineRule="exact"/>
        <w:ind w:left="1042" w:right="1033"/>
        <w:jc w:val="center"/>
        <w:rPr>
          <w:b/>
          <w:lang w:val="en-US"/>
        </w:rPr>
      </w:pPr>
      <w:r w:rsidRPr="008F6E02">
        <w:rPr>
          <w:b/>
        </w:rPr>
        <w:t>DEPARTMENT OF ENERGY RESOURCES</w:t>
      </w:r>
    </w:p>
    <w:p w14:paraId="5577D943" w14:textId="49A413E4" w:rsidR="00D85E99" w:rsidRPr="007D6EBB" w:rsidRDefault="0065497C" w:rsidP="008F6E02">
      <w:pPr>
        <w:spacing w:line="275" w:lineRule="exact"/>
        <w:ind w:left="1042" w:right="1033"/>
        <w:jc w:val="center"/>
        <w:rPr>
          <w:b/>
          <w:sz w:val="24"/>
          <w:lang w:val="en-US"/>
        </w:rPr>
      </w:pPr>
      <w:r>
        <w:rPr>
          <w:b/>
          <w:sz w:val="24"/>
        </w:rPr>
        <w:t>Văn Phòng Điều Hành Các Vấn Đề Năng Lượng và Môi Trường</w:t>
      </w:r>
    </w:p>
    <w:p w14:paraId="5577D944" w14:textId="77777777" w:rsidR="00D85E99" w:rsidRDefault="0065497C">
      <w:pPr>
        <w:spacing w:line="253" w:lineRule="exact"/>
        <w:ind w:left="1042" w:right="1029"/>
        <w:jc w:val="center"/>
        <w:rPr>
          <w:b/>
        </w:rPr>
      </w:pPr>
      <w:r>
        <w:rPr>
          <w:b/>
        </w:rPr>
        <w:t>BỘ TÀI NGUYÊN NĂNG LƯỢNG</w:t>
      </w:r>
    </w:p>
    <w:p w14:paraId="5577D945" w14:textId="77777777" w:rsidR="00D85E99" w:rsidRDefault="00D85E99">
      <w:pPr>
        <w:pStyle w:val="BodyText"/>
        <w:spacing w:before="2"/>
        <w:rPr>
          <w:b/>
          <w:sz w:val="22"/>
        </w:rPr>
      </w:pPr>
    </w:p>
    <w:p w14:paraId="73C4F8E2" w14:textId="539E6EAB" w:rsidR="00183A6C" w:rsidRDefault="00183A6C">
      <w:pPr>
        <w:pStyle w:val="Title"/>
      </w:pPr>
      <w:r>
        <w:t xml:space="preserve">CHƯƠNG TRÌNH BÁO CÁO NĂNG LƯỢNG TÒA NHÀ LỚN </w:t>
      </w:r>
    </w:p>
    <w:p w14:paraId="5577D946" w14:textId="7778E3B8" w:rsidR="00D85E99" w:rsidRDefault="0065497C">
      <w:pPr>
        <w:pStyle w:val="Title"/>
      </w:pPr>
      <w:r>
        <w:t>(225 CMR 27.00)</w:t>
      </w:r>
    </w:p>
    <w:p w14:paraId="5577D947" w14:textId="77777777" w:rsidR="00D85E99" w:rsidRDefault="0065497C">
      <w:pPr>
        <w:pStyle w:val="Title"/>
        <w:spacing w:before="254"/>
        <w:ind w:left="1050"/>
      </w:pPr>
      <w:r>
        <w:t>HƯỚNG DẪN</w:t>
      </w:r>
    </w:p>
    <w:p w14:paraId="5577D948" w14:textId="77777777" w:rsidR="00D85E99" w:rsidRDefault="00D85E99">
      <w:pPr>
        <w:pStyle w:val="BodyText"/>
        <w:spacing w:before="18"/>
        <w:rPr>
          <w:b/>
          <w:sz w:val="28"/>
        </w:rPr>
      </w:pPr>
    </w:p>
    <w:p w14:paraId="5577D949" w14:textId="4B41B92B" w:rsidR="00D85E99" w:rsidRDefault="6332C472" w:rsidP="1CBEAB8A">
      <w:pPr>
        <w:ind w:left="1042" w:right="1031"/>
        <w:jc w:val="center"/>
        <w:rPr>
          <w:b/>
          <w:bCs/>
          <w:sz w:val="26"/>
          <w:szCs w:val="26"/>
        </w:rPr>
      </w:pPr>
      <w:r>
        <w:rPr>
          <w:b/>
          <w:sz w:val="26"/>
          <w:u w:val="single"/>
        </w:rPr>
        <w:t>DỰ THẢO Hướng Dẫn về Tổng Diện Tích Sàn (GFA)</w:t>
      </w:r>
    </w:p>
    <w:p w14:paraId="5577D94A" w14:textId="133AACA6" w:rsidR="00D85E99" w:rsidRDefault="76DDB6B7" w:rsidP="1CBEAB8A">
      <w:pPr>
        <w:spacing w:before="250"/>
        <w:ind w:left="1220" w:right="1029"/>
        <w:jc w:val="center"/>
        <w:rPr>
          <w:b/>
          <w:bCs/>
          <w:sz w:val="24"/>
          <w:szCs w:val="24"/>
        </w:rPr>
      </w:pPr>
      <w:r>
        <w:rPr>
          <w:b/>
          <w:sz w:val="24"/>
        </w:rPr>
        <w:t>Công bố bản dự thảo để xin ý kiến ​​công chúng: 31/03/2025</w:t>
      </w:r>
    </w:p>
    <w:p w14:paraId="5577D952" w14:textId="11D670C7" w:rsidR="00D85E99" w:rsidDel="00957E93" w:rsidRDefault="00D85E99" w:rsidP="02CDBA2B">
      <w:pPr>
        <w:pStyle w:val="BodyText"/>
        <w:ind w:left="1223" w:right="1029"/>
        <w:jc w:val="center"/>
        <w:rPr>
          <w:b/>
          <w:bCs/>
        </w:rPr>
      </w:pPr>
    </w:p>
    <w:p w14:paraId="5577D953" w14:textId="77777777" w:rsidR="00D85E99" w:rsidRDefault="0065497C" w:rsidP="00E55467">
      <w:pPr>
        <w:pStyle w:val="Heading2"/>
      </w:pPr>
      <w:r>
        <w:t>Mục đích</w:t>
      </w:r>
    </w:p>
    <w:p w14:paraId="5577D954" w14:textId="77777777" w:rsidR="00D85E99" w:rsidRDefault="00D85E99">
      <w:pPr>
        <w:pStyle w:val="BodyText"/>
      </w:pPr>
    </w:p>
    <w:p w14:paraId="5577D955" w14:textId="652C1A22" w:rsidR="00D85E99" w:rsidRDefault="0065497C" w:rsidP="007C2991">
      <w:pPr>
        <w:pStyle w:val="BodyText"/>
        <w:ind w:left="463" w:right="165"/>
      </w:pPr>
      <w:r>
        <w:t>Hướng Dẫn này cung cấp cho các bên liên quan của Báo Cáo Năng Lượng Tòa Nhà Lớn (LBER) hướng dẫn về cách Bộ Tài Nguyên Năng Lượng Massachusetts (DOER) sẽ xác định và tính toán Tổng Diện Tích Sàn (GFA) theo mục đích của 225 CMR 27.00. Tất cả các thuật ngữ viết hoa trong Hướng Dẫn này đều là danh từ riêng hoặc được định nghĩa trong bộ luật 225 CMR 27.02.</w:t>
      </w:r>
    </w:p>
    <w:p w14:paraId="4EE0E928" w14:textId="77777777" w:rsidR="0035104D" w:rsidRDefault="0035104D" w:rsidP="007C2991">
      <w:pPr>
        <w:pStyle w:val="BodyText"/>
        <w:ind w:left="463" w:right="165"/>
      </w:pPr>
    </w:p>
    <w:p w14:paraId="7121F65B" w14:textId="1C2D2BFF" w:rsidR="0035104D" w:rsidRDefault="0035104D" w:rsidP="0035104D">
      <w:pPr>
        <w:pStyle w:val="Heading2"/>
      </w:pPr>
      <w:r>
        <w:t xml:space="preserve">GFA theo LBER </w:t>
      </w:r>
    </w:p>
    <w:p w14:paraId="62EE707E" w14:textId="77777777" w:rsidR="0035104D" w:rsidRDefault="0035104D" w:rsidP="007C2991">
      <w:pPr>
        <w:pStyle w:val="BodyText"/>
        <w:ind w:left="463" w:right="165"/>
      </w:pPr>
    </w:p>
    <w:p w14:paraId="0884C96D" w14:textId="3FF10469" w:rsidR="0047544E" w:rsidRDefault="7EB0FE4C" w:rsidP="00FB5A8F">
      <w:pPr>
        <w:ind w:left="360"/>
        <w:rPr>
          <w:sz w:val="24"/>
          <w:szCs w:val="24"/>
        </w:rPr>
      </w:pPr>
      <w:r>
        <w:rPr>
          <w:sz w:val="24"/>
        </w:rPr>
        <w:t>G.L. c. 25A,</w:t>
      </w:r>
      <w:r>
        <w:rPr>
          <w:color w:val="212121"/>
          <w:sz w:val="30"/>
        </w:rPr>
        <w:t xml:space="preserve"> </w:t>
      </w:r>
      <w:r>
        <w:rPr>
          <w:sz w:val="24"/>
        </w:rPr>
        <w:t>§ 20 và 225 CMR 27.00 yêu cầu báo cáo thông tin về Tình Hình Sử Dụng Năng Lượng của các tòa nhà trong Tiểu Bang có Tổng Diện Tích Sàn bằng hoặc lớn hơn 20.000 feet vuông. Bộ luật 225 CMR 27.02 định nghĩa Tổng Diện Tích Sàn như sau:</w:t>
      </w:r>
    </w:p>
    <w:p w14:paraId="012976EE" w14:textId="77777777" w:rsidR="00CE052E" w:rsidRDefault="00CE052E" w:rsidP="0047544E">
      <w:pPr>
        <w:ind w:left="360"/>
        <w:rPr>
          <w:sz w:val="24"/>
          <w:szCs w:val="24"/>
        </w:rPr>
      </w:pPr>
    </w:p>
    <w:p w14:paraId="5874E842" w14:textId="4F9D10D0" w:rsidR="00CE052E" w:rsidRDefault="004620A0" w:rsidP="0047544E">
      <w:pPr>
        <w:ind w:left="360"/>
        <w:rPr>
          <w:sz w:val="24"/>
          <w:szCs w:val="24"/>
        </w:rPr>
      </w:pPr>
      <w:r>
        <w:rPr>
          <w:sz w:val="24"/>
          <w:u w:val="single"/>
        </w:rPr>
        <w:t>Tổng Diện Tích Sàn</w:t>
      </w:r>
      <w:r>
        <w:rPr>
          <w:sz w:val="24"/>
        </w:rPr>
        <w:t>: Tổng diện tích sàn bên trong một Tòa Nhà được đo đến mặt ngoài của các bức tường bao bên ngoài.</w:t>
      </w:r>
    </w:p>
    <w:p w14:paraId="5577D956" w14:textId="77777777" w:rsidR="00D85E99" w:rsidRDefault="00D85E99" w:rsidP="00E55467">
      <w:pPr>
        <w:pStyle w:val="Heading2"/>
      </w:pPr>
    </w:p>
    <w:p w14:paraId="336C5F29" w14:textId="7F34B2C6" w:rsidR="005A0E4F" w:rsidRPr="00E55467" w:rsidRDefault="005A0E4F" w:rsidP="003B2501">
      <w:pPr>
        <w:pStyle w:val="Heading2"/>
        <w:rPr>
          <w:rFonts w:ascii="Arial" w:hAnsi="Arial" w:cs="Times New Roman"/>
          <w:sz w:val="24"/>
          <w:szCs w:val="24"/>
        </w:rPr>
      </w:pPr>
      <w:r>
        <w:rPr>
          <w:rFonts w:ascii="Arial" w:hAnsi="Arial"/>
          <w:sz w:val="24"/>
        </w:rPr>
        <w:t>GFA Tòa Nhà Mặc Định</w:t>
      </w:r>
    </w:p>
    <w:p w14:paraId="092581D2" w14:textId="77777777" w:rsidR="00E55467" w:rsidRDefault="005A0E4F" w:rsidP="00E55467">
      <w:pPr>
        <w:ind w:left="360"/>
        <w:rPr>
          <w:sz w:val="24"/>
          <w:szCs w:val="24"/>
        </w:rPr>
      </w:pPr>
      <w:r>
        <w:rPr>
          <w:sz w:val="24"/>
        </w:rPr>
        <w:tab/>
      </w:r>
    </w:p>
    <w:p w14:paraId="7045064A" w14:textId="62F6608D" w:rsidR="005A0E4F" w:rsidRPr="00E55467" w:rsidRDefault="52DE3523" w:rsidP="004F7E66">
      <w:pPr>
        <w:ind w:left="360"/>
        <w:rPr>
          <w:sz w:val="24"/>
          <w:szCs w:val="24"/>
        </w:rPr>
      </w:pPr>
      <w:r>
        <w:rPr>
          <w:sz w:val="24"/>
        </w:rPr>
        <w:t>Giá trị GFA mặc định của một Tòa Nhà thuộc Danh Sách Tòa Nhà Áp Dụng được xác định bằng cách sử dụng dữ liệu công khai (ví dụ: hồ sơ bất động sản của thành phố). Nếu Chủ Sở Hữu Tòa Nhà tin rằng giá trị GFA Tòa Nhà của họ không chính xác, Chủ Sở Hữu Tòa Nhà có thể gửi yêu cầu “Tính Toán Lại Tổng Diện Tích Sàn của tôi” tại</w:t>
      </w:r>
      <w:r>
        <w:t xml:space="preserve"> </w:t>
      </w:r>
      <w:hyperlink r:id="rId11">
        <w:r>
          <w:rPr>
            <w:rStyle w:val="Hyperlink"/>
            <w:sz w:val="24"/>
          </w:rPr>
          <w:t>Bộ Phận Trợ Giúp LBER</w:t>
        </w:r>
      </w:hyperlink>
      <w:r>
        <w:rPr>
          <w:sz w:val="24"/>
        </w:rPr>
        <w:t xml:space="preserve"> (Bộ Phận Trợ Giúp). Chủ Sở Hữu Tòa Nhà nên gửi mọi tài liệu được áp dụng.  [Vui lòng xem các câu hỏi đính kèm để cung cấp thông tin về các tài liệu được áp dụng]</w:t>
      </w:r>
    </w:p>
    <w:p w14:paraId="60B82780" w14:textId="77777777" w:rsidR="004723AC" w:rsidRPr="00E55467" w:rsidRDefault="004723AC" w:rsidP="00E55467">
      <w:pPr>
        <w:rPr>
          <w:sz w:val="24"/>
          <w:szCs w:val="24"/>
        </w:rPr>
      </w:pPr>
    </w:p>
    <w:p w14:paraId="33A913AC" w14:textId="1F18E411" w:rsidR="00D85E99" w:rsidRPr="00E55467" w:rsidRDefault="1CB13362" w:rsidP="196104DB">
      <w:pPr>
        <w:pStyle w:val="Heading2"/>
        <w:spacing w:line="259" w:lineRule="auto"/>
        <w:rPr>
          <w:rFonts w:ascii="Arial" w:hAnsi="Arial" w:cs="Times New Roman"/>
          <w:sz w:val="24"/>
          <w:szCs w:val="24"/>
        </w:rPr>
      </w:pPr>
      <w:r>
        <w:rPr>
          <w:rFonts w:ascii="Arial" w:hAnsi="Arial"/>
          <w:sz w:val="24"/>
        </w:rPr>
        <w:t>Thay Đổi GFA từ Giá Trị Mặc Định</w:t>
      </w:r>
    </w:p>
    <w:p w14:paraId="3BA4D064" w14:textId="39C9D6EB" w:rsidR="00D85E99" w:rsidRPr="00E55467" w:rsidRDefault="00D85E99" w:rsidP="00E55467">
      <w:pPr>
        <w:rPr>
          <w:sz w:val="24"/>
          <w:szCs w:val="24"/>
        </w:rPr>
      </w:pPr>
    </w:p>
    <w:p w14:paraId="4DB9EFB0" w14:textId="524B59DE" w:rsidR="00D85E99" w:rsidRPr="00536E14" w:rsidRDefault="00FA0125" w:rsidP="00A90C4B">
      <w:pPr>
        <w:pStyle w:val="ListParagraph"/>
        <w:shd w:val="clear" w:color="auto" w:fill="FFFFFF" w:themeFill="background1"/>
        <w:spacing w:after="195"/>
        <w:ind w:left="360" w:firstLine="0"/>
        <w:rPr>
          <w:rFonts w:eastAsia="Helvetica"/>
          <w:color w:val="000000" w:themeColor="text1"/>
          <w:sz w:val="24"/>
          <w:szCs w:val="24"/>
        </w:rPr>
      </w:pPr>
      <w:r>
        <w:rPr>
          <w:color w:val="000000" w:themeColor="text1"/>
          <w:sz w:val="24"/>
        </w:rPr>
        <w:t>Nếu Chủ Sở Hữu Tòa Nhà muốn GFA Tòa Nhà của họ theo bộ luật 225 CMR 27.00 phù hợp hơn với</w:t>
      </w:r>
      <w:r>
        <w:t xml:space="preserve"> </w:t>
      </w:r>
      <w:hyperlink r:id="rId12" w:anchor="PropertyGFASelfReported">
        <w:r>
          <w:rPr>
            <w:rStyle w:val="Hyperlink"/>
            <w:sz w:val="24"/>
          </w:rPr>
          <w:t>các tiêu chuẩn Đo Lường Tổng Diện Tích Sàn Bất Động Sản</w:t>
        </w:r>
      </w:hyperlink>
      <w:r>
        <w:rPr>
          <w:color w:val="000000" w:themeColor="text1"/>
          <w:sz w:val="24"/>
        </w:rPr>
        <w:t xml:space="preserve"> của Energy Star Portfolio Manager (ESPM), Chủ Sở Hữu có thể yêu cầu tính GFA tòa nhà của mình cho phù hợp với tiêu chuẩn quốc gia. </w:t>
      </w:r>
    </w:p>
    <w:p w14:paraId="415BE492" w14:textId="0B1288BC" w:rsidR="00D85E99" w:rsidRDefault="00414503" w:rsidP="003B2501">
      <w:pPr>
        <w:pStyle w:val="ListParagraph"/>
        <w:shd w:val="clear" w:color="auto" w:fill="FFFFFF" w:themeFill="background1"/>
        <w:spacing w:after="195"/>
        <w:ind w:left="360" w:firstLine="0"/>
        <w:rPr>
          <w:rFonts w:eastAsia="Helvetica"/>
          <w:color w:val="000000" w:themeColor="text1"/>
          <w:sz w:val="24"/>
          <w:szCs w:val="24"/>
        </w:rPr>
      </w:pPr>
      <w:r>
        <w:rPr>
          <w:color w:val="000000" w:themeColor="text1"/>
          <w:sz w:val="24"/>
        </w:rPr>
        <w:t xml:space="preserve">DOER lưu ý rằng ESPM là công cụ được thiết kế để Chủ Sở Hữu Tòa Nhà theo dõi hiệu suất tài sản của họ và LBER là chính sách tạo điều kiện công khai Tình Hình Sử Dụng Năng Lượng của Tòa Nhà. Do đó, DOER công nhận rằng có thể có hoạt động Sử Dụng Năng Lượng nào đó liên </w:t>
      </w:r>
      <w:r>
        <w:rPr>
          <w:color w:val="000000" w:themeColor="text1"/>
          <w:sz w:val="24"/>
        </w:rPr>
        <w:lastRenderedPageBreak/>
        <w:t xml:space="preserve">quan đến một Tòa Nhà mà chủ sở hữu muốn theo dõi trong ESPM nhưng không nên đưa vào Tình Hình Sử Dụng Năng Lượng của Tòa Nhà (ví dụ: sân thể thao bên ngoài không có Tòa Nhà liên quan).  </w:t>
      </w:r>
    </w:p>
    <w:p w14:paraId="7D62E006" w14:textId="1F373E0F" w:rsidR="00344F33" w:rsidRPr="003B2501" w:rsidRDefault="38A46156" w:rsidP="00E55467">
      <w:pPr>
        <w:pStyle w:val="ListParagraph"/>
        <w:shd w:val="clear" w:color="auto" w:fill="FFFFFF" w:themeFill="background1"/>
        <w:spacing w:after="195"/>
        <w:ind w:left="360" w:firstLine="0"/>
        <w:rPr>
          <w:sz w:val="24"/>
          <w:szCs w:val="24"/>
        </w:rPr>
      </w:pPr>
      <w:r>
        <w:rPr>
          <w:color w:val="000000" w:themeColor="text1"/>
          <w:sz w:val="24"/>
        </w:rPr>
        <w:t>Để yêu cầu thay đổi GFA mặc định cho phù hợp hơn với hướng dẫn từ ESPM, hãy liên hệ với</w:t>
      </w:r>
      <w:r>
        <w:t xml:space="preserve"> </w:t>
      </w:r>
      <w:hyperlink r:id="rId13" w:history="1">
        <w:r>
          <w:rPr>
            <w:rStyle w:val="Hyperlink"/>
            <w:sz w:val="24"/>
          </w:rPr>
          <w:t>Bộ Phận Trợ Giúp</w:t>
        </w:r>
      </w:hyperlink>
      <w:r>
        <w:t xml:space="preserve"> </w:t>
      </w:r>
      <w:r>
        <w:rPr>
          <w:color w:val="000000" w:themeColor="text1"/>
          <w:sz w:val="24"/>
        </w:rPr>
        <w:t>và gửi biểu mẫu “Cập Nhật Thông Tin Danh Sách Tòa Nhà Áp Dụng”.</w:t>
      </w:r>
    </w:p>
    <w:p w14:paraId="7A17DC0E" w14:textId="1250EB69" w:rsidR="447A4A8B" w:rsidRPr="00E55467" w:rsidRDefault="447A4A8B" w:rsidP="196104DB"/>
    <w:p w14:paraId="5577D957" w14:textId="0DBBB461" w:rsidR="00D85E99" w:rsidRPr="00E55467" w:rsidRDefault="00BF4A7F" w:rsidP="00E55467">
      <w:pPr>
        <w:pStyle w:val="Heading2"/>
        <w:spacing w:line="259" w:lineRule="auto"/>
        <w:rPr>
          <w:sz w:val="24"/>
          <w:szCs w:val="24"/>
        </w:rPr>
      </w:pPr>
      <w:r>
        <w:rPr>
          <w:sz w:val="24"/>
        </w:rPr>
        <w:t>Đo Tổng Diện Tích Sàn (GFA)</w:t>
      </w:r>
    </w:p>
    <w:p w14:paraId="3D554372" w14:textId="180E0EEE" w:rsidR="005F5BAD" w:rsidRDefault="005F5BAD" w:rsidP="02CDBA2B">
      <w:pPr>
        <w:spacing w:after="195"/>
      </w:pPr>
    </w:p>
    <w:p w14:paraId="7874F7D3" w14:textId="55C9E427" w:rsidR="00C52461" w:rsidRDefault="5216799B" w:rsidP="00113A6F">
      <w:pPr>
        <w:shd w:val="clear" w:color="auto" w:fill="FFFFFF" w:themeFill="background1"/>
        <w:spacing w:after="195"/>
        <w:ind w:left="360"/>
        <w:rPr>
          <w:rFonts w:eastAsia="Helvetica"/>
          <w:color w:val="000000" w:themeColor="text1"/>
          <w:sz w:val="24"/>
          <w:szCs w:val="24"/>
        </w:rPr>
      </w:pPr>
      <w:r>
        <w:rPr>
          <w:color w:val="000000" w:themeColor="text1"/>
          <w:sz w:val="24"/>
        </w:rPr>
        <w:t>DOER đã sử dụng hướng dẫn của ESPM để xác định những mục cần đưa vào và loại trừ khi tính toán GFA.</w:t>
      </w:r>
      <w:r w:rsidR="00966AEC">
        <w:rPr>
          <w:rStyle w:val="FootnoteReference"/>
          <w:rFonts w:eastAsia="Helvetica"/>
          <w:color w:val="000000" w:themeColor="text1"/>
          <w:sz w:val="24"/>
          <w:szCs w:val="24"/>
        </w:rPr>
        <w:footnoteReference w:id="2"/>
      </w:r>
      <w:r>
        <w:rPr>
          <w:color w:val="000000" w:themeColor="text1"/>
          <w:sz w:val="24"/>
        </w:rPr>
        <w:t xml:space="preserve">  DOER có thể cập nhật Hướng Dẫn này theo các bản cập nhật hướng dẫn của ESPM trong tương lai. </w:t>
      </w:r>
    </w:p>
    <w:p w14:paraId="4F6D3D16" w14:textId="2A41CEB9" w:rsidR="63172CED" w:rsidRPr="00183A6C" w:rsidRDefault="63172CED" w:rsidP="30F9F01D">
      <w:pPr>
        <w:numPr>
          <w:ilvl w:val="0"/>
          <w:numId w:val="1"/>
        </w:numPr>
        <w:shd w:val="clear" w:color="auto" w:fill="FFFFFF" w:themeFill="background1"/>
        <w:spacing w:after="195"/>
        <w:ind w:left="360" w:firstLine="0"/>
        <w:rPr>
          <w:rFonts w:eastAsia="Helvetica"/>
          <w:color w:val="000000" w:themeColor="text1"/>
        </w:rPr>
      </w:pPr>
      <w:r>
        <w:rPr>
          <w:b/>
          <w:i/>
          <w:color w:val="000000" w:themeColor="text1"/>
          <w:sz w:val="24"/>
        </w:rPr>
        <w:t>“Các tòa nhà đơn lẻ”</w:t>
      </w:r>
      <w:r>
        <w:rPr>
          <w:b/>
          <w:color w:val="000000" w:themeColor="text1"/>
          <w:sz w:val="24"/>
        </w:rPr>
        <w:t xml:space="preserve"> và </w:t>
      </w:r>
      <w:r>
        <w:rPr>
          <w:b/>
          <w:i/>
          <w:color w:val="000000" w:themeColor="text1"/>
          <w:sz w:val="24"/>
        </w:rPr>
        <w:t>“khuôn viên của các tòa nhà”</w:t>
      </w:r>
      <w:r>
        <w:rPr>
          <w:color w:val="000000" w:themeColor="text1"/>
          <w:sz w:val="24"/>
        </w:rPr>
        <w:t xml:space="preserve"> đo GFA giữa mặt ngoài của các bức tường bao bên ngoài (các) tòa nhà (cũng có thể đo từ chu vi bên trong của các bức tường bao bên ngoài nếu khả thi hơn). Trong đó bao gồm tất cả các khu vực bên trong (các) tòa nhà, kể cả các khu vực hỗ trợ. GFA không phải là không gian có thể cho thuê mà bao gồm tất cả các khu vực bên trong (các) tòa nhà.</w:t>
      </w:r>
    </w:p>
    <w:p w14:paraId="73EF4A1B" w14:textId="3547FD5A" w:rsidR="63172CED" w:rsidRPr="00183A6C" w:rsidRDefault="63172CED" w:rsidP="00183A6C">
      <w:pPr>
        <w:pStyle w:val="ListParagraph"/>
        <w:numPr>
          <w:ilvl w:val="1"/>
          <w:numId w:val="1"/>
        </w:numPr>
        <w:shd w:val="clear" w:color="auto" w:fill="FFFFFF" w:themeFill="background1"/>
        <w:ind w:right="195"/>
        <w:rPr>
          <w:rFonts w:eastAsia="Helvetica"/>
          <w:color w:val="000000" w:themeColor="text1"/>
          <w:sz w:val="24"/>
          <w:szCs w:val="24"/>
        </w:rPr>
      </w:pPr>
      <w:r>
        <w:rPr>
          <w:b/>
          <w:color w:val="000000" w:themeColor="text1"/>
          <w:sz w:val="24"/>
        </w:rPr>
        <w:t>GFA bao gồm:</w:t>
      </w:r>
      <w:r>
        <w:rPr>
          <w:color w:val="000000" w:themeColor="text1"/>
          <w:sz w:val="24"/>
        </w:rPr>
        <w:t xml:space="preserve"> tiền sảnh, không gian đã cho thuê, khu vực chung, phòng họp, phòng nghỉ giải lao, giếng trời (chỉ tính tầng trệt), nhà vệ sinh, hố thang máy, cầu thang bộ, khu vực thiết bị cơ khí, tầng hầm, phòng lưu trữ/kho chứa đồ và bãi đậu xe.</w:t>
      </w:r>
    </w:p>
    <w:p w14:paraId="689C2E5B" w14:textId="63874D6D" w:rsidR="63172CED" w:rsidRDefault="2E1642FD" w:rsidP="00183A6C">
      <w:pPr>
        <w:pStyle w:val="ListParagraph"/>
        <w:numPr>
          <w:ilvl w:val="1"/>
          <w:numId w:val="1"/>
        </w:numPr>
        <w:shd w:val="clear" w:color="auto" w:fill="FFFFFF" w:themeFill="background1"/>
        <w:ind w:right="195"/>
        <w:rPr>
          <w:rFonts w:eastAsia="Helvetica"/>
          <w:color w:val="000000" w:themeColor="text1"/>
          <w:sz w:val="24"/>
          <w:szCs w:val="24"/>
        </w:rPr>
      </w:pPr>
      <w:r>
        <w:rPr>
          <w:b/>
          <w:color w:val="000000" w:themeColor="text1"/>
          <w:sz w:val="24"/>
        </w:rPr>
        <w:t>GFA không bao gồm:</w:t>
      </w:r>
      <w:r>
        <w:rPr>
          <w:color w:val="000000" w:themeColor="text1"/>
          <w:sz w:val="24"/>
        </w:rPr>
        <w:t xml:space="preserve"> không gian bên ngoài, ban công, sân trong, sàn bốc xếp hàng bên ngoài, đường lái xe, lối đi có mái che, sân chơi ngoài trời (quần vợt, bóng rổ, v.v.), bãi đậu xe mặt đất bên ngoài, không gian thông gió xen kẽ giữa các tầng (nơi chứa đường ống và hệ thống thông gió), không gian bò.</w:t>
      </w:r>
    </w:p>
    <w:p w14:paraId="4B698BB8" w14:textId="2BB43CA3" w:rsidR="0035353B" w:rsidRDefault="3AD1D60F" w:rsidP="00183A6C">
      <w:pPr>
        <w:pStyle w:val="ListParagraph"/>
        <w:numPr>
          <w:ilvl w:val="1"/>
          <w:numId w:val="1"/>
        </w:numPr>
        <w:shd w:val="clear" w:color="auto" w:fill="FFFFFF" w:themeFill="background1"/>
        <w:ind w:right="195"/>
        <w:rPr>
          <w:rFonts w:eastAsia="Helvetica"/>
          <w:color w:val="000000" w:themeColor="text1"/>
          <w:sz w:val="24"/>
          <w:szCs w:val="24"/>
        </w:rPr>
      </w:pPr>
      <w:r>
        <w:rPr>
          <w:b/>
          <w:color w:val="000000" w:themeColor="text1"/>
          <w:sz w:val="24"/>
        </w:rPr>
        <w:t>Thắc mắc về cách tính toán GFA có thể được chuyển cho DOER:</w:t>
      </w:r>
      <w:r>
        <w:rPr>
          <w:color w:val="000000" w:themeColor="text1"/>
          <w:sz w:val="24"/>
        </w:rPr>
        <w:t xml:space="preserve"> Nói chung, bao gồm các không gian bên trong các bức tường bao bên ngoài và không bao gồm các không gian bên ngoài các bức tường bao bên ngoài. Nếu Chủ Sở Hữu Tòa Nhà cần xác định rõ liệu một không gian nào đó trong Tòa Nhà Áp Dụng có được tính vào GFA hay không, hãy gửi phiếu “Thắc Mắc Chung” trong</w:t>
      </w:r>
      <w:r>
        <w:t xml:space="preserve"> </w:t>
      </w:r>
      <w:hyperlink r:id="rId14" w:history="1">
        <w:r>
          <w:rPr>
            <w:rStyle w:val="Hyperlink"/>
            <w:sz w:val="24"/>
          </w:rPr>
          <w:t>Bộ Phận Trợ Giúp</w:t>
        </w:r>
      </w:hyperlink>
      <w:r>
        <w:t xml:space="preserve"> </w:t>
      </w:r>
      <w:r>
        <w:rPr>
          <w:color w:val="000000" w:themeColor="text1"/>
          <w:sz w:val="24"/>
        </w:rPr>
        <w:t>để xin quyết định.</w:t>
      </w:r>
    </w:p>
    <w:p w14:paraId="3D11D521" w14:textId="77777777" w:rsidR="00A62D8C" w:rsidRPr="001B2382" w:rsidRDefault="00A62D8C" w:rsidP="02CDBA2B">
      <w:pPr>
        <w:shd w:val="clear" w:color="auto" w:fill="FFFFFF" w:themeFill="background1"/>
        <w:ind w:right="195"/>
        <w:rPr>
          <w:rFonts w:eastAsia="Helvetica"/>
          <w:color w:val="000000" w:themeColor="text1"/>
          <w:sz w:val="24"/>
          <w:szCs w:val="24"/>
        </w:rPr>
      </w:pPr>
    </w:p>
    <w:p w14:paraId="3BB390AC" w14:textId="540D66FE" w:rsidR="12082EFC" w:rsidRPr="00E55467" w:rsidRDefault="6CAB14E1" w:rsidP="00E55467">
      <w:pPr>
        <w:shd w:val="clear" w:color="auto" w:fill="FFFFFF" w:themeFill="background1"/>
        <w:ind w:left="1080" w:right="195"/>
        <w:rPr>
          <w:rFonts w:eastAsia="Helvetica"/>
          <w:color w:val="000000" w:themeColor="text1"/>
          <w:sz w:val="24"/>
          <w:szCs w:val="24"/>
        </w:rPr>
      </w:pPr>
      <w:r>
        <w:rPr>
          <w:b/>
          <w:color w:val="000000" w:themeColor="text1"/>
          <w:sz w:val="24"/>
        </w:rPr>
        <w:t>Khi có sự chấp thuận bằng văn bản từ DOER, quý vị có thể loại trừ GFA của một hoặc nhiều hoạt động riêng biệt đáp ứng các tiêu chí sau đây khỏi quy trình tính toán GFA Tòa Nhà</w:t>
      </w:r>
      <w:r>
        <w:rPr>
          <w:color w:val="000000" w:themeColor="text1"/>
          <w:sz w:val="24"/>
        </w:rPr>
        <w:t>:</w:t>
      </w:r>
    </w:p>
    <w:p w14:paraId="18B96A3A" w14:textId="0A92069F" w:rsidR="006D657E" w:rsidRDefault="63172CED" w:rsidP="00E55467">
      <w:pPr>
        <w:pStyle w:val="ListParagraph"/>
        <w:numPr>
          <w:ilvl w:val="1"/>
          <w:numId w:val="1"/>
        </w:numPr>
        <w:shd w:val="clear" w:color="auto" w:fill="FFFFFF" w:themeFill="background1"/>
        <w:ind w:right="195"/>
        <w:rPr>
          <w:rFonts w:eastAsia="Helvetica"/>
          <w:color w:val="000000" w:themeColor="text1"/>
          <w:sz w:val="24"/>
          <w:szCs w:val="24"/>
        </w:rPr>
      </w:pPr>
      <w:r>
        <w:rPr>
          <w:color w:val="000000" w:themeColor="text1"/>
          <w:sz w:val="24"/>
        </w:rPr>
        <w:t>Mô hình sử dụng năng lượng của hoạt động đó khác biệt đáng kể so với mô hình của các hoạt động còn lại trong Tòa Nhà. (ví dụ: Tháp điện thoại di động trên một Tòa Nhà hoặc bãi đậu xe có hạ tầng trạm sạc xe điện đáng kể)</w:t>
      </w:r>
    </w:p>
    <w:p w14:paraId="29786CD8" w14:textId="664E7CCE" w:rsidR="004A5E02" w:rsidRDefault="3BD75D77" w:rsidP="00E55467">
      <w:pPr>
        <w:pStyle w:val="ListParagraph"/>
        <w:numPr>
          <w:ilvl w:val="1"/>
          <w:numId w:val="1"/>
        </w:numPr>
        <w:shd w:val="clear" w:color="auto" w:fill="FFFFFF" w:themeFill="background1"/>
        <w:ind w:right="195"/>
        <w:rPr>
          <w:rFonts w:eastAsia="Helvetica"/>
          <w:color w:val="000000" w:themeColor="text1"/>
          <w:sz w:val="24"/>
          <w:szCs w:val="24"/>
        </w:rPr>
      </w:pPr>
      <w:r>
        <w:rPr>
          <w:color w:val="000000" w:themeColor="text1"/>
          <w:sz w:val="24"/>
        </w:rPr>
        <w:t>Hoạt động đó không sử dụng nhiều năng lượng (ví dụ: khu vực bán lẻ nông sản ngoài trời không có đèn chiếu sáng hoặc có hệ thống sưởi)</w:t>
      </w:r>
    </w:p>
    <w:p w14:paraId="621C6F3F" w14:textId="77777777" w:rsidR="0059719E" w:rsidRDefault="0059719E" w:rsidP="00536E14">
      <w:pPr>
        <w:pStyle w:val="ListParagraph"/>
        <w:shd w:val="clear" w:color="auto" w:fill="FFFFFF" w:themeFill="background1"/>
        <w:ind w:left="360" w:right="195" w:firstLine="0"/>
        <w:rPr>
          <w:rFonts w:eastAsia="Helvetica"/>
          <w:color w:val="000000" w:themeColor="text1"/>
          <w:sz w:val="24"/>
          <w:szCs w:val="24"/>
        </w:rPr>
      </w:pPr>
    </w:p>
    <w:p w14:paraId="03C357AF" w14:textId="0FC6A9E7" w:rsidR="4A04170C" w:rsidRDefault="41853F5A" w:rsidP="00536E14">
      <w:pPr>
        <w:pStyle w:val="ListParagraph"/>
        <w:shd w:val="clear" w:color="auto" w:fill="FFFFFF" w:themeFill="background1"/>
        <w:ind w:left="360" w:right="195" w:firstLine="0"/>
        <w:rPr>
          <w:rFonts w:eastAsia="Helvetica"/>
          <w:color w:val="000000" w:themeColor="text1"/>
          <w:sz w:val="24"/>
          <w:szCs w:val="24"/>
        </w:rPr>
      </w:pPr>
      <w:r>
        <w:rPr>
          <w:color w:val="000000" w:themeColor="text1"/>
          <w:sz w:val="24"/>
        </w:rPr>
        <w:t>Để xin chấp thuận từ DOER, quý vị phải gửi phiếu yêu cầu đến</w:t>
      </w:r>
      <w:r>
        <w:t xml:space="preserve"> </w:t>
      </w:r>
      <w:hyperlink r:id="rId15" w:history="1">
        <w:r>
          <w:rPr>
            <w:rStyle w:val="Hyperlink"/>
            <w:sz w:val="24"/>
          </w:rPr>
          <w:t>Bộ Phận Trợ Giúp</w:t>
        </w:r>
      </w:hyperlink>
      <w:r>
        <w:t xml:space="preserve"> </w:t>
      </w:r>
      <w:r>
        <w:rPr>
          <w:color w:val="000000" w:themeColor="text1"/>
          <w:sz w:val="24"/>
        </w:rPr>
        <w:t>giải thích rằng Tòa Nhà của quý vị đáp ứng tiêu chí nào trong số các tiêu chí này và cung cấp mọi tài liệu làm căn cứ được áp dụng.</w:t>
      </w:r>
    </w:p>
    <w:p w14:paraId="5A946BF0" w14:textId="2F8ADD1B" w:rsidR="00000603" w:rsidRDefault="00000603">
      <w:pPr>
        <w:rPr>
          <w:rFonts w:eastAsia="Helvetica"/>
          <w:color w:val="000000" w:themeColor="text1"/>
          <w:sz w:val="24"/>
          <w:szCs w:val="24"/>
        </w:rPr>
      </w:pPr>
      <w:r>
        <w:br w:type="page"/>
      </w:r>
    </w:p>
    <w:p w14:paraId="154D909E" w14:textId="77777777" w:rsidR="00AD3233" w:rsidRPr="00AD3233" w:rsidRDefault="00AD3233" w:rsidP="00AD3233">
      <w:pPr>
        <w:pStyle w:val="Title"/>
        <w:rPr>
          <w:rFonts w:asciiTheme="minorHAnsi" w:hAnsiTheme="minorHAnsi"/>
          <w:sz w:val="40"/>
        </w:rPr>
      </w:pPr>
      <w:r w:rsidRPr="00AD3233">
        <w:rPr>
          <w:rFonts w:asciiTheme="minorHAnsi" w:hAnsiTheme="minorHAnsi"/>
          <w:sz w:val="40"/>
        </w:rPr>
        <w:lastRenderedPageBreak/>
        <w:t>Commonwealth of Massachusetts</w:t>
      </w:r>
    </w:p>
    <w:p w14:paraId="51184F5E" w14:textId="77777777" w:rsidR="00AD3233" w:rsidRDefault="00AD3233" w:rsidP="00AD3233">
      <w:pPr>
        <w:pStyle w:val="Title"/>
        <w:rPr>
          <w:rFonts w:asciiTheme="minorHAnsi" w:hAnsiTheme="minorHAnsi"/>
          <w:sz w:val="40"/>
          <w:lang w:val="en-US"/>
        </w:rPr>
      </w:pPr>
      <w:r w:rsidRPr="00AD3233">
        <w:rPr>
          <w:rFonts w:asciiTheme="minorHAnsi" w:hAnsiTheme="minorHAnsi"/>
          <w:sz w:val="40"/>
        </w:rPr>
        <w:t>Executive Office of Energy and Environmental Affairs</w:t>
      </w:r>
    </w:p>
    <w:p w14:paraId="6D0AEFFC" w14:textId="61C80297" w:rsidR="00000603" w:rsidRPr="003740CB" w:rsidRDefault="00000603" w:rsidP="00AD3233">
      <w:pPr>
        <w:pStyle w:val="Title"/>
        <w:rPr>
          <w:rFonts w:asciiTheme="minorHAnsi" w:hAnsiTheme="minorHAnsi" w:cstheme="minorHAnsi"/>
          <w:b w:val="0"/>
          <w:bCs w:val="0"/>
          <w:sz w:val="40"/>
          <w:szCs w:val="40"/>
          <w:lang w:val="en-US"/>
        </w:rPr>
      </w:pPr>
      <w:r>
        <w:rPr>
          <w:rFonts w:asciiTheme="minorHAnsi" w:hAnsiTheme="minorHAnsi"/>
          <w:sz w:val="40"/>
        </w:rPr>
        <w:t>Văn Phòng Điều Hành Các Vấn Đề Năng Lượng và Môi Trường</w:t>
      </w:r>
    </w:p>
    <w:p w14:paraId="57A58EE1" w14:textId="77777777" w:rsidR="00000603" w:rsidRPr="00AF789B" w:rsidRDefault="00000603" w:rsidP="00000603">
      <w:pPr>
        <w:pStyle w:val="Title"/>
        <w:rPr>
          <w:rFonts w:asciiTheme="minorHAnsi" w:hAnsiTheme="minorHAnsi" w:cstheme="minorBidi"/>
          <w:sz w:val="40"/>
          <w:szCs w:val="40"/>
        </w:rPr>
      </w:pPr>
      <w:r>
        <w:rPr>
          <w:rFonts w:asciiTheme="minorHAnsi" w:hAnsiTheme="minorHAnsi"/>
          <w:sz w:val="40"/>
        </w:rPr>
        <w:t>BỘ TÀI NGUYÊN NĂNG LƯỢNG</w:t>
      </w:r>
    </w:p>
    <w:p w14:paraId="05674328" w14:textId="77777777" w:rsidR="00000603" w:rsidRPr="00AF789B" w:rsidRDefault="00000603" w:rsidP="00000603">
      <w:pPr>
        <w:spacing w:before="2"/>
        <w:rPr>
          <w:rFonts w:cstheme="minorHAnsi"/>
          <w:color w:val="000000" w:themeColor="text1"/>
        </w:rPr>
      </w:pPr>
    </w:p>
    <w:p w14:paraId="6587FAD8" w14:textId="77777777" w:rsidR="00000603" w:rsidRPr="00AF789B" w:rsidRDefault="00000603" w:rsidP="00000603">
      <w:pPr>
        <w:pStyle w:val="Title"/>
        <w:rPr>
          <w:rFonts w:asciiTheme="minorHAnsi" w:hAnsiTheme="minorHAnsi" w:cstheme="minorHAnsi"/>
          <w:b w:val="0"/>
          <w:bCs w:val="0"/>
          <w:color w:val="000000" w:themeColor="text1"/>
        </w:rPr>
      </w:pPr>
      <w:r>
        <w:rPr>
          <w:rFonts w:asciiTheme="minorHAnsi" w:hAnsiTheme="minorHAnsi"/>
          <w:color w:val="000000" w:themeColor="text1"/>
        </w:rPr>
        <w:t xml:space="preserve">CHƯƠNG TRÌNH BÁO CÁO NĂNG LƯỢNG TÒA NHÀ LỚN </w:t>
      </w:r>
    </w:p>
    <w:p w14:paraId="2CAF1BD8" w14:textId="77777777" w:rsidR="00000603" w:rsidRDefault="00000603" w:rsidP="00000603">
      <w:pPr>
        <w:pStyle w:val="Title"/>
        <w:rPr>
          <w:rFonts w:asciiTheme="minorHAnsi" w:hAnsiTheme="minorHAnsi" w:cstheme="minorHAnsi"/>
          <w:b w:val="0"/>
          <w:bCs w:val="0"/>
          <w:color w:val="000000" w:themeColor="text1"/>
        </w:rPr>
      </w:pPr>
      <w:r>
        <w:rPr>
          <w:rFonts w:asciiTheme="minorHAnsi" w:hAnsiTheme="minorHAnsi"/>
          <w:color w:val="000000" w:themeColor="text1"/>
        </w:rPr>
        <w:t>(225 CMR 27.00)</w:t>
      </w:r>
    </w:p>
    <w:p w14:paraId="54CBEC1C" w14:textId="77777777" w:rsidR="00000603" w:rsidRDefault="00000603" w:rsidP="00000603">
      <w:pPr>
        <w:spacing w:before="250"/>
        <w:ind w:left="1220" w:right="1029"/>
        <w:jc w:val="center"/>
        <w:rPr>
          <w:b/>
          <w:bCs/>
          <w:sz w:val="24"/>
          <w:szCs w:val="24"/>
        </w:rPr>
      </w:pPr>
      <w:r>
        <w:rPr>
          <w:b/>
          <w:sz w:val="24"/>
        </w:rPr>
        <w:t>Công bố các câu hỏi để xin ý kiến ​​công chúng: 31/03/2025</w:t>
      </w:r>
    </w:p>
    <w:p w14:paraId="2E2DC251" w14:textId="77777777" w:rsidR="00000603" w:rsidRPr="005D47F8" w:rsidRDefault="00000603" w:rsidP="00000603"/>
    <w:p w14:paraId="2C847698" w14:textId="77777777" w:rsidR="00000603" w:rsidRPr="00AF789B" w:rsidRDefault="00000603" w:rsidP="00000603">
      <w:pPr>
        <w:rPr>
          <w:rFonts w:cstheme="minorHAnsi"/>
        </w:rPr>
      </w:pPr>
    </w:p>
    <w:p w14:paraId="70C65E89" w14:textId="77777777" w:rsidR="00000603" w:rsidRPr="00AF789B" w:rsidRDefault="00000603" w:rsidP="00000603">
      <w:pPr>
        <w:rPr>
          <w:rStyle w:val="Strong"/>
          <w:rFonts w:cstheme="minorHAnsi"/>
        </w:rPr>
      </w:pPr>
      <w:r>
        <w:rPr>
          <w:rStyle w:val="Strong"/>
        </w:rPr>
        <w:t>Bộ Tài Nguyên Năng Lượng Massachusetts (DOER) xin ý kiến công chúng về cách xác định Tổng Diện Tích Sàn trong các quy tắc của chương trình Báo Cáo Năng Lượng Tòa Nhà, theo bộ luật 225 CMR 27.02.</w:t>
      </w:r>
    </w:p>
    <w:p w14:paraId="0525AC41" w14:textId="77777777" w:rsidR="00000603" w:rsidRPr="00AF789B" w:rsidRDefault="00000603" w:rsidP="00000603">
      <w:pPr>
        <w:rPr>
          <w:rFonts w:cstheme="minorHAnsi"/>
        </w:rPr>
      </w:pPr>
      <w:r>
        <w:t>Hiện tại, định nghĩa về Tổng diện tích Sàn trong các quy định là:</w:t>
      </w:r>
    </w:p>
    <w:p w14:paraId="114DDE1B" w14:textId="77777777" w:rsidR="00000603" w:rsidRPr="00AF789B" w:rsidRDefault="00000603" w:rsidP="00000603">
      <w:pPr>
        <w:pStyle w:val="Quote"/>
        <w:rPr>
          <w:rFonts w:cstheme="minorHAnsi"/>
        </w:rPr>
      </w:pPr>
      <w:r>
        <w:rPr>
          <w:u w:val="single"/>
        </w:rPr>
        <w:t>Tổng Diện Tích Sàn</w:t>
      </w:r>
      <w:r>
        <w:t>: Tổng diện tích sàn bên trong một Tòa Nhà được đo đến mặt ngoài của các bức tường bao bên ngoài.  Bộ có thể giải thích thêm về định nghĩa Tổng Diện Tích Sàn trong Hướng Dẫn về Tổng Diện Tích Sàn của Bộ. </w:t>
      </w:r>
    </w:p>
    <w:p w14:paraId="734E76E4" w14:textId="77777777" w:rsidR="00000603" w:rsidRPr="00AF789B" w:rsidRDefault="00000603" w:rsidP="00000603">
      <w:pPr>
        <w:rPr>
          <w:rFonts w:cstheme="minorHAnsi"/>
        </w:rPr>
      </w:pPr>
      <w:r>
        <w:t>DOER đã công bố bản dự thảo Hướng Dẫn để giải thích thêm về cách tính Tổng Diện Tích Sàn cùng với tài liệu này. Ngoài phản hồi về bản dự thảo, DOER còn mong muốn nhận được phản hồi của công chúng về các tài liệu thường được dùng để chứng minh diện tích của một tòa nhà. Vui lòng trả lời các câu hỏi sau:</w:t>
      </w:r>
    </w:p>
    <w:p w14:paraId="2433F4CD" w14:textId="77777777" w:rsidR="00000603" w:rsidRDefault="00000603" w:rsidP="00000603">
      <w:pPr>
        <w:rPr>
          <w:b/>
          <w:bCs/>
          <w:color w:val="404040" w:themeColor="text1" w:themeTint="BF"/>
        </w:rPr>
      </w:pPr>
      <w:r>
        <w:rPr>
          <w:b/>
          <w:color w:val="404040" w:themeColor="text1" w:themeTint="BF"/>
        </w:rPr>
        <w:t>Chủ sở hữu tòa nhà thường dùng những cách thức nào để chứng minh diện tích sàn của tòa nhà? Các phương pháp chứng minh diện tích sàn nào đáng tin cậy hơn hoặc dễ thực hiện hơn?</w:t>
      </w:r>
    </w:p>
    <w:p w14:paraId="78432C91" w14:textId="77777777" w:rsidR="00000603" w:rsidRDefault="00000603" w:rsidP="00000603">
      <w:pPr>
        <w:rPr>
          <w:b/>
          <w:bCs/>
          <w:color w:val="404040" w:themeColor="text1" w:themeTint="BF"/>
        </w:rPr>
      </w:pPr>
    </w:p>
    <w:p w14:paraId="4411BD8C" w14:textId="77777777" w:rsidR="00000603" w:rsidRPr="00FB4C36" w:rsidRDefault="00000603" w:rsidP="00000603">
      <w:pPr>
        <w:rPr>
          <w:color w:val="404040" w:themeColor="text1" w:themeTint="BF"/>
        </w:rPr>
      </w:pPr>
      <w:r>
        <w:rPr>
          <w:color w:val="404040" w:themeColor="text1" w:themeTint="BF"/>
        </w:rPr>
        <w:t>Vui lòng gửi mọi phản hồi tới DOER trước 5:00 chiều ngày 23 tháng Tư theo giờ miền Đông Hoa Kỳ.  Quý vị có thể gửi phản hồi qua email đến</w:t>
      </w:r>
      <w:r>
        <w:t xml:space="preserve"> </w:t>
      </w:r>
      <w:hyperlink r:id="rId16" w:history="1">
        <w:r>
          <w:rPr>
            <w:rStyle w:val="Hyperlink"/>
          </w:rPr>
          <w:t>DOER.BER@mass.gov</w:t>
        </w:r>
      </w:hyperlink>
      <w:r>
        <w:rPr>
          <w:color w:val="404040" w:themeColor="text1" w:themeTint="BF"/>
        </w:rPr>
        <w:t xml:space="preserve"> với dòng tiêu đề “</w:t>
      </w:r>
      <w:r>
        <w:rPr>
          <w:b/>
        </w:rPr>
        <w:t>Gross Floor Area Guideline Feedback</w:t>
      </w:r>
      <w:r>
        <w:rPr>
          <w:color w:val="404040" w:themeColor="text1" w:themeTint="BF"/>
        </w:rPr>
        <w:t>” (Phản Hồi Hướng Dẫn về Tổng Diện Tích Sàn) hoặc qua thư theo địa chỉ Massachusetts Department of Energy Resources c/o LBER, 100 Cambridge St. 9th Floor, Boston, MA, 02114.  Xin lưu ý rằng việc tiếp nhận ý kiến ​​bằng văn bản qua thư có thể sẽ bị chậm trễ.</w:t>
      </w:r>
    </w:p>
    <w:p w14:paraId="7D5125CD" w14:textId="77777777" w:rsidR="0022268D" w:rsidRDefault="0022268D" w:rsidP="00536E14">
      <w:pPr>
        <w:pStyle w:val="ListParagraph"/>
        <w:shd w:val="clear" w:color="auto" w:fill="FFFFFF" w:themeFill="background1"/>
        <w:ind w:left="360" w:right="195" w:firstLine="0"/>
        <w:rPr>
          <w:rFonts w:eastAsia="Helvetica"/>
          <w:color w:val="000000" w:themeColor="text1"/>
          <w:sz w:val="24"/>
          <w:szCs w:val="24"/>
        </w:rPr>
      </w:pPr>
    </w:p>
    <w:p w14:paraId="7AA8246B" w14:textId="77777777" w:rsidR="0022268D" w:rsidRDefault="0022268D" w:rsidP="00536E14">
      <w:pPr>
        <w:pStyle w:val="ListParagraph"/>
        <w:shd w:val="clear" w:color="auto" w:fill="FFFFFF" w:themeFill="background1"/>
        <w:ind w:left="360" w:right="195" w:firstLine="0"/>
        <w:rPr>
          <w:rFonts w:eastAsia="Helvetica"/>
          <w:color w:val="000000" w:themeColor="text1"/>
          <w:sz w:val="24"/>
          <w:szCs w:val="24"/>
        </w:rPr>
      </w:pPr>
    </w:p>
    <w:p w14:paraId="6330941E" w14:textId="3E3221F4" w:rsidR="00AC3B60" w:rsidRDefault="00AC3B60" w:rsidP="00AC3B60">
      <w:pPr>
        <w:shd w:val="clear" w:color="auto" w:fill="FFFFFF" w:themeFill="background1"/>
        <w:ind w:right="195"/>
        <w:rPr>
          <w:rFonts w:eastAsia="Helvetica"/>
          <w:color w:val="0063D3"/>
          <w:sz w:val="24"/>
          <w:szCs w:val="24"/>
        </w:rPr>
      </w:pPr>
    </w:p>
    <w:p w14:paraId="048EEF2B" w14:textId="4C85B79D" w:rsidR="00B46E95" w:rsidRPr="00731984" w:rsidRDefault="00B46E95" w:rsidP="02CDBA2B">
      <w:pPr>
        <w:pStyle w:val="ListParagraph"/>
        <w:spacing w:after="195"/>
      </w:pPr>
    </w:p>
    <w:sectPr w:rsidR="00B46E95" w:rsidRPr="00731984">
      <w:headerReference w:type="default" r:id="rId17"/>
      <w:pgSz w:w="12240" w:h="15840"/>
      <w:pgMar w:top="920" w:right="78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2CE8" w14:textId="77777777" w:rsidR="006A5839" w:rsidRDefault="006A5839" w:rsidP="00966AEC">
      <w:r>
        <w:separator/>
      </w:r>
    </w:p>
  </w:endnote>
  <w:endnote w:type="continuationSeparator" w:id="0">
    <w:p w14:paraId="0865D091" w14:textId="77777777" w:rsidR="006A5839" w:rsidRDefault="006A5839" w:rsidP="00966AEC">
      <w:r>
        <w:continuationSeparator/>
      </w:r>
    </w:p>
  </w:endnote>
  <w:endnote w:type="continuationNotice" w:id="1">
    <w:p w14:paraId="0748FA3F" w14:textId="77777777" w:rsidR="006A5839" w:rsidRDefault="006A5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A65A" w14:textId="77777777" w:rsidR="006A5839" w:rsidRDefault="006A5839" w:rsidP="00966AEC">
      <w:r>
        <w:separator/>
      </w:r>
    </w:p>
  </w:footnote>
  <w:footnote w:type="continuationSeparator" w:id="0">
    <w:p w14:paraId="148A1E21" w14:textId="77777777" w:rsidR="006A5839" w:rsidRDefault="006A5839" w:rsidP="00966AEC">
      <w:r>
        <w:continuationSeparator/>
      </w:r>
    </w:p>
  </w:footnote>
  <w:footnote w:type="continuationNotice" w:id="1">
    <w:p w14:paraId="08BA101F" w14:textId="77777777" w:rsidR="006A5839" w:rsidRDefault="006A5839"/>
  </w:footnote>
  <w:footnote w:id="2">
    <w:p w14:paraId="1E6FF251" w14:textId="7EB446E7" w:rsidR="00966AEC" w:rsidRPr="00644FE0" w:rsidRDefault="00966AEC">
      <w:pPr>
        <w:pStyle w:val="FootnoteText"/>
        <w:rPr>
          <w:sz w:val="24"/>
          <w:szCs w:val="24"/>
        </w:rPr>
      </w:pPr>
      <w:r>
        <w:rPr>
          <w:rStyle w:val="FootnoteReference"/>
          <w:sz w:val="24"/>
          <w:szCs w:val="24"/>
        </w:rPr>
        <w:footnoteRef/>
      </w:r>
      <w:r>
        <w:rPr>
          <w:sz w:val="24"/>
        </w:rPr>
        <w:t xml:space="preserve">  Energy Star Portfolio Manager, </w:t>
      </w:r>
      <w:r>
        <w:rPr>
          <w:i/>
          <w:sz w:val="24"/>
        </w:rPr>
        <w:t>Bảng Thuật Ngữ</w:t>
      </w:r>
      <w:r>
        <w:rPr>
          <w:sz w:val="24"/>
        </w:rPr>
        <w:t>,</w:t>
      </w:r>
      <w:r>
        <w:t xml:space="preserve"> </w:t>
      </w:r>
      <w:hyperlink r:id="rId1" w:history="1">
        <w:r>
          <w:rPr>
            <w:rStyle w:val="Hyperlink"/>
            <w:sz w:val="24"/>
          </w:rPr>
          <w:t>https://portfoliomanager.energystar.gov/pm/glossary</w:t>
        </w:r>
      </w:hyperlink>
      <w:r>
        <w:rPr>
          <w:sz w:val="24"/>
        </w:rPr>
        <w:t xml:space="preserve"> (lần truy cập gần nhất vào ngày 25 tháng Ba năm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17AB" w14:textId="286C1D34" w:rsidR="004D02D0" w:rsidRPr="004D02D0" w:rsidRDefault="004D02D0" w:rsidP="004D02D0">
    <w:pPr>
      <w:pStyle w:val="Header"/>
      <w:jc w:val="right"/>
      <w:rPr>
        <w:b/>
        <w:bCs/>
        <w:i/>
        <w:iCs/>
        <w:color w:val="D9D9D9" w:themeColor="background1" w:themeShade="D9"/>
        <w:sz w:val="18"/>
        <w:szCs w:val="18"/>
        <w:lang w:val="en-US"/>
      </w:rPr>
    </w:pPr>
    <w:r>
      <w:rPr>
        <w:b/>
        <w:bCs/>
        <w:i/>
        <w:iCs/>
        <w:color w:val="D9D9D9" w:themeColor="background1" w:themeShade="D9"/>
        <w:sz w:val="18"/>
        <w:szCs w:val="18"/>
        <w:lang w:val="en-US"/>
      </w:rPr>
      <w:t>Vietnamese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034ED"/>
    <w:multiLevelType w:val="hybridMultilevel"/>
    <w:tmpl w:val="4D82FB3E"/>
    <w:lvl w:ilvl="0" w:tplc="0D3E5644">
      <w:start w:val="1"/>
      <w:numFmt w:val="decimal"/>
      <w:lvlText w:val="%1)"/>
      <w:lvlJc w:val="left"/>
      <w:pPr>
        <w:ind w:left="464"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0EA0902">
      <w:start w:val="1"/>
      <w:numFmt w:val="lowerLetter"/>
      <w:lvlText w:val="%2)"/>
      <w:lvlJc w:val="left"/>
      <w:pPr>
        <w:ind w:left="824" w:hanging="360"/>
      </w:pPr>
      <w:rPr>
        <w:rFonts w:hint="default"/>
        <w:spacing w:val="0"/>
        <w:w w:val="99"/>
        <w:lang w:val="en-US" w:eastAsia="en-US" w:bidi="ar-SA"/>
      </w:rPr>
    </w:lvl>
    <w:lvl w:ilvl="2" w:tplc="05EC8B7A">
      <w:start w:val="1"/>
      <w:numFmt w:val="lowerRoman"/>
      <w:lvlText w:val="%3."/>
      <w:lvlJc w:val="left"/>
      <w:pPr>
        <w:ind w:left="1184" w:hanging="360"/>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tplc="5FD4CAEE">
      <w:start w:val="1"/>
      <w:numFmt w:val="decimal"/>
      <w:lvlText w:val="(%4)"/>
      <w:lvlJc w:val="left"/>
      <w:pPr>
        <w:ind w:left="1544"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4" w:tplc="82D47C8C">
      <w:numFmt w:val="bullet"/>
      <w:lvlText w:val="•"/>
      <w:lvlJc w:val="left"/>
      <w:pPr>
        <w:ind w:left="1540" w:hanging="360"/>
      </w:pPr>
      <w:rPr>
        <w:rFonts w:hint="default"/>
        <w:lang w:val="en-US" w:eastAsia="en-US" w:bidi="ar-SA"/>
      </w:rPr>
    </w:lvl>
    <w:lvl w:ilvl="5" w:tplc="A406FE76">
      <w:numFmt w:val="bullet"/>
      <w:lvlText w:val="•"/>
      <w:lvlJc w:val="left"/>
      <w:pPr>
        <w:ind w:left="3066" w:hanging="360"/>
      </w:pPr>
      <w:rPr>
        <w:rFonts w:hint="default"/>
        <w:lang w:val="en-US" w:eastAsia="en-US" w:bidi="ar-SA"/>
      </w:rPr>
    </w:lvl>
    <w:lvl w:ilvl="6" w:tplc="A9769550">
      <w:numFmt w:val="bullet"/>
      <w:lvlText w:val="•"/>
      <w:lvlJc w:val="left"/>
      <w:pPr>
        <w:ind w:left="4593" w:hanging="360"/>
      </w:pPr>
      <w:rPr>
        <w:rFonts w:hint="default"/>
        <w:lang w:val="en-US" w:eastAsia="en-US" w:bidi="ar-SA"/>
      </w:rPr>
    </w:lvl>
    <w:lvl w:ilvl="7" w:tplc="B06EF1B8">
      <w:numFmt w:val="bullet"/>
      <w:lvlText w:val="•"/>
      <w:lvlJc w:val="left"/>
      <w:pPr>
        <w:ind w:left="6120" w:hanging="360"/>
      </w:pPr>
      <w:rPr>
        <w:rFonts w:hint="default"/>
        <w:lang w:val="en-US" w:eastAsia="en-US" w:bidi="ar-SA"/>
      </w:rPr>
    </w:lvl>
    <w:lvl w:ilvl="8" w:tplc="C4801576">
      <w:numFmt w:val="bullet"/>
      <w:lvlText w:val="•"/>
      <w:lvlJc w:val="left"/>
      <w:pPr>
        <w:ind w:left="7646" w:hanging="360"/>
      </w:pPr>
      <w:rPr>
        <w:rFonts w:hint="default"/>
        <w:lang w:val="en-US" w:eastAsia="en-US" w:bidi="ar-SA"/>
      </w:rPr>
    </w:lvl>
  </w:abstractNum>
  <w:abstractNum w:abstractNumId="1" w15:restartNumberingAfterBreak="0">
    <w:nsid w:val="2DBB8229"/>
    <w:multiLevelType w:val="hybridMultilevel"/>
    <w:tmpl w:val="FFFFFFFF"/>
    <w:lvl w:ilvl="0" w:tplc="5986C89A">
      <w:start w:val="1"/>
      <w:numFmt w:val="bullet"/>
      <w:lvlText w:val=""/>
      <w:lvlJc w:val="left"/>
      <w:pPr>
        <w:ind w:left="720" w:hanging="360"/>
      </w:pPr>
      <w:rPr>
        <w:rFonts w:ascii="Symbol" w:hAnsi="Symbol" w:hint="default"/>
      </w:rPr>
    </w:lvl>
    <w:lvl w:ilvl="1" w:tplc="60D68B30">
      <w:start w:val="1"/>
      <w:numFmt w:val="bullet"/>
      <w:lvlText w:val="o"/>
      <w:lvlJc w:val="left"/>
      <w:pPr>
        <w:ind w:left="1440" w:hanging="360"/>
      </w:pPr>
      <w:rPr>
        <w:rFonts w:ascii="Courier New" w:hAnsi="Courier New" w:hint="default"/>
      </w:rPr>
    </w:lvl>
    <w:lvl w:ilvl="2" w:tplc="3FCAB2C4">
      <w:start w:val="1"/>
      <w:numFmt w:val="bullet"/>
      <w:lvlText w:val=""/>
      <w:lvlJc w:val="left"/>
      <w:pPr>
        <w:ind w:left="2160" w:hanging="360"/>
      </w:pPr>
      <w:rPr>
        <w:rFonts w:ascii="Wingdings" w:hAnsi="Wingdings" w:hint="default"/>
      </w:rPr>
    </w:lvl>
    <w:lvl w:ilvl="3" w:tplc="7E5051FE">
      <w:start w:val="1"/>
      <w:numFmt w:val="bullet"/>
      <w:lvlText w:val=""/>
      <w:lvlJc w:val="left"/>
      <w:pPr>
        <w:ind w:left="2880" w:hanging="360"/>
      </w:pPr>
      <w:rPr>
        <w:rFonts w:ascii="Symbol" w:hAnsi="Symbol" w:hint="default"/>
      </w:rPr>
    </w:lvl>
    <w:lvl w:ilvl="4" w:tplc="06CAF008">
      <w:start w:val="1"/>
      <w:numFmt w:val="bullet"/>
      <w:lvlText w:val="o"/>
      <w:lvlJc w:val="left"/>
      <w:pPr>
        <w:ind w:left="3600" w:hanging="360"/>
      </w:pPr>
      <w:rPr>
        <w:rFonts w:ascii="Courier New" w:hAnsi="Courier New" w:hint="default"/>
      </w:rPr>
    </w:lvl>
    <w:lvl w:ilvl="5" w:tplc="E1CABDCC">
      <w:start w:val="1"/>
      <w:numFmt w:val="bullet"/>
      <w:lvlText w:val=""/>
      <w:lvlJc w:val="left"/>
      <w:pPr>
        <w:ind w:left="4320" w:hanging="360"/>
      </w:pPr>
      <w:rPr>
        <w:rFonts w:ascii="Wingdings" w:hAnsi="Wingdings" w:hint="default"/>
      </w:rPr>
    </w:lvl>
    <w:lvl w:ilvl="6" w:tplc="DA16F6D0">
      <w:start w:val="1"/>
      <w:numFmt w:val="bullet"/>
      <w:lvlText w:val=""/>
      <w:lvlJc w:val="left"/>
      <w:pPr>
        <w:ind w:left="5040" w:hanging="360"/>
      </w:pPr>
      <w:rPr>
        <w:rFonts w:ascii="Symbol" w:hAnsi="Symbol" w:hint="default"/>
      </w:rPr>
    </w:lvl>
    <w:lvl w:ilvl="7" w:tplc="4DA6392C">
      <w:start w:val="1"/>
      <w:numFmt w:val="bullet"/>
      <w:lvlText w:val="o"/>
      <w:lvlJc w:val="left"/>
      <w:pPr>
        <w:ind w:left="5760" w:hanging="360"/>
      </w:pPr>
      <w:rPr>
        <w:rFonts w:ascii="Courier New" w:hAnsi="Courier New" w:hint="default"/>
      </w:rPr>
    </w:lvl>
    <w:lvl w:ilvl="8" w:tplc="A46EA17C">
      <w:start w:val="1"/>
      <w:numFmt w:val="bullet"/>
      <w:lvlText w:val=""/>
      <w:lvlJc w:val="left"/>
      <w:pPr>
        <w:ind w:left="6480" w:hanging="360"/>
      </w:pPr>
      <w:rPr>
        <w:rFonts w:ascii="Wingdings" w:hAnsi="Wingdings" w:hint="default"/>
      </w:rPr>
    </w:lvl>
  </w:abstractNum>
  <w:abstractNum w:abstractNumId="2" w15:restartNumberingAfterBreak="0">
    <w:nsid w:val="39181FBD"/>
    <w:multiLevelType w:val="hybridMultilevel"/>
    <w:tmpl w:val="ACAE18D6"/>
    <w:lvl w:ilvl="0" w:tplc="372872F4">
      <w:start w:val="1"/>
      <w:numFmt w:val="lowerRoman"/>
      <w:lvlText w:val="%1."/>
      <w:lvlJc w:val="left"/>
      <w:pPr>
        <w:ind w:left="1184"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9496DB66">
      <w:start w:val="1"/>
      <w:numFmt w:val="decimal"/>
      <w:lvlText w:val="(%2)"/>
      <w:lvlJc w:val="left"/>
      <w:pPr>
        <w:ind w:left="1544"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tplc="61020CAC">
      <w:numFmt w:val="bullet"/>
      <w:lvlText w:val="•"/>
      <w:lvlJc w:val="left"/>
      <w:pPr>
        <w:ind w:left="2557" w:hanging="360"/>
      </w:pPr>
      <w:rPr>
        <w:rFonts w:hint="default"/>
        <w:lang w:val="en-US" w:eastAsia="en-US" w:bidi="ar-SA"/>
      </w:rPr>
    </w:lvl>
    <w:lvl w:ilvl="3" w:tplc="7B6C6F90">
      <w:numFmt w:val="bullet"/>
      <w:lvlText w:val="•"/>
      <w:lvlJc w:val="left"/>
      <w:pPr>
        <w:ind w:left="3575" w:hanging="360"/>
      </w:pPr>
      <w:rPr>
        <w:rFonts w:hint="default"/>
        <w:lang w:val="en-US" w:eastAsia="en-US" w:bidi="ar-SA"/>
      </w:rPr>
    </w:lvl>
    <w:lvl w:ilvl="4" w:tplc="7B32B442">
      <w:numFmt w:val="bullet"/>
      <w:lvlText w:val="•"/>
      <w:lvlJc w:val="left"/>
      <w:pPr>
        <w:ind w:left="4593" w:hanging="360"/>
      </w:pPr>
      <w:rPr>
        <w:rFonts w:hint="default"/>
        <w:lang w:val="en-US" w:eastAsia="en-US" w:bidi="ar-SA"/>
      </w:rPr>
    </w:lvl>
    <w:lvl w:ilvl="5" w:tplc="F65E0B2C">
      <w:numFmt w:val="bullet"/>
      <w:lvlText w:val="•"/>
      <w:lvlJc w:val="left"/>
      <w:pPr>
        <w:ind w:left="5611" w:hanging="360"/>
      </w:pPr>
      <w:rPr>
        <w:rFonts w:hint="default"/>
        <w:lang w:val="en-US" w:eastAsia="en-US" w:bidi="ar-SA"/>
      </w:rPr>
    </w:lvl>
    <w:lvl w:ilvl="6" w:tplc="FF889CBC">
      <w:numFmt w:val="bullet"/>
      <w:lvlText w:val="•"/>
      <w:lvlJc w:val="left"/>
      <w:pPr>
        <w:ind w:left="6628" w:hanging="360"/>
      </w:pPr>
      <w:rPr>
        <w:rFonts w:hint="default"/>
        <w:lang w:val="en-US" w:eastAsia="en-US" w:bidi="ar-SA"/>
      </w:rPr>
    </w:lvl>
    <w:lvl w:ilvl="7" w:tplc="405EE666">
      <w:numFmt w:val="bullet"/>
      <w:lvlText w:val="•"/>
      <w:lvlJc w:val="left"/>
      <w:pPr>
        <w:ind w:left="7646" w:hanging="360"/>
      </w:pPr>
      <w:rPr>
        <w:rFonts w:hint="default"/>
        <w:lang w:val="en-US" w:eastAsia="en-US" w:bidi="ar-SA"/>
      </w:rPr>
    </w:lvl>
    <w:lvl w:ilvl="8" w:tplc="89585F8E">
      <w:numFmt w:val="bullet"/>
      <w:lvlText w:val="•"/>
      <w:lvlJc w:val="left"/>
      <w:pPr>
        <w:ind w:left="8664" w:hanging="360"/>
      </w:pPr>
      <w:rPr>
        <w:rFonts w:hint="default"/>
        <w:lang w:val="en-US" w:eastAsia="en-US" w:bidi="ar-SA"/>
      </w:rPr>
    </w:lvl>
  </w:abstractNum>
  <w:abstractNum w:abstractNumId="3" w15:restartNumberingAfterBreak="0">
    <w:nsid w:val="50B440FE"/>
    <w:multiLevelType w:val="hybridMultilevel"/>
    <w:tmpl w:val="33A2281C"/>
    <w:lvl w:ilvl="0" w:tplc="33A4AC0C">
      <w:numFmt w:val="bullet"/>
      <w:lvlText w:val="-"/>
      <w:lvlJc w:val="left"/>
      <w:pPr>
        <w:ind w:left="824"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C568BCE6">
      <w:numFmt w:val="bullet"/>
      <w:lvlText w:val="•"/>
      <w:lvlJc w:val="left"/>
      <w:pPr>
        <w:ind w:left="1808" w:hanging="360"/>
      </w:pPr>
      <w:rPr>
        <w:rFonts w:hint="default"/>
        <w:lang w:val="en-US" w:eastAsia="en-US" w:bidi="ar-SA"/>
      </w:rPr>
    </w:lvl>
    <w:lvl w:ilvl="2" w:tplc="4B50AF08">
      <w:numFmt w:val="bullet"/>
      <w:lvlText w:val="•"/>
      <w:lvlJc w:val="left"/>
      <w:pPr>
        <w:ind w:left="2796" w:hanging="360"/>
      </w:pPr>
      <w:rPr>
        <w:rFonts w:hint="default"/>
        <w:lang w:val="en-US" w:eastAsia="en-US" w:bidi="ar-SA"/>
      </w:rPr>
    </w:lvl>
    <w:lvl w:ilvl="3" w:tplc="5D18BA4A">
      <w:numFmt w:val="bullet"/>
      <w:lvlText w:val="•"/>
      <w:lvlJc w:val="left"/>
      <w:pPr>
        <w:ind w:left="3784" w:hanging="360"/>
      </w:pPr>
      <w:rPr>
        <w:rFonts w:hint="default"/>
        <w:lang w:val="en-US" w:eastAsia="en-US" w:bidi="ar-SA"/>
      </w:rPr>
    </w:lvl>
    <w:lvl w:ilvl="4" w:tplc="19F4EAB2">
      <w:numFmt w:val="bullet"/>
      <w:lvlText w:val="•"/>
      <w:lvlJc w:val="left"/>
      <w:pPr>
        <w:ind w:left="4772" w:hanging="360"/>
      </w:pPr>
      <w:rPr>
        <w:rFonts w:hint="default"/>
        <w:lang w:val="en-US" w:eastAsia="en-US" w:bidi="ar-SA"/>
      </w:rPr>
    </w:lvl>
    <w:lvl w:ilvl="5" w:tplc="384AEC3C">
      <w:numFmt w:val="bullet"/>
      <w:lvlText w:val="•"/>
      <w:lvlJc w:val="left"/>
      <w:pPr>
        <w:ind w:left="5760" w:hanging="360"/>
      </w:pPr>
      <w:rPr>
        <w:rFonts w:hint="default"/>
        <w:lang w:val="en-US" w:eastAsia="en-US" w:bidi="ar-SA"/>
      </w:rPr>
    </w:lvl>
    <w:lvl w:ilvl="6" w:tplc="779C1D28">
      <w:numFmt w:val="bullet"/>
      <w:lvlText w:val="•"/>
      <w:lvlJc w:val="left"/>
      <w:pPr>
        <w:ind w:left="6748" w:hanging="360"/>
      </w:pPr>
      <w:rPr>
        <w:rFonts w:hint="default"/>
        <w:lang w:val="en-US" w:eastAsia="en-US" w:bidi="ar-SA"/>
      </w:rPr>
    </w:lvl>
    <w:lvl w:ilvl="7" w:tplc="F950FFBA">
      <w:numFmt w:val="bullet"/>
      <w:lvlText w:val="•"/>
      <w:lvlJc w:val="left"/>
      <w:pPr>
        <w:ind w:left="7736" w:hanging="360"/>
      </w:pPr>
      <w:rPr>
        <w:rFonts w:hint="default"/>
        <w:lang w:val="en-US" w:eastAsia="en-US" w:bidi="ar-SA"/>
      </w:rPr>
    </w:lvl>
    <w:lvl w:ilvl="8" w:tplc="234A5168">
      <w:numFmt w:val="bullet"/>
      <w:lvlText w:val="•"/>
      <w:lvlJc w:val="left"/>
      <w:pPr>
        <w:ind w:left="8724" w:hanging="360"/>
      </w:pPr>
      <w:rPr>
        <w:rFonts w:hint="default"/>
        <w:lang w:val="en-US" w:eastAsia="en-US" w:bidi="ar-SA"/>
      </w:rPr>
    </w:lvl>
  </w:abstractNum>
  <w:abstractNum w:abstractNumId="4" w15:restartNumberingAfterBreak="0">
    <w:nsid w:val="71D54E7A"/>
    <w:multiLevelType w:val="hybridMultilevel"/>
    <w:tmpl w:val="B4E4FCEA"/>
    <w:lvl w:ilvl="0" w:tplc="4DEE38E0">
      <w:start w:val="1"/>
      <w:numFmt w:val="lowerRoman"/>
      <w:lvlText w:val="%1."/>
      <w:lvlJc w:val="left"/>
      <w:pPr>
        <w:ind w:left="1184"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739A63B4">
      <w:numFmt w:val="bullet"/>
      <w:lvlText w:val="•"/>
      <w:lvlJc w:val="left"/>
      <w:pPr>
        <w:ind w:left="2132" w:hanging="488"/>
      </w:pPr>
      <w:rPr>
        <w:rFonts w:hint="default"/>
        <w:lang w:val="en-US" w:eastAsia="en-US" w:bidi="ar-SA"/>
      </w:rPr>
    </w:lvl>
    <w:lvl w:ilvl="2" w:tplc="8EE21C0E">
      <w:numFmt w:val="bullet"/>
      <w:lvlText w:val="•"/>
      <w:lvlJc w:val="left"/>
      <w:pPr>
        <w:ind w:left="3084" w:hanging="488"/>
      </w:pPr>
      <w:rPr>
        <w:rFonts w:hint="default"/>
        <w:lang w:val="en-US" w:eastAsia="en-US" w:bidi="ar-SA"/>
      </w:rPr>
    </w:lvl>
    <w:lvl w:ilvl="3" w:tplc="88C8006A">
      <w:numFmt w:val="bullet"/>
      <w:lvlText w:val="•"/>
      <w:lvlJc w:val="left"/>
      <w:pPr>
        <w:ind w:left="4036" w:hanging="488"/>
      </w:pPr>
      <w:rPr>
        <w:rFonts w:hint="default"/>
        <w:lang w:val="en-US" w:eastAsia="en-US" w:bidi="ar-SA"/>
      </w:rPr>
    </w:lvl>
    <w:lvl w:ilvl="4" w:tplc="48E035C6">
      <w:numFmt w:val="bullet"/>
      <w:lvlText w:val="•"/>
      <w:lvlJc w:val="left"/>
      <w:pPr>
        <w:ind w:left="4988" w:hanging="488"/>
      </w:pPr>
      <w:rPr>
        <w:rFonts w:hint="default"/>
        <w:lang w:val="en-US" w:eastAsia="en-US" w:bidi="ar-SA"/>
      </w:rPr>
    </w:lvl>
    <w:lvl w:ilvl="5" w:tplc="7FA8B296">
      <w:numFmt w:val="bullet"/>
      <w:lvlText w:val="•"/>
      <w:lvlJc w:val="left"/>
      <w:pPr>
        <w:ind w:left="5940" w:hanging="488"/>
      </w:pPr>
      <w:rPr>
        <w:rFonts w:hint="default"/>
        <w:lang w:val="en-US" w:eastAsia="en-US" w:bidi="ar-SA"/>
      </w:rPr>
    </w:lvl>
    <w:lvl w:ilvl="6" w:tplc="C12EB5C0">
      <w:numFmt w:val="bullet"/>
      <w:lvlText w:val="•"/>
      <w:lvlJc w:val="left"/>
      <w:pPr>
        <w:ind w:left="6892" w:hanging="488"/>
      </w:pPr>
      <w:rPr>
        <w:rFonts w:hint="default"/>
        <w:lang w:val="en-US" w:eastAsia="en-US" w:bidi="ar-SA"/>
      </w:rPr>
    </w:lvl>
    <w:lvl w:ilvl="7" w:tplc="38627A42">
      <w:numFmt w:val="bullet"/>
      <w:lvlText w:val="•"/>
      <w:lvlJc w:val="left"/>
      <w:pPr>
        <w:ind w:left="7844" w:hanging="488"/>
      </w:pPr>
      <w:rPr>
        <w:rFonts w:hint="default"/>
        <w:lang w:val="en-US" w:eastAsia="en-US" w:bidi="ar-SA"/>
      </w:rPr>
    </w:lvl>
    <w:lvl w:ilvl="8" w:tplc="DA5CB358">
      <w:numFmt w:val="bullet"/>
      <w:lvlText w:val="•"/>
      <w:lvlJc w:val="left"/>
      <w:pPr>
        <w:ind w:left="8796" w:hanging="488"/>
      </w:pPr>
      <w:rPr>
        <w:rFonts w:hint="default"/>
        <w:lang w:val="en-US" w:eastAsia="en-US" w:bidi="ar-SA"/>
      </w:rPr>
    </w:lvl>
  </w:abstractNum>
  <w:num w:numId="1" w16cid:durableId="950866376">
    <w:abstractNumId w:val="1"/>
  </w:num>
  <w:num w:numId="2" w16cid:durableId="1529946383">
    <w:abstractNumId w:val="4"/>
  </w:num>
  <w:num w:numId="3" w16cid:durableId="72745034">
    <w:abstractNumId w:val="2"/>
  </w:num>
  <w:num w:numId="4" w16cid:durableId="1211378477">
    <w:abstractNumId w:val="3"/>
  </w:num>
  <w:num w:numId="5" w16cid:durableId="142522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99"/>
    <w:rsid w:val="00000163"/>
    <w:rsid w:val="00000603"/>
    <w:rsid w:val="00001814"/>
    <w:rsid w:val="00003DA3"/>
    <w:rsid w:val="00005E3B"/>
    <w:rsid w:val="000108F8"/>
    <w:rsid w:val="00013640"/>
    <w:rsid w:val="000175DB"/>
    <w:rsid w:val="00022618"/>
    <w:rsid w:val="00022998"/>
    <w:rsid w:val="00025990"/>
    <w:rsid w:val="000262C9"/>
    <w:rsid w:val="00031EAF"/>
    <w:rsid w:val="000351D3"/>
    <w:rsid w:val="0004497B"/>
    <w:rsid w:val="000467FD"/>
    <w:rsid w:val="00052909"/>
    <w:rsid w:val="0007195D"/>
    <w:rsid w:val="00081D0A"/>
    <w:rsid w:val="000822BB"/>
    <w:rsid w:val="00090F6B"/>
    <w:rsid w:val="000A5E38"/>
    <w:rsid w:val="000A6CF7"/>
    <w:rsid w:val="000A6D7F"/>
    <w:rsid w:val="000B5841"/>
    <w:rsid w:val="000B5866"/>
    <w:rsid w:val="000B7DE9"/>
    <w:rsid w:val="000C476B"/>
    <w:rsid w:val="000D5E91"/>
    <w:rsid w:val="000E4542"/>
    <w:rsid w:val="000F5B07"/>
    <w:rsid w:val="001009B8"/>
    <w:rsid w:val="001075CF"/>
    <w:rsid w:val="00111782"/>
    <w:rsid w:val="00113A6F"/>
    <w:rsid w:val="001155F9"/>
    <w:rsid w:val="00116F03"/>
    <w:rsid w:val="001220D8"/>
    <w:rsid w:val="00122A7C"/>
    <w:rsid w:val="001246E8"/>
    <w:rsid w:val="001307DF"/>
    <w:rsid w:val="00132F4B"/>
    <w:rsid w:val="001353DB"/>
    <w:rsid w:val="00137FEC"/>
    <w:rsid w:val="00144D7A"/>
    <w:rsid w:val="00183A6C"/>
    <w:rsid w:val="00183F40"/>
    <w:rsid w:val="0019045C"/>
    <w:rsid w:val="001927DD"/>
    <w:rsid w:val="001B2382"/>
    <w:rsid w:val="001B2F14"/>
    <w:rsid w:val="001B6FB7"/>
    <w:rsid w:val="001C4780"/>
    <w:rsid w:val="001F0A23"/>
    <w:rsid w:val="00205602"/>
    <w:rsid w:val="0021016D"/>
    <w:rsid w:val="00216B62"/>
    <w:rsid w:val="0022268D"/>
    <w:rsid w:val="00232874"/>
    <w:rsid w:val="002343DC"/>
    <w:rsid w:val="00242E32"/>
    <w:rsid w:val="00243267"/>
    <w:rsid w:val="00244DE3"/>
    <w:rsid w:val="0025680E"/>
    <w:rsid w:val="0026087B"/>
    <w:rsid w:val="00262AE9"/>
    <w:rsid w:val="00266574"/>
    <w:rsid w:val="002721A4"/>
    <w:rsid w:val="00272DF8"/>
    <w:rsid w:val="0028434F"/>
    <w:rsid w:val="00294F2B"/>
    <w:rsid w:val="002B1207"/>
    <w:rsid w:val="002B254F"/>
    <w:rsid w:val="002B70CF"/>
    <w:rsid w:val="002C7862"/>
    <w:rsid w:val="002D09E2"/>
    <w:rsid w:val="002D36BD"/>
    <w:rsid w:val="002D48CF"/>
    <w:rsid w:val="002F0A1B"/>
    <w:rsid w:val="002F46D9"/>
    <w:rsid w:val="002F4B1D"/>
    <w:rsid w:val="00300DB3"/>
    <w:rsid w:val="00313A40"/>
    <w:rsid w:val="0031567F"/>
    <w:rsid w:val="00321F90"/>
    <w:rsid w:val="003231DC"/>
    <w:rsid w:val="00326627"/>
    <w:rsid w:val="00332031"/>
    <w:rsid w:val="003324DA"/>
    <w:rsid w:val="00342CCF"/>
    <w:rsid w:val="00344F33"/>
    <w:rsid w:val="0034771F"/>
    <w:rsid w:val="0035104D"/>
    <w:rsid w:val="0035353B"/>
    <w:rsid w:val="0035466C"/>
    <w:rsid w:val="00356102"/>
    <w:rsid w:val="00360062"/>
    <w:rsid w:val="0036025D"/>
    <w:rsid w:val="0036743C"/>
    <w:rsid w:val="0036757B"/>
    <w:rsid w:val="003740CB"/>
    <w:rsid w:val="00381B59"/>
    <w:rsid w:val="003934AD"/>
    <w:rsid w:val="003A229F"/>
    <w:rsid w:val="003A28CB"/>
    <w:rsid w:val="003A6361"/>
    <w:rsid w:val="003A6DBC"/>
    <w:rsid w:val="003B2501"/>
    <w:rsid w:val="003C0ED3"/>
    <w:rsid w:val="003C1764"/>
    <w:rsid w:val="003D565F"/>
    <w:rsid w:val="003F7D1F"/>
    <w:rsid w:val="00407C82"/>
    <w:rsid w:val="00414503"/>
    <w:rsid w:val="0041535C"/>
    <w:rsid w:val="00416788"/>
    <w:rsid w:val="00420F5D"/>
    <w:rsid w:val="00432B63"/>
    <w:rsid w:val="00454394"/>
    <w:rsid w:val="00454CE0"/>
    <w:rsid w:val="004620A0"/>
    <w:rsid w:val="004628CB"/>
    <w:rsid w:val="00463651"/>
    <w:rsid w:val="004723AC"/>
    <w:rsid w:val="00475238"/>
    <w:rsid w:val="0047544E"/>
    <w:rsid w:val="004759AC"/>
    <w:rsid w:val="004826D4"/>
    <w:rsid w:val="004847E3"/>
    <w:rsid w:val="004A19E3"/>
    <w:rsid w:val="004A4382"/>
    <w:rsid w:val="004A4C06"/>
    <w:rsid w:val="004A5E02"/>
    <w:rsid w:val="004B7C0B"/>
    <w:rsid w:val="004D02D0"/>
    <w:rsid w:val="004D7E31"/>
    <w:rsid w:val="004F7C0B"/>
    <w:rsid w:val="004F7E66"/>
    <w:rsid w:val="0051549D"/>
    <w:rsid w:val="0051641C"/>
    <w:rsid w:val="005251A4"/>
    <w:rsid w:val="00533DD1"/>
    <w:rsid w:val="00534E81"/>
    <w:rsid w:val="00536E14"/>
    <w:rsid w:val="00540AE2"/>
    <w:rsid w:val="00545658"/>
    <w:rsid w:val="00551F72"/>
    <w:rsid w:val="00555E6D"/>
    <w:rsid w:val="00562D5E"/>
    <w:rsid w:val="005668D7"/>
    <w:rsid w:val="00571DB6"/>
    <w:rsid w:val="00575588"/>
    <w:rsid w:val="0057697D"/>
    <w:rsid w:val="0059719E"/>
    <w:rsid w:val="005A0E4F"/>
    <w:rsid w:val="005A132D"/>
    <w:rsid w:val="005A199C"/>
    <w:rsid w:val="005A4B10"/>
    <w:rsid w:val="005A7C92"/>
    <w:rsid w:val="005B14DD"/>
    <w:rsid w:val="005B1ECA"/>
    <w:rsid w:val="005B2717"/>
    <w:rsid w:val="005B4A1F"/>
    <w:rsid w:val="005C060F"/>
    <w:rsid w:val="005D2D7A"/>
    <w:rsid w:val="005D33FC"/>
    <w:rsid w:val="005D50B9"/>
    <w:rsid w:val="005E7128"/>
    <w:rsid w:val="005F5081"/>
    <w:rsid w:val="005F5BAD"/>
    <w:rsid w:val="005F6FE6"/>
    <w:rsid w:val="00602A0B"/>
    <w:rsid w:val="00603006"/>
    <w:rsid w:val="00612948"/>
    <w:rsid w:val="00614D02"/>
    <w:rsid w:val="00620441"/>
    <w:rsid w:val="00621CEC"/>
    <w:rsid w:val="00622A90"/>
    <w:rsid w:val="00632D25"/>
    <w:rsid w:val="0063382F"/>
    <w:rsid w:val="00640714"/>
    <w:rsid w:val="00642960"/>
    <w:rsid w:val="00644FE0"/>
    <w:rsid w:val="00645056"/>
    <w:rsid w:val="0065497C"/>
    <w:rsid w:val="006639A5"/>
    <w:rsid w:val="00667AE9"/>
    <w:rsid w:val="00673311"/>
    <w:rsid w:val="00676EAA"/>
    <w:rsid w:val="00681470"/>
    <w:rsid w:val="00685389"/>
    <w:rsid w:val="00691404"/>
    <w:rsid w:val="0069391B"/>
    <w:rsid w:val="006A2D01"/>
    <w:rsid w:val="006A37EF"/>
    <w:rsid w:val="006A5839"/>
    <w:rsid w:val="006B6B0F"/>
    <w:rsid w:val="006C672A"/>
    <w:rsid w:val="006D14A7"/>
    <w:rsid w:val="006D657E"/>
    <w:rsid w:val="006D7AE0"/>
    <w:rsid w:val="006E2901"/>
    <w:rsid w:val="006E47D7"/>
    <w:rsid w:val="00701DD8"/>
    <w:rsid w:val="0071014C"/>
    <w:rsid w:val="00711259"/>
    <w:rsid w:val="007160A5"/>
    <w:rsid w:val="00723D2E"/>
    <w:rsid w:val="00731984"/>
    <w:rsid w:val="00731F14"/>
    <w:rsid w:val="00733257"/>
    <w:rsid w:val="00743311"/>
    <w:rsid w:val="00746699"/>
    <w:rsid w:val="00776D61"/>
    <w:rsid w:val="007771AC"/>
    <w:rsid w:val="007A0A2E"/>
    <w:rsid w:val="007A1767"/>
    <w:rsid w:val="007B02EC"/>
    <w:rsid w:val="007C2991"/>
    <w:rsid w:val="007C431A"/>
    <w:rsid w:val="007D6EBB"/>
    <w:rsid w:val="007E55BC"/>
    <w:rsid w:val="007E6347"/>
    <w:rsid w:val="0080516C"/>
    <w:rsid w:val="0080E760"/>
    <w:rsid w:val="00810E79"/>
    <w:rsid w:val="00814493"/>
    <w:rsid w:val="00815DEB"/>
    <w:rsid w:val="00816601"/>
    <w:rsid w:val="00816A07"/>
    <w:rsid w:val="00821D2D"/>
    <w:rsid w:val="0082465A"/>
    <w:rsid w:val="00837F85"/>
    <w:rsid w:val="00850C44"/>
    <w:rsid w:val="008558BA"/>
    <w:rsid w:val="008559A1"/>
    <w:rsid w:val="00856B95"/>
    <w:rsid w:val="008621DF"/>
    <w:rsid w:val="00862A36"/>
    <w:rsid w:val="00872D2E"/>
    <w:rsid w:val="00890AF6"/>
    <w:rsid w:val="0089400D"/>
    <w:rsid w:val="00895180"/>
    <w:rsid w:val="00896DCF"/>
    <w:rsid w:val="008A0317"/>
    <w:rsid w:val="008A70E3"/>
    <w:rsid w:val="008C18EE"/>
    <w:rsid w:val="008C2D5E"/>
    <w:rsid w:val="008C71F2"/>
    <w:rsid w:val="008F078F"/>
    <w:rsid w:val="008F37A7"/>
    <w:rsid w:val="008F6E02"/>
    <w:rsid w:val="00904FD8"/>
    <w:rsid w:val="00913437"/>
    <w:rsid w:val="009141DF"/>
    <w:rsid w:val="00914E6F"/>
    <w:rsid w:val="00914F43"/>
    <w:rsid w:val="0094313B"/>
    <w:rsid w:val="0094551B"/>
    <w:rsid w:val="00957E93"/>
    <w:rsid w:val="00966AEC"/>
    <w:rsid w:val="00974AB7"/>
    <w:rsid w:val="009764BA"/>
    <w:rsid w:val="00977352"/>
    <w:rsid w:val="0098100A"/>
    <w:rsid w:val="00990EAB"/>
    <w:rsid w:val="0099699C"/>
    <w:rsid w:val="009A1F3C"/>
    <w:rsid w:val="009B5327"/>
    <w:rsid w:val="009C19C3"/>
    <w:rsid w:val="009D1A96"/>
    <w:rsid w:val="009D6E73"/>
    <w:rsid w:val="009F70CD"/>
    <w:rsid w:val="00A008D8"/>
    <w:rsid w:val="00A03CCA"/>
    <w:rsid w:val="00A11DFA"/>
    <w:rsid w:val="00A169F3"/>
    <w:rsid w:val="00A22924"/>
    <w:rsid w:val="00A256D9"/>
    <w:rsid w:val="00A30795"/>
    <w:rsid w:val="00A330C4"/>
    <w:rsid w:val="00A36727"/>
    <w:rsid w:val="00A43281"/>
    <w:rsid w:val="00A5251C"/>
    <w:rsid w:val="00A55E1E"/>
    <w:rsid w:val="00A62D8C"/>
    <w:rsid w:val="00A710CA"/>
    <w:rsid w:val="00A749CD"/>
    <w:rsid w:val="00A76E24"/>
    <w:rsid w:val="00A90C4B"/>
    <w:rsid w:val="00A92C22"/>
    <w:rsid w:val="00A96A27"/>
    <w:rsid w:val="00AA0D02"/>
    <w:rsid w:val="00AA1722"/>
    <w:rsid w:val="00AA2BCE"/>
    <w:rsid w:val="00AAC293"/>
    <w:rsid w:val="00AB4B44"/>
    <w:rsid w:val="00AC19B2"/>
    <w:rsid w:val="00AC266B"/>
    <w:rsid w:val="00AC3B60"/>
    <w:rsid w:val="00AC46AB"/>
    <w:rsid w:val="00AD3233"/>
    <w:rsid w:val="00AE6875"/>
    <w:rsid w:val="00AE7AB7"/>
    <w:rsid w:val="00B1191D"/>
    <w:rsid w:val="00B13CDF"/>
    <w:rsid w:val="00B24BA4"/>
    <w:rsid w:val="00B32DA5"/>
    <w:rsid w:val="00B3708D"/>
    <w:rsid w:val="00B46E95"/>
    <w:rsid w:val="00B51719"/>
    <w:rsid w:val="00B51A60"/>
    <w:rsid w:val="00B51B3D"/>
    <w:rsid w:val="00B56D92"/>
    <w:rsid w:val="00B62875"/>
    <w:rsid w:val="00B62F6A"/>
    <w:rsid w:val="00B66EFC"/>
    <w:rsid w:val="00B66F12"/>
    <w:rsid w:val="00B82923"/>
    <w:rsid w:val="00BA15C4"/>
    <w:rsid w:val="00BB16E6"/>
    <w:rsid w:val="00BB2B76"/>
    <w:rsid w:val="00BD51AA"/>
    <w:rsid w:val="00BD7635"/>
    <w:rsid w:val="00BE52FD"/>
    <w:rsid w:val="00BF4A7F"/>
    <w:rsid w:val="00C001B0"/>
    <w:rsid w:val="00C02CA8"/>
    <w:rsid w:val="00C03134"/>
    <w:rsid w:val="00C20EC7"/>
    <w:rsid w:val="00C24FE3"/>
    <w:rsid w:val="00C300FA"/>
    <w:rsid w:val="00C3260A"/>
    <w:rsid w:val="00C33995"/>
    <w:rsid w:val="00C3493C"/>
    <w:rsid w:val="00C349A0"/>
    <w:rsid w:val="00C4541F"/>
    <w:rsid w:val="00C46260"/>
    <w:rsid w:val="00C51A4E"/>
    <w:rsid w:val="00C52461"/>
    <w:rsid w:val="00C65354"/>
    <w:rsid w:val="00C82017"/>
    <w:rsid w:val="00C835D0"/>
    <w:rsid w:val="00C8487F"/>
    <w:rsid w:val="00CA0EAB"/>
    <w:rsid w:val="00CB069E"/>
    <w:rsid w:val="00CB2B4C"/>
    <w:rsid w:val="00CB50D2"/>
    <w:rsid w:val="00CB602B"/>
    <w:rsid w:val="00CB653A"/>
    <w:rsid w:val="00CC1C49"/>
    <w:rsid w:val="00CC2A67"/>
    <w:rsid w:val="00CC692B"/>
    <w:rsid w:val="00CD1203"/>
    <w:rsid w:val="00CD648A"/>
    <w:rsid w:val="00CE052E"/>
    <w:rsid w:val="00CE1D48"/>
    <w:rsid w:val="00CE1DDD"/>
    <w:rsid w:val="00CF51CF"/>
    <w:rsid w:val="00D07F1C"/>
    <w:rsid w:val="00D16309"/>
    <w:rsid w:val="00D244E8"/>
    <w:rsid w:val="00D26512"/>
    <w:rsid w:val="00D305A0"/>
    <w:rsid w:val="00D32052"/>
    <w:rsid w:val="00D32F70"/>
    <w:rsid w:val="00D3597D"/>
    <w:rsid w:val="00D36B8F"/>
    <w:rsid w:val="00D37A1A"/>
    <w:rsid w:val="00D44AC3"/>
    <w:rsid w:val="00D64BB2"/>
    <w:rsid w:val="00D7621B"/>
    <w:rsid w:val="00D85E99"/>
    <w:rsid w:val="00D9096F"/>
    <w:rsid w:val="00DF3F02"/>
    <w:rsid w:val="00DF79C3"/>
    <w:rsid w:val="00E00E5F"/>
    <w:rsid w:val="00E05C9F"/>
    <w:rsid w:val="00E112BE"/>
    <w:rsid w:val="00E1293F"/>
    <w:rsid w:val="00E16452"/>
    <w:rsid w:val="00E16C80"/>
    <w:rsid w:val="00E3366E"/>
    <w:rsid w:val="00E45895"/>
    <w:rsid w:val="00E54E9E"/>
    <w:rsid w:val="00E55467"/>
    <w:rsid w:val="00E55648"/>
    <w:rsid w:val="00E763E6"/>
    <w:rsid w:val="00E8294D"/>
    <w:rsid w:val="00E9177F"/>
    <w:rsid w:val="00EA1F9D"/>
    <w:rsid w:val="00EA47FF"/>
    <w:rsid w:val="00EB62C8"/>
    <w:rsid w:val="00EC2A6E"/>
    <w:rsid w:val="00EC3396"/>
    <w:rsid w:val="00ED00C2"/>
    <w:rsid w:val="00ED2623"/>
    <w:rsid w:val="00ED3D0A"/>
    <w:rsid w:val="00ED6546"/>
    <w:rsid w:val="00EE1462"/>
    <w:rsid w:val="00EE255A"/>
    <w:rsid w:val="00EE6DD1"/>
    <w:rsid w:val="00EF6B4C"/>
    <w:rsid w:val="00F049A1"/>
    <w:rsid w:val="00F0697B"/>
    <w:rsid w:val="00F08C97"/>
    <w:rsid w:val="00F127C7"/>
    <w:rsid w:val="00F140D0"/>
    <w:rsid w:val="00F22C94"/>
    <w:rsid w:val="00F23CE8"/>
    <w:rsid w:val="00F27417"/>
    <w:rsid w:val="00F27B8B"/>
    <w:rsid w:val="00F31436"/>
    <w:rsid w:val="00F314A0"/>
    <w:rsid w:val="00F35D95"/>
    <w:rsid w:val="00F404B3"/>
    <w:rsid w:val="00F47384"/>
    <w:rsid w:val="00F5654C"/>
    <w:rsid w:val="00F7506D"/>
    <w:rsid w:val="00F77086"/>
    <w:rsid w:val="00F97760"/>
    <w:rsid w:val="00FA0125"/>
    <w:rsid w:val="00FA19AF"/>
    <w:rsid w:val="00FA24A3"/>
    <w:rsid w:val="00FA2D77"/>
    <w:rsid w:val="00FB4987"/>
    <w:rsid w:val="00FB5A8F"/>
    <w:rsid w:val="00FC1192"/>
    <w:rsid w:val="00FD7B27"/>
    <w:rsid w:val="00FE1F04"/>
    <w:rsid w:val="014D5017"/>
    <w:rsid w:val="0182CD76"/>
    <w:rsid w:val="02CDBA2B"/>
    <w:rsid w:val="0347DA23"/>
    <w:rsid w:val="039A027F"/>
    <w:rsid w:val="039B0820"/>
    <w:rsid w:val="04434988"/>
    <w:rsid w:val="063952C3"/>
    <w:rsid w:val="064E12D9"/>
    <w:rsid w:val="06C84AB0"/>
    <w:rsid w:val="09275E0C"/>
    <w:rsid w:val="097A4B78"/>
    <w:rsid w:val="09EC6649"/>
    <w:rsid w:val="0A331F0C"/>
    <w:rsid w:val="0AAB0578"/>
    <w:rsid w:val="0AEB1BA2"/>
    <w:rsid w:val="0BA5AFB1"/>
    <w:rsid w:val="0CF3B9B5"/>
    <w:rsid w:val="0D115E89"/>
    <w:rsid w:val="0D9F6999"/>
    <w:rsid w:val="0DD06E20"/>
    <w:rsid w:val="0E783FA2"/>
    <w:rsid w:val="0E7B4626"/>
    <w:rsid w:val="0E8D7DAD"/>
    <w:rsid w:val="0E927D36"/>
    <w:rsid w:val="1106B21E"/>
    <w:rsid w:val="111B4006"/>
    <w:rsid w:val="119671BA"/>
    <w:rsid w:val="12082EFC"/>
    <w:rsid w:val="1265DD48"/>
    <w:rsid w:val="12EA6AC7"/>
    <w:rsid w:val="1336DFC5"/>
    <w:rsid w:val="1473D0AC"/>
    <w:rsid w:val="1491E160"/>
    <w:rsid w:val="1524BF58"/>
    <w:rsid w:val="157F9B91"/>
    <w:rsid w:val="1628637E"/>
    <w:rsid w:val="163C1D24"/>
    <w:rsid w:val="16860E95"/>
    <w:rsid w:val="16DF49EC"/>
    <w:rsid w:val="175B78F9"/>
    <w:rsid w:val="17B4CA2F"/>
    <w:rsid w:val="17DA52E2"/>
    <w:rsid w:val="17F93A3B"/>
    <w:rsid w:val="180A2FBF"/>
    <w:rsid w:val="186014A9"/>
    <w:rsid w:val="187871F1"/>
    <w:rsid w:val="196104DB"/>
    <w:rsid w:val="1A1B522E"/>
    <w:rsid w:val="1B5583B1"/>
    <w:rsid w:val="1C37C741"/>
    <w:rsid w:val="1C7541DD"/>
    <w:rsid w:val="1CB13362"/>
    <w:rsid w:val="1CBEAB8A"/>
    <w:rsid w:val="1CC530C9"/>
    <w:rsid w:val="1DCD43C2"/>
    <w:rsid w:val="1E24C99D"/>
    <w:rsid w:val="1E987B68"/>
    <w:rsid w:val="1EBCD41F"/>
    <w:rsid w:val="1EBE99BE"/>
    <w:rsid w:val="1EC74B79"/>
    <w:rsid w:val="1EDAC8E8"/>
    <w:rsid w:val="20154162"/>
    <w:rsid w:val="215F5A9B"/>
    <w:rsid w:val="2173F2B0"/>
    <w:rsid w:val="224EE309"/>
    <w:rsid w:val="22669098"/>
    <w:rsid w:val="22A3AC2D"/>
    <w:rsid w:val="22FBE783"/>
    <w:rsid w:val="23AC7CF5"/>
    <w:rsid w:val="244BF61E"/>
    <w:rsid w:val="24653458"/>
    <w:rsid w:val="2525721B"/>
    <w:rsid w:val="25500972"/>
    <w:rsid w:val="259A8C0A"/>
    <w:rsid w:val="27199860"/>
    <w:rsid w:val="2756C446"/>
    <w:rsid w:val="2846B648"/>
    <w:rsid w:val="297B39DA"/>
    <w:rsid w:val="2B0ABD53"/>
    <w:rsid w:val="2B95C036"/>
    <w:rsid w:val="2C316C95"/>
    <w:rsid w:val="2C872EC4"/>
    <w:rsid w:val="2D2097B4"/>
    <w:rsid w:val="2D559DF2"/>
    <w:rsid w:val="2DCBC559"/>
    <w:rsid w:val="2E11F51E"/>
    <w:rsid w:val="2E1642FD"/>
    <w:rsid w:val="2E3B8799"/>
    <w:rsid w:val="2ECD1067"/>
    <w:rsid w:val="2EFFE1F7"/>
    <w:rsid w:val="30B89C26"/>
    <w:rsid w:val="30F9F01D"/>
    <w:rsid w:val="340EA031"/>
    <w:rsid w:val="34C8441B"/>
    <w:rsid w:val="3567C8BF"/>
    <w:rsid w:val="3643F82C"/>
    <w:rsid w:val="367B2AD9"/>
    <w:rsid w:val="37013E52"/>
    <w:rsid w:val="37D75265"/>
    <w:rsid w:val="3840BD5A"/>
    <w:rsid w:val="384211B9"/>
    <w:rsid w:val="38A46156"/>
    <w:rsid w:val="390A4293"/>
    <w:rsid w:val="39107F82"/>
    <w:rsid w:val="3912C1C1"/>
    <w:rsid w:val="397137AD"/>
    <w:rsid w:val="399F04E3"/>
    <w:rsid w:val="39C7DEB8"/>
    <w:rsid w:val="39CED2DE"/>
    <w:rsid w:val="3A037347"/>
    <w:rsid w:val="3AD1D60F"/>
    <w:rsid w:val="3B1D8426"/>
    <w:rsid w:val="3B5173C2"/>
    <w:rsid w:val="3BD75D77"/>
    <w:rsid w:val="3BE57B6F"/>
    <w:rsid w:val="3CCC4E65"/>
    <w:rsid w:val="3D812662"/>
    <w:rsid w:val="3D9BB760"/>
    <w:rsid w:val="3F49D3E7"/>
    <w:rsid w:val="3FAA3D52"/>
    <w:rsid w:val="3FBAACBF"/>
    <w:rsid w:val="40226751"/>
    <w:rsid w:val="408D87FC"/>
    <w:rsid w:val="40FA8572"/>
    <w:rsid w:val="4148C21E"/>
    <w:rsid w:val="41853F5A"/>
    <w:rsid w:val="421505D4"/>
    <w:rsid w:val="428BD853"/>
    <w:rsid w:val="42965010"/>
    <w:rsid w:val="42B4B68C"/>
    <w:rsid w:val="431D37F1"/>
    <w:rsid w:val="44326C49"/>
    <w:rsid w:val="447A4A8B"/>
    <w:rsid w:val="44A83812"/>
    <w:rsid w:val="44B4B57D"/>
    <w:rsid w:val="44CC877A"/>
    <w:rsid w:val="44E2E186"/>
    <w:rsid w:val="45518BF9"/>
    <w:rsid w:val="4583CEF7"/>
    <w:rsid w:val="45E4F218"/>
    <w:rsid w:val="4601ECC3"/>
    <w:rsid w:val="46804A75"/>
    <w:rsid w:val="46DE4238"/>
    <w:rsid w:val="473BF87C"/>
    <w:rsid w:val="476BA103"/>
    <w:rsid w:val="479BD2AA"/>
    <w:rsid w:val="4805FC1F"/>
    <w:rsid w:val="4816C393"/>
    <w:rsid w:val="48744F74"/>
    <w:rsid w:val="48FEEF16"/>
    <w:rsid w:val="49A46D94"/>
    <w:rsid w:val="49AE4BBF"/>
    <w:rsid w:val="4A04170C"/>
    <w:rsid w:val="4A1E3194"/>
    <w:rsid w:val="4C2F6AE1"/>
    <w:rsid w:val="4C61CB86"/>
    <w:rsid w:val="4D61E820"/>
    <w:rsid w:val="4E731302"/>
    <w:rsid w:val="4F7FEF42"/>
    <w:rsid w:val="50524367"/>
    <w:rsid w:val="50B935D0"/>
    <w:rsid w:val="512058C4"/>
    <w:rsid w:val="5148A9C6"/>
    <w:rsid w:val="51966190"/>
    <w:rsid w:val="51CDEBDA"/>
    <w:rsid w:val="51EB9275"/>
    <w:rsid w:val="5216799B"/>
    <w:rsid w:val="52188639"/>
    <w:rsid w:val="5299D96D"/>
    <w:rsid w:val="52DE3523"/>
    <w:rsid w:val="52F92D8A"/>
    <w:rsid w:val="5463B4FF"/>
    <w:rsid w:val="5512C80C"/>
    <w:rsid w:val="552D0B1D"/>
    <w:rsid w:val="55C0833D"/>
    <w:rsid w:val="56EAC8B2"/>
    <w:rsid w:val="572FA0C0"/>
    <w:rsid w:val="57A2E7A8"/>
    <w:rsid w:val="57CF59AD"/>
    <w:rsid w:val="58525BFA"/>
    <w:rsid w:val="58ADF399"/>
    <w:rsid w:val="592E9B28"/>
    <w:rsid w:val="5947C84C"/>
    <w:rsid w:val="5A92173E"/>
    <w:rsid w:val="5AACFB09"/>
    <w:rsid w:val="5BFFB179"/>
    <w:rsid w:val="5C661173"/>
    <w:rsid w:val="5DBD283C"/>
    <w:rsid w:val="5F1B0ADF"/>
    <w:rsid w:val="5F79E860"/>
    <w:rsid w:val="5F7AA4DD"/>
    <w:rsid w:val="5FDCD6CF"/>
    <w:rsid w:val="5FF1347F"/>
    <w:rsid w:val="610A27C4"/>
    <w:rsid w:val="62F2C3EA"/>
    <w:rsid w:val="63172CED"/>
    <w:rsid w:val="6332C472"/>
    <w:rsid w:val="63367EF4"/>
    <w:rsid w:val="636C9902"/>
    <w:rsid w:val="63780FC9"/>
    <w:rsid w:val="638A007E"/>
    <w:rsid w:val="63E21952"/>
    <w:rsid w:val="6433AD8B"/>
    <w:rsid w:val="64BDADEA"/>
    <w:rsid w:val="65E5774D"/>
    <w:rsid w:val="66284323"/>
    <w:rsid w:val="6664599B"/>
    <w:rsid w:val="66D57A10"/>
    <w:rsid w:val="6797D875"/>
    <w:rsid w:val="679D1A0C"/>
    <w:rsid w:val="67C21A6B"/>
    <w:rsid w:val="67D747C6"/>
    <w:rsid w:val="687348C5"/>
    <w:rsid w:val="694B55C8"/>
    <w:rsid w:val="698CEC65"/>
    <w:rsid w:val="6A4CA173"/>
    <w:rsid w:val="6A50486F"/>
    <w:rsid w:val="6AC9A783"/>
    <w:rsid w:val="6BA6A178"/>
    <w:rsid w:val="6BE39C39"/>
    <w:rsid w:val="6C654A1F"/>
    <w:rsid w:val="6CAB14E1"/>
    <w:rsid w:val="6CBE1C47"/>
    <w:rsid w:val="6D273C9C"/>
    <w:rsid w:val="6D8BD01C"/>
    <w:rsid w:val="6DF7F313"/>
    <w:rsid w:val="6E1FCADF"/>
    <w:rsid w:val="700AA144"/>
    <w:rsid w:val="70FDB1C0"/>
    <w:rsid w:val="7192F871"/>
    <w:rsid w:val="72B7AD2A"/>
    <w:rsid w:val="7312B363"/>
    <w:rsid w:val="733F518F"/>
    <w:rsid w:val="7347D50F"/>
    <w:rsid w:val="7379E889"/>
    <w:rsid w:val="73E6ECC8"/>
    <w:rsid w:val="7424A63A"/>
    <w:rsid w:val="7426F77C"/>
    <w:rsid w:val="747170CD"/>
    <w:rsid w:val="75AD0E81"/>
    <w:rsid w:val="75B8BFFD"/>
    <w:rsid w:val="76438CE0"/>
    <w:rsid w:val="76562A78"/>
    <w:rsid w:val="768ABF0D"/>
    <w:rsid w:val="769A506D"/>
    <w:rsid w:val="76DDB6B7"/>
    <w:rsid w:val="775AF012"/>
    <w:rsid w:val="78500558"/>
    <w:rsid w:val="78879BAC"/>
    <w:rsid w:val="78917D56"/>
    <w:rsid w:val="78A988D9"/>
    <w:rsid w:val="78C326BD"/>
    <w:rsid w:val="7ABDCDA4"/>
    <w:rsid w:val="7CB44829"/>
    <w:rsid w:val="7CC8EE08"/>
    <w:rsid w:val="7CD0D231"/>
    <w:rsid w:val="7CDA930F"/>
    <w:rsid w:val="7DA83841"/>
    <w:rsid w:val="7DD17505"/>
    <w:rsid w:val="7E774E7F"/>
    <w:rsid w:val="7EB0FE4C"/>
    <w:rsid w:val="7EC0D3E1"/>
    <w:rsid w:val="7EE69E2F"/>
    <w:rsid w:val="7EE767FF"/>
    <w:rsid w:val="7F21AC81"/>
    <w:rsid w:val="7F33A3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7D942"/>
  <w15:docId w15:val="{F45B819A-7804-42C7-ACE4-87E8DDC1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Times New Roman"/>
    </w:rPr>
  </w:style>
  <w:style w:type="paragraph" w:styleId="Heading2">
    <w:name w:val="heading 2"/>
    <w:basedOn w:val="Normal"/>
    <w:next w:val="Normal"/>
    <w:link w:val="Heading2Char"/>
    <w:uiPriority w:val="9"/>
    <w:unhideWhenUsed/>
    <w:qFormat/>
    <w:rsid w:val="00AC3B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ind w:left="1042" w:right="1029"/>
      <w:jc w:val="center"/>
    </w:pPr>
    <w:rPr>
      <w:b/>
      <w:bCs/>
      <w:sz w:val="28"/>
      <w:szCs w:val="28"/>
    </w:rPr>
  </w:style>
  <w:style w:type="paragraph" w:styleId="ListParagraph">
    <w:name w:val="List Paragraph"/>
    <w:basedOn w:val="Normal"/>
    <w:uiPriority w:val="1"/>
    <w:qFormat/>
    <w:pPr>
      <w:ind w:left="1184" w:hanging="359"/>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F0697B"/>
    <w:pPr>
      <w:widowControl/>
      <w:autoSpaceDE/>
      <w:autoSpaceDN/>
    </w:pPr>
    <w:rPr>
      <w:rFonts w:ascii="Arial" w:eastAsia="Times New Roman" w:hAnsi="Arial" w:cs="Times New Roman"/>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sid w:val="00CB2B4C"/>
    <w:rPr>
      <w:sz w:val="16"/>
      <w:szCs w:val="16"/>
    </w:rPr>
  </w:style>
  <w:style w:type="paragraph" w:styleId="CommentText">
    <w:name w:val="annotation text"/>
    <w:basedOn w:val="Normal"/>
    <w:link w:val="CommentTextChar"/>
    <w:uiPriority w:val="99"/>
    <w:unhideWhenUsed/>
    <w:rsid w:val="00CB2B4C"/>
    <w:rPr>
      <w:sz w:val="20"/>
      <w:szCs w:val="20"/>
    </w:rPr>
  </w:style>
  <w:style w:type="character" w:customStyle="1" w:styleId="CommentTextChar">
    <w:name w:val="Comment Text Char"/>
    <w:basedOn w:val="DefaultParagraphFont"/>
    <w:link w:val="CommentText"/>
    <w:uiPriority w:val="99"/>
    <w:rsid w:val="00CB2B4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B2B4C"/>
    <w:rPr>
      <w:b/>
      <w:bCs/>
    </w:rPr>
  </w:style>
  <w:style w:type="character" w:customStyle="1" w:styleId="CommentSubjectChar">
    <w:name w:val="Comment Subject Char"/>
    <w:basedOn w:val="CommentTextChar"/>
    <w:link w:val="CommentSubject"/>
    <w:uiPriority w:val="99"/>
    <w:semiHidden/>
    <w:rsid w:val="00CB2B4C"/>
    <w:rPr>
      <w:rFonts w:ascii="Arial" w:eastAsia="Times New Roman" w:hAnsi="Arial" w:cs="Times New Roman"/>
      <w:b/>
      <w:bCs/>
      <w:sz w:val="20"/>
      <w:szCs w:val="20"/>
    </w:rPr>
  </w:style>
  <w:style w:type="character" w:styleId="Mention">
    <w:name w:val="Mention"/>
    <w:basedOn w:val="DefaultParagraphFont"/>
    <w:uiPriority w:val="99"/>
    <w:unhideWhenUsed/>
    <w:rsid w:val="00CB2B4C"/>
    <w:rPr>
      <w:color w:val="2B579A"/>
      <w:shd w:val="clear" w:color="auto" w:fill="E1DFDD"/>
    </w:rPr>
  </w:style>
  <w:style w:type="character" w:styleId="FollowedHyperlink">
    <w:name w:val="FollowedHyperlink"/>
    <w:basedOn w:val="DefaultParagraphFont"/>
    <w:uiPriority w:val="99"/>
    <w:semiHidden/>
    <w:unhideWhenUsed/>
    <w:rsid w:val="000E4542"/>
    <w:rPr>
      <w:color w:val="800080" w:themeColor="followedHyperlink"/>
      <w:u w:val="single"/>
    </w:rPr>
  </w:style>
  <w:style w:type="character" w:customStyle="1" w:styleId="Heading2Char">
    <w:name w:val="Heading 2 Char"/>
    <w:basedOn w:val="DefaultParagraphFont"/>
    <w:link w:val="Heading2"/>
    <w:uiPriority w:val="9"/>
    <w:rsid w:val="00AC3B60"/>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966AEC"/>
    <w:rPr>
      <w:sz w:val="20"/>
      <w:szCs w:val="20"/>
    </w:rPr>
  </w:style>
  <w:style w:type="character" w:customStyle="1" w:styleId="FootnoteTextChar">
    <w:name w:val="Footnote Text Char"/>
    <w:basedOn w:val="DefaultParagraphFont"/>
    <w:link w:val="FootnoteText"/>
    <w:uiPriority w:val="99"/>
    <w:semiHidden/>
    <w:rsid w:val="00966AEC"/>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66AEC"/>
    <w:rPr>
      <w:vertAlign w:val="superscript"/>
    </w:rPr>
  </w:style>
  <w:style w:type="paragraph" w:styleId="Header">
    <w:name w:val="header"/>
    <w:basedOn w:val="Normal"/>
    <w:link w:val="HeaderChar"/>
    <w:uiPriority w:val="99"/>
    <w:unhideWhenUsed/>
    <w:rsid w:val="0080516C"/>
    <w:pPr>
      <w:tabs>
        <w:tab w:val="center" w:pos="4680"/>
        <w:tab w:val="right" w:pos="9360"/>
      </w:tabs>
    </w:pPr>
  </w:style>
  <w:style w:type="character" w:customStyle="1" w:styleId="HeaderChar">
    <w:name w:val="Header Char"/>
    <w:basedOn w:val="DefaultParagraphFont"/>
    <w:link w:val="Header"/>
    <w:uiPriority w:val="99"/>
    <w:rsid w:val="0080516C"/>
    <w:rPr>
      <w:rFonts w:ascii="Arial" w:eastAsia="Times New Roman" w:hAnsi="Arial" w:cs="Times New Roman"/>
    </w:rPr>
  </w:style>
  <w:style w:type="paragraph" w:styleId="Footer">
    <w:name w:val="footer"/>
    <w:basedOn w:val="Normal"/>
    <w:link w:val="FooterChar"/>
    <w:uiPriority w:val="99"/>
    <w:unhideWhenUsed/>
    <w:rsid w:val="0080516C"/>
    <w:pPr>
      <w:tabs>
        <w:tab w:val="center" w:pos="4680"/>
        <w:tab w:val="right" w:pos="9360"/>
      </w:tabs>
    </w:pPr>
  </w:style>
  <w:style w:type="character" w:customStyle="1" w:styleId="FooterChar">
    <w:name w:val="Footer Char"/>
    <w:basedOn w:val="DefaultParagraphFont"/>
    <w:link w:val="Footer"/>
    <w:uiPriority w:val="99"/>
    <w:rsid w:val="0080516C"/>
    <w:rPr>
      <w:rFonts w:ascii="Arial" w:eastAsia="Times New Roman" w:hAnsi="Arial" w:cs="Times New Roman"/>
    </w:rPr>
  </w:style>
  <w:style w:type="character" w:styleId="UnresolvedMention">
    <w:name w:val="Unresolved Mention"/>
    <w:basedOn w:val="DefaultParagraphFont"/>
    <w:uiPriority w:val="99"/>
    <w:semiHidden/>
    <w:unhideWhenUsed/>
    <w:rsid w:val="00533DD1"/>
    <w:rPr>
      <w:color w:val="605E5C"/>
      <w:shd w:val="clear" w:color="auto" w:fill="E1DFDD"/>
    </w:rPr>
  </w:style>
  <w:style w:type="character" w:customStyle="1" w:styleId="TitleChar">
    <w:name w:val="Title Char"/>
    <w:basedOn w:val="DefaultParagraphFont"/>
    <w:link w:val="Title"/>
    <w:uiPriority w:val="10"/>
    <w:rsid w:val="00000603"/>
    <w:rPr>
      <w:rFonts w:ascii="Arial" w:eastAsia="Times New Roman" w:hAnsi="Arial" w:cs="Times New Roman"/>
      <w:b/>
      <w:bCs/>
      <w:sz w:val="28"/>
      <w:szCs w:val="28"/>
    </w:rPr>
  </w:style>
  <w:style w:type="character" w:styleId="Strong">
    <w:name w:val="Strong"/>
    <w:basedOn w:val="DefaultParagraphFont"/>
    <w:uiPriority w:val="22"/>
    <w:qFormat/>
    <w:rsid w:val="00000603"/>
    <w:rPr>
      <w:b/>
      <w:bCs/>
    </w:rPr>
  </w:style>
  <w:style w:type="paragraph" w:styleId="Quote">
    <w:name w:val="Quote"/>
    <w:basedOn w:val="Normal"/>
    <w:next w:val="Normal"/>
    <w:link w:val="QuoteChar"/>
    <w:uiPriority w:val="29"/>
    <w:qFormat/>
    <w:rsid w:val="00000603"/>
    <w:pPr>
      <w:widowControl/>
      <w:autoSpaceDE/>
      <w:autoSpaceDN/>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0060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3899">
      <w:bodyDiv w:val="1"/>
      <w:marLeft w:val="0"/>
      <w:marRight w:val="0"/>
      <w:marTop w:val="0"/>
      <w:marBottom w:val="0"/>
      <w:divBdr>
        <w:top w:val="none" w:sz="0" w:space="0" w:color="auto"/>
        <w:left w:val="none" w:sz="0" w:space="0" w:color="auto"/>
        <w:bottom w:val="none" w:sz="0" w:space="0" w:color="auto"/>
        <w:right w:val="none" w:sz="0" w:space="0" w:color="auto"/>
      </w:divBdr>
    </w:div>
    <w:div w:id="165035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beam-portal.org/helpdesk/k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foliomanager.energystar.gov/pm/gloss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OER.BER@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beam-portal.org/helpdesk/kb/" TargetMode="External"/><Relationship Id="rId5" Type="http://schemas.openxmlformats.org/officeDocument/2006/relationships/numbering" Target="numbering.xml"/><Relationship Id="rId15" Type="http://schemas.openxmlformats.org/officeDocument/2006/relationships/hyperlink" Target="https://ma.beam-portal.org/helpdesk/k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beam-portal.org/helpdesk/k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rtfoliomanager.energystar.gov/pm/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8" ma:contentTypeDescription="Create a new document." ma:contentTypeScope="" ma:versionID="c3e036dcd5f937416962895f43033063">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2f6dbcf1707347d0b04ba8aed786a688"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SubmittedtoDatabase_x003f_" minOccurs="0"/>
                <xsd:element ref="ns2:SubmittedtoDatabas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ubmittedtoDatabase_x003f_" ma:index="18" nillable="true" ma:displayName="Submitted to Database?" ma:default="1" ma:format="Dropdown" ma:internalName="SubmittedtoDatabase_x003f_">
      <xsd:simpleType>
        <xsd:restriction base="dms:Boolean"/>
      </xsd:simpleType>
    </xsd:element>
    <xsd:element name="SubmittedtoDatabase" ma:index="19" nillable="true" ma:displayName="Submitted to Database" ma:default="1" ma:format="Dropdown" ma:internalName="SubmittedtoDatabase">
      <xsd:simpleType>
        <xsd:restriction base="dms:Boolea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66e2b1-b30a-41cb-92b2-3bf633a55bf1}"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ttedtoDatabase_x003f_ xmlns="79499340-b9cf-4458-9368-33036c1b4dc9">true</SubmittedtoDatabase_x003f_>
    <SubmittedtoDatabase xmlns="79499340-b9cf-4458-9368-33036c1b4dc9">true</SubmittedtoDatabase>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BEC89-C50D-4AB8-A5C8-B0803FA18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5466E-4DF3-4D26-9C43-BB442076B175}">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customXml/itemProps3.xml><?xml version="1.0" encoding="utf-8"?>
<ds:datastoreItem xmlns:ds="http://schemas.openxmlformats.org/officeDocument/2006/customXml" ds:itemID="{7BE4DE76-5F7E-40ED-AB34-9EE09AF12E8D}">
  <ds:schemaRefs>
    <ds:schemaRef ds:uri="http://schemas.openxmlformats.org/officeDocument/2006/bibliography"/>
  </ds:schemaRefs>
</ds:datastoreItem>
</file>

<file path=customXml/itemProps4.xml><?xml version="1.0" encoding="utf-8"?>
<ds:datastoreItem xmlns:ds="http://schemas.openxmlformats.org/officeDocument/2006/customXml" ds:itemID="{5BFE1600-A903-4E54-AF13-DE4DBD8D7FA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1420</Words>
  <Characters>5559</Characters>
  <Application>Microsoft Office Word</Application>
  <DocSecurity>0</DocSecurity>
  <Lines>135</Lines>
  <Paragraphs>59</Paragraphs>
  <ScaleCrop>false</ScaleCrop>
  <Company/>
  <LinksUpToDate>false</LinksUpToDate>
  <CharactersWithSpaces>6920</CharactersWithSpaces>
  <SharedDoc>false</SharedDoc>
  <HLinks>
    <vt:vector size="42" baseType="variant">
      <vt:variant>
        <vt:i4>7012376</vt:i4>
      </vt:variant>
      <vt:variant>
        <vt:i4>15</vt:i4>
      </vt:variant>
      <vt:variant>
        <vt:i4>0</vt:i4>
      </vt:variant>
      <vt:variant>
        <vt:i4>5</vt:i4>
      </vt:variant>
      <vt:variant>
        <vt:lpwstr>mailto:DOER.BER@mass.gov</vt:lpwstr>
      </vt:variant>
      <vt:variant>
        <vt:lpwstr/>
      </vt:variant>
      <vt:variant>
        <vt:i4>8323179</vt:i4>
      </vt:variant>
      <vt:variant>
        <vt:i4>12</vt:i4>
      </vt:variant>
      <vt:variant>
        <vt:i4>0</vt:i4>
      </vt:variant>
      <vt:variant>
        <vt:i4>5</vt:i4>
      </vt:variant>
      <vt:variant>
        <vt:lpwstr>https://ma.beam-portal.org/helpdesk/kb/</vt:lpwstr>
      </vt:variant>
      <vt:variant>
        <vt:lpwstr/>
      </vt:variant>
      <vt:variant>
        <vt:i4>8323179</vt:i4>
      </vt:variant>
      <vt:variant>
        <vt:i4>9</vt:i4>
      </vt:variant>
      <vt:variant>
        <vt:i4>0</vt:i4>
      </vt:variant>
      <vt:variant>
        <vt:i4>5</vt:i4>
      </vt:variant>
      <vt:variant>
        <vt:lpwstr>https://ma.beam-portal.org/helpdesk/kb/</vt:lpwstr>
      </vt:variant>
      <vt:variant>
        <vt:lpwstr/>
      </vt:variant>
      <vt:variant>
        <vt:i4>8323179</vt:i4>
      </vt:variant>
      <vt:variant>
        <vt:i4>6</vt:i4>
      </vt:variant>
      <vt:variant>
        <vt:i4>0</vt:i4>
      </vt:variant>
      <vt:variant>
        <vt:i4>5</vt:i4>
      </vt:variant>
      <vt:variant>
        <vt:lpwstr>https://ma.beam-portal.org/helpdesk/kb/</vt:lpwstr>
      </vt:variant>
      <vt:variant>
        <vt:lpwstr/>
      </vt:variant>
      <vt:variant>
        <vt:i4>74</vt:i4>
      </vt:variant>
      <vt:variant>
        <vt:i4>3</vt:i4>
      </vt:variant>
      <vt:variant>
        <vt:i4>0</vt:i4>
      </vt:variant>
      <vt:variant>
        <vt:i4>5</vt:i4>
      </vt:variant>
      <vt:variant>
        <vt:lpwstr>https://portfoliomanager.energystar.gov/pm/glossary</vt:lpwstr>
      </vt:variant>
      <vt:variant>
        <vt:lpwstr>PropertyGFASelfReported</vt:lpwstr>
      </vt:variant>
      <vt:variant>
        <vt:i4>8323179</vt:i4>
      </vt:variant>
      <vt:variant>
        <vt:i4>0</vt:i4>
      </vt:variant>
      <vt:variant>
        <vt:i4>0</vt:i4>
      </vt:variant>
      <vt:variant>
        <vt:i4>5</vt:i4>
      </vt:variant>
      <vt:variant>
        <vt:lpwstr>https://ma.beam-portal.org/helpdesk/kb/</vt:lpwstr>
      </vt:variant>
      <vt:variant>
        <vt:lpwstr/>
      </vt:variant>
      <vt:variant>
        <vt:i4>6619199</vt:i4>
      </vt:variant>
      <vt:variant>
        <vt:i4>0</vt:i4>
      </vt:variant>
      <vt:variant>
        <vt:i4>0</vt:i4>
      </vt:variant>
      <vt:variant>
        <vt:i4>5</vt:i4>
      </vt:variant>
      <vt:variant>
        <vt:lpwstr>https://portfoliomanager.energystar.gov/pm/glossary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Statement of Qualification Guideline CLEAN 103120241</dc:title>
  <dc:subject/>
  <dc:creator>Fletcher, Grace (ENE)</dc:creator>
  <cp:keywords/>
  <cp:lastModifiedBy>Alla Pe</cp:lastModifiedBy>
  <cp:revision>7</cp:revision>
  <dcterms:created xsi:type="dcterms:W3CDTF">2025-03-31T02:01:00Z</dcterms:created>
  <dcterms:modified xsi:type="dcterms:W3CDTF">2025-03-31T02:04:00Z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LastSaved">
    <vt:filetime>2024-11-04T00:00:00Z</vt:filetime>
  </property>
  <property fmtid="{D5CDD505-2E9C-101B-9397-08002B2CF9AE}" pid="4" name="Producer">
    <vt:lpwstr>Microsoft: Print To PDF</vt:lpwstr>
  </property>
  <property fmtid="{D5CDD505-2E9C-101B-9397-08002B2CF9AE}" pid="5" name="ContentTypeId">
    <vt:lpwstr>0x010100CCE5B1B55FDC6F46992CBD8D384DCF63</vt:lpwstr>
  </property>
  <property fmtid="{D5CDD505-2E9C-101B-9397-08002B2CF9AE}" pid="6" name="MediaServiceImageTags">
    <vt:lpwstr/>
  </property>
</Properties>
</file>