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811" w:val="left" w:leader="none"/>
        </w:tabs>
        <w:spacing w:line="240" w:lineRule="auto"/>
        <w:ind w:left="0" w:right="0" w:firstLine="0"/>
        <w:rPr>
          <w:rFonts w:ascii="Times New Roman"/>
          <w:sz w:val="20"/>
        </w:rPr>
      </w:pPr>
      <w:r>
        <w:rPr>
          <w:rFonts w:ascii="Times New Roman"/>
          <w:sz w:val="20"/>
        </w:rPr>
        <w:pict>
          <v:group style="width:394.95pt;height:133pt;mso-position-horizontal-relative:char;mso-position-vertical-relative:line" id="docshapegroup1" coordorigin="0,0" coordsize="7899,2660">
            <v:shape style="position:absolute;left:240;top:252;width:7659;height:2408" id="docshape2" coordorigin="240,252" coordsize="7659,2408" path="m7899,252l240,252,240,2408,240,2660,7899,2660,7899,2408,7899,252xe" filled="true" fillcolor="#005994" stroked="false">
              <v:path arrowok="t"/>
              <v:fill type="solid"/>
            </v:shape>
            <v:rect style="position:absolute;left:0;top:0;width:7659;height:2408" id="docshape3" filled="true" fillcolor="#022d53" stroked="false">
              <v:fill type="solid"/>
            </v:rect>
            <v:shapetype id="_x0000_t202" o:spt="202" coordsize="21600,21600" path="m,l,21600r21600,l21600,xe">
              <v:stroke joinstyle="miter"/>
              <v:path gradientshapeok="t" o:connecttype="rect"/>
            </v:shapetype>
            <v:shape style="position:absolute;left:240;top:252;width:7418;height:2156" type="#_x0000_t202" id="docshape4" filled="true" fillcolor="#022d53" stroked="false">
              <v:textbox inset="0,0,0,0">
                <w:txbxContent>
                  <w:p>
                    <w:pPr>
                      <w:spacing w:before="56"/>
                      <w:ind w:left="849" w:right="0" w:firstLine="0"/>
                      <w:jc w:val="left"/>
                      <w:rPr>
                        <w:rFonts w:ascii="ITC Franklin Gothic Std Bk Cp"/>
                        <w:b/>
                        <w:color w:val="000000"/>
                        <w:sz w:val="45"/>
                      </w:rPr>
                    </w:pPr>
                    <w:r>
                      <w:rPr>
                        <w:rFonts w:ascii="ITC Franklin Gothic Std Bk Cp"/>
                        <w:b/>
                        <w:color w:val="FFFFFF"/>
                        <w:sz w:val="45"/>
                      </w:rPr>
                      <w:t>DPH</w:t>
                    </w:r>
                    <w:r>
                      <w:rPr>
                        <w:rFonts w:ascii="ITC Franklin Gothic Std Bk Cp"/>
                        <w:b/>
                        <w:color w:val="FFFFFF"/>
                        <w:spacing w:val="19"/>
                        <w:sz w:val="45"/>
                      </w:rPr>
                      <w:t> </w:t>
                    </w:r>
                    <w:r>
                      <w:rPr>
                        <w:rFonts w:ascii="ITC Franklin Gothic Std Bk Cp"/>
                        <w:b/>
                        <w:color w:val="FFFFFF"/>
                        <w:sz w:val="45"/>
                      </w:rPr>
                      <w:t>Office</w:t>
                    </w:r>
                    <w:r>
                      <w:rPr>
                        <w:rFonts w:ascii="ITC Franklin Gothic Std Bk Cp"/>
                        <w:b/>
                        <w:color w:val="FFFFFF"/>
                        <w:spacing w:val="20"/>
                        <w:sz w:val="45"/>
                      </w:rPr>
                      <w:t> </w:t>
                    </w:r>
                    <w:r>
                      <w:rPr>
                        <w:rFonts w:ascii="ITC Franklin Gothic Std Bk Cp"/>
                        <w:b/>
                        <w:color w:val="FFFFFF"/>
                        <w:sz w:val="45"/>
                      </w:rPr>
                      <w:t>of</w:t>
                    </w:r>
                    <w:r>
                      <w:rPr>
                        <w:rFonts w:ascii="ITC Franklin Gothic Std Bk Cp"/>
                        <w:b/>
                        <w:color w:val="FFFFFF"/>
                        <w:spacing w:val="19"/>
                        <w:sz w:val="45"/>
                      </w:rPr>
                      <w:t> </w:t>
                    </w:r>
                    <w:r>
                      <w:rPr>
                        <w:rFonts w:ascii="ITC Franklin Gothic Std Bk Cp"/>
                        <w:b/>
                        <w:color w:val="FFFFFF"/>
                        <w:sz w:val="45"/>
                      </w:rPr>
                      <w:t>Problem</w:t>
                    </w:r>
                    <w:r>
                      <w:rPr>
                        <w:rFonts w:ascii="ITC Franklin Gothic Std Bk Cp"/>
                        <w:b/>
                        <w:color w:val="FFFFFF"/>
                        <w:spacing w:val="20"/>
                        <w:sz w:val="45"/>
                      </w:rPr>
                      <w:t> </w:t>
                    </w:r>
                    <w:r>
                      <w:rPr>
                        <w:rFonts w:ascii="ITC Franklin Gothic Std Bk Cp"/>
                        <w:b/>
                        <w:color w:val="FFFFFF"/>
                        <w:sz w:val="45"/>
                      </w:rPr>
                      <w:t>Gambling</w:t>
                    </w:r>
                    <w:r>
                      <w:rPr>
                        <w:rFonts w:ascii="ITC Franklin Gothic Std Bk Cp"/>
                        <w:b/>
                        <w:color w:val="FFFFFF"/>
                        <w:spacing w:val="20"/>
                        <w:sz w:val="45"/>
                      </w:rPr>
                      <w:t> </w:t>
                    </w:r>
                    <w:r>
                      <w:rPr>
                        <w:rFonts w:ascii="ITC Franklin Gothic Std Bk Cp"/>
                        <w:b/>
                        <w:color w:val="FFFFFF"/>
                        <w:spacing w:val="-2"/>
                        <w:sz w:val="45"/>
                      </w:rPr>
                      <w:t>Services:</w:t>
                    </w:r>
                  </w:p>
                  <w:p>
                    <w:pPr>
                      <w:spacing w:line="252" w:lineRule="auto" w:before="66"/>
                      <w:ind w:left="849" w:right="61" w:firstLine="0"/>
                      <w:jc w:val="left"/>
                      <w:rPr>
                        <w:rFonts w:ascii="ITC Franklin Gothic Std Bk Cp"/>
                        <w:color w:val="000000"/>
                        <w:sz w:val="58"/>
                      </w:rPr>
                    </w:pPr>
                    <w:r>
                      <w:rPr>
                        <w:rFonts w:ascii="ITC Franklin Gothic Std Bk Cp"/>
                        <w:color w:val="FFFFFF"/>
                        <w:sz w:val="58"/>
                      </w:rPr>
                      <w:t>Leading</w:t>
                    </w:r>
                    <w:r>
                      <w:rPr>
                        <w:rFonts w:ascii="ITC Franklin Gothic Std Bk Cp"/>
                        <w:color w:val="FFFFFF"/>
                        <w:spacing w:val="-11"/>
                        <w:sz w:val="58"/>
                      </w:rPr>
                      <w:t> </w:t>
                    </w:r>
                    <w:r>
                      <w:rPr>
                        <w:rFonts w:ascii="ITC Franklin Gothic Std Bk Cp"/>
                        <w:color w:val="FFFFFF"/>
                        <w:sz w:val="58"/>
                      </w:rPr>
                      <w:t>a</w:t>
                    </w:r>
                    <w:r>
                      <w:rPr>
                        <w:rFonts w:ascii="ITC Franklin Gothic Std Bk Cp"/>
                        <w:color w:val="FFFFFF"/>
                        <w:spacing w:val="-11"/>
                        <w:sz w:val="58"/>
                      </w:rPr>
                      <w:t> </w:t>
                    </w:r>
                    <w:r>
                      <w:rPr>
                        <w:rFonts w:ascii="ITC Franklin Gothic Std Bk Cp"/>
                        <w:color w:val="FFFFFF"/>
                        <w:sz w:val="58"/>
                      </w:rPr>
                      <w:t>Public</w:t>
                    </w:r>
                    <w:r>
                      <w:rPr>
                        <w:rFonts w:ascii="ITC Franklin Gothic Std Bk Cp"/>
                        <w:color w:val="FFFFFF"/>
                        <w:spacing w:val="-11"/>
                        <w:sz w:val="58"/>
                      </w:rPr>
                      <w:t> </w:t>
                    </w:r>
                    <w:r>
                      <w:rPr>
                        <w:rFonts w:ascii="ITC Franklin Gothic Std Bk Cp"/>
                        <w:color w:val="FFFFFF"/>
                        <w:sz w:val="58"/>
                      </w:rPr>
                      <w:t>Health</w:t>
                    </w:r>
                    <w:r>
                      <w:rPr>
                        <w:rFonts w:ascii="ITC Franklin Gothic Std Bk Cp"/>
                        <w:color w:val="FFFFFF"/>
                        <w:spacing w:val="-11"/>
                        <w:sz w:val="58"/>
                      </w:rPr>
                      <w:t> </w:t>
                    </w:r>
                    <w:r>
                      <w:rPr>
                        <w:rFonts w:ascii="ITC Franklin Gothic Std Bk Cp"/>
                        <w:color w:val="FFFFFF"/>
                        <w:sz w:val="58"/>
                      </w:rPr>
                      <w:t>Response to Problem Gambling</w:t>
                    </w:r>
                  </w:p>
                </w:txbxContent>
              </v:textbox>
              <v:fill type="solid"/>
              <w10:wrap type="none"/>
            </v:shape>
          </v:group>
        </w:pict>
      </w:r>
      <w:r>
        <w:rPr>
          <w:rFonts w:ascii="Times New Roman"/>
          <w:sz w:val="20"/>
        </w:rPr>
      </w:r>
      <w:r>
        <w:rPr>
          <w:rFonts w:ascii="Times New Roman"/>
          <w:sz w:val="20"/>
        </w:rPr>
        <w:tab/>
      </w:r>
      <w:r>
        <w:rPr>
          <w:rFonts w:ascii="Times New Roman"/>
          <w:position w:val="13"/>
          <w:sz w:val="20"/>
        </w:rPr>
        <w:drawing>
          <wp:inline distT="0" distB="0" distL="0" distR="0">
            <wp:extent cx="1452739" cy="14763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52739" cy="1476375"/>
                    </a:xfrm>
                    <a:prstGeom prst="rect">
                      <a:avLst/>
                    </a:prstGeom>
                  </pic:spPr>
                </pic:pic>
              </a:graphicData>
            </a:graphic>
          </wp:inline>
        </w:drawing>
      </w:r>
      <w:r>
        <w:rPr>
          <w:rFonts w:ascii="Times New Roman"/>
          <w:position w:val="13"/>
          <w:sz w:val="20"/>
        </w:rPr>
      </w:r>
    </w:p>
    <w:p>
      <w:pPr>
        <w:pStyle w:val="BodyText"/>
        <w:spacing w:before="6"/>
        <w:rPr>
          <w:rFonts w:ascii="Times New Roman"/>
          <w:sz w:val="25"/>
        </w:rPr>
      </w:pPr>
    </w:p>
    <w:p>
      <w:pPr>
        <w:pStyle w:val="Heading1"/>
        <w:spacing w:before="100"/>
      </w:pPr>
      <w:r>
        <w:rPr>
          <w:color w:val="005994"/>
        </w:rPr>
        <w:t>Our</w:t>
      </w:r>
      <w:r>
        <w:rPr>
          <w:color w:val="005994"/>
          <w:spacing w:val="-14"/>
        </w:rPr>
        <w:t> </w:t>
      </w:r>
      <w:r>
        <w:rPr>
          <w:color w:val="005994"/>
          <w:spacing w:val="-2"/>
        </w:rPr>
        <w:t>Values</w:t>
      </w:r>
    </w:p>
    <w:p>
      <w:pPr>
        <w:pStyle w:val="BodyText"/>
        <w:spacing w:line="252" w:lineRule="auto" w:before="100"/>
        <w:ind w:left="1089" w:right="1246"/>
      </w:pPr>
      <w:r>
        <w:rPr>
          <w:color w:val="231F20"/>
        </w:rPr>
        <w:t>The Office of Problem Gambling Services is guided by the public health principles of </w:t>
      </w:r>
      <w:r>
        <w:rPr>
          <w:rFonts w:ascii="Trebuchet MS"/>
          <w:b/>
          <w:color w:val="005994"/>
          <w:spacing w:val="-2"/>
          <w:sz w:val="34"/>
        </w:rPr>
        <w:t>engagement,</w:t>
      </w:r>
      <w:r>
        <w:rPr>
          <w:rFonts w:ascii="Trebuchet MS"/>
          <w:b/>
          <w:color w:val="005994"/>
          <w:spacing w:val="-24"/>
          <w:sz w:val="34"/>
        </w:rPr>
        <w:t> </w:t>
      </w:r>
      <w:r>
        <w:rPr>
          <w:rFonts w:ascii="Trebuchet MS"/>
          <w:b/>
          <w:color w:val="005994"/>
          <w:spacing w:val="-2"/>
          <w:sz w:val="34"/>
        </w:rPr>
        <w:t>empowerment,</w:t>
      </w:r>
      <w:r>
        <w:rPr>
          <w:rFonts w:ascii="Trebuchet MS"/>
          <w:b/>
          <w:color w:val="005994"/>
          <w:spacing w:val="-24"/>
          <w:sz w:val="34"/>
        </w:rPr>
        <w:t> </w:t>
      </w:r>
      <w:r>
        <w:rPr>
          <w:rFonts w:ascii="Trebuchet MS"/>
          <w:b/>
          <w:color w:val="005994"/>
          <w:spacing w:val="-2"/>
          <w:sz w:val="34"/>
        </w:rPr>
        <w:t>and</w:t>
      </w:r>
      <w:r>
        <w:rPr>
          <w:rFonts w:ascii="Trebuchet MS"/>
          <w:b/>
          <w:color w:val="005994"/>
          <w:spacing w:val="-23"/>
          <w:sz w:val="34"/>
        </w:rPr>
        <w:t> </w:t>
      </w:r>
      <w:r>
        <w:rPr>
          <w:rFonts w:ascii="Trebuchet MS"/>
          <w:b/>
          <w:color w:val="005994"/>
          <w:spacing w:val="-2"/>
          <w:sz w:val="34"/>
        </w:rPr>
        <w:t>equity.</w:t>
      </w:r>
      <w:r>
        <w:rPr>
          <w:rFonts w:ascii="Trebuchet MS"/>
          <w:b/>
          <w:color w:val="005994"/>
          <w:spacing w:val="-24"/>
          <w:sz w:val="34"/>
        </w:rPr>
        <w:t> </w:t>
      </w:r>
      <w:r>
        <w:rPr>
          <w:color w:val="231F20"/>
          <w:spacing w:val="-2"/>
        </w:rPr>
        <w:t>The</w:t>
      </w:r>
      <w:r>
        <w:rPr>
          <w:color w:val="231F20"/>
          <w:spacing w:val="-15"/>
        </w:rPr>
        <w:t> </w:t>
      </w:r>
      <w:r>
        <w:rPr>
          <w:color w:val="231F20"/>
          <w:spacing w:val="-2"/>
        </w:rPr>
        <w:t>Office</w:t>
      </w:r>
      <w:r>
        <w:rPr>
          <w:color w:val="231F20"/>
          <w:spacing w:val="-12"/>
        </w:rPr>
        <w:t> </w:t>
      </w:r>
      <w:r>
        <w:rPr>
          <w:color w:val="231F20"/>
          <w:spacing w:val="-2"/>
        </w:rPr>
        <w:t>works</w:t>
      </w:r>
      <w:r>
        <w:rPr>
          <w:color w:val="231F20"/>
          <w:spacing w:val="-7"/>
        </w:rPr>
        <w:t> </w:t>
      </w:r>
      <w:r>
        <w:rPr>
          <w:color w:val="231F20"/>
          <w:spacing w:val="-2"/>
        </w:rPr>
        <w:t>by</w:t>
      </w:r>
      <w:r>
        <w:rPr>
          <w:color w:val="231F20"/>
          <w:spacing w:val="-9"/>
        </w:rPr>
        <w:t> </w:t>
      </w:r>
      <w:r>
        <w:rPr>
          <w:color w:val="231F20"/>
          <w:spacing w:val="-2"/>
        </w:rPr>
        <w:t>allocating </w:t>
      </w:r>
      <w:r>
        <w:rPr>
          <w:color w:val="231F20"/>
        </w:rPr>
        <w:t>significant resources to prevention, intervention, treatment, evaluation, and</w:t>
      </w:r>
      <w:r>
        <w:rPr>
          <w:color w:val="231F20"/>
          <w:spacing w:val="80"/>
          <w:w w:val="150"/>
        </w:rPr>
        <w:t> </w:t>
      </w:r>
      <w:r>
        <w:rPr>
          <w:color w:val="231F20"/>
        </w:rPr>
        <w:t>recovery support services in order to mitigate the harmful effects of problem gambling and related issues through a variety of community-level strategies.</w:t>
      </w:r>
    </w:p>
    <w:p>
      <w:pPr>
        <w:pStyle w:val="BodyText"/>
        <w:spacing w:before="3"/>
        <w:rPr>
          <w:sz w:val="32"/>
        </w:rPr>
      </w:pPr>
    </w:p>
    <w:p>
      <w:pPr>
        <w:pStyle w:val="Heading1"/>
        <w:spacing w:before="1"/>
      </w:pPr>
      <w:r>
        <w:rPr>
          <w:color w:val="005994"/>
        </w:rPr>
        <w:t>Why</w:t>
      </w:r>
      <w:r>
        <w:rPr>
          <w:color w:val="005994"/>
          <w:spacing w:val="25"/>
        </w:rPr>
        <w:t> </w:t>
      </w:r>
      <w:r>
        <w:rPr>
          <w:color w:val="005994"/>
        </w:rPr>
        <w:t>a</w:t>
      </w:r>
      <w:r>
        <w:rPr>
          <w:color w:val="005994"/>
          <w:spacing w:val="26"/>
        </w:rPr>
        <w:t> </w:t>
      </w:r>
      <w:r>
        <w:rPr>
          <w:color w:val="005994"/>
        </w:rPr>
        <w:t>Public</w:t>
      </w:r>
      <w:r>
        <w:rPr>
          <w:color w:val="005994"/>
          <w:spacing w:val="26"/>
        </w:rPr>
        <w:t> </w:t>
      </w:r>
      <w:r>
        <w:rPr>
          <w:color w:val="005994"/>
        </w:rPr>
        <w:t>Health</w:t>
      </w:r>
      <w:r>
        <w:rPr>
          <w:color w:val="005994"/>
          <w:spacing w:val="-11"/>
        </w:rPr>
        <w:t> </w:t>
      </w:r>
      <w:r>
        <w:rPr>
          <w:color w:val="005994"/>
          <w:spacing w:val="-2"/>
        </w:rPr>
        <w:t>Approach?</w:t>
      </w:r>
    </w:p>
    <w:p>
      <w:pPr>
        <w:spacing w:after="0"/>
        <w:sectPr>
          <w:type w:val="continuous"/>
          <w:pgSz w:w="12240" w:h="15840"/>
          <w:pgMar w:top="720" w:bottom="0" w:left="0" w:right="0"/>
        </w:sectPr>
      </w:pPr>
    </w:p>
    <w:p>
      <w:pPr>
        <w:pStyle w:val="BodyText"/>
        <w:spacing w:line="254" w:lineRule="auto" w:before="173"/>
        <w:ind w:left="1089" w:right="20"/>
      </w:pPr>
      <w:r>
        <w:rPr>
          <w:color w:val="231F20"/>
        </w:rPr>
        <w:t>Mitigating harms associated with gambling must go beyond the promotion of individual responsibility and be centered on broader effective strategies and principles of public health. Problem gambling is governed by a complex set</w:t>
      </w:r>
      <w:r>
        <w:rPr>
          <w:color w:val="231F20"/>
          <w:spacing w:val="40"/>
        </w:rPr>
        <w:t> </w:t>
      </w:r>
      <w:r>
        <w:rPr>
          <w:color w:val="231F20"/>
        </w:rPr>
        <w:t>of interrelating factors, causes, and determinants ranging from biology and family history to social norms and existing statutes. Research indicates</w:t>
      </w:r>
    </w:p>
    <w:p>
      <w:pPr>
        <w:pStyle w:val="BodyText"/>
        <w:spacing w:line="254" w:lineRule="auto" w:before="173"/>
        <w:ind w:left="336" w:right="1188"/>
      </w:pPr>
      <w:r>
        <w:rPr/>
        <w:br w:type="column"/>
      </w:r>
      <w:r>
        <w:rPr>
          <w:color w:val="231F20"/>
        </w:rPr>
        <w:t>that gambling is interrelated with</w:t>
      </w:r>
      <w:r>
        <w:rPr>
          <w:color w:val="231F20"/>
          <w:spacing w:val="80"/>
        </w:rPr>
        <w:t> </w:t>
      </w:r>
      <w:r>
        <w:rPr>
          <w:color w:val="231F20"/>
        </w:rPr>
        <w:t>various health issues and disproportionately impacts individuals with mental health disorders, substance misuse disorders, and communities of color. Historically, community-level experiences of gambling and communities of color are often not the focus of problem gambling research, services and efforts.</w:t>
      </w:r>
    </w:p>
    <w:p>
      <w:pPr>
        <w:spacing w:after="0" w:line="254" w:lineRule="auto"/>
        <w:sectPr>
          <w:type w:val="continuous"/>
          <w:pgSz w:w="12240" w:h="15840"/>
          <w:pgMar w:top="720" w:bottom="0" w:left="0" w:right="0"/>
          <w:cols w:num="2" w:equalWidth="0">
            <w:col w:w="5909" w:space="40"/>
            <w:col w:w="6291"/>
          </w:cols>
        </w:sectPr>
      </w:pPr>
    </w:p>
    <w:p>
      <w:pPr>
        <w:rPr>
          <w:sz w:val="2"/>
          <w:szCs w:val="2"/>
        </w:rPr>
      </w:pPr>
      <w:r>
        <w:rPr/>
        <w:pict>
          <v:group style="position:absolute;margin-left:0pt;margin-top:571.56897pt;width:612pt;height:220.45pt;mso-position-horizontal-relative:page;mso-position-vertical-relative:page;z-index:15729152" id="docshapegroup5" coordorigin="0,11431" coordsize="12240,4409">
            <v:rect style="position:absolute;left:0;top:11431;width:12240;height:4409" id="docshape6" filled="true" fillcolor="#005994" stroked="false">
              <v:fill opacity="3932f" type="solid"/>
            </v:rect>
            <v:shape style="position:absolute;left:2088;top:13733;width:8083;height:448" id="docshape7" coordorigin="2089,13734" coordsize="8083,448" path="m2256,14098l2252,14070,2239,14047,2219,14029,2195,14017,2195,13734,2150,13734,2150,14017,2126,14029,2106,14047,2093,14070,2089,14098,2095,14130,2113,14157,2140,14175,2172,14182,2205,14175,2232,14157,2250,14130,2256,14098xm4235,14098l4230,14070,4217,14047,4198,14029,4173,14017,4173,13734,4129,13734,4129,14017,4104,14029,4085,14047,4072,14070,4068,14098,4074,14130,4092,14157,4119,14175,4151,14182,4184,14175,4210,14157,4228,14130,4235,14098xm6214,14098l6209,14070,6196,14047,6177,14029,6152,14017,6152,13734,6108,13734,6108,14017,6083,14029,6064,14047,6051,14070,6046,14098,6053,14130,6071,14157,6097,14175,6130,14182,6163,14175,6189,14157,6207,14130,6214,14098xm8192,14098l8188,14070,8175,14047,8156,14029,8131,14017,8131,13734,8087,13734,8087,14017,8062,14029,8043,14047,8030,14070,8025,14098,8032,14130,8050,14157,8076,14175,8109,14182,8141,14175,8168,14157,8186,14130,8192,14098xm10171,14098l10167,14070,10154,14047,10134,14029,10110,14017,10110,13734,10065,13734,10065,14017,10041,14029,10021,14047,10009,14070,10004,14098,10010,14130,10028,14157,10055,14175,10088,14182,10120,14175,10147,14157,10165,14130,10171,14098xe" filled="true" fillcolor="#005994" stroked="false">
              <v:path arrowok="t"/>
              <v:fill type="solid"/>
            </v:shape>
            <v:shape style="position:absolute;left:805;top:12747;width:10649;height:658" type="#_x0000_t75" id="docshape8" stroked="false">
              <v:imagedata r:id="rId6" o:title=""/>
            </v:shape>
            <v:shape style="position:absolute;left:1432;top:12492;width:1784;height:1587" type="#_x0000_t75" id="docshape9" stroked="false">
              <v:imagedata r:id="rId7" o:title=""/>
            </v:shape>
            <v:shape style="position:absolute;left:3423;top:12492;width:1784;height:1587" type="#_x0000_t75" id="docshape10" stroked="false">
              <v:imagedata r:id="rId8" o:title=""/>
            </v:shape>
            <v:shape style="position:absolute;left:5410;top:12492;width:1784;height:1587" type="#_x0000_t75" id="docshape11" stroked="false">
              <v:imagedata r:id="rId9" o:title=""/>
            </v:shape>
            <v:shape style="position:absolute;left:7378;top:12492;width:1784;height:1587" type="#_x0000_t75" id="docshape12" stroked="false">
              <v:imagedata r:id="rId10" o:title=""/>
            </v:shape>
            <v:shape style="position:absolute;left:9386;top:12492;width:1784;height:1587" type="#_x0000_t75" id="docshape13" stroked="false">
              <v:imagedata r:id="rId11" o:title=""/>
            </v:shape>
            <v:shape style="position:absolute;left:1403;top:12461;width:1495;height:1244" type="#_x0000_t75" id="docshape14" stroked="false">
              <v:imagedata r:id="rId12" o:title=""/>
            </v:shape>
            <v:shape style="position:absolute;left:1432;top:12484;width:1438;height:1197" id="docshape15" coordorigin="1432,12485" coordsize="1438,1197" path="m2640,12485l1662,12485,1590,12497,1527,12529,1477,12579,1444,12642,1432,12715,1432,13451,1444,13524,1477,13587,1527,13637,1590,13670,1662,13681,2640,13681,2712,13670,2776,13637,2825,13587,2858,13524,2870,13451,2870,12715,2858,12642,2825,12579,2776,12529,2712,12497,2640,12485xe" filled="true" fillcolor="#ffffff" stroked="false">
              <v:path arrowok="t"/>
              <v:fill type="solid"/>
            </v:shape>
            <v:shape style="position:absolute;left:3414;top:12461;width:1495;height:1244" type="#_x0000_t75" id="docshape16" stroked="false">
              <v:imagedata r:id="rId13" o:title=""/>
            </v:shape>
            <v:shape style="position:absolute;left:3443;top:12484;width:1438;height:1197" id="docshape17" coordorigin="3443,12485" coordsize="1438,1197" path="m4651,12485l3673,12485,3601,12497,3537,12529,3488,12579,3455,12642,3443,12715,3443,13451,3455,13524,3488,13587,3537,13637,3601,13670,3673,13681,4651,13681,4723,13670,4787,13637,4836,13587,4869,13524,4881,13451,4881,12715,4869,12642,4836,12579,4787,12529,4723,12497,4651,12485xe" filled="true" fillcolor="#ffffff" stroked="false">
              <v:path arrowok="t"/>
              <v:fill type="solid"/>
            </v:shape>
            <v:shape style="position:absolute;left:5382;top:12461;width:1495;height:1244" type="#_x0000_t75" id="docshape18" stroked="false">
              <v:imagedata r:id="rId14" o:title=""/>
            </v:shape>
            <v:shape style="position:absolute;left:5411;top:12484;width:1438;height:1197" id="docshape19" coordorigin="5411,12485" coordsize="1438,1197" path="m6619,12485l5641,12485,5569,12497,5505,12529,5456,12579,5423,12642,5411,12715,5411,13451,5423,13524,5456,13587,5505,13637,5569,13670,5641,13681,6619,13681,6691,13670,6755,13637,6804,13587,6837,13524,6849,13451,6849,12715,6837,12642,6804,12579,6755,12529,6691,12497,6619,12485xe" filled="true" fillcolor="#ffffff" stroked="false">
              <v:path arrowok="t"/>
              <v:fill type="solid"/>
            </v:shape>
            <v:shape style="position:absolute;left:7350;top:12461;width:1495;height:1244" type="#_x0000_t75" id="docshape20" stroked="false">
              <v:imagedata r:id="rId15" o:title=""/>
            </v:shape>
            <v:shape style="position:absolute;left:7379;top:12484;width:1438;height:1197" id="docshape21" coordorigin="7379,12485" coordsize="1438,1197" path="m8587,12485l7609,12485,7537,12497,7473,12529,7424,12579,7391,12642,7379,12715,7379,13451,7391,13524,7424,13587,7473,13637,7537,13670,7609,13681,8587,13681,8659,13670,8723,13637,8772,13587,8805,13524,8817,13451,8817,12715,8805,12642,8772,12579,8722,12529,8659,12497,8587,12485xe" filled="true" fillcolor="#ffffff" stroked="false">
              <v:path arrowok="t"/>
              <v:fill type="solid"/>
            </v:shape>
            <v:shape style="position:absolute;left:9358;top:12461;width:1495;height:1244" type="#_x0000_t75" id="docshape22" stroked="false">
              <v:imagedata r:id="rId16" o:title=""/>
            </v:shape>
            <v:shape style="position:absolute;left:9387;top:12484;width:1438;height:1197" id="docshape23" coordorigin="9387,12485" coordsize="1438,1197" path="m10595,12485l9617,12485,9545,12497,9481,12529,9432,12579,9399,12642,9387,12715,9387,13451,9399,13524,9432,13587,9481,13637,9545,13670,9617,13681,10595,13681,10667,13670,10730,13637,10780,13587,10813,13524,10825,13451,10825,12715,10813,12642,10780,12579,10730,12529,10667,12497,10595,12485xe" filled="true" fillcolor="#ffffff" stroked="false">
              <v:path arrowok="t"/>
              <v:fill type="solid"/>
            </v:shape>
            <v:shape style="position:absolute;left:1634;top:13120;width:241;height:143" id="docshape24" coordorigin="1635,13120" coordsize="241,143" path="m1808,13120l1736,13130,1681,13156,1647,13198,1635,13253,1635,13258,1639,13263,1645,13263,1650,13263,1655,13258,1655,13253,1673,13191,1718,13157,1769,13143,1808,13140,1822,13141,1836,13142,1849,13143,1867,13147,1873,13143,1823,13121,1808,13120xe" filled="true" fillcolor="#005994" stroked="false">
              <v:path arrowok="t"/>
              <v:fill type="solid"/>
            </v:shape>
            <v:shape style="position:absolute;left:1721;top:12907;width:172;height:172" type="#_x0000_t75" id="docshape25" stroked="false">
              <v:imagedata r:id="rId17" o:title=""/>
            </v:shape>
            <v:shape style="position:absolute;left:2066;top:13120;width:135;height:27" id="docshape26" coordorigin="2067,13120" coordsize="135,27" path="m2134,13120l2070,13128,2067,13133,2069,13143,2074,13147,2093,13143,2106,13142,2120,13141,2134,13140,2148,13141,2162,13142,2176,13143,2188,13146,2191,13146,2195,13146,2199,13143,2201,13133,2198,13128,2179,13124,2164,13122,2149,13121,2134,13120xe" filled="true" fillcolor="#005994" stroked="false">
              <v:path arrowok="t"/>
              <v:fill type="solid"/>
            </v:shape>
            <v:shape style="position:absolute;left:2048;top:12907;width:172;height:172" type="#_x0000_t75" id="docshape27" stroked="false">
              <v:imagedata r:id="rId17" o:title=""/>
            </v:shape>
            <v:shape style="position:absolute;left:2393;top:13120;width:241;height:143" id="docshape28" coordorigin="2393,13120" coordsize="241,143" path="m2460,13120l2397,13128,2393,13133,2395,13143,2401,13147,2419,13143,2432,13142,2446,13141,2460,13140,2500,13143,2551,13157,2595,13191,2614,13253,2614,13258,2618,13263,2624,13263,2629,13263,2633,13258,2633,13253,2621,13198,2587,13156,2532,13130,2460,13120xe" filled="true" fillcolor="#005994" stroked="false">
              <v:path arrowok="t"/>
              <v:fill type="solid"/>
            </v:shape>
            <v:shape style="position:absolute;left:2374;top:12907;width:172;height:172" type="#_x0000_t75" id="docshape29" stroked="false">
              <v:imagedata r:id="rId17" o:title=""/>
            </v:shape>
            <v:shape style="position:absolute;left:1816;top:13207;width:635;height:290" id="docshape30" coordorigin="1817,13207" coordsize="635,290" path="m2057,13293l2050,13260,2037,13240,2037,13293,2032,13319,2018,13340,1997,13354,1971,13359,1945,13354,1924,13340,1910,13319,1905,13293,1910,13267,1924,13246,1945,13232,1971,13227,1997,13232,2018,13246,2032,13267,2037,13293,2037,13240,2032,13232,2024,13227,2004,13214,1971,13207,1938,13214,1910,13232,1892,13260,1885,13293,1892,13327,1910,13354,1938,13372,1971,13379,2004,13372,2024,13359,2032,13354,2050,13327,2057,13293xm2104,13467l2103,13461,2099,13457,2073,13441,2043,13430,2009,13423,1971,13420,1923,13424,1880,13436,1846,13455,1820,13481,1817,13485,1818,13492,1824,13496,1826,13497,1828,13497,1831,13497,1834,13495,1836,13493,1859,13470,1889,13454,1927,13444,1971,13440,2005,13442,2037,13449,2064,13459,2087,13473,2091,13476,2097,13475,2104,13467xm2383,13293l2376,13260,2363,13240,2363,13293,2358,13319,2344,13340,2323,13354,2297,13359,2272,13354,2250,13340,2236,13319,2231,13293,2236,13267,2250,13246,2272,13232,2297,13227,2323,13232,2344,13246,2358,13267,2363,13293,2363,13240,2358,13232,2350,13227,2331,13214,2297,13207,2264,13214,2236,13232,2218,13260,2211,13293,2218,13327,2236,13354,2264,13372,2297,13379,2331,13372,2350,13359,2358,13354,2376,13327,2383,13293xm2451,13485l2448,13481,2422,13455,2388,13436,2346,13424,2297,13420,2260,13423,2225,13430,2195,13441,2169,13457,2165,13461,2164,13467,2171,13475,2177,13476,2182,13473,2204,13459,2232,13449,2263,13442,2297,13440,2341,13444,2379,13454,2410,13470,2432,13493,2434,13495,2437,13497,2440,13497,2442,13497,2444,13496,2450,13492,2451,13485xe" filled="true" fillcolor="#005994" stroked="false">
              <v:path arrowok="t"/>
              <v:fill type="solid"/>
            </v:shape>
            <v:shape style="position:absolute;left:1884;top:12688;width:172;height:172" type="#_x0000_t75" id="docshape31" stroked="false">
              <v:imagedata r:id="rId18" o:title=""/>
            </v:shape>
            <v:shape style="position:absolute;left:2211;top:12688;width:172;height:172" type="#_x0000_t75" id="docshape32" stroked="false">
              <v:imagedata r:id="rId18" o:title=""/>
            </v:shape>
            <v:shape style="position:absolute;left:5672;top:12668;width:912;height:758" id="docshape33" coordorigin="5673,12668" coordsize="912,758" path="m6484,12668l5774,12668,5734,12676,5702,12698,5681,12730,5673,12769,5673,13325,5681,13364,5702,13396,5734,13418,5774,13426,5791,13426,5795,13421,5795,13409,5791,13404,5774,13404,5743,13398,5718,13381,5701,13356,5695,13325,5695,12769,5701,12738,5718,12713,5743,12696,5774,12690,6484,12690,6514,12696,6539,12713,6556,12738,6563,12769,6563,13325,6556,13356,6539,13381,6514,13398,6484,13404,6237,13404,6232,13409,6232,13421,6237,13426,6484,13426,6523,13418,6555,13396,6577,13364,6585,13325,6585,12769,6577,12730,6555,12698,6523,12676,6484,12668xe" filled="true" fillcolor="#005994" stroked="false">
              <v:path arrowok="t"/>
              <v:fill type="solid"/>
            </v:shape>
            <v:shape style="position:absolute;left:5958;top:13004;width:221;height:221" type="#_x0000_t75" id="docshape34" stroked="false">
              <v:imagedata r:id="rId19" o:title=""/>
            </v:shape>
            <v:shape style="position:absolute;left:3783;top:12651;width:2704;height:866" id="docshape35" coordorigin="3784,12651" coordsize="2704,866" path="m4506,12740l4499,12706,4480,12677,4451,12658,4417,12651,3873,12651,3838,12658,3810,12677,3791,12706,3784,12740,3784,13192,3791,13227,3810,13255,3838,13275,3873,13282,3913,13282,3917,13277,3917,13267,3913,13262,3873,13262,3846,13257,3823,13242,3808,13220,3803,13192,3803,12740,3808,12713,3823,12691,3846,12676,3873,12670,4417,12670,4444,12676,4466,12691,4481,12713,4487,12740,4487,13192,4481,13220,4466,13242,4444,13257,4417,13262,4358,13262,4354,13267,4354,13277,4358,13282,4417,13282,4451,13275,4480,13255,4499,13227,4506,13192,4506,12740xm5944,12991l5939,12987,5776,12987,5771,12991,5771,13004,5776,13009,5933,13009,5939,13009,5944,13004,5944,12991xm5950,13437l5945,13432,5933,13432,5928,13437,5928,13512,5933,13517,5939,13517,5945,13517,5950,13512,5950,13437xm6277,12780l6272,12775,5985,12775,5980,12780,5980,12792,5985,12797,6266,12797,6272,12797,6277,12792,6277,12780xm6406,13159l6402,13148,6395,13139,6379,13126,6361,13120,6341,13122,6323,13131,6142,13278,5946,13278,5908,13286,5877,13307,5856,13338,5848,13376,5848,13512,5853,13517,5866,13517,5870,13512,5870,13376,5876,13347,5893,13323,5917,13306,5946,13300,6149,13300,6151,13300,6337,13148,6347,13143,6358,13142,6369,13145,6378,13153,6382,13158,6384,13164,6384,13180,6380,13188,6266,13281,6158,13369,6157,13372,6157,13512,6162,13517,6168,13517,6174,13517,6179,13512,6179,13381,6280,13298,6387,13211,6395,13202,6401,13193,6405,13182,6406,13171,6406,13159xm6487,12991l6482,12987,6198,12987,6193,12991,6193,13004,6198,13009,6476,13009,6482,13009,6487,13004,6487,12991xm6487,12893l6482,12888,5776,12888,5771,12893,5771,12905,5776,12910,6476,12910,6482,12910,6487,12905,6487,12893xe" filled="true" fillcolor="#005994" stroked="false">
              <v:path arrowok="t"/>
              <v:fill type="solid"/>
            </v:shape>
            <v:shape style="position:absolute;left:3887;top:12786;width:114;height:114" type="#_x0000_t75" id="docshape36" stroked="false">
              <v:imagedata r:id="rId20" o:title=""/>
            </v:shape>
            <v:shape style="position:absolute;left:3887;top:12996;width:114;height:114" type="#_x0000_t75" id="docshape37" stroked="false">
              <v:imagedata r:id="rId20" o:title=""/>
            </v:shape>
            <v:shape style="position:absolute;left:3931;top:12802;width:4330;height:732" id="docshape38" coordorigin="3931,12802" coordsize="4330,732" path="m4290,13072l4286,13067,4076,13067,4072,13072,4072,13082,4076,13086,4280,13086,4286,13086,4290,13082,4290,13072xm4343,13419l4343,13376,4343,13364,4324,13319,4324,13415,4307,13459,4274,13493,4249,13506,4223,13513,4196,13514,4168,13509,4167,13509,4167,13509,4166,13509,3983,13441,3972,13437,3965,13424,3971,13406,3975,13402,3986,13396,3992,13396,4085,13427,4089,13425,4094,13419,4094,13414,4083,13398,3952,13202,3951,13196,3953,13184,3957,13178,3972,13168,3987,13171,4067,13290,4072,13292,4120,13269,4199,13231,4215,13227,4230,13229,4244,13235,4255,13247,4305,13322,4324,13367,4324,13415,4324,13319,4321,13311,4271,13236,4262,13227,4255,13220,4235,13210,4213,13208,4191,13213,4075,13269,4010,13171,4007,13168,3998,13159,3983,13153,3967,13153,3951,13159,3942,13165,3936,13175,3931,13197,3933,13208,4060,13398,4053,13396,3993,13376,3982,13377,3962,13387,3954,13396,3951,13406,3949,13423,3953,13438,3963,13451,3977,13459,4163,13528,4164,13528,4166,13528,4179,13532,4192,13534,4205,13534,4226,13532,4243,13528,4246,13528,4266,13520,4276,13514,4285,13509,4323,13469,4343,13419xm4401,13015l4397,13011,4076,13011,4072,13015,4072,13026,4076,13030,4391,13030,4397,13030,4401,13026,4401,13015xm4405,12864l4400,12860,4072,12860,4068,12864,4068,12875,4072,12879,4395,12879,4400,12879,4405,12875,4405,12864xm4405,12806l4400,12802,4072,12802,4068,12806,4068,12817,4072,12821,4395,12821,4400,12821,4405,12817,4405,12806xm8261,13440l8249,13409,8242,13405,8242,13440,8229,13464,8197,13482,8152,13495,8102,13499,8052,13495,8007,13482,7974,13464,7962,13440,7974,13416,8007,13398,8052,13386,8102,13381,8152,13386,8197,13398,8229,13416,8242,13440,8242,13405,8215,13385,8204,13381,8164,13368,8102,13362,8039,13368,7989,13385,7955,13409,7943,13440,7955,13471,7989,13495,8039,13512,8102,13518,8164,13512,8204,13499,8215,13495,8249,13471,8261,13440xe" filled="true" fillcolor="#005994" stroked="false">
              <v:path arrowok="t"/>
              <v:fill type="solid"/>
            </v:shape>
            <v:shape style="position:absolute;left:8016;top:13152;width:172;height:172" type="#_x0000_t75" id="docshape39" stroked="false">
              <v:imagedata r:id="rId21" o:title=""/>
            </v:shape>
            <v:shape style="position:absolute;left:8239;top:13299;width:299;height:156" id="docshape40" coordorigin="8240,13299" coordsize="299,156" path="m8380,13299l8302,13309,8245,13335,8240,13344,8246,13352,8252,13353,8256,13350,8279,13337,8308,13327,8342,13320,8380,13318,8429,13322,8475,13334,8507,13353,8520,13377,8507,13401,8475,13419,8429,13431,8380,13436,8363,13435,8347,13434,8332,13432,8311,13428,8306,13431,8362,13454,8380,13455,8442,13449,8493,13432,8526,13407,8539,13377,8526,13346,8493,13322,8442,13305,8380,13299xe" filled="true" fillcolor="#005994" stroked="false">
              <v:path arrowok="t"/>
              <v:fill type="solid"/>
            </v:shape>
            <v:shape style="position:absolute;left:8293;top:13089;width:172;height:172" type="#_x0000_t75" id="docshape41" stroked="false">
              <v:imagedata r:id="rId21" o:title=""/>
            </v:shape>
            <v:shape style="position:absolute;left:7665;top:13299;width:299;height:156" id="docshape42" coordorigin="7665,13299" coordsize="299,156" path="m7824,13299l7762,13305,7711,13322,7677,13346,7665,13377,7677,13407,7711,13432,7762,13449,7824,13455,7841,13454,7858,13453,7875,13451,7896,13446,7900,13441,7897,13431,7892,13428,7872,13432,7856,13434,7840,13435,7824,13436,7774,13431,7729,13419,7697,13401,7684,13377,7697,13353,7729,13334,7774,13322,7824,13318,7861,13320,7895,13327,7925,13337,7947,13350,7951,13353,7957,13352,7964,13344,7963,13338,7959,13335,7934,13320,7902,13309,7865,13302,7824,13299xe" filled="true" fillcolor="#005994" stroked="false">
              <v:path arrowok="t"/>
              <v:fill type="solid"/>
            </v:shape>
            <v:shape style="position:absolute;left:7738;top:13089;width:172;height:172" type="#_x0000_t75" id="docshape43" stroked="false">
              <v:imagedata r:id="rId21" o:title=""/>
            </v:shape>
            <v:shape style="position:absolute;left:7709;top:12667;width:2765;height:814" id="docshape44" coordorigin="7709,12667" coordsize="2765,814" path="m8067,13015l8061,13006,8055,13005,8050,13008,8041,13014,8032,13018,8022,13021,8011,13021,7994,13021,7990,13026,7990,13076,7937,13022,7934,13021,7794,13021,7769,13016,7748,13002,7733,12981,7728,12955,7728,12779,7733,12754,7748,12732,7769,12718,7794,12713,8017,12713,8024,12714,8035,12717,8040,12714,8043,12704,8040,12699,8027,12695,8019,12694,7794,12694,7761,12701,7734,12719,7716,12746,7709,12779,7709,12955,7716,12988,7734,13015,7761,13034,7794,13040,7928,13040,7995,13107,7997,13108,8000,13108,8002,13108,8007,13106,8009,13103,8009,13040,8025,13039,8038,13036,8050,13031,8062,13024,8066,13021,8067,13015xm8465,12752l8459,12719,8446,12701,8446,12752,8446,12928,8441,12954,8427,12975,8406,12989,8380,12994,8240,12994,8238,12995,8184,13049,8184,12999,8180,12994,8163,12994,8138,12989,8117,12975,8102,12954,8097,12928,8097,12752,8102,12727,8117,12705,8138,12691,8163,12686,8380,12686,8406,12691,8427,12705,8441,12727,8446,12752,8446,12701,8440,12692,8431,12686,8413,12674,8380,12667,8163,12667,8130,12674,8103,12692,8085,12719,8078,12752,8078,12928,8085,12961,8103,12988,8130,13007,8163,13013,8165,13013,8165,13076,8168,13079,8173,13081,8174,13081,8177,13081,8180,13080,8211,13049,8247,13013,8380,13013,8413,13007,8440,12988,8459,12961,8465,12928,8465,12752xm10408,12869l10406,12860,10316,12769,10310,12766,10296,12766,10290,12769,10232,12825,10165,12797,10165,12717,10163,12710,10153,12700,10147,12698,10012,12698,10001,12709,10001,12797,9934,12825,9877,12769,9870,12766,9857,12766,9850,12769,9762,12858,9759,12864,9760,12878,9762,12884,9820,12941,9792,13009,9704,13009,9693,13020,9693,13158,9704,13170,9792,13170,9820,13238,9762,13294,9760,13301,9759,13314,9762,13321,9850,13410,9857,13413,9870,13413,9877,13410,9934,13353,10001,13381,10001,13470,10012,13481,10121,13481,10126,13481,10130,13477,10130,13468,10126,13464,10022,13464,10018,13460,10019,13372,10016,13369,9932,13334,9928,13335,9868,13395,9866,13396,9861,13396,9859,13395,9777,13312,9777,13310,9777,13305,9778,13303,9838,13243,9839,13240,9804,13155,9801,13153,9713,13153,9710,13149,9710,13030,9713,13026,9801,13026,9804,13024,9839,12939,9838,12936,9778,12875,9777,12873,9777,12869,9777,12867,9859,12784,9861,12783,9866,12783,9868,12784,9928,12844,9932,12845,10016,12810,10019,12807,10018,12719,10022,12715,10142,12715,10144,12716,10147,12719,10148,12721,10148,12807,10150,12810,10234,12845,10238,12844,10298,12784,10301,12783,10305,12783,10307,12784,10389,12867,10390,12870,10388,12878,10391,12882,10400,12885,10405,12882,10408,12869xm10474,13020l10462,13009,10409,13009,10405,13013,10405,13022,10409,13026,10453,13026,10457,13030,10457,13090,10460,13094,10465,13094,10470,13094,10474,13090,10474,13020xe" filled="true" fillcolor="#005994" stroked="false">
              <v:path arrowok="t"/>
              <v:fill type="solid"/>
            </v:shape>
            <v:shape style="position:absolute;left:9898;top:12902;width:254;height:351" type="#_x0000_t75" id="docshape45" stroked="false">
              <v:imagedata r:id="rId22" o:title=""/>
            </v:shape>
            <v:shape style="position:absolute;left:10043;top:13093;width:476;height:394" id="docshape46" coordorigin="10044,13093" coordsize="476,394" path="m10186,13408l10182,13404,10172,13404,10169,13408,10169,13483,10172,13487,10177,13487,10182,13487,10186,13483,10186,13408xm10393,13250l10374,13215,10369,13213,10360,13218,10359,13223,10371,13246,10322,13273,10320,13278,10324,13285,10327,13287,10330,13287,10331,13287,10333,13287,10391,13255,10393,13250xm10394,13408l10390,13404,10381,13404,10377,13408,10377,13483,10381,13487,10386,13487,10390,13487,10394,13483,10394,13408xm10519,13259l10519,13249,10516,13238,10511,13228,10464,13154,10443,13129,10417,13110,10387,13098,10354,13093,10209,13093,10176,13098,10146,13110,10120,13129,10099,13154,10052,13228,10047,13238,10044,13249,10044,13259,10045,13270,10049,13281,10055,13290,10063,13298,10072,13304,10226,13388,10235,13390,10244,13390,10249,13390,10254,13389,10259,13388,10269,13384,10278,13378,10285,13370,10291,13361,10297,13341,10295,13321,10286,13302,10269,13289,10191,13246,10204,13223,10202,13218,10194,13213,10189,13215,10170,13250,10172,13255,10261,13304,10272,13313,10279,13325,10280,13339,10276,13353,10271,13362,10264,13368,10245,13374,10235,13373,10071,13284,10065,13276,10059,13256,10061,13246,10113,13163,10131,13141,10154,13125,10180,13114,10209,13111,10354,13111,10383,13114,10409,13125,10431,13141,10450,13163,10502,13246,10503,13256,10498,13276,10492,13284,10337,13368,10332,13370,10329,13375,10333,13384,10338,13386,10342,13385,10491,13304,10500,13298,10508,13290,10514,13281,10517,13270,10519,13259xe" filled="true" fillcolor="#005994" stroked="false">
              <v:path arrowok="t"/>
              <v:fill type="solid"/>
            </v:shape>
            <v:shape style="position:absolute;left:10184;top:12863;width:194;height:194" type="#_x0000_t75" id="docshape47" stroked="false">
              <v:imagedata r:id="rId23" o:title=""/>
            </v:shape>
            <v:shape style="position:absolute;left:1090;top:11561;width:3554;height:767" type="#_x0000_t202" id="docshape48" filled="false" stroked="false">
              <v:textbox inset="0,0,0,0">
                <w:txbxContent>
                  <w:p>
                    <w:pPr>
                      <w:spacing w:before="0"/>
                      <w:ind w:left="0" w:right="0" w:firstLine="0"/>
                      <w:jc w:val="left"/>
                      <w:rPr>
                        <w:rFonts w:ascii="ITC Franklin Gothic Std Bk Cp"/>
                        <w:sz w:val="68"/>
                      </w:rPr>
                    </w:pPr>
                    <w:r>
                      <w:rPr>
                        <w:rFonts w:ascii="ITC Franklin Gothic Std Bk Cp"/>
                        <w:color w:val="005994"/>
                        <w:sz w:val="68"/>
                      </w:rPr>
                      <w:t>Equity</w:t>
                    </w:r>
                    <w:r>
                      <w:rPr>
                        <w:rFonts w:ascii="ITC Franklin Gothic Std Bk Cp"/>
                        <w:color w:val="005994"/>
                        <w:spacing w:val="26"/>
                        <w:sz w:val="68"/>
                      </w:rPr>
                      <w:t> </w:t>
                    </w:r>
                    <w:r>
                      <w:rPr>
                        <w:rFonts w:ascii="ITC Franklin Gothic Std Bk Cp"/>
                        <w:color w:val="005994"/>
                        <w:sz w:val="68"/>
                      </w:rPr>
                      <w:t>in</w:t>
                    </w:r>
                    <w:r>
                      <w:rPr>
                        <w:rFonts w:ascii="ITC Franklin Gothic Std Bk Cp"/>
                        <w:color w:val="005994"/>
                        <w:spacing w:val="-10"/>
                        <w:sz w:val="68"/>
                      </w:rPr>
                      <w:t> </w:t>
                    </w:r>
                    <w:r>
                      <w:rPr>
                        <w:rFonts w:ascii="ITC Franklin Gothic Std Bk Cp"/>
                        <w:color w:val="005994"/>
                        <w:spacing w:val="-2"/>
                        <w:sz w:val="68"/>
                      </w:rPr>
                      <w:t>Action!</w:t>
                    </w:r>
                  </w:p>
                </w:txbxContent>
              </v:textbox>
              <w10:wrap type="none"/>
            </v:shape>
            <v:shape style="position:absolute;left:1550;top:14233;width:1274;height:751" type="#_x0000_t202" id="docshape49" filled="false" stroked="false">
              <v:textbox inset="0,0,0,0">
                <w:txbxContent>
                  <w:p>
                    <w:pPr>
                      <w:spacing w:line="213" w:lineRule="auto" w:before="23"/>
                      <w:ind w:left="0" w:right="0" w:firstLine="134"/>
                      <w:jc w:val="left"/>
                      <w:rPr>
                        <w:rFonts w:ascii="ITC Franklin Gothic Std Bk Cp"/>
                        <w:sz w:val="24"/>
                      </w:rPr>
                    </w:pPr>
                    <w:r>
                      <w:rPr>
                        <w:rFonts w:ascii="ITC Franklin Gothic Std Bk Cp"/>
                        <w:color w:val="022D53"/>
                        <w:spacing w:val="-2"/>
                        <w:sz w:val="24"/>
                      </w:rPr>
                      <w:t>Surveillance </w:t>
                    </w:r>
                    <w:r>
                      <w:rPr>
                        <w:rFonts w:ascii="ITC Franklin Gothic Std Bk Cp"/>
                        <w:color w:val="022D53"/>
                        <w:sz w:val="24"/>
                      </w:rPr>
                      <w:t>and </w:t>
                    </w:r>
                    <w:r>
                      <w:rPr>
                        <w:rFonts w:ascii="ITC Franklin Gothic Std Bk Cp"/>
                        <w:color w:val="022D53"/>
                        <w:sz w:val="24"/>
                      </w:rPr>
                      <w:t>Community </w:t>
                    </w:r>
                    <w:r>
                      <w:rPr>
                        <w:rFonts w:ascii="ITC Franklin Gothic Std Bk Cp"/>
                        <w:color w:val="022D53"/>
                        <w:spacing w:val="-2"/>
                        <w:sz w:val="24"/>
                      </w:rPr>
                      <w:t>Engagement</w:t>
                    </w:r>
                  </w:p>
                </w:txbxContent>
              </v:textbox>
              <w10:wrap type="none"/>
            </v:shape>
            <v:shape style="position:absolute;left:3643;top:14233;width:1047;height:511" type="#_x0000_t202" id="docshape50" filled="false" stroked="false">
              <v:textbox inset="0,0,0,0">
                <w:txbxContent>
                  <w:p>
                    <w:pPr>
                      <w:spacing w:line="213" w:lineRule="auto" w:before="23"/>
                      <w:ind w:left="0" w:right="0" w:firstLine="137"/>
                      <w:jc w:val="left"/>
                      <w:rPr>
                        <w:rFonts w:ascii="ITC Franklin Gothic Std Bk Cp"/>
                        <w:sz w:val="24"/>
                      </w:rPr>
                    </w:pPr>
                    <w:r>
                      <w:rPr>
                        <w:rFonts w:ascii="ITC Franklin Gothic Std Bk Cp"/>
                        <w:color w:val="022D53"/>
                        <w:spacing w:val="-2"/>
                        <w:sz w:val="24"/>
                      </w:rPr>
                      <w:t>Programs </w:t>
                    </w:r>
                    <w:r>
                      <w:rPr>
                        <w:rFonts w:ascii="ITC Franklin Gothic Std Bk Cp"/>
                        <w:color w:val="022D53"/>
                        <w:sz w:val="24"/>
                      </w:rPr>
                      <w:t>and </w:t>
                    </w:r>
                    <w:r>
                      <w:rPr>
                        <w:rFonts w:ascii="ITC Franklin Gothic Std Bk Cp"/>
                        <w:color w:val="022D53"/>
                        <w:sz w:val="24"/>
                      </w:rPr>
                      <w:t>Services</w:t>
                    </w:r>
                  </w:p>
                </w:txbxContent>
              </v:textbox>
              <w10:wrap type="none"/>
            </v:shape>
            <v:shape style="position:absolute;left:5631;top:14233;width:1014;height:751" type="#_x0000_t202" id="docshape51" filled="false" stroked="false">
              <v:textbox inset="0,0,0,0">
                <w:txbxContent>
                  <w:p>
                    <w:pPr>
                      <w:spacing w:line="213" w:lineRule="auto" w:before="23"/>
                      <w:ind w:left="0" w:right="0" w:firstLine="96"/>
                      <w:jc w:val="left"/>
                      <w:rPr>
                        <w:rFonts w:ascii="ITC Franklin Gothic Std Bk Cp"/>
                        <w:sz w:val="24"/>
                      </w:rPr>
                    </w:pPr>
                    <w:r>
                      <w:rPr>
                        <w:rFonts w:ascii="ITC Franklin Gothic Std Bk Cp"/>
                        <w:color w:val="022D53"/>
                        <w:spacing w:val="-2"/>
                        <w:sz w:val="24"/>
                      </w:rPr>
                      <w:t>Workforce </w:t>
                    </w:r>
                    <w:r>
                      <w:rPr>
                        <w:rFonts w:ascii="ITC Franklin Gothic Std Bk Cp"/>
                        <w:color w:val="022D53"/>
                        <w:sz w:val="24"/>
                      </w:rPr>
                      <w:t>Training </w:t>
                    </w:r>
                    <w:r>
                      <w:rPr>
                        <w:rFonts w:ascii="ITC Franklin Gothic Std Bk Cp"/>
                        <w:color w:val="022D53"/>
                        <w:sz w:val="24"/>
                      </w:rPr>
                      <w:t>and </w:t>
                    </w:r>
                    <w:r>
                      <w:rPr>
                        <w:rFonts w:ascii="ITC Franklin Gothic Std Bk Cp"/>
                        <w:color w:val="022D53"/>
                        <w:spacing w:val="-2"/>
                        <w:sz w:val="24"/>
                      </w:rPr>
                      <w:t>Supports</w:t>
                    </w:r>
                  </w:p>
                </w:txbxContent>
              </v:textbox>
              <w10:wrap type="none"/>
            </v:shape>
            <v:shape style="position:absolute;left:7426;top:14233;width:1399;height:271" type="#_x0000_t202" id="docshape52" filled="false" stroked="false">
              <v:textbox inset="0,0,0,0">
                <w:txbxContent>
                  <w:p>
                    <w:pPr>
                      <w:spacing w:before="0"/>
                      <w:ind w:left="0" w:right="0" w:firstLine="0"/>
                      <w:jc w:val="left"/>
                      <w:rPr>
                        <w:rFonts w:ascii="ITC Franklin Gothic Std Bk Cp"/>
                        <w:sz w:val="24"/>
                      </w:rPr>
                    </w:pPr>
                    <w:r>
                      <w:rPr>
                        <w:rFonts w:ascii="ITC Franklin Gothic Std Bk Cp"/>
                        <w:color w:val="022D53"/>
                        <w:sz w:val="24"/>
                      </w:rPr>
                      <w:t>Public</w:t>
                    </w:r>
                    <w:r>
                      <w:rPr>
                        <w:rFonts w:ascii="ITC Franklin Gothic Std Bk Cp"/>
                        <w:color w:val="022D53"/>
                        <w:spacing w:val="30"/>
                        <w:sz w:val="24"/>
                      </w:rPr>
                      <w:t> </w:t>
                    </w:r>
                    <w:r>
                      <w:rPr>
                        <w:rFonts w:ascii="ITC Franklin Gothic Std Bk Cp"/>
                        <w:color w:val="022D53"/>
                        <w:spacing w:val="-2"/>
                        <w:sz w:val="24"/>
                      </w:rPr>
                      <w:t>Awareness</w:t>
                    </w:r>
                  </w:p>
                </w:txbxContent>
              </v:textbox>
              <w10:wrap type="none"/>
            </v:shape>
            <v:shape style="position:absolute;left:9485;top:14233;width:1231;height:751" type="#_x0000_t202" id="docshape53" filled="false" stroked="false">
              <v:textbox inset="0,0,0,0">
                <w:txbxContent>
                  <w:p>
                    <w:pPr>
                      <w:spacing w:line="255" w:lineRule="exact" w:before="0"/>
                      <w:ind w:left="23" w:right="40" w:firstLine="0"/>
                      <w:jc w:val="center"/>
                      <w:rPr>
                        <w:rFonts w:ascii="ITC Franklin Gothic Std Bk Cp"/>
                        <w:sz w:val="24"/>
                      </w:rPr>
                    </w:pPr>
                    <w:r>
                      <w:rPr>
                        <w:rFonts w:ascii="ITC Franklin Gothic Std Bk Cp"/>
                        <w:color w:val="022D53"/>
                        <w:spacing w:val="-2"/>
                        <w:sz w:val="24"/>
                      </w:rPr>
                      <w:t>Technical</w:t>
                    </w:r>
                  </w:p>
                  <w:p>
                    <w:pPr>
                      <w:spacing w:line="213" w:lineRule="auto" w:before="8"/>
                      <w:ind w:left="23" w:right="41" w:firstLine="0"/>
                      <w:jc w:val="center"/>
                      <w:rPr>
                        <w:rFonts w:ascii="ITC Franklin Gothic Std Bk Cp"/>
                        <w:sz w:val="24"/>
                      </w:rPr>
                    </w:pPr>
                    <w:r>
                      <w:rPr>
                        <w:rFonts w:ascii="ITC Franklin Gothic Std Bk Cp"/>
                        <w:color w:val="022D53"/>
                        <w:sz w:val="24"/>
                      </w:rPr>
                      <w:t>Assistance </w:t>
                    </w:r>
                    <w:r>
                      <w:rPr>
                        <w:rFonts w:ascii="ITC Franklin Gothic Std Bk Cp"/>
                        <w:color w:val="022D53"/>
                        <w:sz w:val="24"/>
                      </w:rPr>
                      <w:t>and </w:t>
                    </w:r>
                    <w:r>
                      <w:rPr>
                        <w:rFonts w:ascii="ITC Franklin Gothic Std Bk Cp"/>
                        <w:color w:val="022D53"/>
                        <w:spacing w:val="-2"/>
                        <w:sz w:val="24"/>
                      </w:rPr>
                      <w:t>Evaluation</w:t>
                    </w:r>
                  </w:p>
                </w:txbxContent>
              </v:textbox>
              <w10:wrap type="none"/>
            </v:shape>
            <v:shape style="position:absolute;left:11035;top:15063;width:138;height:241" type="#_x0000_t202" id="docshape54" filled="false" stroked="false">
              <v:textbox inset="0,0,0,0">
                <w:txbxContent>
                  <w:p>
                    <w:pPr>
                      <w:spacing w:before="7"/>
                      <w:ind w:left="0" w:right="0" w:firstLine="0"/>
                      <w:jc w:val="left"/>
                      <w:rPr>
                        <w:rFonts w:ascii="Franklin Gothic Medium"/>
                        <w:sz w:val="20"/>
                      </w:rPr>
                    </w:pPr>
                    <w:r>
                      <w:rPr>
                        <w:rFonts w:ascii="Franklin Gothic Medium"/>
                        <w:color w:val="231F20"/>
                        <w:w w:val="100"/>
                        <w:sz w:val="20"/>
                      </w:rPr>
                      <w:t>1</w:t>
                    </w:r>
                  </w:p>
                </w:txbxContent>
              </v:textbox>
              <w10:wrap type="none"/>
            </v:shape>
            <w10:wrap type="none"/>
          </v:group>
        </w:pict>
      </w:r>
    </w:p>
    <w:p>
      <w:pPr>
        <w:spacing w:after="0"/>
        <w:rPr>
          <w:sz w:val="2"/>
          <w:szCs w:val="2"/>
        </w:rPr>
        <w:sectPr>
          <w:type w:val="continuous"/>
          <w:pgSz w:w="12240" w:h="15840"/>
          <w:pgMar w:top="720" w:bottom="0" w:left="0" w:right="0"/>
        </w:sectPr>
      </w:pPr>
    </w:p>
    <w:p>
      <w:pPr>
        <w:pStyle w:val="Heading1"/>
        <w:spacing w:before="87"/>
        <w:ind w:left="1100"/>
      </w:pPr>
      <w:r>
        <w:rPr>
          <w:color w:val="005994"/>
        </w:rPr>
        <w:t>Surveillance</w:t>
      </w:r>
      <w:r>
        <w:rPr>
          <w:color w:val="005994"/>
          <w:spacing w:val="45"/>
        </w:rPr>
        <w:t> </w:t>
      </w:r>
      <w:r>
        <w:rPr>
          <w:color w:val="005994"/>
        </w:rPr>
        <w:t>and</w:t>
      </w:r>
      <w:r>
        <w:rPr>
          <w:color w:val="005994"/>
          <w:spacing w:val="45"/>
        </w:rPr>
        <w:t> </w:t>
      </w:r>
      <w:r>
        <w:rPr>
          <w:color w:val="005994"/>
        </w:rPr>
        <w:t>Community</w:t>
      </w:r>
      <w:r>
        <w:rPr>
          <w:color w:val="005994"/>
          <w:spacing w:val="45"/>
        </w:rPr>
        <w:t> </w:t>
      </w:r>
      <w:r>
        <w:rPr>
          <w:color w:val="005994"/>
          <w:spacing w:val="-2"/>
        </w:rPr>
        <w:t>Engagement:</w:t>
      </w:r>
    </w:p>
    <w:p>
      <w:pPr>
        <w:pStyle w:val="BodyText"/>
        <w:spacing w:line="254" w:lineRule="auto" w:before="75"/>
        <w:ind w:left="1099" w:right="6320"/>
      </w:pPr>
      <w:r>
        <w:rPr/>
        <w:pict>
          <v:group style="position:absolute;margin-left:314.243988pt;margin-top:4.563781pt;width:297.8pt;height:208.95pt;mso-position-horizontal-relative:page;mso-position-vertical-relative:paragraph;z-index:15729664" id="docshapegroup55" coordorigin="6285,91" coordsize="5956,4179">
            <v:rect style="position:absolute;left:6284;top:390;width:5716;height:3880" id="docshape56" filled="true" fillcolor="#005994" stroked="false">
              <v:fill type="solid"/>
            </v:rect>
            <v:shape style="position:absolute;left:6580;top:91;width:5660;height:3900" type="#_x0000_t75" id="docshape57" stroked="false">
              <v:imagedata r:id="rId24" o:title=""/>
            </v:shape>
            <w10:wrap type="none"/>
          </v:group>
        </w:pict>
      </w:r>
      <w:r>
        <w:rPr>
          <w:color w:val="231F20"/>
        </w:rPr>
        <w:t>Central to OPGS’ work, surveillance and community engagement activities are ongoing and inform the Office’s programs and services. Guided by the public health principles of engagement, empowerment, and equity, the OPGS </w:t>
      </w:r>
      <w:r>
        <w:rPr>
          <w:rFonts w:ascii="Trebuchet MS" w:hAnsi="Trebuchet MS"/>
          <w:b/>
          <w:color w:val="005994"/>
          <w:sz w:val="34"/>
        </w:rPr>
        <w:t>Data</w:t>
      </w:r>
      <w:r>
        <w:rPr>
          <w:rFonts w:ascii="Trebuchet MS" w:hAnsi="Trebuchet MS"/>
          <w:b/>
          <w:color w:val="005994"/>
          <w:spacing w:val="-26"/>
          <w:sz w:val="34"/>
        </w:rPr>
        <w:t> </w:t>
      </w:r>
      <w:r>
        <w:rPr>
          <w:rFonts w:ascii="Trebuchet MS" w:hAnsi="Trebuchet MS"/>
          <w:b/>
          <w:color w:val="005994"/>
          <w:sz w:val="34"/>
        </w:rPr>
        <w:t>to</w:t>
      </w:r>
      <w:r>
        <w:rPr>
          <w:rFonts w:ascii="Trebuchet MS" w:hAnsi="Trebuchet MS"/>
          <w:b/>
          <w:color w:val="005994"/>
          <w:spacing w:val="-25"/>
          <w:sz w:val="34"/>
        </w:rPr>
        <w:t> </w:t>
      </w:r>
      <w:r>
        <w:rPr>
          <w:rFonts w:ascii="Trebuchet MS" w:hAnsi="Trebuchet MS"/>
          <w:b/>
          <w:color w:val="005994"/>
          <w:sz w:val="34"/>
        </w:rPr>
        <w:t>Action</w:t>
      </w:r>
      <w:r>
        <w:rPr>
          <w:rFonts w:ascii="Trebuchet MS" w:hAnsi="Trebuchet MS"/>
          <w:b/>
          <w:color w:val="005994"/>
          <w:spacing w:val="-21"/>
          <w:sz w:val="34"/>
        </w:rPr>
        <w:t> </w:t>
      </w:r>
      <w:r>
        <w:rPr>
          <w:rFonts w:ascii="Trebuchet MS" w:hAnsi="Trebuchet MS"/>
          <w:b/>
          <w:color w:val="005994"/>
          <w:sz w:val="34"/>
        </w:rPr>
        <w:t>Framework</w:t>
      </w:r>
      <w:r>
        <w:rPr>
          <w:rFonts w:ascii="Trebuchet MS" w:hAnsi="Trebuchet MS"/>
          <w:b/>
          <w:color w:val="005994"/>
          <w:spacing w:val="-28"/>
          <w:sz w:val="34"/>
        </w:rPr>
        <w:t> </w:t>
      </w:r>
      <w:r>
        <w:rPr>
          <w:color w:val="231F20"/>
        </w:rPr>
        <w:t>was developed to illustrate the process through which public health data and community experience can be leveraged to inform and support each other in a mutually reinforcing feedback loop and ensuring effective response to</w:t>
      </w:r>
    </w:p>
    <w:p>
      <w:pPr>
        <w:spacing w:line="274" w:lineRule="exact" w:before="0"/>
        <w:ind w:left="1099" w:right="0" w:firstLine="0"/>
        <w:jc w:val="left"/>
        <w:rPr>
          <w:rFonts w:ascii="Trebuchet MS"/>
          <w:b/>
          <w:sz w:val="28"/>
        </w:rPr>
      </w:pPr>
      <w:r>
        <w:rPr>
          <w:color w:val="231F20"/>
          <w:sz w:val="28"/>
        </w:rPr>
        <w:t>community</w:t>
      </w:r>
      <w:r>
        <w:rPr>
          <w:color w:val="231F20"/>
          <w:spacing w:val="-8"/>
          <w:sz w:val="28"/>
        </w:rPr>
        <w:t> </w:t>
      </w:r>
      <w:r>
        <w:rPr>
          <w:color w:val="231F20"/>
          <w:sz w:val="28"/>
        </w:rPr>
        <w:t>need.</w:t>
      </w:r>
      <w:r>
        <w:rPr>
          <w:color w:val="231F20"/>
          <w:spacing w:val="-6"/>
          <w:sz w:val="28"/>
        </w:rPr>
        <w:t> </w:t>
      </w:r>
      <w:r>
        <w:rPr>
          <w:rFonts w:ascii="Trebuchet MS"/>
          <w:b/>
          <w:color w:val="022D53"/>
          <w:sz w:val="28"/>
        </w:rPr>
        <w:t>The</w:t>
      </w:r>
      <w:r>
        <w:rPr>
          <w:rFonts w:ascii="Trebuchet MS"/>
          <w:b/>
          <w:color w:val="022D53"/>
          <w:spacing w:val="-20"/>
          <w:sz w:val="28"/>
        </w:rPr>
        <w:t> </w:t>
      </w:r>
      <w:r>
        <w:rPr>
          <w:rFonts w:ascii="Trebuchet MS"/>
          <w:b/>
          <w:color w:val="022D53"/>
          <w:sz w:val="28"/>
        </w:rPr>
        <w:t>OPGS</w:t>
      </w:r>
      <w:r>
        <w:rPr>
          <w:rFonts w:ascii="Trebuchet MS"/>
          <w:b/>
          <w:color w:val="022D53"/>
          <w:spacing w:val="-21"/>
          <w:sz w:val="28"/>
        </w:rPr>
        <w:t> </w:t>
      </w:r>
      <w:r>
        <w:rPr>
          <w:rFonts w:ascii="Trebuchet MS"/>
          <w:b/>
          <w:color w:val="022D53"/>
          <w:sz w:val="28"/>
        </w:rPr>
        <w:t>Data</w:t>
      </w:r>
      <w:r>
        <w:rPr>
          <w:rFonts w:ascii="Trebuchet MS"/>
          <w:b/>
          <w:color w:val="022D53"/>
          <w:spacing w:val="-20"/>
          <w:sz w:val="28"/>
        </w:rPr>
        <w:t> </w:t>
      </w:r>
      <w:r>
        <w:rPr>
          <w:rFonts w:ascii="Trebuchet MS"/>
          <w:b/>
          <w:color w:val="022D53"/>
          <w:spacing w:val="-5"/>
          <w:sz w:val="28"/>
        </w:rPr>
        <w:t>to</w:t>
      </w:r>
    </w:p>
    <w:p>
      <w:pPr>
        <w:spacing w:after="0" w:line="274" w:lineRule="exact"/>
        <w:jc w:val="left"/>
        <w:rPr>
          <w:rFonts w:ascii="Trebuchet MS"/>
          <w:sz w:val="28"/>
        </w:rPr>
        <w:sectPr>
          <w:pgSz w:w="12240" w:h="15840"/>
          <w:pgMar w:top="900" w:bottom="280" w:left="0" w:right="0"/>
        </w:sectPr>
      </w:pPr>
    </w:p>
    <w:p>
      <w:pPr>
        <w:spacing w:before="39"/>
        <w:ind w:left="1099" w:right="0" w:firstLine="0"/>
        <w:jc w:val="left"/>
        <w:rPr>
          <w:rFonts w:ascii="Trebuchet MS"/>
          <w:b/>
          <w:sz w:val="28"/>
        </w:rPr>
      </w:pPr>
      <w:r>
        <w:rPr>
          <w:rFonts w:ascii="Trebuchet MS"/>
          <w:b/>
          <w:color w:val="022D53"/>
          <w:spacing w:val="-6"/>
          <w:sz w:val="28"/>
        </w:rPr>
        <w:t>Action</w:t>
      </w:r>
      <w:r>
        <w:rPr>
          <w:rFonts w:ascii="Trebuchet MS"/>
          <w:b/>
          <w:color w:val="022D53"/>
          <w:spacing w:val="-11"/>
          <w:sz w:val="28"/>
        </w:rPr>
        <w:t> </w:t>
      </w:r>
      <w:r>
        <w:rPr>
          <w:rFonts w:ascii="Trebuchet MS"/>
          <w:b/>
          <w:color w:val="022D53"/>
          <w:spacing w:val="-6"/>
          <w:sz w:val="28"/>
        </w:rPr>
        <w:t>Framework</w:t>
      </w:r>
      <w:r>
        <w:rPr>
          <w:rFonts w:ascii="Trebuchet MS"/>
          <w:b/>
          <w:color w:val="022D53"/>
          <w:spacing w:val="-11"/>
          <w:sz w:val="28"/>
        </w:rPr>
        <w:t> </w:t>
      </w:r>
      <w:r>
        <w:rPr>
          <w:rFonts w:ascii="Trebuchet MS"/>
          <w:b/>
          <w:color w:val="022D53"/>
          <w:spacing w:val="-6"/>
          <w:sz w:val="28"/>
        </w:rPr>
        <w:t>consists</w:t>
      </w:r>
      <w:r>
        <w:rPr>
          <w:rFonts w:ascii="Trebuchet MS"/>
          <w:b/>
          <w:color w:val="022D53"/>
          <w:spacing w:val="-10"/>
          <w:sz w:val="28"/>
        </w:rPr>
        <w:t> </w:t>
      </w:r>
      <w:r>
        <w:rPr>
          <w:rFonts w:ascii="Trebuchet MS"/>
          <w:b/>
          <w:color w:val="022D53"/>
          <w:spacing w:val="-6"/>
          <w:sz w:val="28"/>
        </w:rPr>
        <w:t>of:</w:t>
      </w:r>
    </w:p>
    <w:p>
      <w:pPr>
        <w:pStyle w:val="ListParagraph"/>
        <w:numPr>
          <w:ilvl w:val="0"/>
          <w:numId w:val="1"/>
        </w:numPr>
        <w:tabs>
          <w:tab w:pos="1640" w:val="left" w:leader="none"/>
        </w:tabs>
        <w:spacing w:line="240" w:lineRule="auto" w:before="17" w:after="0"/>
        <w:ind w:left="1639" w:right="0" w:hanging="262"/>
        <w:jc w:val="left"/>
        <w:rPr>
          <w:sz w:val="28"/>
        </w:rPr>
      </w:pPr>
      <w:r>
        <w:rPr>
          <w:color w:val="022D53"/>
          <w:sz w:val="28"/>
        </w:rPr>
        <w:t>Monitoring</w:t>
      </w:r>
      <w:r>
        <w:rPr>
          <w:color w:val="022D53"/>
          <w:spacing w:val="5"/>
          <w:sz w:val="28"/>
        </w:rPr>
        <w:t> </w:t>
      </w:r>
      <w:r>
        <w:rPr>
          <w:color w:val="022D53"/>
          <w:sz w:val="28"/>
        </w:rPr>
        <w:t>and</w:t>
      </w:r>
      <w:r>
        <w:rPr>
          <w:color w:val="022D53"/>
          <w:spacing w:val="6"/>
          <w:sz w:val="28"/>
        </w:rPr>
        <w:t> </w:t>
      </w:r>
      <w:r>
        <w:rPr>
          <w:color w:val="022D53"/>
          <w:spacing w:val="-2"/>
          <w:sz w:val="28"/>
        </w:rPr>
        <w:t>Surveillance</w:t>
      </w:r>
    </w:p>
    <w:p>
      <w:pPr>
        <w:pStyle w:val="ListParagraph"/>
        <w:numPr>
          <w:ilvl w:val="0"/>
          <w:numId w:val="1"/>
        </w:numPr>
        <w:tabs>
          <w:tab w:pos="1640" w:val="left" w:leader="none"/>
        </w:tabs>
        <w:spacing w:line="240" w:lineRule="auto" w:before="19" w:after="0"/>
        <w:ind w:left="1639" w:right="0" w:hanging="262"/>
        <w:jc w:val="left"/>
        <w:rPr>
          <w:sz w:val="28"/>
        </w:rPr>
      </w:pPr>
      <w:r>
        <w:rPr>
          <w:color w:val="022D53"/>
          <w:sz w:val="28"/>
        </w:rPr>
        <w:t>Contextualizing </w:t>
      </w:r>
      <w:r>
        <w:rPr>
          <w:color w:val="022D53"/>
          <w:spacing w:val="-4"/>
          <w:sz w:val="28"/>
        </w:rPr>
        <w:t>Data</w:t>
      </w:r>
    </w:p>
    <w:p>
      <w:pPr>
        <w:pStyle w:val="ListParagraph"/>
        <w:numPr>
          <w:ilvl w:val="0"/>
          <w:numId w:val="1"/>
        </w:numPr>
        <w:tabs>
          <w:tab w:pos="1640" w:val="left" w:leader="none"/>
        </w:tabs>
        <w:spacing w:line="254" w:lineRule="auto" w:before="19" w:after="0"/>
        <w:ind w:left="1644" w:right="316" w:hanging="267"/>
        <w:jc w:val="left"/>
        <w:rPr>
          <w:sz w:val="28"/>
        </w:rPr>
      </w:pPr>
      <w:r>
        <w:rPr>
          <w:color w:val="022D53"/>
          <w:sz w:val="28"/>
        </w:rPr>
        <w:t>Comprehensive and Responsive </w:t>
      </w:r>
      <w:r>
        <w:rPr>
          <w:color w:val="022D53"/>
          <w:spacing w:val="-2"/>
          <w:sz w:val="28"/>
        </w:rPr>
        <w:t>Services</w:t>
      </w:r>
    </w:p>
    <w:p>
      <w:pPr>
        <w:pStyle w:val="ListParagraph"/>
        <w:numPr>
          <w:ilvl w:val="0"/>
          <w:numId w:val="1"/>
        </w:numPr>
        <w:tabs>
          <w:tab w:pos="1640" w:val="left" w:leader="none"/>
        </w:tabs>
        <w:spacing w:line="254" w:lineRule="auto" w:before="0" w:after="0"/>
        <w:ind w:left="1657" w:right="1474" w:hanging="279"/>
        <w:jc w:val="left"/>
        <w:rPr>
          <w:sz w:val="28"/>
        </w:rPr>
      </w:pPr>
      <w:r>
        <w:rPr>
          <w:color w:val="022D53"/>
          <w:sz w:val="28"/>
        </w:rPr>
        <w:t>Evaluation</w:t>
      </w:r>
      <w:r>
        <w:rPr>
          <w:color w:val="022D53"/>
          <w:spacing w:val="-3"/>
          <w:sz w:val="28"/>
        </w:rPr>
        <w:t> </w:t>
      </w:r>
      <w:r>
        <w:rPr>
          <w:color w:val="022D53"/>
          <w:sz w:val="28"/>
        </w:rPr>
        <w:t>and</w:t>
      </w:r>
      <w:r>
        <w:rPr>
          <w:color w:val="022D53"/>
          <w:spacing w:val="-3"/>
          <w:sz w:val="28"/>
        </w:rPr>
        <w:t> </w:t>
      </w:r>
      <w:r>
        <w:rPr>
          <w:color w:val="022D53"/>
          <w:sz w:val="28"/>
        </w:rPr>
        <w:t>Quality </w:t>
      </w:r>
      <w:r>
        <w:rPr>
          <w:color w:val="022D53"/>
          <w:spacing w:val="-2"/>
          <w:sz w:val="28"/>
        </w:rPr>
        <w:t>Improvement</w:t>
      </w:r>
    </w:p>
    <w:p>
      <w:pPr>
        <w:pStyle w:val="ListParagraph"/>
        <w:numPr>
          <w:ilvl w:val="0"/>
          <w:numId w:val="1"/>
        </w:numPr>
        <w:tabs>
          <w:tab w:pos="1640" w:val="left" w:leader="none"/>
        </w:tabs>
        <w:spacing w:line="254" w:lineRule="auto" w:before="0" w:after="0"/>
        <w:ind w:left="1646" w:right="637" w:hanging="268"/>
        <w:jc w:val="left"/>
        <w:rPr>
          <w:sz w:val="28"/>
        </w:rPr>
      </w:pPr>
      <w:r>
        <w:rPr>
          <w:color w:val="022D53"/>
          <w:sz w:val="28"/>
        </w:rPr>
        <w:t>Community Engagement and </w:t>
      </w:r>
      <w:r>
        <w:rPr>
          <w:color w:val="022D53"/>
          <w:spacing w:val="-2"/>
          <w:sz w:val="28"/>
        </w:rPr>
        <w:t>Feedback</w:t>
      </w:r>
    </w:p>
    <w:p>
      <w:pPr>
        <w:pStyle w:val="Heading1"/>
        <w:spacing w:before="10"/>
        <w:ind w:left="1100"/>
      </w:pPr>
      <w:r>
        <w:rPr>
          <w:color w:val="005994"/>
        </w:rPr>
        <w:t>Program</w:t>
      </w:r>
      <w:r>
        <w:rPr>
          <w:color w:val="005994"/>
          <w:spacing w:val="30"/>
        </w:rPr>
        <w:t> </w:t>
      </w:r>
      <w:r>
        <w:rPr>
          <w:color w:val="005994"/>
        </w:rPr>
        <w:t>and</w:t>
      </w:r>
      <w:r>
        <w:rPr>
          <w:color w:val="005994"/>
          <w:spacing w:val="30"/>
        </w:rPr>
        <w:t> </w:t>
      </w:r>
      <w:r>
        <w:rPr>
          <w:color w:val="005994"/>
          <w:spacing w:val="-2"/>
        </w:rPr>
        <w:t>Services</w:t>
      </w:r>
    </w:p>
    <w:p>
      <w:pPr>
        <w:pStyle w:val="BodyText"/>
        <w:spacing w:line="252" w:lineRule="auto" w:before="11"/>
        <w:ind w:left="413" w:right="994"/>
      </w:pPr>
      <w:r>
        <w:rPr/>
        <w:br w:type="column"/>
      </w:r>
      <w:r>
        <w:rPr>
          <w:color w:val="231F20"/>
        </w:rPr>
        <w:t>An example of our community engagement work is the annual </w:t>
      </w:r>
      <w:hyperlink r:id="rId25">
        <w:r>
          <w:rPr>
            <w:rFonts w:ascii="Trebuchet MS" w:hAnsi="Trebuchet MS"/>
            <w:b/>
            <w:color w:val="022D53"/>
            <w:u w:val="thick" w:color="022D53"/>
          </w:rPr>
          <w:t>Stakeholder</w:t>
        </w:r>
        <w:r>
          <w:rPr>
            <w:rFonts w:ascii="Trebuchet MS" w:hAnsi="Trebuchet MS"/>
            <w:b/>
            <w:color w:val="022D53"/>
            <w:spacing w:val="-8"/>
            <w:u w:val="thick" w:color="022D53"/>
          </w:rPr>
          <w:t> </w:t>
        </w:r>
        <w:r>
          <w:rPr>
            <w:rFonts w:ascii="Trebuchet MS" w:hAnsi="Trebuchet MS"/>
            <w:b/>
            <w:color w:val="022D53"/>
            <w:u w:val="thick" w:color="022D53"/>
          </w:rPr>
          <w:t>Listening</w:t>
        </w:r>
        <w:r>
          <w:rPr>
            <w:rFonts w:ascii="Trebuchet MS" w:hAnsi="Trebuchet MS"/>
            <w:b/>
            <w:color w:val="022D53"/>
            <w:spacing w:val="-8"/>
            <w:u w:val="thick" w:color="022D53"/>
          </w:rPr>
          <w:t> </w:t>
        </w:r>
        <w:r>
          <w:rPr>
            <w:rFonts w:ascii="Trebuchet MS" w:hAnsi="Trebuchet MS"/>
            <w:b/>
            <w:color w:val="022D53"/>
            <w:u w:val="thick" w:color="022D53"/>
          </w:rPr>
          <w:t>Sessions</w:t>
        </w:r>
        <w:r>
          <w:rPr>
            <w:color w:val="231F20"/>
          </w:rPr>
          <w:t>,</w:t>
        </w:r>
      </w:hyperlink>
      <w:r>
        <w:rPr>
          <w:color w:val="231F20"/>
        </w:rPr>
        <w:t> where we elicit input from the community – especially those disproportionately impacted</w:t>
      </w:r>
      <w:r>
        <w:rPr>
          <w:color w:val="231F20"/>
          <w:spacing w:val="-13"/>
        </w:rPr>
        <w:t> </w:t>
      </w:r>
      <w:r>
        <w:rPr>
          <w:color w:val="231F20"/>
        </w:rPr>
        <w:t>by</w:t>
      </w:r>
      <w:r>
        <w:rPr>
          <w:color w:val="231F20"/>
          <w:spacing w:val="-14"/>
        </w:rPr>
        <w:t> </w:t>
      </w:r>
      <w:r>
        <w:rPr>
          <w:color w:val="231F20"/>
        </w:rPr>
        <w:t>gambling</w:t>
      </w:r>
      <w:r>
        <w:rPr>
          <w:color w:val="231F20"/>
          <w:spacing w:val="-13"/>
        </w:rPr>
        <w:t> </w:t>
      </w:r>
      <w:r>
        <w:rPr>
          <w:color w:val="231F20"/>
        </w:rPr>
        <w:t>–</w:t>
      </w:r>
      <w:r>
        <w:rPr>
          <w:color w:val="231F20"/>
          <w:spacing w:val="-13"/>
        </w:rPr>
        <w:t> </w:t>
      </w:r>
      <w:r>
        <w:rPr>
          <w:color w:val="231F20"/>
        </w:rPr>
        <w:t>on</w:t>
      </w:r>
      <w:r>
        <w:rPr>
          <w:color w:val="231F20"/>
          <w:spacing w:val="-13"/>
        </w:rPr>
        <w:t> </w:t>
      </w:r>
      <w:r>
        <w:rPr>
          <w:color w:val="231F20"/>
        </w:rPr>
        <w:t>programmatic priorities, which informs programs and </w:t>
      </w:r>
      <w:r>
        <w:rPr>
          <w:color w:val="231F20"/>
          <w:spacing w:val="-2"/>
        </w:rPr>
        <w:t>services.</w:t>
      </w:r>
    </w:p>
    <w:p>
      <w:pPr>
        <w:spacing w:after="0" w:line="252" w:lineRule="auto"/>
        <w:sectPr>
          <w:type w:val="continuous"/>
          <w:pgSz w:w="12240" w:h="15840"/>
          <w:pgMar w:top="720" w:bottom="0" w:left="0" w:right="0"/>
          <w:cols w:num="2" w:equalWidth="0">
            <w:col w:w="5832" w:space="40"/>
            <w:col w:w="6368"/>
          </w:cols>
        </w:sectPr>
      </w:pPr>
    </w:p>
    <w:p>
      <w:pPr>
        <w:pStyle w:val="BodyText"/>
        <w:spacing w:line="254" w:lineRule="auto" w:before="86"/>
        <w:ind w:left="1100" w:right="1390"/>
      </w:pPr>
      <w:r>
        <w:rPr>
          <w:color w:val="231F20"/>
        </w:rPr>
        <w:t>OPGS directly contracts with community organizations to provide services to individuals and families throughout Massachusetts to prevent and mitigate gambling-related</w:t>
      </w:r>
      <w:r>
        <w:rPr>
          <w:color w:val="231F20"/>
          <w:spacing w:val="-13"/>
        </w:rPr>
        <w:t> </w:t>
      </w:r>
      <w:r>
        <w:rPr>
          <w:color w:val="231F20"/>
        </w:rPr>
        <w:t>harms,</w:t>
      </w:r>
      <w:r>
        <w:rPr>
          <w:color w:val="231F20"/>
          <w:spacing w:val="-13"/>
        </w:rPr>
        <w:t> </w:t>
      </w:r>
      <w:r>
        <w:rPr>
          <w:color w:val="231F20"/>
        </w:rPr>
        <w:t>especially</w:t>
      </w:r>
      <w:r>
        <w:rPr>
          <w:color w:val="231F20"/>
          <w:spacing w:val="-13"/>
        </w:rPr>
        <w:t> </w:t>
      </w:r>
      <w:r>
        <w:rPr>
          <w:color w:val="231F20"/>
        </w:rPr>
        <w:t>for</w:t>
      </w:r>
      <w:r>
        <w:rPr>
          <w:color w:val="231F20"/>
          <w:spacing w:val="-13"/>
        </w:rPr>
        <w:t> </w:t>
      </w:r>
      <w:r>
        <w:rPr>
          <w:color w:val="231F20"/>
        </w:rPr>
        <w:t>communities</w:t>
      </w:r>
      <w:r>
        <w:rPr>
          <w:color w:val="231F20"/>
          <w:spacing w:val="-13"/>
        </w:rPr>
        <w:t> </w:t>
      </w:r>
      <w:r>
        <w:rPr>
          <w:color w:val="231F20"/>
        </w:rPr>
        <w:t>disproportionately</w:t>
      </w:r>
      <w:r>
        <w:rPr>
          <w:color w:val="231F20"/>
          <w:spacing w:val="-13"/>
        </w:rPr>
        <w:t> </w:t>
      </w:r>
      <w:r>
        <w:rPr>
          <w:color w:val="231F20"/>
        </w:rPr>
        <w:t>impacted</w:t>
      </w:r>
      <w:r>
        <w:rPr>
          <w:color w:val="231F20"/>
          <w:spacing w:val="-13"/>
        </w:rPr>
        <w:t> </w:t>
      </w:r>
      <w:r>
        <w:rPr>
          <w:color w:val="231F20"/>
        </w:rPr>
        <w:t>by</w:t>
      </w:r>
    </w:p>
    <w:p>
      <w:pPr>
        <w:pStyle w:val="BodyText"/>
        <w:spacing w:line="254" w:lineRule="auto"/>
        <w:ind w:left="6358" w:right="875"/>
      </w:pPr>
      <w:r>
        <w:rPr/>
        <w:pict>
          <v:group style="position:absolute;margin-left:0pt;margin-top:6.722654pt;width:297.8pt;height:175.5pt;mso-position-horizontal-relative:page;mso-position-vertical-relative:paragraph;z-index:15730176" id="docshapegroup58" coordorigin="0,134" coordsize="5956,3510">
            <v:rect style="position:absolute;left:260;top:403;width:5695;height:3241" id="docshape59" filled="true" fillcolor="#005994" stroked="false">
              <v:fill type="solid"/>
            </v:rect>
            <v:shape style="position:absolute;left:0;top:134;width:5699;height:3246" type="#_x0000_t75" id="docshape60" stroked="false">
              <v:imagedata r:id="rId26" o:title=""/>
            </v:shape>
            <w10:wrap type="none"/>
          </v:group>
        </w:pict>
      </w:r>
      <w:r>
        <w:rPr>
          <w:color w:val="231F20"/>
        </w:rPr>
        <w:t>gambling. Programs are implemented across</w:t>
      </w:r>
      <w:r>
        <w:rPr>
          <w:color w:val="231F20"/>
          <w:spacing w:val="-8"/>
        </w:rPr>
        <w:t> </w:t>
      </w:r>
      <w:r>
        <w:rPr>
          <w:color w:val="231F20"/>
        </w:rPr>
        <w:t>the</w:t>
      </w:r>
      <w:r>
        <w:rPr>
          <w:color w:val="231F20"/>
          <w:spacing w:val="-8"/>
        </w:rPr>
        <w:t> </w:t>
      </w:r>
      <w:r>
        <w:rPr>
          <w:color w:val="231F20"/>
        </w:rPr>
        <w:t>continuum</w:t>
      </w:r>
      <w:r>
        <w:rPr>
          <w:color w:val="231F20"/>
          <w:spacing w:val="-8"/>
        </w:rPr>
        <w:t> </w:t>
      </w:r>
      <w:r>
        <w:rPr>
          <w:color w:val="231F20"/>
        </w:rPr>
        <w:t>of</w:t>
      </w:r>
      <w:r>
        <w:rPr>
          <w:color w:val="231F20"/>
          <w:spacing w:val="-8"/>
        </w:rPr>
        <w:t> </w:t>
      </w:r>
      <w:r>
        <w:rPr>
          <w:color w:val="231F20"/>
        </w:rPr>
        <w:t>care</w:t>
      </w:r>
      <w:r>
        <w:rPr>
          <w:color w:val="231F20"/>
          <w:spacing w:val="-8"/>
        </w:rPr>
        <w:t> </w:t>
      </w:r>
      <w:r>
        <w:rPr>
          <w:color w:val="231F20"/>
        </w:rPr>
        <w:t>and</w:t>
      </w:r>
      <w:r>
        <w:rPr>
          <w:color w:val="231F20"/>
          <w:spacing w:val="-8"/>
        </w:rPr>
        <w:t> </w:t>
      </w:r>
      <w:r>
        <w:rPr>
          <w:color w:val="231F20"/>
        </w:rPr>
        <w:t>have</w:t>
      </w:r>
      <w:r>
        <w:rPr>
          <w:color w:val="231F20"/>
          <w:spacing w:val="-8"/>
        </w:rPr>
        <w:t> </w:t>
      </w:r>
      <w:r>
        <w:rPr>
          <w:color w:val="231F20"/>
        </w:rPr>
        <w:t>a consistent focus on the social determinants</w:t>
      </w:r>
      <w:r>
        <w:rPr>
          <w:color w:val="231F20"/>
          <w:spacing w:val="-9"/>
        </w:rPr>
        <w:t> </w:t>
      </w:r>
      <w:r>
        <w:rPr>
          <w:color w:val="231F20"/>
        </w:rPr>
        <w:t>of</w:t>
      </w:r>
      <w:r>
        <w:rPr>
          <w:color w:val="231F20"/>
          <w:spacing w:val="-9"/>
        </w:rPr>
        <w:t> </w:t>
      </w:r>
      <w:r>
        <w:rPr>
          <w:color w:val="231F20"/>
        </w:rPr>
        <w:t>health</w:t>
      </w:r>
      <w:r>
        <w:rPr>
          <w:color w:val="231F20"/>
          <w:spacing w:val="-9"/>
        </w:rPr>
        <w:t> </w:t>
      </w:r>
      <w:r>
        <w:rPr>
          <w:color w:val="231F20"/>
        </w:rPr>
        <w:t>and</w:t>
      </w:r>
      <w:r>
        <w:rPr>
          <w:color w:val="231F20"/>
          <w:spacing w:val="-9"/>
        </w:rPr>
        <w:t> </w:t>
      </w:r>
      <w:r>
        <w:rPr>
          <w:color w:val="231F20"/>
        </w:rPr>
        <w:t>equity.</w:t>
      </w:r>
      <w:r>
        <w:rPr>
          <w:color w:val="231F20"/>
          <w:spacing w:val="-9"/>
        </w:rPr>
        <w:t> </w:t>
      </w:r>
      <w:r>
        <w:rPr>
          <w:color w:val="231F20"/>
        </w:rPr>
        <w:t>OPGS programs and services span from awareness and prevention to treatment and</w:t>
      </w:r>
      <w:r>
        <w:rPr>
          <w:color w:val="231F20"/>
          <w:spacing w:val="-7"/>
        </w:rPr>
        <w:t> </w:t>
      </w:r>
      <w:r>
        <w:rPr>
          <w:color w:val="231F20"/>
        </w:rPr>
        <w:t>recovery</w:t>
      </w:r>
      <w:r>
        <w:rPr>
          <w:color w:val="231F20"/>
          <w:spacing w:val="-8"/>
        </w:rPr>
        <w:t> </w:t>
      </w:r>
      <w:r>
        <w:rPr>
          <w:color w:val="231F20"/>
        </w:rPr>
        <w:t>support.</w:t>
      </w:r>
      <w:r>
        <w:rPr>
          <w:color w:val="231F20"/>
          <w:spacing w:val="-7"/>
        </w:rPr>
        <w:t> </w:t>
      </w:r>
      <w:r>
        <w:rPr>
          <w:color w:val="231F20"/>
        </w:rPr>
        <w:t>Some</w:t>
      </w:r>
      <w:r>
        <w:rPr>
          <w:color w:val="231F20"/>
          <w:spacing w:val="-7"/>
        </w:rPr>
        <w:t> </w:t>
      </w:r>
      <w:r>
        <w:rPr>
          <w:color w:val="231F20"/>
        </w:rPr>
        <w:t>examples</w:t>
      </w:r>
      <w:r>
        <w:rPr>
          <w:color w:val="231F20"/>
          <w:spacing w:val="-7"/>
        </w:rPr>
        <w:t> </w:t>
      </w:r>
      <w:r>
        <w:rPr>
          <w:color w:val="231F20"/>
        </w:rPr>
        <w:t>of these programs include PhotoVoice and the Ambassador project.</w:t>
      </w:r>
    </w:p>
    <w:p>
      <w:pPr>
        <w:pStyle w:val="BodyText"/>
        <w:rPr>
          <w:sz w:val="20"/>
        </w:rPr>
      </w:pPr>
    </w:p>
    <w:p>
      <w:pPr>
        <w:pStyle w:val="BodyText"/>
        <w:spacing w:before="10"/>
        <w:rPr>
          <w:sz w:val="17"/>
        </w:rPr>
      </w:pPr>
    </w:p>
    <w:p>
      <w:pPr>
        <w:spacing w:before="108"/>
        <w:ind w:left="0" w:right="1058" w:firstLine="0"/>
        <w:jc w:val="right"/>
        <w:rPr>
          <w:rFonts w:ascii="Franklin Gothic Medium"/>
          <w:sz w:val="20"/>
        </w:rPr>
      </w:pPr>
      <w:r>
        <w:rPr>
          <w:rFonts w:ascii="Franklin Gothic Medium"/>
          <w:color w:val="231F20"/>
          <w:w w:val="100"/>
          <w:sz w:val="20"/>
        </w:rPr>
        <w:t>2</w:t>
      </w:r>
    </w:p>
    <w:p>
      <w:pPr>
        <w:spacing w:after="0"/>
        <w:jc w:val="right"/>
        <w:rPr>
          <w:rFonts w:ascii="Franklin Gothic Medium"/>
          <w:sz w:val="20"/>
        </w:rPr>
        <w:sectPr>
          <w:type w:val="continuous"/>
          <w:pgSz w:w="12240" w:h="15840"/>
          <w:pgMar w:top="720" w:bottom="0" w:left="0" w:right="0"/>
        </w:sectPr>
      </w:pPr>
    </w:p>
    <w:p>
      <w:pPr>
        <w:pStyle w:val="BodyText"/>
        <w:spacing w:line="254" w:lineRule="auto" w:before="81"/>
        <w:ind w:left="1040" w:right="1342"/>
      </w:pPr>
      <w:r>
        <w:rPr/>
        <w:pict>
          <v:group style="position:absolute;margin-left:0pt;margin-top:540.885986pt;width:612pt;height:251.15pt;mso-position-horizontal-relative:page;mso-position-vertical-relative:page;z-index:-15861248" id="docshapegroup61" coordorigin="0,10818" coordsize="12240,5023">
            <v:rect style="position:absolute;left:0;top:10817;width:12240;height:5023" id="docshape62" filled="true" fillcolor="#005994" stroked="false">
              <v:fill opacity="3932f" type="solid"/>
            </v:rect>
            <v:shape style="position:absolute;left:6132;top:12620;width:5121;height:2307" id="docshape63" coordorigin="6132,12621" coordsize="5121,2307" path="m11095,12621l6132,13033,6290,14927,11253,14514,11095,12621xe" filled="true" fillcolor="#005994" stroked="false">
              <v:path arrowok="t"/>
              <v:fill type="solid"/>
            </v:shape>
            <v:shape style="position:absolute;left:6202;top:12823;width:4980;height:1900" type="#_x0000_t75" id="docshape64" stroked="false">
              <v:imagedata r:id="rId27" o:title=""/>
            </v:shape>
            <w10:wrap type="none"/>
          </v:group>
        </w:pict>
      </w:r>
      <w:r>
        <w:rPr>
          <w:color w:val="231F20"/>
        </w:rPr>
        <w:t>The PhotoVoice project trains and empowers young people to use photography to catalyze change in their communities. The Ambassador Project is a peer-based, community-centered,</w:t>
      </w:r>
      <w:r>
        <w:rPr>
          <w:color w:val="231F20"/>
          <w:spacing w:val="-12"/>
        </w:rPr>
        <w:t> </w:t>
      </w:r>
      <w:r>
        <w:rPr>
          <w:color w:val="231F20"/>
        </w:rPr>
        <w:t>participatory,</w:t>
      </w:r>
      <w:r>
        <w:rPr>
          <w:color w:val="231F20"/>
          <w:spacing w:val="-12"/>
        </w:rPr>
        <w:t> </w:t>
      </w:r>
      <w:r>
        <w:rPr>
          <w:color w:val="231F20"/>
        </w:rPr>
        <w:t>and</w:t>
      </w:r>
      <w:r>
        <w:rPr>
          <w:color w:val="231F20"/>
          <w:spacing w:val="-12"/>
        </w:rPr>
        <w:t> </w:t>
      </w:r>
      <w:r>
        <w:rPr>
          <w:color w:val="231F20"/>
        </w:rPr>
        <w:t>culturally</w:t>
      </w:r>
      <w:r>
        <w:rPr>
          <w:color w:val="231F20"/>
          <w:spacing w:val="-12"/>
        </w:rPr>
        <w:t> </w:t>
      </w:r>
      <w:r>
        <w:rPr>
          <w:color w:val="231F20"/>
        </w:rPr>
        <w:t>responsive</w:t>
      </w:r>
      <w:r>
        <w:rPr>
          <w:color w:val="231F20"/>
          <w:spacing w:val="-12"/>
        </w:rPr>
        <w:t> </w:t>
      </w:r>
      <w:r>
        <w:rPr>
          <w:color w:val="231F20"/>
        </w:rPr>
        <w:t>approach</w:t>
      </w:r>
      <w:r>
        <w:rPr>
          <w:color w:val="231F20"/>
          <w:spacing w:val="-12"/>
        </w:rPr>
        <w:t> </w:t>
      </w:r>
      <w:r>
        <w:rPr>
          <w:color w:val="231F20"/>
        </w:rPr>
        <w:t>to</w:t>
      </w:r>
      <w:r>
        <w:rPr>
          <w:color w:val="231F20"/>
          <w:spacing w:val="-12"/>
        </w:rPr>
        <w:t> </w:t>
      </w:r>
      <w:r>
        <w:rPr>
          <w:color w:val="231F20"/>
        </w:rPr>
        <w:t>reaching</w:t>
      </w:r>
      <w:r>
        <w:rPr>
          <w:color w:val="231F20"/>
          <w:spacing w:val="-12"/>
        </w:rPr>
        <w:t> </w:t>
      </w:r>
      <w:r>
        <w:rPr>
          <w:color w:val="231F20"/>
        </w:rPr>
        <w:t>a</w:t>
      </w:r>
    </w:p>
    <w:p>
      <w:pPr>
        <w:tabs>
          <w:tab w:pos="8670" w:val="left" w:leader="none"/>
        </w:tabs>
        <w:spacing w:line="252" w:lineRule="auto" w:before="0"/>
        <w:ind w:left="6297" w:right="912" w:firstLine="0"/>
        <w:jc w:val="left"/>
        <w:rPr>
          <w:rFonts w:ascii="Trebuchet MS"/>
          <w:b/>
          <w:sz w:val="28"/>
        </w:rPr>
      </w:pPr>
      <w:r>
        <w:rPr/>
        <w:pict>
          <v:group style="position:absolute;margin-left:65.041199pt;margin-top:4.105068pt;width:203.5pt;height:147.3pt;mso-position-horizontal-relative:page;mso-position-vertical-relative:paragraph;z-index:15731712" id="docshapegroup65" coordorigin="1301,82" coordsize="4070,2946">
            <v:shape style="position:absolute;left:1300;top:82;width:4070;height:2946" id="docshape66" coordorigin="1301,82" coordsize="4070,2946" path="m1616,82l1301,2547,5055,3028,5370,562,1616,82xe" filled="true" fillcolor="#005994" stroked="false">
              <v:path arrowok="t"/>
              <v:fill type="solid"/>
            </v:shape>
            <v:shape style="position:absolute;left:1481;top:337;width:3709;height:2436" type="#_x0000_t75" id="docshape67" stroked="false">
              <v:imagedata r:id="rId28" o:title=""/>
            </v:shape>
            <w10:wrap type="none"/>
          </v:group>
        </w:pict>
      </w:r>
      <w:r>
        <w:rPr>
          <w:color w:val="231F20"/>
          <w:sz w:val="28"/>
        </w:rPr>
        <w:t>population at higher risk for problem gambling and to engage them in prevention discussions through individual, group, and community-level interactions. You</w:t>
      </w:r>
      <w:r>
        <w:rPr>
          <w:color w:val="231F20"/>
          <w:spacing w:val="-9"/>
          <w:sz w:val="28"/>
        </w:rPr>
        <w:t> </w:t>
      </w:r>
      <w:r>
        <w:rPr>
          <w:color w:val="231F20"/>
          <w:sz w:val="28"/>
        </w:rPr>
        <w:t>can</w:t>
      </w:r>
      <w:r>
        <w:rPr>
          <w:color w:val="231F20"/>
          <w:spacing w:val="-9"/>
          <w:sz w:val="28"/>
        </w:rPr>
        <w:t> </w:t>
      </w:r>
      <w:r>
        <w:rPr>
          <w:color w:val="231F20"/>
          <w:sz w:val="28"/>
        </w:rPr>
        <w:t>learn</w:t>
      </w:r>
      <w:r>
        <w:rPr>
          <w:color w:val="231F20"/>
          <w:spacing w:val="-9"/>
          <w:sz w:val="28"/>
        </w:rPr>
        <w:t> </w:t>
      </w:r>
      <w:r>
        <w:rPr>
          <w:color w:val="231F20"/>
          <w:sz w:val="28"/>
        </w:rPr>
        <w:t>more</w:t>
      </w:r>
      <w:r>
        <w:rPr>
          <w:color w:val="231F20"/>
          <w:spacing w:val="-9"/>
          <w:sz w:val="28"/>
        </w:rPr>
        <w:t> </w:t>
      </w:r>
      <w:r>
        <w:rPr>
          <w:color w:val="231F20"/>
          <w:sz w:val="28"/>
        </w:rPr>
        <w:t>about</w:t>
      </w:r>
      <w:r>
        <w:rPr>
          <w:color w:val="231F20"/>
          <w:spacing w:val="-9"/>
          <w:sz w:val="28"/>
        </w:rPr>
        <w:t> </w:t>
      </w:r>
      <w:r>
        <w:rPr>
          <w:color w:val="231F20"/>
          <w:sz w:val="28"/>
        </w:rPr>
        <w:t>the</w:t>
      </w:r>
      <w:r>
        <w:rPr>
          <w:color w:val="231F20"/>
          <w:spacing w:val="-9"/>
          <w:sz w:val="28"/>
        </w:rPr>
        <w:t> </w:t>
      </w:r>
      <w:r>
        <w:rPr>
          <w:color w:val="231F20"/>
          <w:sz w:val="28"/>
        </w:rPr>
        <w:t>Ambassador project by reading</w:t>
        <w:tab/>
      </w:r>
      <w:r>
        <w:rPr>
          <w:rFonts w:ascii="Trebuchet MS"/>
          <w:b/>
          <w:color w:val="022D53"/>
          <w:sz w:val="28"/>
          <w:u w:val="thick" w:color="022D53"/>
        </w:rPr>
        <w:t>Our</w:t>
      </w:r>
      <w:r>
        <w:rPr>
          <w:rFonts w:ascii="Trebuchet MS"/>
          <w:b/>
          <w:color w:val="022D53"/>
          <w:spacing w:val="-5"/>
          <w:sz w:val="28"/>
          <w:u w:val="thick" w:color="022D53"/>
        </w:rPr>
        <w:t> </w:t>
      </w:r>
      <w:r>
        <w:rPr>
          <w:rFonts w:ascii="Trebuchet MS"/>
          <w:b/>
          <w:color w:val="022D53"/>
          <w:sz w:val="28"/>
          <w:u w:val="thick" w:color="022D53"/>
        </w:rPr>
        <w:t>Voices</w:t>
      </w:r>
      <w:r>
        <w:rPr>
          <w:rFonts w:ascii="Trebuchet MS"/>
          <w:b/>
          <w:color w:val="022D53"/>
          <w:spacing w:val="-5"/>
          <w:sz w:val="28"/>
          <w:u w:val="thick" w:color="022D53"/>
        </w:rPr>
        <w:t> </w:t>
      </w:r>
      <w:r>
        <w:rPr>
          <w:rFonts w:ascii="Trebuchet MS"/>
          <w:b/>
          <w:color w:val="022D53"/>
          <w:sz w:val="28"/>
          <w:u w:val="thick" w:color="022D53"/>
        </w:rPr>
        <w:t>Matter:</w:t>
      </w:r>
      <w:r>
        <w:rPr>
          <w:rFonts w:ascii="Trebuchet MS"/>
          <w:b/>
          <w:color w:val="022D53"/>
          <w:sz w:val="28"/>
        </w:rPr>
        <w:t> </w:t>
      </w:r>
      <w:hyperlink r:id="rId29">
        <w:r>
          <w:rPr>
            <w:rFonts w:ascii="Trebuchet MS"/>
            <w:b/>
            <w:color w:val="022D53"/>
            <w:spacing w:val="-4"/>
            <w:sz w:val="28"/>
            <w:u w:val="thick" w:color="022D53"/>
          </w:rPr>
          <w:t>Using</w:t>
        </w:r>
        <w:r>
          <w:rPr>
            <w:rFonts w:ascii="Trebuchet MS"/>
            <w:b/>
            <w:color w:val="022D53"/>
            <w:spacing w:val="-17"/>
            <w:sz w:val="28"/>
            <w:u w:val="thick" w:color="022D53"/>
          </w:rPr>
          <w:t> </w:t>
        </w:r>
        <w:r>
          <w:rPr>
            <w:rFonts w:ascii="Trebuchet MS"/>
            <w:b/>
            <w:color w:val="022D53"/>
            <w:spacing w:val="-4"/>
            <w:sz w:val="28"/>
            <w:u w:val="thick" w:color="022D53"/>
          </w:rPr>
          <w:t>Lived</w:t>
        </w:r>
        <w:r>
          <w:rPr>
            <w:rFonts w:ascii="Trebuchet MS"/>
            <w:b/>
            <w:color w:val="022D53"/>
            <w:spacing w:val="-17"/>
            <w:sz w:val="28"/>
            <w:u w:val="thick" w:color="022D53"/>
          </w:rPr>
          <w:t> </w:t>
        </w:r>
        <w:r>
          <w:rPr>
            <w:rFonts w:ascii="Trebuchet MS"/>
            <w:b/>
            <w:color w:val="022D53"/>
            <w:spacing w:val="-4"/>
            <w:sz w:val="28"/>
            <w:u w:val="thick" w:color="022D53"/>
          </w:rPr>
          <w:t>Experience</w:t>
        </w:r>
        <w:r>
          <w:rPr>
            <w:rFonts w:ascii="Trebuchet MS"/>
            <w:b/>
            <w:color w:val="022D53"/>
            <w:spacing w:val="-17"/>
            <w:sz w:val="28"/>
            <w:u w:val="thick" w:color="022D53"/>
          </w:rPr>
          <w:t> </w:t>
        </w:r>
        <w:r>
          <w:rPr>
            <w:rFonts w:ascii="Trebuchet MS"/>
            <w:b/>
            <w:color w:val="022D53"/>
            <w:spacing w:val="-4"/>
            <w:sz w:val="28"/>
            <w:u w:val="thick" w:color="022D53"/>
          </w:rPr>
          <w:t>to</w:t>
        </w:r>
        <w:r>
          <w:rPr>
            <w:rFonts w:ascii="Trebuchet MS"/>
            <w:b/>
            <w:color w:val="022D53"/>
            <w:spacing w:val="-17"/>
            <w:sz w:val="28"/>
            <w:u w:val="thick" w:color="022D53"/>
          </w:rPr>
          <w:t> </w:t>
        </w:r>
        <w:r>
          <w:rPr>
            <w:rFonts w:ascii="Trebuchet MS"/>
            <w:b/>
            <w:color w:val="022D53"/>
            <w:spacing w:val="-4"/>
            <w:sz w:val="28"/>
            <w:u w:val="thick" w:color="022D53"/>
          </w:rPr>
          <w:t>Promote</w:t>
        </w:r>
        <w:r>
          <w:rPr>
            <w:rFonts w:ascii="Trebuchet MS"/>
            <w:b/>
            <w:color w:val="022D53"/>
            <w:spacing w:val="-4"/>
            <w:sz w:val="28"/>
          </w:rPr>
          <w:t> </w:t>
        </w:r>
        <w:r>
          <w:rPr>
            <w:rFonts w:ascii="Trebuchet MS"/>
            <w:b/>
            <w:color w:val="022D53"/>
            <w:spacing w:val="-6"/>
            <w:sz w:val="28"/>
            <w:u w:val="thick" w:color="022D53"/>
          </w:rPr>
          <w:t>Equity</w:t>
        </w:r>
        <w:r>
          <w:rPr>
            <w:rFonts w:ascii="Trebuchet MS"/>
            <w:b/>
            <w:color w:val="022D53"/>
            <w:spacing w:val="-16"/>
            <w:sz w:val="28"/>
            <w:u w:val="thick" w:color="022D53"/>
          </w:rPr>
          <w:t> </w:t>
        </w:r>
        <w:r>
          <w:rPr>
            <w:rFonts w:ascii="Trebuchet MS"/>
            <w:b/>
            <w:color w:val="022D53"/>
            <w:spacing w:val="-6"/>
            <w:sz w:val="28"/>
            <w:u w:val="thick" w:color="022D53"/>
          </w:rPr>
          <w:t>in</w:t>
        </w:r>
        <w:r>
          <w:rPr>
            <w:rFonts w:ascii="Trebuchet MS"/>
            <w:b/>
            <w:color w:val="022D53"/>
            <w:spacing w:val="-15"/>
            <w:sz w:val="28"/>
            <w:u w:val="thick" w:color="022D53"/>
          </w:rPr>
          <w:t> </w:t>
        </w:r>
        <w:r>
          <w:rPr>
            <w:rFonts w:ascii="Trebuchet MS"/>
            <w:b/>
            <w:color w:val="022D53"/>
            <w:spacing w:val="-6"/>
            <w:sz w:val="28"/>
            <w:u w:val="thick" w:color="022D53"/>
          </w:rPr>
          <w:t>Problem</w:t>
        </w:r>
        <w:r>
          <w:rPr>
            <w:rFonts w:ascii="Trebuchet MS"/>
            <w:b/>
            <w:color w:val="022D53"/>
            <w:spacing w:val="-15"/>
            <w:sz w:val="28"/>
            <w:u w:val="thick" w:color="022D53"/>
          </w:rPr>
          <w:t> </w:t>
        </w:r>
        <w:r>
          <w:rPr>
            <w:rFonts w:ascii="Trebuchet MS"/>
            <w:b/>
            <w:color w:val="022D53"/>
            <w:spacing w:val="-6"/>
            <w:sz w:val="28"/>
            <w:u w:val="thick" w:color="022D53"/>
          </w:rPr>
          <w:t>Gambling</w:t>
        </w:r>
        <w:r>
          <w:rPr>
            <w:rFonts w:ascii="Trebuchet MS"/>
            <w:b/>
            <w:color w:val="022D53"/>
            <w:spacing w:val="-15"/>
            <w:sz w:val="28"/>
            <w:u w:val="thick" w:color="022D53"/>
          </w:rPr>
          <w:t> </w:t>
        </w:r>
        <w:r>
          <w:rPr>
            <w:rFonts w:ascii="Trebuchet MS"/>
            <w:b/>
            <w:color w:val="022D53"/>
            <w:spacing w:val="-6"/>
            <w:sz w:val="28"/>
            <w:u w:val="thick" w:color="022D53"/>
          </w:rPr>
          <w:t>Prevention.</w:t>
        </w:r>
        <w:r>
          <w:rPr>
            <w:rFonts w:ascii="Trebuchet MS"/>
            <w:b/>
            <w:color w:val="022D53"/>
            <w:spacing w:val="40"/>
            <w:sz w:val="28"/>
            <w:u w:val="thick" w:color="022D53"/>
          </w:rPr>
          <w:t> </w:t>
        </w:r>
      </w:hyperlink>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Heading1"/>
        <w:spacing w:before="218"/>
        <w:ind w:left="1020"/>
      </w:pPr>
      <w:r>
        <w:rPr>
          <w:color w:val="005994"/>
        </w:rPr>
        <w:t>Workforce</w:t>
      </w:r>
      <w:r>
        <w:rPr>
          <w:color w:val="005994"/>
          <w:spacing w:val="26"/>
        </w:rPr>
        <w:t> </w:t>
      </w:r>
      <w:r>
        <w:rPr>
          <w:color w:val="005994"/>
        </w:rPr>
        <w:t>and</w:t>
      </w:r>
      <w:r>
        <w:rPr>
          <w:color w:val="005994"/>
          <w:spacing w:val="-10"/>
        </w:rPr>
        <w:t> </w:t>
      </w:r>
      <w:r>
        <w:rPr>
          <w:color w:val="005994"/>
        </w:rPr>
        <w:t>Training</w:t>
      </w:r>
      <w:r>
        <w:rPr>
          <w:color w:val="005994"/>
          <w:spacing w:val="27"/>
        </w:rPr>
        <w:t> </w:t>
      </w:r>
      <w:r>
        <w:rPr>
          <w:color w:val="005994"/>
          <w:spacing w:val="-2"/>
        </w:rPr>
        <w:t>Supports</w:t>
      </w:r>
    </w:p>
    <w:p>
      <w:pPr>
        <w:pStyle w:val="BodyText"/>
        <w:spacing w:line="254" w:lineRule="auto" w:before="85"/>
        <w:ind w:left="1040" w:right="6420"/>
      </w:pPr>
      <w:r>
        <w:rPr/>
        <w:pict>
          <v:group style="position:absolute;margin-left:310.122009pt;margin-top:24.61664pt;width:301.9pt;height:162.9pt;mso-position-horizontal-relative:page;mso-position-vertical-relative:paragraph;z-index:15731200" id="docshapegroup68" coordorigin="6202,492" coordsize="6038,3258">
            <v:rect style="position:absolute;left:6202;top:794;width:5707;height:2956" id="docshape69" filled="true" fillcolor="#005994" stroked="false">
              <v:fill type="solid"/>
            </v:rect>
            <v:shape style="position:absolute;left:6483;top:492;width:5757;height:3008" type="#_x0000_t75" id="docshape70" stroked="false">
              <v:imagedata r:id="rId30" o:title=""/>
            </v:shape>
            <w10:wrap type="none"/>
          </v:group>
        </w:pict>
      </w:r>
      <w:r>
        <w:rPr>
          <w:color w:val="231F20"/>
        </w:rPr>
        <w:t>OPGS contracts with vendors to provide workforce support and leadership development through various training activities. Training and leadership development efforts also seek to enhance capacity within priority populations such as Veterans, Men of Color, Asian Americans, and Youth in addition to building the capacity of the workforce of outpatient substance use treatment programs to offer and promote gambling treatment services.</w:t>
      </w:r>
    </w:p>
    <w:p>
      <w:pPr>
        <w:pStyle w:val="BodyText"/>
        <w:spacing w:before="4"/>
        <w:rPr>
          <w:sz w:val="40"/>
        </w:rPr>
      </w:pPr>
    </w:p>
    <w:p>
      <w:pPr>
        <w:pStyle w:val="Heading1"/>
        <w:ind w:left="1064"/>
      </w:pPr>
      <w:r>
        <w:rPr>
          <w:color w:val="005994"/>
        </w:rPr>
        <w:t>Public</w:t>
      </w:r>
      <w:r>
        <w:rPr>
          <w:color w:val="005994"/>
          <w:spacing w:val="1"/>
        </w:rPr>
        <w:t> </w:t>
      </w:r>
      <w:r>
        <w:rPr>
          <w:color w:val="005994"/>
          <w:spacing w:val="-2"/>
        </w:rPr>
        <w:t>Awareness</w:t>
      </w:r>
    </w:p>
    <w:p>
      <w:pPr>
        <w:pStyle w:val="BodyText"/>
        <w:spacing w:line="252" w:lineRule="auto" w:before="101"/>
        <w:ind w:left="1040" w:right="1390"/>
      </w:pPr>
      <w:r>
        <w:rPr>
          <w:color w:val="231F20"/>
        </w:rPr>
        <w:t>OPGS leads a comprehensive communication strategy centered on our platform: </w:t>
      </w:r>
      <w:hyperlink r:id="rId31">
        <w:r>
          <w:rPr>
            <w:rFonts w:ascii="Trebuchet MS" w:hAnsi="Trebuchet MS"/>
            <w:b/>
            <w:color w:val="022D53"/>
            <w:u w:val="thick" w:color="022D53"/>
          </w:rPr>
          <w:t>Let’s</w:t>
        </w:r>
        <w:r>
          <w:rPr>
            <w:rFonts w:ascii="Trebuchet MS" w:hAnsi="Trebuchet MS"/>
            <w:b/>
            <w:color w:val="022D53"/>
            <w:spacing w:val="-6"/>
            <w:u w:val="thick" w:color="022D53"/>
          </w:rPr>
          <w:t> </w:t>
        </w:r>
        <w:r>
          <w:rPr>
            <w:rFonts w:ascii="Trebuchet MS" w:hAnsi="Trebuchet MS"/>
            <w:b/>
            <w:color w:val="022D53"/>
            <w:u w:val="thick" w:color="022D53"/>
          </w:rPr>
          <w:t>Get</w:t>
        </w:r>
        <w:r>
          <w:rPr>
            <w:rFonts w:ascii="Trebuchet MS" w:hAnsi="Trebuchet MS"/>
            <w:b/>
            <w:color w:val="022D53"/>
            <w:spacing w:val="-6"/>
            <w:u w:val="thick" w:color="022D53"/>
          </w:rPr>
          <w:t> </w:t>
        </w:r>
        <w:r>
          <w:rPr>
            <w:rFonts w:ascii="Trebuchet MS" w:hAnsi="Trebuchet MS"/>
            <w:b/>
            <w:color w:val="022D53"/>
            <w:u w:val="thick" w:color="022D53"/>
          </w:rPr>
          <w:t>Real</w:t>
        </w:r>
        <w:r>
          <w:rPr>
            <w:rFonts w:ascii="Trebuchet MS" w:hAnsi="Trebuchet MS"/>
            <w:b/>
            <w:color w:val="022D53"/>
            <w:spacing w:val="-6"/>
            <w:u w:val="thick" w:color="022D53"/>
          </w:rPr>
          <w:t> </w:t>
        </w:r>
        <w:r>
          <w:rPr>
            <w:rFonts w:ascii="Trebuchet MS" w:hAnsi="Trebuchet MS"/>
            <w:b/>
            <w:color w:val="022D53"/>
            <w:u w:val="thick" w:color="022D53"/>
          </w:rPr>
          <w:t>about</w:t>
        </w:r>
        <w:r>
          <w:rPr>
            <w:rFonts w:ascii="Trebuchet MS" w:hAnsi="Trebuchet MS"/>
            <w:b/>
            <w:color w:val="022D53"/>
            <w:spacing w:val="-6"/>
            <w:u w:val="thick" w:color="022D53"/>
          </w:rPr>
          <w:t> </w:t>
        </w:r>
        <w:r>
          <w:rPr>
            <w:rFonts w:ascii="Trebuchet MS" w:hAnsi="Trebuchet MS"/>
            <w:b/>
            <w:color w:val="022D53"/>
            <w:u w:val="thick" w:color="022D53"/>
          </w:rPr>
          <w:t>Gambling</w:t>
        </w:r>
        <w:r>
          <w:rPr>
            <w:color w:val="231F20"/>
          </w:rPr>
          <w:t>.</w:t>
        </w:r>
      </w:hyperlink>
      <w:r>
        <w:rPr>
          <w:color w:val="231F20"/>
        </w:rPr>
        <w:t> The campaigns aim to increase education and awareness of gambling, especially for</w:t>
      </w:r>
    </w:p>
    <w:p>
      <w:pPr>
        <w:pStyle w:val="BodyText"/>
        <w:spacing w:line="254" w:lineRule="auto"/>
        <w:ind w:left="1040" w:right="6420"/>
      </w:pPr>
      <w:r>
        <w:rPr>
          <w:color w:val="231F20"/>
        </w:rPr>
        <w:t>priority populations. They also direct viewers to resources such as the Problem Gambling Helpline and the OPGS website. The various campaigns are shared via billboards, digital bulletins, on YouTube, Facebook,</w:t>
      </w:r>
    </w:p>
    <w:p>
      <w:pPr>
        <w:spacing w:before="212"/>
        <w:ind w:left="0" w:right="1085" w:firstLine="0"/>
        <w:jc w:val="right"/>
        <w:rPr>
          <w:rFonts w:ascii="Franklin Gothic Medium"/>
          <w:sz w:val="20"/>
        </w:rPr>
      </w:pPr>
      <w:r>
        <w:rPr>
          <w:rFonts w:ascii="Franklin Gothic Medium"/>
          <w:color w:val="231F20"/>
          <w:w w:val="100"/>
          <w:sz w:val="20"/>
        </w:rPr>
        <w:t>3</w:t>
      </w:r>
    </w:p>
    <w:p>
      <w:pPr>
        <w:spacing w:after="0"/>
        <w:jc w:val="right"/>
        <w:rPr>
          <w:rFonts w:ascii="Franklin Gothic Medium"/>
          <w:sz w:val="20"/>
        </w:rPr>
        <w:sectPr>
          <w:pgSz w:w="12240" w:h="15840"/>
          <w:pgMar w:top="920" w:bottom="0" w:left="0" w:right="0"/>
        </w:sectPr>
      </w:pPr>
    </w:p>
    <w:p>
      <w:pPr>
        <w:pStyle w:val="BodyText"/>
        <w:rPr>
          <w:rFonts w:ascii="Franklin Gothic Medium"/>
          <w:sz w:val="20"/>
        </w:rPr>
      </w:pPr>
      <w:r>
        <w:rPr/>
        <w:pict>
          <v:group style="position:absolute;margin-left:0pt;margin-top:0pt;width:612pt;height:208.3pt;mso-position-horizontal-relative:page;mso-position-vertical-relative:page;z-index:15733248" id="docshapegroup71" coordorigin="0,0" coordsize="12240,4166">
            <v:rect style="position:absolute;left:0;top:0;width:12240;height:4166" id="docshape72" filled="true" fillcolor="#005994" stroked="false">
              <v:fill opacity="3932f" type="solid"/>
            </v:rect>
            <v:shape style="position:absolute;left:6103;top:766;width:5254;height:3194" id="docshape73" coordorigin="6103,766" coordsize="5254,3194" path="m6431,766l6103,3329,11029,3959,11357,1396,6431,766xe" filled="true" fillcolor="#005994" stroked="false">
              <v:path arrowok="t"/>
              <v:fill type="solid"/>
            </v:shape>
            <v:shape style="position:absolute;left:6247;top:1070;width:4953;height:2584" type="#_x0000_t75" id="docshape74" stroked="false">
              <v:imagedata r:id="rId32" o:title=""/>
            </v:shape>
            <v:shape style="position:absolute;left:0;top:0;width:12240;height:4166" type="#_x0000_t202" id="docshape75" filled="false" stroked="false">
              <v:textbox inset="0,0,0,0">
                <w:txbxContent>
                  <w:p>
                    <w:pPr>
                      <w:spacing w:line="240" w:lineRule="auto" w:before="0"/>
                      <w:rPr>
                        <w:rFonts w:ascii="Franklin Gothic Medium"/>
                        <w:sz w:val="34"/>
                      </w:rPr>
                    </w:pPr>
                  </w:p>
                  <w:p>
                    <w:pPr>
                      <w:spacing w:line="240" w:lineRule="auto" w:before="0"/>
                      <w:rPr>
                        <w:rFonts w:ascii="Franklin Gothic Medium"/>
                        <w:sz w:val="34"/>
                      </w:rPr>
                    </w:pPr>
                  </w:p>
                  <w:p>
                    <w:pPr>
                      <w:spacing w:line="254" w:lineRule="auto" w:before="230"/>
                      <w:ind w:left="1080" w:right="6644" w:firstLine="0"/>
                      <w:jc w:val="left"/>
                      <w:rPr>
                        <w:sz w:val="28"/>
                      </w:rPr>
                    </w:pPr>
                    <w:r>
                      <w:rPr>
                        <w:color w:val="231F20"/>
                        <w:sz w:val="28"/>
                      </w:rPr>
                      <w:t>Instagram and other platforms. To date, communication campaigns include Youth and Parents, Older Adults, and Men of Color that have resulted in over 100 million impressions! Be on the lookout for new campaigns in the future.</w:t>
                    </w:r>
                  </w:p>
                </w:txbxContent>
              </v:textbox>
              <w10:wrap type="none"/>
            </v:shape>
            <w10:wrap type="none"/>
          </v:group>
        </w:pict>
      </w: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rPr>
          <w:rFonts w:ascii="Franklin Gothic Medium"/>
          <w:sz w:val="20"/>
        </w:rPr>
      </w:pPr>
    </w:p>
    <w:p>
      <w:pPr>
        <w:pStyle w:val="BodyText"/>
        <w:spacing w:before="4"/>
        <w:rPr>
          <w:rFonts w:ascii="Franklin Gothic Medium"/>
          <w:sz w:val="18"/>
        </w:rPr>
      </w:pPr>
    </w:p>
    <w:p>
      <w:pPr>
        <w:pStyle w:val="Heading1"/>
        <w:spacing w:before="101"/>
      </w:pPr>
      <w:r>
        <w:rPr>
          <w:color w:val="005994"/>
        </w:rPr>
        <w:t>Technical</w:t>
      </w:r>
      <w:r>
        <w:rPr>
          <w:color w:val="005994"/>
          <w:spacing w:val="-5"/>
        </w:rPr>
        <w:t> </w:t>
      </w:r>
      <w:r>
        <w:rPr>
          <w:color w:val="005994"/>
        </w:rPr>
        <w:t>Assistance</w:t>
      </w:r>
      <w:r>
        <w:rPr>
          <w:color w:val="005994"/>
          <w:spacing w:val="34"/>
        </w:rPr>
        <w:t> </w:t>
      </w:r>
      <w:r>
        <w:rPr>
          <w:color w:val="005994"/>
        </w:rPr>
        <w:t>and</w:t>
      </w:r>
      <w:r>
        <w:rPr>
          <w:color w:val="005994"/>
          <w:spacing w:val="35"/>
        </w:rPr>
        <w:t> </w:t>
      </w:r>
      <w:r>
        <w:rPr>
          <w:color w:val="005994"/>
          <w:spacing w:val="-2"/>
        </w:rPr>
        <w:t>Evaluation</w:t>
      </w:r>
    </w:p>
    <w:p>
      <w:pPr>
        <w:pStyle w:val="BodyText"/>
        <w:spacing w:line="254" w:lineRule="auto" w:before="185"/>
        <w:ind w:left="1080" w:right="1157"/>
      </w:pPr>
      <w:r>
        <w:rPr>
          <w:color w:val="231F20"/>
        </w:rPr>
        <w:t>OPGS is committed to leading with data and building capacity across problem gambling programs and services. Our evaluation framework measures the progress of programming while informing continuous quality improvement. Our two technical assistance centers build community capacity in the prevention and treatment of problem gambling and related issues.</w:t>
      </w:r>
    </w:p>
    <w:p>
      <w:pPr>
        <w:pStyle w:val="BodyText"/>
        <w:spacing w:before="1"/>
        <w:rPr>
          <w:sz w:val="29"/>
        </w:rPr>
      </w:pPr>
    </w:p>
    <w:p>
      <w:pPr>
        <w:spacing w:line="249" w:lineRule="auto" w:before="0"/>
        <w:ind w:left="1080" w:right="875" w:firstLine="0"/>
        <w:jc w:val="left"/>
        <w:rPr>
          <w:sz w:val="28"/>
        </w:rPr>
      </w:pPr>
      <w:r>
        <w:rPr>
          <w:color w:val="231F20"/>
          <w:spacing w:val="-6"/>
          <w:sz w:val="28"/>
        </w:rPr>
        <w:t>The</w:t>
      </w:r>
      <w:r>
        <w:rPr>
          <w:color w:val="231F20"/>
          <w:spacing w:val="-10"/>
          <w:sz w:val="28"/>
        </w:rPr>
        <w:t> </w:t>
      </w:r>
      <w:hyperlink r:id="rId33">
        <w:r>
          <w:rPr>
            <w:rFonts w:ascii="Trebuchet MS"/>
            <w:b/>
            <w:color w:val="022D53"/>
            <w:spacing w:val="-6"/>
            <w:sz w:val="28"/>
            <w:u w:val="thick" w:color="022D53"/>
          </w:rPr>
          <w:t>Massachusetts</w:t>
        </w:r>
        <w:r>
          <w:rPr>
            <w:rFonts w:ascii="Trebuchet MS"/>
            <w:b/>
            <w:color w:val="022D53"/>
            <w:spacing w:val="-15"/>
            <w:sz w:val="28"/>
            <w:u w:val="thick" w:color="022D53"/>
          </w:rPr>
          <w:t> </w:t>
        </w:r>
        <w:r>
          <w:rPr>
            <w:rFonts w:ascii="Trebuchet MS"/>
            <w:b/>
            <w:color w:val="022D53"/>
            <w:spacing w:val="-6"/>
            <w:sz w:val="28"/>
            <w:u w:val="thick" w:color="022D53"/>
          </w:rPr>
          <w:t>Center</w:t>
        </w:r>
        <w:r>
          <w:rPr>
            <w:rFonts w:ascii="Trebuchet MS"/>
            <w:b/>
            <w:color w:val="022D53"/>
            <w:spacing w:val="-15"/>
            <w:sz w:val="28"/>
            <w:u w:val="thick" w:color="022D53"/>
          </w:rPr>
          <w:t> </w:t>
        </w:r>
        <w:r>
          <w:rPr>
            <w:rFonts w:ascii="Trebuchet MS"/>
            <w:b/>
            <w:color w:val="022D53"/>
            <w:spacing w:val="-6"/>
            <w:sz w:val="28"/>
            <w:u w:val="thick" w:color="022D53"/>
          </w:rPr>
          <w:t>of</w:t>
        </w:r>
        <w:r>
          <w:rPr>
            <w:rFonts w:ascii="Trebuchet MS"/>
            <w:b/>
            <w:color w:val="022D53"/>
            <w:spacing w:val="-15"/>
            <w:sz w:val="28"/>
            <w:u w:val="thick" w:color="022D53"/>
          </w:rPr>
          <w:t> </w:t>
        </w:r>
        <w:r>
          <w:rPr>
            <w:rFonts w:ascii="Trebuchet MS"/>
            <w:b/>
            <w:color w:val="022D53"/>
            <w:spacing w:val="-6"/>
            <w:sz w:val="28"/>
            <w:u w:val="thick" w:color="022D53"/>
          </w:rPr>
          <w:t>Excellence</w:t>
        </w:r>
        <w:r>
          <w:rPr>
            <w:rFonts w:ascii="Trebuchet MS"/>
            <w:b/>
            <w:color w:val="022D53"/>
            <w:spacing w:val="-15"/>
            <w:sz w:val="28"/>
            <w:u w:val="thick" w:color="022D53"/>
          </w:rPr>
          <w:t> </w:t>
        </w:r>
        <w:r>
          <w:rPr>
            <w:rFonts w:ascii="Trebuchet MS"/>
            <w:b/>
            <w:color w:val="022D53"/>
            <w:spacing w:val="-6"/>
            <w:sz w:val="28"/>
            <w:u w:val="thick" w:color="022D53"/>
          </w:rPr>
          <w:t>on</w:t>
        </w:r>
        <w:r>
          <w:rPr>
            <w:rFonts w:ascii="Trebuchet MS"/>
            <w:b/>
            <w:color w:val="022D53"/>
            <w:spacing w:val="-15"/>
            <w:sz w:val="28"/>
            <w:u w:val="thick" w:color="022D53"/>
          </w:rPr>
          <w:t> </w:t>
        </w:r>
        <w:r>
          <w:rPr>
            <w:rFonts w:ascii="Trebuchet MS"/>
            <w:b/>
            <w:color w:val="022D53"/>
            <w:spacing w:val="-6"/>
            <w:sz w:val="28"/>
            <w:u w:val="thick" w:color="022D53"/>
          </w:rPr>
          <w:t>Problem</w:t>
        </w:r>
        <w:r>
          <w:rPr>
            <w:rFonts w:ascii="Trebuchet MS"/>
            <w:b/>
            <w:color w:val="022D53"/>
            <w:spacing w:val="-15"/>
            <w:sz w:val="28"/>
            <w:u w:val="thick" w:color="022D53"/>
          </w:rPr>
          <w:t> </w:t>
        </w:r>
        <w:r>
          <w:rPr>
            <w:rFonts w:ascii="Trebuchet MS"/>
            <w:b/>
            <w:color w:val="022D53"/>
            <w:spacing w:val="-6"/>
            <w:sz w:val="28"/>
            <w:u w:val="thick" w:color="022D53"/>
          </w:rPr>
          <w:t>Gambling</w:t>
        </w:r>
        <w:r>
          <w:rPr>
            <w:rFonts w:ascii="Trebuchet MS"/>
            <w:b/>
            <w:color w:val="022D53"/>
            <w:spacing w:val="-16"/>
            <w:sz w:val="28"/>
            <w:u w:val="thick" w:color="022D53"/>
          </w:rPr>
          <w:t> </w:t>
        </w:r>
        <w:r>
          <w:rPr>
            <w:rFonts w:ascii="Trebuchet MS"/>
            <w:b/>
            <w:color w:val="022D53"/>
            <w:spacing w:val="-6"/>
            <w:sz w:val="28"/>
            <w:u w:val="thick" w:color="022D53"/>
          </w:rPr>
          <w:t>Prevention</w:t>
        </w:r>
      </w:hyperlink>
      <w:r>
        <w:rPr>
          <w:rFonts w:ascii="Trebuchet MS"/>
          <w:b/>
          <w:color w:val="022D53"/>
          <w:spacing w:val="-15"/>
          <w:sz w:val="28"/>
        </w:rPr>
        <w:t> </w:t>
      </w:r>
      <w:r>
        <w:rPr>
          <w:rFonts w:ascii="Trebuchet MS"/>
          <w:b/>
          <w:color w:val="022D53"/>
          <w:spacing w:val="-6"/>
          <w:sz w:val="28"/>
        </w:rPr>
        <w:t>(MCOE </w:t>
      </w:r>
      <w:r>
        <w:rPr>
          <w:rFonts w:ascii="Trebuchet MS"/>
          <w:b/>
          <w:color w:val="022D53"/>
          <w:sz w:val="28"/>
        </w:rPr>
        <w:t>PGP)</w:t>
      </w:r>
      <w:r>
        <w:rPr>
          <w:rFonts w:ascii="Trebuchet MS"/>
          <w:b/>
          <w:color w:val="022D53"/>
          <w:spacing w:val="-4"/>
          <w:sz w:val="28"/>
        </w:rPr>
        <w:t> </w:t>
      </w:r>
      <w:r>
        <w:rPr>
          <w:color w:val="231F20"/>
          <w:sz w:val="28"/>
        </w:rPr>
        <w:t>provides capacity building, training and resource development services to address the prevention of problem gambling and related health issues.</w:t>
      </w:r>
    </w:p>
    <w:p>
      <w:pPr>
        <w:pStyle w:val="BodyText"/>
        <w:spacing w:before="9"/>
        <w:rPr>
          <w:sz w:val="29"/>
        </w:rPr>
      </w:pPr>
    </w:p>
    <w:p>
      <w:pPr>
        <w:spacing w:line="252" w:lineRule="auto" w:before="0"/>
        <w:ind w:left="1080" w:right="1157" w:firstLine="0"/>
        <w:jc w:val="left"/>
        <w:rPr>
          <w:sz w:val="28"/>
        </w:rPr>
      </w:pPr>
      <w:r>
        <w:rPr>
          <w:color w:val="231F20"/>
          <w:spacing w:val="-8"/>
          <w:sz w:val="28"/>
        </w:rPr>
        <w:t>The</w:t>
      </w:r>
      <w:r>
        <w:rPr>
          <w:color w:val="231F20"/>
          <w:sz w:val="28"/>
        </w:rPr>
        <w:t> </w:t>
      </w:r>
      <w:hyperlink r:id="rId34">
        <w:r>
          <w:rPr>
            <w:rFonts w:ascii="Trebuchet MS"/>
            <w:b/>
            <w:color w:val="022D53"/>
            <w:spacing w:val="-8"/>
            <w:sz w:val="28"/>
            <w:u w:val="thick" w:color="022D53"/>
          </w:rPr>
          <w:t>Massachusetts Technical Assistance Center for Problem Gambling Treatment</w:t>
        </w:r>
      </w:hyperlink>
      <w:r>
        <w:rPr>
          <w:rFonts w:ascii="Trebuchet MS"/>
          <w:b/>
          <w:color w:val="022D53"/>
          <w:spacing w:val="-8"/>
          <w:sz w:val="28"/>
        </w:rPr>
        <w:t> </w:t>
      </w:r>
      <w:r>
        <w:rPr>
          <w:rFonts w:ascii="Trebuchet MS"/>
          <w:b/>
          <w:color w:val="022D53"/>
          <w:sz w:val="28"/>
        </w:rPr>
        <w:t>(M-TAC)</w:t>
      </w:r>
      <w:r>
        <w:rPr>
          <w:rFonts w:ascii="Trebuchet MS"/>
          <w:b/>
          <w:color w:val="022D53"/>
          <w:spacing w:val="-13"/>
          <w:sz w:val="28"/>
        </w:rPr>
        <w:t> </w:t>
      </w:r>
      <w:r>
        <w:rPr>
          <w:color w:val="231F20"/>
          <w:sz w:val="28"/>
        </w:rPr>
        <w:t>provides a range of services that build the capacity of outpatient treatment programs to address problem gambling and co-occurring substance use and mental health disorders.</w:t>
      </w:r>
    </w:p>
    <w:p>
      <w:pPr>
        <w:pStyle w:val="BodyText"/>
        <w:rPr>
          <w:sz w:val="20"/>
        </w:rPr>
      </w:pPr>
    </w:p>
    <w:p>
      <w:pPr>
        <w:pStyle w:val="BodyText"/>
        <w:spacing w:before="4"/>
        <w:rPr>
          <w:sz w:val="20"/>
        </w:rPr>
      </w:pPr>
      <w:r>
        <w:rPr/>
        <w:pict>
          <v:group style="position:absolute;margin-left:47.032501pt;margin-top:12.763596pt;width:255.6pt;height:155.050pt;mso-position-horizontal-relative:page;mso-position-vertical-relative:paragraph;z-index:-15725056;mso-wrap-distance-left:0;mso-wrap-distance-right:0" id="docshapegroup76" coordorigin="941,255" coordsize="5112,3101">
            <v:shape style="position:absolute;left:940;top:255;width:5112;height:3101" id="docshape77" coordorigin="941,255" coordsize="5112,3101" path="m1259,255l941,2743,5734,3356,6052,869,1259,255xe" filled="true" fillcolor="#005994" stroked="false">
              <v:path arrowok="t"/>
              <v:fill type="solid"/>
            </v:shape>
            <v:shape style="position:absolute;left:1080;top:551;width:4831;height:2509" type="#_x0000_t75" id="docshape78" stroked="false">
              <v:imagedata r:id="rId35" o:title=""/>
            </v:shape>
            <w10:wrap type="topAndBottom"/>
          </v:group>
        </w:pict>
      </w:r>
      <w:r>
        <w:rPr/>
        <w:pict>
          <v:group style="position:absolute;margin-left:310.990295pt;margin-top:12.763596pt;width:255.6pt;height:155.050pt;mso-position-horizontal-relative:page;mso-position-vertical-relative:paragraph;z-index:-15724544;mso-wrap-distance-left:0;mso-wrap-distance-right:0" id="docshapegroup79" coordorigin="6220,255" coordsize="5112,3101">
            <v:shape style="position:absolute;left:6219;top:255;width:5112;height:3101" id="docshape80" coordorigin="6220,255" coordsize="5112,3101" path="m11013,255l6220,869,6538,3356,11332,2743,11013,255xe" filled="true" fillcolor="#005994" stroked="false">
              <v:path arrowok="t"/>
              <v:fill type="solid"/>
            </v:shape>
            <v:shape style="position:absolute;left:6247;top:550;width:4953;height:2510" type="#_x0000_t75" id="docshape81" stroked="false">
              <v:imagedata r:id="rId36" o:title=""/>
            </v:shape>
            <w10:wrap type="topAndBottom"/>
          </v:group>
        </w:pict>
      </w:r>
    </w:p>
    <w:p>
      <w:pPr>
        <w:pStyle w:val="BodyText"/>
        <w:spacing w:before="2"/>
        <w:rPr>
          <w:sz w:val="40"/>
        </w:rPr>
      </w:pPr>
    </w:p>
    <w:p>
      <w:pPr>
        <w:spacing w:before="1"/>
        <w:ind w:left="1080" w:right="0" w:firstLine="0"/>
        <w:jc w:val="left"/>
        <w:rPr>
          <w:rFonts w:ascii="Trebuchet MS"/>
          <w:b/>
          <w:sz w:val="26"/>
        </w:rPr>
      </w:pPr>
      <w:r>
        <w:rPr>
          <w:color w:val="022D53"/>
          <w:sz w:val="26"/>
        </w:rPr>
        <w:t>To</w:t>
      </w:r>
      <w:r>
        <w:rPr>
          <w:color w:val="022D53"/>
          <w:spacing w:val="4"/>
          <w:sz w:val="26"/>
        </w:rPr>
        <w:t> </w:t>
      </w:r>
      <w:r>
        <w:rPr>
          <w:color w:val="022D53"/>
          <w:sz w:val="26"/>
        </w:rPr>
        <w:t>learn</w:t>
      </w:r>
      <w:r>
        <w:rPr>
          <w:color w:val="022D53"/>
          <w:spacing w:val="5"/>
          <w:sz w:val="26"/>
        </w:rPr>
        <w:t> </w:t>
      </w:r>
      <w:r>
        <w:rPr>
          <w:color w:val="022D53"/>
          <w:sz w:val="26"/>
        </w:rPr>
        <w:t>more</w:t>
      </w:r>
      <w:r>
        <w:rPr>
          <w:color w:val="022D53"/>
          <w:spacing w:val="4"/>
          <w:sz w:val="26"/>
        </w:rPr>
        <w:t> </w:t>
      </w:r>
      <w:r>
        <w:rPr>
          <w:color w:val="022D53"/>
          <w:sz w:val="26"/>
        </w:rPr>
        <w:t>about</w:t>
      </w:r>
      <w:r>
        <w:rPr>
          <w:color w:val="022D53"/>
          <w:spacing w:val="5"/>
          <w:sz w:val="26"/>
        </w:rPr>
        <w:t> </w:t>
      </w:r>
      <w:r>
        <w:rPr>
          <w:color w:val="022D53"/>
          <w:sz w:val="26"/>
        </w:rPr>
        <w:t>the</w:t>
      </w:r>
      <w:r>
        <w:rPr>
          <w:color w:val="022D53"/>
          <w:spacing w:val="4"/>
          <w:sz w:val="26"/>
        </w:rPr>
        <w:t> </w:t>
      </w:r>
      <w:r>
        <w:rPr>
          <w:color w:val="022D53"/>
          <w:sz w:val="26"/>
        </w:rPr>
        <w:t>Office</w:t>
      </w:r>
      <w:r>
        <w:rPr>
          <w:color w:val="022D53"/>
          <w:spacing w:val="5"/>
          <w:sz w:val="26"/>
        </w:rPr>
        <w:t> </w:t>
      </w:r>
      <w:r>
        <w:rPr>
          <w:color w:val="022D53"/>
          <w:sz w:val="26"/>
        </w:rPr>
        <w:t>of</w:t>
      </w:r>
      <w:r>
        <w:rPr>
          <w:color w:val="022D53"/>
          <w:spacing w:val="5"/>
          <w:sz w:val="26"/>
        </w:rPr>
        <w:t> </w:t>
      </w:r>
      <w:r>
        <w:rPr>
          <w:color w:val="022D53"/>
          <w:sz w:val="26"/>
        </w:rPr>
        <w:t>Problem</w:t>
      </w:r>
      <w:r>
        <w:rPr>
          <w:color w:val="022D53"/>
          <w:spacing w:val="4"/>
          <w:sz w:val="26"/>
        </w:rPr>
        <w:t> </w:t>
      </w:r>
      <w:r>
        <w:rPr>
          <w:color w:val="022D53"/>
          <w:sz w:val="26"/>
        </w:rPr>
        <w:t>Gambling</w:t>
      </w:r>
      <w:r>
        <w:rPr>
          <w:color w:val="022D53"/>
          <w:spacing w:val="5"/>
          <w:sz w:val="26"/>
        </w:rPr>
        <w:t> </w:t>
      </w:r>
      <w:r>
        <w:rPr>
          <w:color w:val="022D53"/>
          <w:sz w:val="26"/>
        </w:rPr>
        <w:t>Services</w:t>
      </w:r>
      <w:r>
        <w:rPr>
          <w:color w:val="022D53"/>
          <w:spacing w:val="4"/>
          <w:sz w:val="26"/>
        </w:rPr>
        <w:t> </w:t>
      </w:r>
      <w:r>
        <w:rPr>
          <w:color w:val="022D53"/>
          <w:sz w:val="26"/>
        </w:rPr>
        <w:t>please</w:t>
      </w:r>
      <w:r>
        <w:rPr>
          <w:color w:val="022D53"/>
          <w:spacing w:val="5"/>
          <w:sz w:val="26"/>
        </w:rPr>
        <w:t> </w:t>
      </w:r>
      <w:r>
        <w:rPr>
          <w:color w:val="022D53"/>
          <w:sz w:val="26"/>
        </w:rPr>
        <w:t>visit</w:t>
      </w:r>
      <w:r>
        <w:rPr>
          <w:color w:val="022D53"/>
          <w:spacing w:val="4"/>
          <w:sz w:val="26"/>
        </w:rPr>
        <w:t> </w:t>
      </w:r>
      <w:hyperlink r:id="rId37">
        <w:r>
          <w:rPr>
            <w:rFonts w:ascii="Trebuchet MS"/>
            <w:b/>
            <w:color w:val="022D53"/>
            <w:spacing w:val="-2"/>
            <w:sz w:val="26"/>
          </w:rPr>
          <w:t>mass.gov/opgs</w:t>
        </w:r>
      </w:hyperlink>
    </w:p>
    <w:p>
      <w:pPr>
        <w:pStyle w:val="BodyText"/>
        <w:spacing w:before="10"/>
        <w:rPr>
          <w:rFonts w:ascii="Trebuchet MS"/>
          <w:b/>
          <w:sz w:val="29"/>
        </w:rPr>
      </w:pPr>
    </w:p>
    <w:p>
      <w:pPr>
        <w:spacing w:before="107"/>
        <w:ind w:left="0" w:right="1038" w:firstLine="0"/>
        <w:jc w:val="right"/>
        <w:rPr>
          <w:rFonts w:ascii="Franklin Gothic Medium"/>
          <w:sz w:val="20"/>
        </w:rPr>
      </w:pPr>
      <w:r>
        <w:rPr>
          <w:rFonts w:ascii="Franklin Gothic Medium"/>
          <w:color w:val="231F20"/>
          <w:w w:val="100"/>
          <w:sz w:val="20"/>
        </w:rPr>
        <w:t>4</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Franklin Gothic Book">
    <w:altName w:val="Franklin Gothic Book"/>
    <w:charset w:val="0"/>
    <w:family w:val="swiss"/>
    <w:pitch w:val="variable"/>
  </w:font>
  <w:font w:name="ITC Franklin Gothic Std Bk Cp">
    <w:altName w:val="ITC Franklin Gothic Std Bk Cp"/>
    <w:charset w:val="0"/>
    <w:family w:val="swiss"/>
    <w:pitch w:val="variable"/>
  </w:font>
  <w:font w:name="Franklin Gothic Medium">
    <w:altName w:val="Franklin Gothic Medium"/>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44" w:hanging="262"/>
      </w:pPr>
      <w:rPr>
        <w:rFonts w:hint="default" w:ascii="Franklin Gothic Medium" w:hAnsi="Franklin Gothic Medium" w:eastAsia="Franklin Gothic Medium" w:cs="Franklin Gothic Medium"/>
        <w:b w:val="0"/>
        <w:bCs w:val="0"/>
        <w:i w:val="0"/>
        <w:iCs w:val="0"/>
        <w:color w:val="022D53"/>
        <w:w w:val="100"/>
        <w:sz w:val="28"/>
        <w:szCs w:val="28"/>
        <w:lang w:val="en-US" w:eastAsia="en-US" w:bidi="ar-SA"/>
      </w:rPr>
    </w:lvl>
    <w:lvl w:ilvl="1">
      <w:start w:val="0"/>
      <w:numFmt w:val="bullet"/>
      <w:lvlText w:val="•"/>
      <w:lvlJc w:val="left"/>
      <w:pPr>
        <w:ind w:left="2059" w:hanging="262"/>
      </w:pPr>
      <w:rPr>
        <w:rFonts w:hint="default"/>
        <w:lang w:val="en-US" w:eastAsia="en-US" w:bidi="ar-SA"/>
      </w:rPr>
    </w:lvl>
    <w:lvl w:ilvl="2">
      <w:start w:val="0"/>
      <w:numFmt w:val="bullet"/>
      <w:lvlText w:val="•"/>
      <w:lvlJc w:val="left"/>
      <w:pPr>
        <w:ind w:left="2478" w:hanging="262"/>
      </w:pPr>
      <w:rPr>
        <w:rFonts w:hint="default"/>
        <w:lang w:val="en-US" w:eastAsia="en-US" w:bidi="ar-SA"/>
      </w:rPr>
    </w:lvl>
    <w:lvl w:ilvl="3">
      <w:start w:val="0"/>
      <w:numFmt w:val="bullet"/>
      <w:lvlText w:val="•"/>
      <w:lvlJc w:val="left"/>
      <w:pPr>
        <w:ind w:left="2897" w:hanging="262"/>
      </w:pPr>
      <w:rPr>
        <w:rFonts w:hint="default"/>
        <w:lang w:val="en-US" w:eastAsia="en-US" w:bidi="ar-SA"/>
      </w:rPr>
    </w:lvl>
    <w:lvl w:ilvl="4">
      <w:start w:val="0"/>
      <w:numFmt w:val="bullet"/>
      <w:lvlText w:val="•"/>
      <w:lvlJc w:val="left"/>
      <w:pPr>
        <w:ind w:left="3316" w:hanging="262"/>
      </w:pPr>
      <w:rPr>
        <w:rFonts w:hint="default"/>
        <w:lang w:val="en-US" w:eastAsia="en-US" w:bidi="ar-SA"/>
      </w:rPr>
    </w:lvl>
    <w:lvl w:ilvl="5">
      <w:start w:val="0"/>
      <w:numFmt w:val="bullet"/>
      <w:lvlText w:val="•"/>
      <w:lvlJc w:val="left"/>
      <w:pPr>
        <w:ind w:left="3735" w:hanging="262"/>
      </w:pPr>
      <w:rPr>
        <w:rFonts w:hint="default"/>
        <w:lang w:val="en-US" w:eastAsia="en-US" w:bidi="ar-SA"/>
      </w:rPr>
    </w:lvl>
    <w:lvl w:ilvl="6">
      <w:start w:val="0"/>
      <w:numFmt w:val="bullet"/>
      <w:lvlText w:val="•"/>
      <w:lvlJc w:val="left"/>
      <w:pPr>
        <w:ind w:left="4154" w:hanging="262"/>
      </w:pPr>
      <w:rPr>
        <w:rFonts w:hint="default"/>
        <w:lang w:val="en-US" w:eastAsia="en-US" w:bidi="ar-SA"/>
      </w:rPr>
    </w:lvl>
    <w:lvl w:ilvl="7">
      <w:start w:val="0"/>
      <w:numFmt w:val="bullet"/>
      <w:lvlText w:val="•"/>
      <w:lvlJc w:val="left"/>
      <w:pPr>
        <w:ind w:left="4574" w:hanging="262"/>
      </w:pPr>
      <w:rPr>
        <w:rFonts w:hint="default"/>
        <w:lang w:val="en-US" w:eastAsia="en-US" w:bidi="ar-SA"/>
      </w:rPr>
    </w:lvl>
    <w:lvl w:ilvl="8">
      <w:start w:val="0"/>
      <w:numFmt w:val="bullet"/>
      <w:lvlText w:val="•"/>
      <w:lvlJc w:val="left"/>
      <w:pPr>
        <w:ind w:left="4993" w:hanging="26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8"/>
      <w:szCs w:val="28"/>
      <w:lang w:val="en-US" w:eastAsia="en-US" w:bidi="ar-SA"/>
    </w:rPr>
  </w:style>
  <w:style w:styleId="Heading1" w:type="paragraph">
    <w:name w:val="Heading 1"/>
    <w:basedOn w:val="Normal"/>
    <w:uiPriority w:val="1"/>
    <w:qFormat/>
    <w:pPr>
      <w:ind w:left="1080"/>
      <w:outlineLvl w:val="1"/>
    </w:pPr>
    <w:rPr>
      <w:rFonts w:ascii="ITC Franklin Gothic Std Bk Cp" w:hAnsi="ITC Franklin Gothic Std Bk Cp" w:eastAsia="ITC Franklin Gothic Std Bk Cp" w:cs="ITC Franklin Gothic Std Bk Cp"/>
      <w:sz w:val="68"/>
      <w:szCs w:val="68"/>
      <w:lang w:val="en-US" w:eastAsia="en-US" w:bidi="ar-SA"/>
    </w:rPr>
  </w:style>
  <w:style w:styleId="ListParagraph" w:type="paragraph">
    <w:name w:val="List Paragraph"/>
    <w:basedOn w:val="Normal"/>
    <w:uiPriority w:val="1"/>
    <w:qFormat/>
    <w:pPr>
      <w:ind w:left="1639" w:hanging="262"/>
    </w:pPr>
    <w:rPr>
      <w:rFonts w:ascii="Franklin Gothic Medium" w:hAnsi="Franklin Gothic Medium" w:eastAsia="Franklin Gothic Medium" w:cs="Franklin Gothic Medium"/>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jpeg"/><Relationship Id="rId25" Type="http://schemas.openxmlformats.org/officeDocument/2006/relationships/hyperlink" Target="https://www.mass.gov/lists/problem-gambling-community-engagement-reports" TargetMode="External"/><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hyperlink" Target="https://link.springer.com/article/10.1007/s40429-021-00369-5" TargetMode="External"/><Relationship Id="rId30" Type="http://schemas.openxmlformats.org/officeDocument/2006/relationships/image" Target="media/image24.jpeg"/><Relationship Id="rId31" Type="http://schemas.openxmlformats.org/officeDocument/2006/relationships/hyperlink" Target="https://www.mass.gov/problem-gambling" TargetMode="External"/><Relationship Id="rId32" Type="http://schemas.openxmlformats.org/officeDocument/2006/relationships/image" Target="media/image25.jpeg"/><Relationship Id="rId33" Type="http://schemas.openxmlformats.org/officeDocument/2006/relationships/hyperlink" Target="https://mcoepgp.org/" TargetMode="External"/><Relationship Id="rId34" Type="http://schemas.openxmlformats.org/officeDocument/2006/relationships/hyperlink" Target="https://www.m-tac.org/" TargetMode="External"/><Relationship Id="rId35" Type="http://schemas.openxmlformats.org/officeDocument/2006/relationships/image" Target="media/image26.jpeg"/><Relationship Id="rId36" Type="http://schemas.openxmlformats.org/officeDocument/2006/relationships/image" Target="media/image27.jpeg"/><Relationship Id="rId37" Type="http://schemas.openxmlformats.org/officeDocument/2006/relationships/hyperlink" Target="https://www.mass.gov/orgs/office-of-problem-gambling-services"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Public Health Response 2.0- 05.15.2023-3</dc:title>
  <dcterms:created xsi:type="dcterms:W3CDTF">2023-08-21T14:10:36Z</dcterms:created>
  <dcterms:modified xsi:type="dcterms:W3CDTF">2023-08-21T14:10:36Z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Adobe Illustrator 27.7 (Macintosh)</vt:lpwstr>
  </property>
  <property fmtid="{D5CDD505-2E9C-101B-9397-08002B2CF9AE}" pid="4" name="LastSaved">
    <vt:filetime>2023-08-21T00:00:00Z</vt:filetime>
  </property>
  <property fmtid="{D5CDD505-2E9C-101B-9397-08002B2CF9AE}" pid="5" name="Producer">
    <vt:lpwstr>Adobe PDF library 17.00</vt:lpwstr>
  </property>
</Properties>
</file>