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B679" w14:textId="77777777" w:rsidR="00A97E5F" w:rsidRDefault="0078642E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Sarathy, </w:t>
      </w:r>
      <w:proofErr w:type="spellStart"/>
      <w:r>
        <w:rPr>
          <w:rFonts w:ascii="Tahoma"/>
          <w:color w:val="0000FF"/>
          <w:spacing w:val="-2"/>
          <w:sz w:val="15"/>
          <w:u w:val="single" w:color="0000FF"/>
        </w:rPr>
        <w:t>Leela,MD</w:t>
      </w:r>
      <w:proofErr w:type="spellEnd"/>
    </w:p>
    <w:p w14:paraId="35590A23" w14:textId="77777777" w:rsidR="00A97E5F" w:rsidRDefault="0078642E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33E6B3D0" w14:textId="77777777" w:rsidR="00A97E5F" w:rsidRDefault="0078642E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Comments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on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Draft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DPH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Perinatal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Substance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Exposure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pacing w:val="-2"/>
          <w:sz w:val="15"/>
        </w:rPr>
        <w:t>Regulations</w:t>
      </w:r>
    </w:p>
    <w:p w14:paraId="348CF6E6" w14:textId="77777777" w:rsidR="00A97E5F" w:rsidRDefault="0078642E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Thursday,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 xml:space="preserve">May 21, </w:t>
      </w:r>
      <w:proofErr w:type="gramStart"/>
      <w:r>
        <w:rPr>
          <w:rFonts w:ascii="Tahoma"/>
          <w:sz w:val="15"/>
        </w:rPr>
        <w:t>2026</w:t>
      </w:r>
      <w:proofErr w:type="gramEnd"/>
      <w:r>
        <w:rPr>
          <w:rFonts w:ascii="Tahoma"/>
          <w:sz w:val="15"/>
        </w:rPr>
        <w:t xml:space="preserve"> 8:51:15 </w:t>
      </w:r>
      <w:r>
        <w:rPr>
          <w:rFonts w:ascii="Tahoma"/>
          <w:spacing w:val="-5"/>
          <w:sz w:val="15"/>
        </w:rPr>
        <w:t>AM</w:t>
      </w:r>
    </w:p>
    <w:p w14:paraId="1EE8A235" w14:textId="77777777" w:rsidR="00A97E5F" w:rsidRDefault="0078642E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Attachments: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pacing w:val="-2"/>
          <w:sz w:val="15"/>
          <w:u w:val="single" w:color="0000FF"/>
        </w:rPr>
        <w:t>image002.png</w:t>
      </w:r>
    </w:p>
    <w:p w14:paraId="5DA39E20" w14:textId="5DD43BD2" w:rsidR="00A97E5F" w:rsidRDefault="0078642E">
      <w:pPr>
        <w:pStyle w:val="Body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7DDA02" wp14:editId="6E216287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810250" cy="196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685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62"/>
                              </a:lnTo>
                              <a:lnTo>
                                <a:pt x="581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926CD" id="Graphic 1" o:spid="_x0000_s1026" style="position:absolute;margin-left:78pt;margin-top:7.5pt;width:457.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" path="m5810250,l,,,19050r5810250,12l58102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8F6076A" w14:textId="77777777" w:rsidR="00A97E5F" w:rsidRDefault="00A97E5F">
      <w:pPr>
        <w:pStyle w:val="BodyText"/>
        <w:spacing w:before="5"/>
        <w:rPr>
          <w:rFonts w:ascii="Tahoma"/>
          <w:sz w:val="10"/>
        </w:rPr>
      </w:pPr>
    </w:p>
    <w:p w14:paraId="41876CE3" w14:textId="77777777" w:rsidR="00A97E5F" w:rsidRDefault="0078642E">
      <w:pPr>
        <w:pStyle w:val="BodyText"/>
        <w:spacing w:before="45"/>
        <w:ind w:left="120"/>
      </w:pPr>
      <w:r>
        <w:rPr>
          <w:color w:val="1B1B1B"/>
          <w:w w:val="110"/>
        </w:rPr>
        <w:t>Dear</w:t>
      </w:r>
      <w:r>
        <w:rPr>
          <w:color w:val="1B1B1B"/>
          <w:spacing w:val="-14"/>
          <w:w w:val="110"/>
        </w:rPr>
        <w:t xml:space="preserve"> </w:t>
      </w:r>
      <w:r>
        <w:rPr>
          <w:color w:val="1B1B1B"/>
          <w:w w:val="110"/>
        </w:rPr>
        <w:t>Massachusetts</w:t>
      </w:r>
      <w:r>
        <w:rPr>
          <w:color w:val="1B1B1B"/>
          <w:spacing w:val="-14"/>
          <w:w w:val="110"/>
        </w:rPr>
        <w:t xml:space="preserve"> </w:t>
      </w:r>
      <w:r>
        <w:rPr>
          <w:color w:val="1B1B1B"/>
          <w:w w:val="110"/>
        </w:rPr>
        <w:t>Department</w:t>
      </w:r>
      <w:r>
        <w:rPr>
          <w:color w:val="1B1B1B"/>
          <w:spacing w:val="-13"/>
          <w:w w:val="110"/>
        </w:rPr>
        <w:t xml:space="preserve"> </w:t>
      </w:r>
      <w:r>
        <w:rPr>
          <w:color w:val="1B1B1B"/>
          <w:w w:val="110"/>
        </w:rPr>
        <w:t>of</w:t>
      </w:r>
      <w:r>
        <w:rPr>
          <w:color w:val="1B1B1B"/>
          <w:spacing w:val="-14"/>
          <w:w w:val="110"/>
        </w:rPr>
        <w:t xml:space="preserve"> </w:t>
      </w:r>
      <w:r>
        <w:rPr>
          <w:color w:val="1B1B1B"/>
          <w:w w:val="110"/>
        </w:rPr>
        <w:t>Public</w:t>
      </w:r>
      <w:r>
        <w:rPr>
          <w:color w:val="1B1B1B"/>
          <w:spacing w:val="-14"/>
          <w:w w:val="110"/>
        </w:rPr>
        <w:t xml:space="preserve"> </w:t>
      </w:r>
      <w:r>
        <w:rPr>
          <w:color w:val="1B1B1B"/>
          <w:spacing w:val="-2"/>
          <w:w w:val="110"/>
        </w:rPr>
        <w:t>Health,</w:t>
      </w:r>
    </w:p>
    <w:p w14:paraId="03691237" w14:textId="77777777" w:rsidR="00A97E5F" w:rsidRDefault="0078642E">
      <w:pPr>
        <w:pStyle w:val="BodyText"/>
        <w:spacing w:before="227" w:line="280" w:lineRule="auto"/>
        <w:ind w:left="120" w:right="215"/>
      </w:pPr>
      <w:r>
        <w:rPr>
          <w:color w:val="1B1B1B"/>
          <w:w w:val="105"/>
        </w:rPr>
        <w:t>I am writing to provide comments on the Draft Perinatal Substance Exposure Regulations currently open for public comment. I appreciate the significant effort that has gone into developing these regulations and their alignment with the intent of the underlying statute.</w:t>
      </w:r>
    </w:p>
    <w:p w14:paraId="70EC81F9" w14:textId="77777777" w:rsidR="00A97E5F" w:rsidRDefault="0078642E">
      <w:pPr>
        <w:pStyle w:val="BodyText"/>
        <w:spacing w:before="182" w:line="280" w:lineRule="auto"/>
        <w:ind w:left="120"/>
      </w:pPr>
      <w:r>
        <w:rPr>
          <w:color w:val="1B1B1B"/>
          <w:spacing w:val="-2"/>
          <w:w w:val="110"/>
        </w:rPr>
        <w:t>I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>would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like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>to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respectfully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>highlight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>several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>areas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>where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>clarification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>or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>modification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spacing w:val="-2"/>
          <w:w w:val="110"/>
        </w:rPr>
        <w:t xml:space="preserve">may </w:t>
      </w:r>
      <w:r>
        <w:rPr>
          <w:color w:val="1B1B1B"/>
          <w:w w:val="110"/>
        </w:rPr>
        <w:t>improve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the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regulations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and</w:t>
      </w:r>
      <w:r>
        <w:rPr>
          <w:color w:val="1B1B1B"/>
          <w:spacing w:val="-6"/>
          <w:w w:val="110"/>
        </w:rPr>
        <w:t xml:space="preserve"> </w:t>
      </w:r>
      <w:r>
        <w:rPr>
          <w:color w:val="1B1B1B"/>
          <w:w w:val="110"/>
        </w:rPr>
        <w:t>better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support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equitable,</w:t>
      </w:r>
      <w:r>
        <w:rPr>
          <w:color w:val="1B1B1B"/>
          <w:spacing w:val="-6"/>
          <w:w w:val="110"/>
        </w:rPr>
        <w:t xml:space="preserve"> </w:t>
      </w:r>
      <w:r>
        <w:rPr>
          <w:color w:val="1B1B1B"/>
          <w:w w:val="110"/>
        </w:rPr>
        <w:t>patient-centered</w:t>
      </w:r>
      <w:r>
        <w:rPr>
          <w:color w:val="1B1B1B"/>
          <w:spacing w:val="-6"/>
          <w:w w:val="110"/>
        </w:rPr>
        <w:t xml:space="preserve"> </w:t>
      </w:r>
      <w:r>
        <w:rPr>
          <w:color w:val="1B1B1B"/>
          <w:w w:val="110"/>
        </w:rPr>
        <w:t>care:</w:t>
      </w:r>
    </w:p>
    <w:p w14:paraId="3C431DED" w14:textId="77777777" w:rsidR="00A97E5F" w:rsidRDefault="00A97E5F">
      <w:pPr>
        <w:pStyle w:val="BodyText"/>
      </w:pPr>
    </w:p>
    <w:p w14:paraId="75DFD94C" w14:textId="77777777" w:rsidR="00A97E5F" w:rsidRDefault="00A97E5F">
      <w:pPr>
        <w:pStyle w:val="BodyText"/>
        <w:spacing w:before="139"/>
      </w:pPr>
    </w:p>
    <w:p w14:paraId="27A02E66" w14:textId="77777777" w:rsidR="00A97E5F" w:rsidRDefault="0078642E">
      <w:pPr>
        <w:pStyle w:val="ListParagraph"/>
        <w:numPr>
          <w:ilvl w:val="0"/>
          <w:numId w:val="1"/>
        </w:numPr>
        <w:tabs>
          <w:tab w:val="left" w:pos="719"/>
        </w:tabs>
        <w:spacing w:before="1" w:line="280" w:lineRule="auto"/>
      </w:pPr>
      <w:r>
        <w:rPr>
          <w:w w:val="110"/>
        </w:rPr>
        <w:t xml:space="preserve">Section </w:t>
      </w:r>
      <w:r>
        <w:rPr>
          <w:w w:val="110"/>
          <w:u w:val="single"/>
        </w:rPr>
        <w:t>272.015:</w:t>
      </w:r>
      <w:r>
        <w:rPr>
          <w:spacing w:val="80"/>
          <w:w w:val="110"/>
          <w:u w:val="single"/>
        </w:rPr>
        <w:t xml:space="preserve"> </w:t>
      </w:r>
      <w:r>
        <w:rPr>
          <w:w w:val="110"/>
          <w:u w:val="single"/>
        </w:rPr>
        <w:t>Family Care Plan</w:t>
      </w:r>
      <w:r>
        <w:rPr>
          <w:w w:val="110"/>
        </w:rPr>
        <w:t xml:space="preserve"> Section 2 ("provision of clinical counseling and education</w:t>
      </w:r>
      <w:r>
        <w:rPr>
          <w:spacing w:val="-11"/>
          <w:w w:val="110"/>
        </w:rPr>
        <w:t xml:space="preserve"> </w:t>
      </w:r>
      <w:r>
        <w:rPr>
          <w:w w:val="110"/>
        </w:rPr>
        <w:t>provided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Birthing</w:t>
      </w:r>
      <w:r>
        <w:rPr>
          <w:spacing w:val="-11"/>
          <w:w w:val="110"/>
        </w:rPr>
        <w:t xml:space="preserve"> </w:t>
      </w:r>
      <w:r>
        <w:rPr>
          <w:w w:val="110"/>
        </w:rPr>
        <w:t>Person</w:t>
      </w:r>
      <w:r>
        <w:rPr>
          <w:spacing w:val="-11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infant’s</w:t>
      </w:r>
      <w:r>
        <w:rPr>
          <w:spacing w:val="-11"/>
          <w:w w:val="110"/>
        </w:rPr>
        <w:t xml:space="preserve"> </w:t>
      </w:r>
      <w:r>
        <w:rPr>
          <w:w w:val="110"/>
        </w:rPr>
        <w:t>other</w:t>
      </w:r>
      <w:r>
        <w:rPr>
          <w:spacing w:val="-11"/>
          <w:w w:val="110"/>
        </w:rPr>
        <w:t xml:space="preserve"> </w:t>
      </w:r>
      <w:r>
        <w:rPr>
          <w:w w:val="110"/>
        </w:rPr>
        <w:t>caregivers”):</w:t>
      </w:r>
      <w:r>
        <w:rPr>
          <w:spacing w:val="33"/>
          <w:w w:val="110"/>
        </w:rPr>
        <w:t xml:space="preserve"> </w:t>
      </w:r>
      <w:r>
        <w:rPr>
          <w:color w:val="1B1B1B"/>
          <w:w w:val="110"/>
        </w:rPr>
        <w:t xml:space="preserve">the </w:t>
      </w:r>
      <w:r>
        <w:rPr>
          <w:color w:val="1B1B1B"/>
          <w:spacing w:val="-2"/>
          <w:w w:val="110"/>
        </w:rPr>
        <w:t>language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related</w:t>
      </w:r>
      <w:r>
        <w:rPr>
          <w:color w:val="1B1B1B"/>
          <w:spacing w:val="-5"/>
          <w:w w:val="110"/>
        </w:rPr>
        <w:t xml:space="preserve"> </w:t>
      </w:r>
      <w:r>
        <w:rPr>
          <w:color w:val="1B1B1B"/>
          <w:spacing w:val="-2"/>
          <w:w w:val="110"/>
        </w:rPr>
        <w:t>to</w:t>
      </w:r>
      <w:r>
        <w:rPr>
          <w:color w:val="1B1B1B"/>
          <w:spacing w:val="-5"/>
          <w:w w:val="110"/>
        </w:rPr>
        <w:t xml:space="preserve"> </w:t>
      </w:r>
      <w:r>
        <w:rPr>
          <w:color w:val="1B1B1B"/>
          <w:spacing w:val="-2"/>
          <w:w w:val="110"/>
        </w:rPr>
        <w:t>Family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Care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Plans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may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inadvertently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require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disclosure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of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>a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spacing w:val="-2"/>
          <w:w w:val="110"/>
        </w:rPr>
        <w:t xml:space="preserve">birthing </w:t>
      </w:r>
      <w:r>
        <w:rPr>
          <w:color w:val="1B1B1B"/>
          <w:w w:val="110"/>
        </w:rPr>
        <w:t>person’s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substance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use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history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to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w w:val="110"/>
        </w:rPr>
        <w:t>other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caregivers.</w:t>
      </w:r>
      <w:r>
        <w:rPr>
          <w:color w:val="1B1B1B"/>
          <w:spacing w:val="-8"/>
          <w:w w:val="110"/>
        </w:rPr>
        <w:t xml:space="preserve"> </w:t>
      </w:r>
      <w:r>
        <w:rPr>
          <w:color w:val="1B1B1B"/>
          <w:w w:val="110"/>
        </w:rPr>
        <w:t>While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caregiver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awareness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is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often beneficial,</w:t>
      </w:r>
      <w:r>
        <w:rPr>
          <w:color w:val="1B1B1B"/>
          <w:spacing w:val="-1"/>
          <w:w w:val="110"/>
        </w:rPr>
        <w:t xml:space="preserve"> </w:t>
      </w:r>
      <w:r>
        <w:rPr>
          <w:color w:val="1B1B1B"/>
          <w:w w:val="110"/>
        </w:rPr>
        <w:t>there</w:t>
      </w:r>
      <w:r>
        <w:rPr>
          <w:color w:val="1B1B1B"/>
          <w:spacing w:val="-2"/>
          <w:w w:val="110"/>
        </w:rPr>
        <w:t xml:space="preserve"> </w:t>
      </w:r>
      <w:r>
        <w:rPr>
          <w:color w:val="1B1B1B"/>
          <w:w w:val="110"/>
        </w:rPr>
        <w:t>are</w:t>
      </w:r>
      <w:r>
        <w:rPr>
          <w:color w:val="1B1B1B"/>
          <w:spacing w:val="-2"/>
          <w:w w:val="110"/>
        </w:rPr>
        <w:t xml:space="preserve"> </w:t>
      </w:r>
      <w:r>
        <w:rPr>
          <w:color w:val="1B1B1B"/>
          <w:w w:val="110"/>
        </w:rPr>
        <w:t>scenarios</w:t>
      </w:r>
      <w:r>
        <w:rPr>
          <w:color w:val="1B1B1B"/>
          <w:spacing w:val="-2"/>
          <w:w w:val="110"/>
        </w:rPr>
        <w:t xml:space="preserve"> </w:t>
      </w:r>
      <w:r>
        <w:rPr>
          <w:color w:val="1B1B1B"/>
          <w:w w:val="110"/>
        </w:rPr>
        <w:t>in</w:t>
      </w:r>
      <w:r>
        <w:rPr>
          <w:color w:val="1B1B1B"/>
          <w:spacing w:val="-2"/>
          <w:w w:val="110"/>
        </w:rPr>
        <w:t xml:space="preserve"> </w:t>
      </w:r>
      <w:r>
        <w:rPr>
          <w:color w:val="1B1B1B"/>
          <w:w w:val="110"/>
        </w:rPr>
        <w:t>which</w:t>
      </w:r>
      <w:r>
        <w:rPr>
          <w:color w:val="1B1B1B"/>
          <w:spacing w:val="-2"/>
          <w:w w:val="110"/>
        </w:rPr>
        <w:t xml:space="preserve"> </w:t>
      </w:r>
      <w:r>
        <w:rPr>
          <w:color w:val="1B1B1B"/>
          <w:w w:val="110"/>
        </w:rPr>
        <w:t>protecting</w:t>
      </w:r>
      <w:r>
        <w:rPr>
          <w:color w:val="1B1B1B"/>
          <w:spacing w:val="-2"/>
          <w:w w:val="110"/>
        </w:rPr>
        <w:t xml:space="preserve"> </w:t>
      </w:r>
      <w:r>
        <w:rPr>
          <w:color w:val="1B1B1B"/>
          <w:w w:val="110"/>
        </w:rPr>
        <w:t>patient</w:t>
      </w:r>
      <w:r>
        <w:rPr>
          <w:color w:val="1B1B1B"/>
          <w:spacing w:val="-2"/>
          <w:w w:val="110"/>
        </w:rPr>
        <w:t xml:space="preserve"> </w:t>
      </w:r>
      <w:r>
        <w:rPr>
          <w:color w:val="1B1B1B"/>
          <w:w w:val="110"/>
        </w:rPr>
        <w:t>confidentiality</w:t>
      </w:r>
      <w:r>
        <w:rPr>
          <w:color w:val="1B1B1B"/>
          <w:spacing w:val="-2"/>
          <w:w w:val="110"/>
        </w:rPr>
        <w:t xml:space="preserve"> </w:t>
      </w:r>
      <w:r>
        <w:rPr>
          <w:color w:val="1B1B1B"/>
          <w:w w:val="110"/>
        </w:rPr>
        <w:t>is</w:t>
      </w:r>
      <w:r>
        <w:rPr>
          <w:color w:val="1B1B1B"/>
          <w:spacing w:val="-2"/>
          <w:w w:val="110"/>
        </w:rPr>
        <w:t xml:space="preserve"> </w:t>
      </w:r>
      <w:r>
        <w:rPr>
          <w:color w:val="1B1B1B"/>
          <w:w w:val="110"/>
        </w:rPr>
        <w:t>essential. Clarifying that such disclosure should be guided by patient consent and privacy considerations would be helpful.</w:t>
      </w:r>
    </w:p>
    <w:p w14:paraId="4720C736" w14:textId="77777777" w:rsidR="00A97E5F" w:rsidRDefault="0078642E">
      <w:pPr>
        <w:pStyle w:val="ListParagraph"/>
        <w:numPr>
          <w:ilvl w:val="0"/>
          <w:numId w:val="1"/>
        </w:numPr>
        <w:tabs>
          <w:tab w:val="left" w:pos="719"/>
        </w:tabs>
        <w:spacing w:before="185" w:line="280" w:lineRule="auto"/>
        <w:ind w:right="382"/>
      </w:pPr>
      <w:r>
        <w:rPr>
          <w:w w:val="110"/>
          <w:u w:val="single"/>
        </w:rPr>
        <w:t>272.020:</w:t>
      </w:r>
      <w:r>
        <w:rPr>
          <w:spacing w:val="80"/>
          <w:w w:val="110"/>
          <w:u w:val="single"/>
        </w:rPr>
        <w:t xml:space="preserve"> </w:t>
      </w:r>
      <w:r>
        <w:rPr>
          <w:w w:val="110"/>
          <w:u w:val="single"/>
        </w:rPr>
        <w:t>Data Collection:</w:t>
      </w:r>
      <w:r>
        <w:rPr>
          <w:spacing w:val="-1"/>
          <w:w w:val="110"/>
        </w:rPr>
        <w:t xml:space="preserve"> </w:t>
      </w:r>
      <w:r>
        <w:rPr>
          <w:color w:val="1B1B1B"/>
          <w:w w:val="110"/>
        </w:rPr>
        <w:t>I would suggest minor terminology changes in sections related</w:t>
      </w:r>
      <w:r>
        <w:rPr>
          <w:color w:val="1B1B1B"/>
          <w:spacing w:val="-12"/>
          <w:w w:val="110"/>
        </w:rPr>
        <w:t xml:space="preserve"> </w:t>
      </w:r>
      <w:r>
        <w:rPr>
          <w:color w:val="1B1B1B"/>
          <w:w w:val="110"/>
        </w:rPr>
        <w:t>to</w:t>
      </w:r>
      <w:r>
        <w:rPr>
          <w:color w:val="1B1B1B"/>
          <w:spacing w:val="-12"/>
          <w:w w:val="110"/>
        </w:rPr>
        <w:t xml:space="preserve"> </w:t>
      </w:r>
      <w:r>
        <w:rPr>
          <w:color w:val="1B1B1B"/>
          <w:w w:val="110"/>
        </w:rPr>
        <w:t>data</w:t>
      </w:r>
      <w:r>
        <w:rPr>
          <w:color w:val="1B1B1B"/>
          <w:spacing w:val="-13"/>
          <w:w w:val="110"/>
        </w:rPr>
        <w:t xml:space="preserve"> </w:t>
      </w:r>
      <w:r>
        <w:rPr>
          <w:color w:val="1B1B1B"/>
          <w:w w:val="110"/>
        </w:rPr>
        <w:t>collection</w:t>
      </w:r>
      <w:r>
        <w:rPr>
          <w:color w:val="1B1B1B"/>
          <w:spacing w:val="-13"/>
          <w:w w:val="110"/>
        </w:rPr>
        <w:t xml:space="preserve"> </w:t>
      </w:r>
      <w:r>
        <w:rPr>
          <w:color w:val="1B1B1B"/>
          <w:w w:val="110"/>
        </w:rPr>
        <w:t>and</w:t>
      </w:r>
      <w:r>
        <w:rPr>
          <w:color w:val="1B1B1B"/>
          <w:spacing w:val="-12"/>
          <w:w w:val="110"/>
        </w:rPr>
        <w:t xml:space="preserve"> </w:t>
      </w:r>
      <w:r>
        <w:rPr>
          <w:color w:val="1B1B1B"/>
          <w:w w:val="110"/>
        </w:rPr>
        <w:t>clinician</w:t>
      </w:r>
      <w:r>
        <w:rPr>
          <w:color w:val="1B1B1B"/>
          <w:spacing w:val="-13"/>
          <w:w w:val="110"/>
        </w:rPr>
        <w:t xml:space="preserve"> </w:t>
      </w:r>
      <w:r>
        <w:rPr>
          <w:color w:val="1B1B1B"/>
          <w:w w:val="110"/>
        </w:rPr>
        <w:t>obligations,</w:t>
      </w:r>
      <w:r>
        <w:rPr>
          <w:color w:val="1B1B1B"/>
          <w:spacing w:val="-12"/>
          <w:w w:val="110"/>
        </w:rPr>
        <w:t xml:space="preserve"> </w:t>
      </w:r>
      <w:r>
        <w:rPr>
          <w:color w:val="1B1B1B"/>
          <w:w w:val="110"/>
        </w:rPr>
        <w:t>such</w:t>
      </w:r>
      <w:r>
        <w:rPr>
          <w:color w:val="1B1B1B"/>
          <w:spacing w:val="-13"/>
          <w:w w:val="110"/>
        </w:rPr>
        <w:t xml:space="preserve"> </w:t>
      </w:r>
      <w:r>
        <w:rPr>
          <w:color w:val="1B1B1B"/>
          <w:w w:val="110"/>
        </w:rPr>
        <w:t>as</w:t>
      </w:r>
      <w:r>
        <w:rPr>
          <w:color w:val="1B1B1B"/>
          <w:spacing w:val="-13"/>
          <w:w w:val="110"/>
        </w:rPr>
        <w:t xml:space="preserve"> </w:t>
      </w:r>
      <w:r>
        <w:rPr>
          <w:color w:val="1B1B1B"/>
          <w:w w:val="110"/>
        </w:rPr>
        <w:t>using</w:t>
      </w:r>
      <w:r>
        <w:rPr>
          <w:color w:val="1B1B1B"/>
          <w:spacing w:val="-13"/>
          <w:w w:val="110"/>
        </w:rPr>
        <w:t xml:space="preserve"> </w:t>
      </w:r>
      <w:r>
        <w:rPr>
          <w:color w:val="1B1B1B"/>
          <w:w w:val="110"/>
        </w:rPr>
        <w:t>“notification”</w:t>
      </w:r>
      <w:r>
        <w:rPr>
          <w:color w:val="1B1B1B"/>
          <w:spacing w:val="-12"/>
          <w:w w:val="110"/>
        </w:rPr>
        <w:t xml:space="preserve"> </w:t>
      </w:r>
      <w:r>
        <w:rPr>
          <w:color w:val="1B1B1B"/>
          <w:w w:val="110"/>
        </w:rPr>
        <w:t>rather than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“reporting,”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to</w:t>
      </w:r>
      <w:r>
        <w:rPr>
          <w:color w:val="1B1B1B"/>
          <w:spacing w:val="-6"/>
          <w:w w:val="110"/>
        </w:rPr>
        <w:t xml:space="preserve"> </w:t>
      </w:r>
      <w:r>
        <w:rPr>
          <w:color w:val="1B1B1B"/>
          <w:w w:val="110"/>
        </w:rPr>
        <w:t>better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reflect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the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intent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of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the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processes</w:t>
      </w:r>
      <w:r>
        <w:rPr>
          <w:color w:val="1B1B1B"/>
          <w:spacing w:val="-7"/>
          <w:w w:val="110"/>
        </w:rPr>
        <w:t xml:space="preserve"> </w:t>
      </w:r>
      <w:r>
        <w:rPr>
          <w:color w:val="1B1B1B"/>
          <w:w w:val="110"/>
        </w:rPr>
        <w:t>described.</w:t>
      </w:r>
    </w:p>
    <w:p w14:paraId="4F873962" w14:textId="77777777" w:rsidR="00A97E5F" w:rsidRDefault="00A97E5F">
      <w:pPr>
        <w:pStyle w:val="BodyText"/>
        <w:spacing w:before="229"/>
      </w:pPr>
    </w:p>
    <w:p w14:paraId="11B14B7B" w14:textId="77777777" w:rsidR="00A97E5F" w:rsidRDefault="0078642E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right="249"/>
      </w:pPr>
      <w:r>
        <w:rPr>
          <w:w w:val="110"/>
          <w:u w:val="single"/>
        </w:rPr>
        <w:t>272.005:</w:t>
      </w:r>
      <w:r>
        <w:rPr>
          <w:spacing w:val="80"/>
          <w:w w:val="110"/>
          <w:u w:val="single"/>
        </w:rPr>
        <w:t xml:space="preserve"> </w:t>
      </w:r>
      <w:r>
        <w:rPr>
          <w:w w:val="110"/>
          <w:u w:val="single"/>
        </w:rPr>
        <w:t>Definitions: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Prenatal</w:t>
      </w:r>
      <w:r>
        <w:rPr>
          <w:spacing w:val="-7"/>
          <w:w w:val="110"/>
          <w:u w:val="single"/>
        </w:rPr>
        <w:t xml:space="preserve"> </w:t>
      </w:r>
      <w:r>
        <w:rPr>
          <w:w w:val="110"/>
          <w:u w:val="single"/>
        </w:rPr>
        <w:t>Alcohol</w:t>
      </w:r>
      <w:r>
        <w:rPr>
          <w:spacing w:val="-7"/>
          <w:w w:val="110"/>
          <w:u w:val="single"/>
        </w:rPr>
        <w:t xml:space="preserve"> </w:t>
      </w:r>
      <w:r>
        <w:rPr>
          <w:w w:val="110"/>
          <w:u w:val="single"/>
        </w:rPr>
        <w:t>Exposure: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inclusion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third</w:t>
      </w:r>
      <w:r>
        <w:rPr>
          <w:spacing w:val="-6"/>
          <w:w w:val="110"/>
        </w:rPr>
        <w:t xml:space="preserve"> </w:t>
      </w:r>
      <w:r>
        <w:rPr>
          <w:w w:val="110"/>
        </w:rPr>
        <w:t>criterion here, "Positive testing using established alcohol-exposure biomarker(s) during pregnancy</w:t>
      </w:r>
      <w:r>
        <w:rPr>
          <w:spacing w:val="-10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at</w:t>
      </w:r>
      <w:r>
        <w:rPr>
          <w:spacing w:val="-10"/>
          <w:w w:val="110"/>
        </w:rPr>
        <w:t xml:space="preserve"> </w:t>
      </w:r>
      <w:r>
        <w:rPr>
          <w:w w:val="110"/>
        </w:rPr>
        <w:t>birth,”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at</w:t>
      </w:r>
      <w:r>
        <w:rPr>
          <w:spacing w:val="-10"/>
          <w:w w:val="110"/>
        </w:rPr>
        <w:t xml:space="preserve"> </w:t>
      </w:r>
      <w:r>
        <w:rPr>
          <w:w w:val="110"/>
        </w:rPr>
        <w:t>odds</w:t>
      </w:r>
      <w:r>
        <w:rPr>
          <w:spacing w:val="-10"/>
          <w:w w:val="110"/>
        </w:rPr>
        <w:t xml:space="preserve"> </w:t>
      </w:r>
      <w:r>
        <w:rPr>
          <w:w w:val="110"/>
        </w:rPr>
        <w:t>with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later</w:t>
      </w:r>
      <w:r>
        <w:rPr>
          <w:spacing w:val="-10"/>
          <w:w w:val="110"/>
        </w:rPr>
        <w:t xml:space="preserve"> </w:t>
      </w:r>
      <w:r>
        <w:rPr>
          <w:w w:val="110"/>
        </w:rPr>
        <w:t>statement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  <w:u w:val="single"/>
        </w:rPr>
        <w:t>272.010:</w:t>
      </w:r>
      <w:r>
        <w:rPr>
          <w:spacing w:val="80"/>
          <w:w w:val="110"/>
          <w:u w:val="single"/>
        </w:rPr>
        <w:t xml:space="preserve"> </w:t>
      </w:r>
      <w:r>
        <w:rPr>
          <w:w w:val="110"/>
          <w:u w:val="single"/>
        </w:rPr>
        <w:t>Required</w:t>
      </w:r>
      <w:r>
        <w:rPr>
          <w:w w:val="110"/>
        </w:rPr>
        <w:t xml:space="preserve"> </w:t>
      </w:r>
      <w:r>
        <w:rPr>
          <w:w w:val="110"/>
          <w:u w:val="single"/>
        </w:rPr>
        <w:t>Screenings for Substance Use and Substance Use Disorder</w:t>
      </w:r>
      <w:r>
        <w:rPr>
          <w:w w:val="110"/>
        </w:rPr>
        <w:t xml:space="preserve"> that affirms "Toxicology </w:t>
      </w:r>
      <w:r>
        <w:t>Testing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substitute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Screening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performed</w:t>
      </w:r>
      <w:r>
        <w:rPr>
          <w:spacing w:val="32"/>
        </w:rPr>
        <w:t xml:space="preserve"> </w:t>
      </w:r>
      <w:r>
        <w:t>only</w:t>
      </w:r>
      <w:r>
        <w:rPr>
          <w:spacing w:val="30"/>
        </w:rPr>
        <w:t xml:space="preserve"> </w:t>
      </w:r>
      <w:r>
        <w:t>when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results</w:t>
      </w:r>
    </w:p>
    <w:p w14:paraId="59A97038" w14:textId="77777777" w:rsidR="00A97E5F" w:rsidRDefault="0078642E">
      <w:pPr>
        <w:pStyle w:val="BodyText"/>
        <w:spacing w:line="243" w:lineRule="exact"/>
        <w:ind w:left="720"/>
      </w:pPr>
      <w:r>
        <w:t>will</w:t>
      </w:r>
      <w:r>
        <w:rPr>
          <w:spacing w:val="32"/>
        </w:rPr>
        <w:t xml:space="preserve"> </w:t>
      </w:r>
      <w:r>
        <w:t>change</w:t>
      </w:r>
      <w:r>
        <w:rPr>
          <w:spacing w:val="32"/>
        </w:rPr>
        <w:t xml:space="preserve"> </w:t>
      </w:r>
      <w:r>
        <w:t>clinical</w:t>
      </w:r>
      <w:r>
        <w:rPr>
          <w:spacing w:val="32"/>
        </w:rPr>
        <w:t xml:space="preserve"> </w:t>
      </w:r>
      <w:r>
        <w:t>management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Birthing</w:t>
      </w:r>
      <w:r>
        <w:rPr>
          <w:spacing w:val="32"/>
        </w:rPr>
        <w:t xml:space="preserve"> </w:t>
      </w:r>
      <w:r>
        <w:t>Person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infant.”</w:t>
      </w:r>
      <w:r>
        <w:rPr>
          <w:spacing w:val="34"/>
        </w:rPr>
        <w:t xml:space="preserve"> </w:t>
      </w:r>
      <w:r>
        <w:t>Given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known</w:t>
      </w:r>
    </w:p>
    <w:p w14:paraId="5442F992" w14:textId="77777777" w:rsidR="00A97E5F" w:rsidRDefault="0078642E">
      <w:pPr>
        <w:pStyle w:val="BodyText"/>
        <w:spacing w:before="1"/>
        <w:ind w:left="720"/>
      </w:pPr>
      <w:r>
        <w:t>limitations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toxicology</w:t>
      </w:r>
      <w:r>
        <w:rPr>
          <w:spacing w:val="38"/>
        </w:rPr>
        <w:t xml:space="preserve"> </w:t>
      </w:r>
      <w:r>
        <w:t>testing,</w:t>
      </w:r>
      <w:r>
        <w:rPr>
          <w:spacing w:val="39"/>
        </w:rPr>
        <w:t xml:space="preserve"> </w:t>
      </w:r>
      <w:r>
        <w:t>consider</w:t>
      </w:r>
      <w:r>
        <w:rPr>
          <w:spacing w:val="38"/>
        </w:rPr>
        <w:t xml:space="preserve"> </w:t>
      </w:r>
      <w:r>
        <w:t>removing</w:t>
      </w:r>
      <w:r>
        <w:rPr>
          <w:spacing w:val="39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criterion</w:t>
      </w:r>
      <w:r>
        <w:rPr>
          <w:spacing w:val="39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list.</w:t>
      </w:r>
    </w:p>
    <w:p w14:paraId="286D3F17" w14:textId="77777777" w:rsidR="00A97E5F" w:rsidRDefault="00A97E5F">
      <w:pPr>
        <w:pStyle w:val="BodyText"/>
        <w:spacing w:before="213"/>
      </w:pPr>
    </w:p>
    <w:p w14:paraId="021A2229" w14:textId="77777777" w:rsidR="00A97E5F" w:rsidRDefault="0078642E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auto"/>
        <w:ind w:left="720" w:right="311"/>
      </w:pPr>
      <w:r>
        <w:rPr>
          <w:w w:val="110"/>
          <w:u w:val="single"/>
        </w:rPr>
        <w:t>272.005:</w:t>
      </w:r>
      <w:r>
        <w:rPr>
          <w:spacing w:val="80"/>
          <w:w w:val="110"/>
          <w:u w:val="single"/>
        </w:rPr>
        <w:t xml:space="preserve"> </w:t>
      </w:r>
      <w:r>
        <w:rPr>
          <w:w w:val="110"/>
          <w:u w:val="single"/>
        </w:rPr>
        <w:t>Definitions: Prenatal Substance Exposure:</w:t>
      </w:r>
      <w:r>
        <w:rPr>
          <w:spacing w:val="-2"/>
          <w:w w:val="110"/>
          <w:u w:val="single"/>
        </w:rPr>
        <w:t xml:space="preserve"> </w:t>
      </w:r>
      <w:r>
        <w:rPr>
          <w:color w:val="1B1B1B"/>
          <w:w w:val="110"/>
        </w:rPr>
        <w:t>The inclusion of any prenatal cannabis use in the definition of prenatal substance exposure raises important concerns.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There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is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currently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no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clear,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standardized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definition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of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problematic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cannabis use</w:t>
      </w:r>
      <w:r>
        <w:rPr>
          <w:color w:val="1B1B1B"/>
          <w:spacing w:val="-4"/>
          <w:w w:val="110"/>
        </w:rPr>
        <w:t xml:space="preserve"> </w:t>
      </w:r>
      <w:r>
        <w:rPr>
          <w:color w:val="1B1B1B"/>
          <w:w w:val="110"/>
        </w:rPr>
        <w:t>in</w:t>
      </w:r>
      <w:r>
        <w:rPr>
          <w:color w:val="1B1B1B"/>
          <w:spacing w:val="-4"/>
          <w:w w:val="110"/>
        </w:rPr>
        <w:t xml:space="preserve"> </w:t>
      </w:r>
      <w:r>
        <w:rPr>
          <w:color w:val="1B1B1B"/>
          <w:w w:val="110"/>
        </w:rPr>
        <w:t>pregnancy,</w:t>
      </w:r>
      <w:r>
        <w:rPr>
          <w:color w:val="1B1B1B"/>
          <w:spacing w:val="-3"/>
          <w:w w:val="110"/>
        </w:rPr>
        <w:t xml:space="preserve"> </w:t>
      </w:r>
      <w:r>
        <w:rPr>
          <w:color w:val="1B1B1B"/>
          <w:w w:val="110"/>
        </w:rPr>
        <w:t>and</w:t>
      </w:r>
      <w:r>
        <w:rPr>
          <w:color w:val="1B1B1B"/>
          <w:spacing w:val="-3"/>
          <w:w w:val="110"/>
        </w:rPr>
        <w:t xml:space="preserve"> </w:t>
      </w:r>
      <w:r>
        <w:rPr>
          <w:color w:val="1B1B1B"/>
          <w:w w:val="110"/>
        </w:rPr>
        <w:t>applying</w:t>
      </w:r>
      <w:r>
        <w:rPr>
          <w:color w:val="1B1B1B"/>
          <w:spacing w:val="-4"/>
          <w:w w:val="110"/>
        </w:rPr>
        <w:t xml:space="preserve"> </w:t>
      </w:r>
      <w:r>
        <w:rPr>
          <w:color w:val="1B1B1B"/>
          <w:w w:val="110"/>
        </w:rPr>
        <w:t>a</w:t>
      </w:r>
      <w:r>
        <w:rPr>
          <w:color w:val="1B1B1B"/>
          <w:spacing w:val="-4"/>
          <w:w w:val="110"/>
        </w:rPr>
        <w:t xml:space="preserve"> </w:t>
      </w:r>
      <w:r>
        <w:rPr>
          <w:color w:val="1B1B1B"/>
          <w:w w:val="110"/>
        </w:rPr>
        <w:t>blanket</w:t>
      </w:r>
      <w:r>
        <w:rPr>
          <w:color w:val="1B1B1B"/>
          <w:spacing w:val="-4"/>
          <w:w w:val="110"/>
        </w:rPr>
        <w:t xml:space="preserve"> </w:t>
      </w:r>
      <w:r>
        <w:rPr>
          <w:color w:val="1B1B1B"/>
          <w:w w:val="110"/>
        </w:rPr>
        <w:t>inclusion</w:t>
      </w:r>
      <w:r>
        <w:rPr>
          <w:color w:val="1B1B1B"/>
          <w:spacing w:val="-4"/>
          <w:w w:val="110"/>
        </w:rPr>
        <w:t xml:space="preserve"> </w:t>
      </w:r>
      <w:r>
        <w:rPr>
          <w:color w:val="1B1B1B"/>
          <w:w w:val="110"/>
        </w:rPr>
        <w:t>may</w:t>
      </w:r>
      <w:r>
        <w:rPr>
          <w:color w:val="1B1B1B"/>
          <w:spacing w:val="-4"/>
          <w:w w:val="110"/>
        </w:rPr>
        <w:t xml:space="preserve"> </w:t>
      </w:r>
      <w:r>
        <w:rPr>
          <w:color w:val="1B1B1B"/>
          <w:w w:val="110"/>
        </w:rPr>
        <w:t>contribute</w:t>
      </w:r>
      <w:r>
        <w:rPr>
          <w:color w:val="1B1B1B"/>
          <w:spacing w:val="-4"/>
          <w:w w:val="110"/>
        </w:rPr>
        <w:t xml:space="preserve"> </w:t>
      </w:r>
      <w:r>
        <w:rPr>
          <w:color w:val="1B1B1B"/>
          <w:w w:val="110"/>
        </w:rPr>
        <w:t>to</w:t>
      </w:r>
      <w:r>
        <w:rPr>
          <w:color w:val="1B1B1B"/>
          <w:spacing w:val="-3"/>
          <w:w w:val="110"/>
        </w:rPr>
        <w:t xml:space="preserve"> </w:t>
      </w:r>
      <w:r>
        <w:rPr>
          <w:color w:val="1B1B1B"/>
          <w:w w:val="110"/>
        </w:rPr>
        <w:t>unintended disparities.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Consideration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of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established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diagnostic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criteria,</w:t>
      </w:r>
      <w:r>
        <w:rPr>
          <w:color w:val="1B1B1B"/>
          <w:spacing w:val="-9"/>
          <w:w w:val="110"/>
        </w:rPr>
        <w:t xml:space="preserve"> </w:t>
      </w:r>
      <w:r>
        <w:rPr>
          <w:color w:val="1B1B1B"/>
          <w:w w:val="110"/>
        </w:rPr>
        <w:t>such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as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DSM-5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criteria</w:t>
      </w:r>
      <w:r>
        <w:rPr>
          <w:color w:val="1B1B1B"/>
          <w:spacing w:val="-10"/>
          <w:w w:val="110"/>
        </w:rPr>
        <w:t xml:space="preserve"> </w:t>
      </w:r>
      <w:r>
        <w:rPr>
          <w:color w:val="1B1B1B"/>
          <w:w w:val="110"/>
        </w:rPr>
        <w:t>for cannabis use disorder, may provide a more clinically meaningful and equitable</w:t>
      </w:r>
    </w:p>
    <w:p w14:paraId="3F9D3957" w14:textId="77777777" w:rsidR="00A97E5F" w:rsidRDefault="00A97E5F">
      <w:pPr>
        <w:pStyle w:val="ListParagraph"/>
        <w:spacing w:line="280" w:lineRule="auto"/>
        <w:sectPr w:rsidR="00A97E5F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0DAD8C29" w14:textId="77777777" w:rsidR="00A97E5F" w:rsidRDefault="0078642E">
      <w:pPr>
        <w:pStyle w:val="BodyText"/>
        <w:spacing w:before="80"/>
        <w:ind w:left="720"/>
      </w:pPr>
      <w:r>
        <w:rPr>
          <w:color w:val="1B1B1B"/>
          <w:spacing w:val="-2"/>
          <w:w w:val="110"/>
        </w:rPr>
        <w:lastRenderedPageBreak/>
        <w:t>approach.</w:t>
      </w:r>
    </w:p>
    <w:p w14:paraId="55E6CB4C" w14:textId="77777777" w:rsidR="00A97E5F" w:rsidRDefault="00A97E5F">
      <w:pPr>
        <w:pStyle w:val="BodyText"/>
      </w:pPr>
    </w:p>
    <w:p w14:paraId="12120A9D" w14:textId="77777777" w:rsidR="00A97E5F" w:rsidRDefault="00A97E5F">
      <w:pPr>
        <w:pStyle w:val="BodyText"/>
        <w:spacing w:before="4"/>
      </w:pPr>
    </w:p>
    <w:p w14:paraId="592DE101" w14:textId="77777777" w:rsidR="00A97E5F" w:rsidRDefault="0078642E">
      <w:pPr>
        <w:pStyle w:val="BodyText"/>
        <w:spacing w:before="1" w:line="280" w:lineRule="auto"/>
        <w:ind w:left="119" w:right="215"/>
      </w:pPr>
      <w:r>
        <w:rPr>
          <w:color w:val="1B1B1B"/>
          <w:w w:val="105"/>
        </w:rPr>
        <w:t xml:space="preserve">Thank you for the opportunity to provide feedback. I appreciate your thoughtful consideration of these comments and your ongoing work to improve care for birthing individuals and their </w:t>
      </w:r>
      <w:r>
        <w:rPr>
          <w:color w:val="1B1B1B"/>
          <w:spacing w:val="-2"/>
          <w:w w:val="105"/>
        </w:rPr>
        <w:t>infants.</w:t>
      </w:r>
    </w:p>
    <w:p w14:paraId="501DD780" w14:textId="77777777" w:rsidR="00A97E5F" w:rsidRDefault="00A97E5F">
      <w:pPr>
        <w:pStyle w:val="BodyText"/>
      </w:pPr>
    </w:p>
    <w:p w14:paraId="23E1382C" w14:textId="77777777" w:rsidR="00A97E5F" w:rsidRDefault="00A97E5F">
      <w:pPr>
        <w:pStyle w:val="BodyText"/>
        <w:spacing w:before="140"/>
      </w:pPr>
    </w:p>
    <w:p w14:paraId="1234AE54" w14:textId="77777777" w:rsidR="00A97E5F" w:rsidRDefault="0078642E">
      <w:pPr>
        <w:pStyle w:val="BodyText"/>
        <w:ind w:left="119"/>
      </w:pPr>
      <w:r>
        <w:rPr>
          <w:color w:val="1B1B1B"/>
          <w:spacing w:val="-2"/>
          <w:w w:val="110"/>
        </w:rPr>
        <w:t>Sincerely,</w:t>
      </w:r>
    </w:p>
    <w:p w14:paraId="0A1084CA" w14:textId="77777777" w:rsidR="00A97E5F" w:rsidRDefault="0078642E">
      <w:pPr>
        <w:pStyle w:val="BodyText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30C946" wp14:editId="46A6420B">
                <wp:simplePos x="0" y="0"/>
                <wp:positionH relativeFrom="page">
                  <wp:posOffset>990552</wp:posOffset>
                </wp:positionH>
                <wp:positionV relativeFrom="paragraph">
                  <wp:posOffset>257716</wp:posOffset>
                </wp:positionV>
                <wp:extent cx="14947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4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4790">
                              <a:moveTo>
                                <a:pt x="0" y="0"/>
                              </a:moveTo>
                              <a:lnTo>
                                <a:pt x="1494186" y="0"/>
                              </a:lnTo>
                            </a:path>
                          </a:pathLst>
                        </a:custGeom>
                        <a:ln w="12974">
                          <a:solidFill>
                            <a:srgbClr val="009B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F3C61" id="Graphic 3" o:spid="_x0000_s1026" style="position:absolute;margin-left:78pt;margin-top:20.3pt;width:11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4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" path="m,l1494186,e" filled="f" strokecolor="#009ba5" strokeweight=".36039mm">
                <v:path arrowok="t"/>
                <w10:wrap type="topAndBottom" anchorx="page"/>
              </v:shape>
            </w:pict>
          </mc:Fallback>
        </mc:AlternateContent>
      </w:r>
    </w:p>
    <w:p w14:paraId="36C2FCAB" w14:textId="77777777" w:rsidR="00A97E5F" w:rsidRDefault="0078642E">
      <w:pPr>
        <w:pStyle w:val="Heading1"/>
      </w:pPr>
      <w:r>
        <w:t>Leela</w:t>
      </w:r>
      <w:r>
        <w:rPr>
          <w:spacing w:val="8"/>
        </w:rPr>
        <w:t xml:space="preserve"> </w:t>
      </w:r>
      <w:r>
        <w:t>Sarathy</w:t>
      </w:r>
      <w:r>
        <w:rPr>
          <w:spacing w:val="9"/>
        </w:rPr>
        <w:t xml:space="preserve"> </w:t>
      </w:r>
      <w:r>
        <w:rPr>
          <w:spacing w:val="-5"/>
        </w:rPr>
        <w:t>MD</w:t>
      </w:r>
    </w:p>
    <w:p w14:paraId="71640A4E" w14:textId="77777777" w:rsidR="00A97E5F" w:rsidRDefault="0078642E">
      <w:pPr>
        <w:pStyle w:val="BodyText"/>
        <w:spacing w:line="265" w:lineRule="exact"/>
        <w:ind w:left="120"/>
        <w:rPr>
          <w:rFonts w:ascii="Calibri Light"/>
        </w:rPr>
      </w:pPr>
      <w:r>
        <w:rPr>
          <w:rFonts w:ascii="Calibri Light"/>
        </w:rPr>
        <w:t>Pediatric</w:t>
      </w:r>
      <w:r>
        <w:rPr>
          <w:rFonts w:ascii="Calibri Light"/>
          <w:spacing w:val="9"/>
        </w:rPr>
        <w:t xml:space="preserve"> </w:t>
      </w:r>
      <w:r>
        <w:rPr>
          <w:rFonts w:ascii="Calibri Light"/>
        </w:rPr>
        <w:t>&amp;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Newborn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  <w:spacing w:val="-2"/>
        </w:rPr>
        <w:t>Hospitalist</w:t>
      </w:r>
    </w:p>
    <w:p w14:paraId="25EC388A" w14:textId="77777777" w:rsidR="00A97E5F" w:rsidRDefault="0078642E">
      <w:pPr>
        <w:pStyle w:val="BodyText"/>
        <w:spacing w:before="1"/>
        <w:ind w:left="120" w:right="5157"/>
        <w:rPr>
          <w:rFonts w:ascii="Calibri Light"/>
        </w:rPr>
      </w:pPr>
      <w:r>
        <w:rPr>
          <w:rFonts w:ascii="Calibri Light"/>
        </w:rPr>
        <w:t xml:space="preserve">Medical Director, MGH Newborn Nursery </w:t>
      </w:r>
      <w:r>
        <w:rPr>
          <w:rFonts w:ascii="Calibri Light"/>
          <w:color w:val="0562C1"/>
          <w:u w:val="single" w:color="0562C1"/>
        </w:rPr>
        <w:t>Book a time to meet</w:t>
      </w:r>
    </w:p>
    <w:p w14:paraId="7241D6AE" w14:textId="77777777" w:rsidR="00A97E5F" w:rsidRDefault="0078642E">
      <w:pPr>
        <w:pStyle w:val="BodyText"/>
        <w:spacing w:before="19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drawing>
          <wp:anchor distT="0" distB="0" distL="0" distR="0" simplePos="0" relativeHeight="487589376" behindDoc="1" locked="0" layoutInCell="1" allowOverlap="1" wp14:anchorId="73408200" wp14:editId="5B0B74DF">
            <wp:simplePos x="0" y="0"/>
            <wp:positionH relativeFrom="page">
              <wp:posOffset>990600</wp:posOffset>
            </wp:positionH>
            <wp:positionV relativeFrom="paragraph">
              <wp:posOffset>182637</wp:posOffset>
            </wp:positionV>
            <wp:extent cx="2493685" cy="345281"/>
            <wp:effectExtent l="0" t="0" r="0" b="0"/>
            <wp:wrapTopAndBottom/>
            <wp:docPr id="4" name="Image 4" descr="Banner - Mass General Brigham for Childr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anner - Mass General Brigham for Children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685" cy="345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D5B52A" w14:textId="77777777" w:rsidR="00A97E5F" w:rsidRDefault="00A97E5F">
      <w:pPr>
        <w:pStyle w:val="BodyText"/>
        <w:rPr>
          <w:rFonts w:ascii="Calibri Light"/>
        </w:rPr>
      </w:pPr>
    </w:p>
    <w:p w14:paraId="3B93F216" w14:textId="77777777" w:rsidR="00A97E5F" w:rsidRDefault="00A97E5F">
      <w:pPr>
        <w:pStyle w:val="BodyText"/>
        <w:spacing w:before="229"/>
        <w:rPr>
          <w:rFonts w:ascii="Calibri Light"/>
        </w:rPr>
      </w:pPr>
    </w:p>
    <w:p w14:paraId="35BB0A10" w14:textId="77777777" w:rsidR="00A97E5F" w:rsidRDefault="0078642E">
      <w:pPr>
        <w:spacing w:line="235" w:lineRule="auto"/>
        <w:ind w:left="120"/>
        <w:rPr>
          <w:rFonts w:ascii="Times New Roman"/>
          <w:sz w:val="24"/>
        </w:rPr>
      </w:pPr>
      <w:r>
        <w:rPr>
          <w:rFonts w:ascii="Times New Roman"/>
          <w:sz w:val="24"/>
        </w:rPr>
        <w:t>The information in this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e-mail 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intended only for the person to whom it 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addressed.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If you believe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e-mail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error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e-mail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contains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patient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information,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please contact the Mass General Brigham Compliance </w:t>
      </w:r>
      <w:proofErr w:type="spellStart"/>
      <w:r>
        <w:rPr>
          <w:rFonts w:ascii="Times New Roman"/>
          <w:sz w:val="24"/>
        </w:rPr>
        <w:t>HelpLine</w:t>
      </w:r>
      <w:proofErr w:type="spellEnd"/>
      <w:r>
        <w:rPr>
          <w:rFonts w:ascii="Times New Roman"/>
          <w:sz w:val="24"/>
        </w:rPr>
        <w:t xml:space="preserve"> at </w:t>
      </w:r>
      <w:hyperlink r:id="rId7">
        <w:r>
          <w:rPr>
            <w:rFonts w:ascii="Times New Roman"/>
            <w:color w:val="0000ED"/>
            <w:sz w:val="24"/>
            <w:u w:val="single" w:color="0000ED"/>
          </w:rPr>
          <w:t>https://www.massgeneralbrigham.org/complianceline</w:t>
        </w:r>
      </w:hyperlink>
      <w:r>
        <w:rPr>
          <w:rFonts w:ascii="Times New Roman"/>
          <w:color w:val="0000ED"/>
          <w:sz w:val="24"/>
        </w:rPr>
        <w:t xml:space="preserve"> </w:t>
      </w:r>
      <w:r>
        <w:rPr>
          <w:rFonts w:ascii="Times New Roman"/>
          <w:sz w:val="24"/>
        </w:rPr>
        <w:t>.</w:t>
      </w:r>
    </w:p>
    <w:sectPr w:rsidR="00A97E5F">
      <w:pgSz w:w="12240" w:h="15840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image1"/>
      </v:shape>
    </w:pict>
  </w:numPicBullet>
  <w:abstractNum w:abstractNumId="0" w15:restartNumberingAfterBreak="0">
    <w:nsid w:val="70703994"/>
    <w:multiLevelType w:val="hybridMultilevel"/>
    <w:tmpl w:val="3996B286"/>
    <w:lvl w:ilvl="0" w:tplc="2D8010EA">
      <w:numFmt w:val="bullet"/>
      <w:lvlText w:val="&amp;"/>
      <w:lvlPicBulletId w:val="0"/>
      <w:lvlJc w:val="left"/>
      <w:pPr>
        <w:ind w:left="719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5"/>
        <w:szCs w:val="15"/>
        <w:lang w:val="en-US" w:eastAsia="en-US" w:bidi="ar-SA"/>
      </w:rPr>
    </w:lvl>
    <w:lvl w:ilvl="1" w:tplc="519E82F2">
      <w:numFmt w:val="bullet"/>
      <w:lvlText w:val="•"/>
      <w:lvlJc w:val="left"/>
      <w:pPr>
        <w:ind w:left="1584" w:hanging="278"/>
      </w:pPr>
      <w:rPr>
        <w:rFonts w:hint="default"/>
        <w:lang w:val="en-US" w:eastAsia="en-US" w:bidi="ar-SA"/>
      </w:rPr>
    </w:lvl>
    <w:lvl w:ilvl="2" w:tplc="00AAC3F0">
      <w:numFmt w:val="bullet"/>
      <w:lvlText w:val="•"/>
      <w:lvlJc w:val="left"/>
      <w:pPr>
        <w:ind w:left="2448" w:hanging="278"/>
      </w:pPr>
      <w:rPr>
        <w:rFonts w:hint="default"/>
        <w:lang w:val="en-US" w:eastAsia="en-US" w:bidi="ar-SA"/>
      </w:rPr>
    </w:lvl>
    <w:lvl w:ilvl="3" w:tplc="847CFC36">
      <w:numFmt w:val="bullet"/>
      <w:lvlText w:val="•"/>
      <w:lvlJc w:val="left"/>
      <w:pPr>
        <w:ind w:left="3312" w:hanging="278"/>
      </w:pPr>
      <w:rPr>
        <w:rFonts w:hint="default"/>
        <w:lang w:val="en-US" w:eastAsia="en-US" w:bidi="ar-SA"/>
      </w:rPr>
    </w:lvl>
    <w:lvl w:ilvl="4" w:tplc="480E940E">
      <w:numFmt w:val="bullet"/>
      <w:lvlText w:val="•"/>
      <w:lvlJc w:val="left"/>
      <w:pPr>
        <w:ind w:left="4176" w:hanging="278"/>
      </w:pPr>
      <w:rPr>
        <w:rFonts w:hint="default"/>
        <w:lang w:val="en-US" w:eastAsia="en-US" w:bidi="ar-SA"/>
      </w:rPr>
    </w:lvl>
    <w:lvl w:ilvl="5" w:tplc="84DEA880">
      <w:numFmt w:val="bullet"/>
      <w:lvlText w:val="•"/>
      <w:lvlJc w:val="left"/>
      <w:pPr>
        <w:ind w:left="5040" w:hanging="278"/>
      </w:pPr>
      <w:rPr>
        <w:rFonts w:hint="default"/>
        <w:lang w:val="en-US" w:eastAsia="en-US" w:bidi="ar-SA"/>
      </w:rPr>
    </w:lvl>
    <w:lvl w:ilvl="6" w:tplc="CB0622BC">
      <w:numFmt w:val="bullet"/>
      <w:lvlText w:val="•"/>
      <w:lvlJc w:val="left"/>
      <w:pPr>
        <w:ind w:left="5904" w:hanging="278"/>
      </w:pPr>
      <w:rPr>
        <w:rFonts w:hint="default"/>
        <w:lang w:val="en-US" w:eastAsia="en-US" w:bidi="ar-SA"/>
      </w:rPr>
    </w:lvl>
    <w:lvl w:ilvl="7" w:tplc="CFA8E108">
      <w:numFmt w:val="bullet"/>
      <w:lvlText w:val="•"/>
      <w:lvlJc w:val="left"/>
      <w:pPr>
        <w:ind w:left="6768" w:hanging="278"/>
      </w:pPr>
      <w:rPr>
        <w:rFonts w:hint="default"/>
        <w:lang w:val="en-US" w:eastAsia="en-US" w:bidi="ar-SA"/>
      </w:rPr>
    </w:lvl>
    <w:lvl w:ilvl="8" w:tplc="AA4CA9F2">
      <w:numFmt w:val="bullet"/>
      <w:lvlText w:val="•"/>
      <w:lvlJc w:val="left"/>
      <w:pPr>
        <w:ind w:left="7632" w:hanging="278"/>
      </w:pPr>
      <w:rPr>
        <w:rFonts w:hint="default"/>
        <w:lang w:val="en-US" w:eastAsia="en-US" w:bidi="ar-SA"/>
      </w:rPr>
    </w:lvl>
  </w:abstractNum>
  <w:num w:numId="1" w16cid:durableId="143755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E5F"/>
    <w:rsid w:val="0078642E"/>
    <w:rsid w:val="00A4319B"/>
    <w:rsid w:val="00A97E5F"/>
    <w:rsid w:val="00B86785"/>
    <w:rsid w:val="00BB1904"/>
    <w:rsid w:val="00F1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3ADD"/>
  <w15:docId w15:val="{37585028-ED3A-4CCA-A796-E8FE8973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5" w:line="375" w:lineRule="exact"/>
      <w:ind w:left="120"/>
      <w:outlineLvl w:val="0"/>
    </w:pPr>
    <w:rPr>
      <w:rFonts w:ascii="Calibri Light" w:eastAsia="Calibri Light" w:hAnsi="Calibri Light" w:cs="Calibri Light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9" w:right="223" w:hanging="2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generalbrigham.org/compliance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Company>Commonwealth of Massachusetts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3</cp:revision>
  <dcterms:created xsi:type="dcterms:W3CDTF">2026-05-21T13:06:00Z</dcterms:created>
  <dcterms:modified xsi:type="dcterms:W3CDTF">2026-05-26T12:07:00Z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Acrobat PDFMaker 26 for Microsoft Outlook</vt:lpwstr>
  </property>
  <property fmtid="{D5CDD505-2E9C-101B-9397-08002B2CF9AE}" pid="4" name="LastSaved">
    <vt:filetime>2026-05-21T00:00:00Z</vt:filetime>
  </property>
  <property fmtid="{D5CDD505-2E9C-101B-9397-08002B2CF9AE}" pid="5" name="Producer">
    <vt:lpwstr>Adobe PDF Library 26.1.59</vt:lpwstr>
  </property>
</Properties>
</file>