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10.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46B" w:rsidRPr="0021646B" w:rsidRDefault="0021646B" w:rsidP="0021646B">
      <w:pPr>
        <w:framePr w:w="6926" w:hSpace="187" w:wrap="notBeside" w:vAnchor="page" w:hAnchor="page" w:x="2881" w:y="1441"/>
        <w:jc w:val="center"/>
        <w:rPr>
          <w:rFonts w:ascii="Arial" w:hAnsi="Arial"/>
          <w:sz w:val="36"/>
        </w:rPr>
      </w:pPr>
      <w:bookmarkStart w:id="0" w:name="_Toc452726667"/>
      <w:bookmarkStart w:id="1" w:name="_GoBack"/>
      <w:bookmarkEnd w:id="1"/>
      <w:r w:rsidRPr="0021646B">
        <w:rPr>
          <w:rFonts w:ascii="Arial" w:hAnsi="Arial"/>
          <w:sz w:val="36"/>
        </w:rPr>
        <w:t>T</w:t>
      </w:r>
      <w:r w:rsidR="00BA3381" w:rsidRPr="0021646B">
        <w:rPr>
          <w:rFonts w:ascii="Arial" w:hAnsi="Arial"/>
          <w:sz w:val="36"/>
        </w:rPr>
        <w:t>he</w:t>
      </w:r>
      <w:r w:rsidRPr="0021646B">
        <w:rPr>
          <w:rFonts w:ascii="Arial" w:hAnsi="Arial"/>
          <w:sz w:val="36"/>
        </w:rPr>
        <w:t xml:space="preserve"> Commonwealth of Massachusetts</w:t>
      </w:r>
    </w:p>
    <w:p w:rsidR="0021646B" w:rsidRPr="0021646B" w:rsidRDefault="0021646B" w:rsidP="0021646B">
      <w:pPr>
        <w:framePr w:w="6926" w:hSpace="187" w:wrap="notBeside" w:vAnchor="page" w:hAnchor="page" w:x="2881" w:y="1441"/>
        <w:jc w:val="center"/>
        <w:rPr>
          <w:rFonts w:ascii="Arial" w:hAnsi="Arial"/>
          <w:sz w:val="28"/>
        </w:rPr>
      </w:pPr>
      <w:r w:rsidRPr="0021646B">
        <w:rPr>
          <w:rFonts w:ascii="Arial" w:hAnsi="Arial"/>
          <w:sz w:val="28"/>
        </w:rPr>
        <w:t>Executive Office of Health and Human Services</w:t>
      </w:r>
    </w:p>
    <w:p w:rsidR="0021646B" w:rsidRPr="0021646B" w:rsidRDefault="0021646B" w:rsidP="0021646B">
      <w:pPr>
        <w:framePr w:w="6926" w:hSpace="187" w:wrap="notBeside" w:vAnchor="page" w:hAnchor="page" w:x="2881" w:y="1441"/>
        <w:jc w:val="center"/>
        <w:rPr>
          <w:rFonts w:ascii="Arial" w:hAnsi="Arial"/>
          <w:sz w:val="28"/>
        </w:rPr>
      </w:pPr>
      <w:r w:rsidRPr="0021646B">
        <w:rPr>
          <w:rFonts w:ascii="Arial" w:hAnsi="Arial"/>
          <w:sz w:val="28"/>
        </w:rPr>
        <w:t>Department of Public Health</w:t>
      </w:r>
    </w:p>
    <w:p w:rsidR="0021646B" w:rsidRPr="0021646B" w:rsidRDefault="0021646B" w:rsidP="0021646B">
      <w:pPr>
        <w:framePr w:w="6926" w:hSpace="187" w:wrap="notBeside" w:vAnchor="page" w:hAnchor="page" w:x="2881" w:y="1441"/>
        <w:jc w:val="center"/>
        <w:rPr>
          <w:rFonts w:ascii="Arial" w:hAnsi="Arial"/>
          <w:sz w:val="28"/>
        </w:rPr>
      </w:pPr>
      <w:r w:rsidRPr="0021646B">
        <w:rPr>
          <w:rFonts w:ascii="Arial" w:hAnsi="Arial"/>
          <w:sz w:val="28"/>
        </w:rPr>
        <w:t>250 Washington Street, Boston, MA 02108-4619</w:t>
      </w:r>
    </w:p>
    <w:p w:rsidR="0021646B" w:rsidRPr="0021646B" w:rsidRDefault="0021646B" w:rsidP="0021646B">
      <w:pPr>
        <w:jc w:val="center"/>
        <w:rPr>
          <w:rFonts w:ascii="Calibri" w:hAnsi="Calibri" w:cs="Arial"/>
          <w:b/>
          <w:sz w:val="48"/>
          <w:szCs w:val="48"/>
        </w:rPr>
      </w:pPr>
      <w:r w:rsidRPr="0021646B">
        <w:rPr>
          <w:rFonts w:ascii="LinePrinter" w:hAnsi="LinePrinter"/>
          <w:noProof/>
        </w:rPr>
        <w:drawing>
          <wp:anchor distT="0" distB="0" distL="114300" distR="114300" simplePos="0" relativeHeight="251666432" behindDoc="0" locked="0" layoutInCell="1" allowOverlap="1" wp14:anchorId="08FF3AB2" wp14:editId="427B773C">
            <wp:simplePos x="0" y="0"/>
            <wp:positionH relativeFrom="column">
              <wp:posOffset>-116205</wp:posOffset>
            </wp:positionH>
            <wp:positionV relativeFrom="page">
              <wp:posOffset>732980</wp:posOffset>
            </wp:positionV>
            <wp:extent cx="960120" cy="1151890"/>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646B">
        <w:rPr>
          <w:noProof/>
        </w:rPr>
        <mc:AlternateContent>
          <mc:Choice Requires="wps">
            <w:drawing>
              <wp:anchor distT="0" distB="0" distL="114300" distR="114300" simplePos="0" relativeHeight="251664384" behindDoc="0" locked="0" layoutInCell="1" allowOverlap="1" wp14:anchorId="159A17F5" wp14:editId="5395DFB4">
                <wp:simplePos x="0" y="0"/>
                <wp:positionH relativeFrom="page">
                  <wp:posOffset>469265</wp:posOffset>
                </wp:positionH>
                <wp:positionV relativeFrom="page">
                  <wp:posOffset>2020570</wp:posOffset>
                </wp:positionV>
                <wp:extent cx="1572895" cy="802005"/>
                <wp:effectExtent l="0" t="0" r="8255"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66A8" w:rsidRDefault="002666A8" w:rsidP="0021646B">
                            <w:pPr>
                              <w:pStyle w:val="Governor"/>
                              <w:spacing w:after="0"/>
                              <w:rPr>
                                <w:sz w:val="16"/>
                              </w:rPr>
                            </w:pPr>
                          </w:p>
                          <w:p w:rsidR="002666A8" w:rsidRDefault="002666A8" w:rsidP="0021646B">
                            <w:pPr>
                              <w:pStyle w:val="Governor"/>
                              <w:spacing w:after="0"/>
                              <w:rPr>
                                <w:sz w:val="16"/>
                              </w:rPr>
                            </w:pPr>
                            <w:r>
                              <w:rPr>
                                <w:sz w:val="16"/>
                              </w:rPr>
                              <w:t>CHARLES D. BAKER</w:t>
                            </w:r>
                          </w:p>
                          <w:p w:rsidR="002666A8" w:rsidRDefault="002666A8" w:rsidP="0021646B">
                            <w:pPr>
                              <w:pStyle w:val="Governor"/>
                            </w:pPr>
                            <w:r>
                              <w:t>Governor</w:t>
                            </w:r>
                          </w:p>
                          <w:p w:rsidR="002666A8" w:rsidRDefault="002666A8" w:rsidP="0021646B">
                            <w:pPr>
                              <w:pStyle w:val="Governor"/>
                              <w:spacing w:after="0"/>
                              <w:rPr>
                                <w:sz w:val="16"/>
                              </w:rPr>
                            </w:pPr>
                            <w:r>
                              <w:rPr>
                                <w:sz w:val="16"/>
                              </w:rPr>
                              <w:t>KARYN E. POLITO</w:t>
                            </w:r>
                          </w:p>
                          <w:p w:rsidR="002666A8" w:rsidRDefault="002666A8" w:rsidP="0021646B">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3" o:spid="_x0000_s1026" type="#_x0000_t202" style="position:absolute;left:0;text-align:left;margin-left:36.95pt;margin-top:159.1pt;width:123.85pt;height:63.15pt;z-index:25166438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" stroked="f">
                <v:textbox style="mso-fit-shape-to-text:t">
                  <w:txbxContent>
                    <w:p w:rsidR="002666A8" w:rsidRDefault="002666A8" w:rsidP="0021646B">
                      <w:pPr>
                        <w:pStyle w:val="Governor"/>
                        <w:spacing w:after="0"/>
                        <w:rPr>
                          <w:sz w:val="16"/>
                        </w:rPr>
                      </w:pPr>
                    </w:p>
                    <w:p w:rsidR="002666A8" w:rsidRDefault="002666A8" w:rsidP="0021646B">
                      <w:pPr>
                        <w:pStyle w:val="Governor"/>
                        <w:spacing w:after="0"/>
                        <w:rPr>
                          <w:sz w:val="16"/>
                        </w:rPr>
                      </w:pPr>
                      <w:r>
                        <w:rPr>
                          <w:sz w:val="16"/>
                        </w:rPr>
                        <w:t>CHARLES D. BAKER</w:t>
                      </w:r>
                    </w:p>
                    <w:p w:rsidR="002666A8" w:rsidRDefault="002666A8" w:rsidP="0021646B">
                      <w:pPr>
                        <w:pStyle w:val="Governor"/>
                      </w:pPr>
                      <w:r>
                        <w:t>Governor</w:t>
                      </w:r>
                    </w:p>
                    <w:p w:rsidR="002666A8" w:rsidRDefault="002666A8" w:rsidP="0021646B">
                      <w:pPr>
                        <w:pStyle w:val="Governor"/>
                        <w:spacing w:after="0"/>
                        <w:rPr>
                          <w:sz w:val="16"/>
                        </w:rPr>
                      </w:pPr>
                      <w:r>
                        <w:rPr>
                          <w:sz w:val="16"/>
                        </w:rPr>
                        <w:t>KARYN E. POLITO</w:t>
                      </w:r>
                    </w:p>
                    <w:p w:rsidR="002666A8" w:rsidRDefault="002666A8" w:rsidP="0021646B">
                      <w:pPr>
                        <w:pStyle w:val="Governor"/>
                      </w:pPr>
                      <w:r>
                        <w:t>Lieutenant Governor</w:t>
                      </w:r>
                    </w:p>
                  </w:txbxContent>
                </v:textbox>
                <w10:wrap anchorx="page" anchory="page"/>
              </v:shape>
            </w:pict>
          </mc:Fallback>
        </mc:AlternateContent>
      </w:r>
      <w:r w:rsidRPr="0021646B">
        <w:rPr>
          <w:noProof/>
        </w:rPr>
        <mc:AlternateContent>
          <mc:Choice Requires="wps">
            <w:drawing>
              <wp:anchor distT="0" distB="0" distL="114300" distR="114300" simplePos="0" relativeHeight="251665408" behindDoc="0" locked="0" layoutInCell="1" allowOverlap="1" wp14:anchorId="37B3E418" wp14:editId="0B422F2F">
                <wp:simplePos x="0" y="0"/>
                <wp:positionH relativeFrom="page">
                  <wp:posOffset>5457825</wp:posOffset>
                </wp:positionH>
                <wp:positionV relativeFrom="page">
                  <wp:posOffset>1929130</wp:posOffset>
                </wp:positionV>
                <wp:extent cx="1814195" cy="1136015"/>
                <wp:effectExtent l="0" t="0" r="0" b="698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66A8" w:rsidRDefault="002666A8" w:rsidP="0021646B">
                            <w:pPr>
                              <w:pStyle w:val="Governor"/>
                              <w:spacing w:after="0"/>
                              <w:rPr>
                                <w:sz w:val="16"/>
                              </w:rPr>
                            </w:pPr>
                          </w:p>
                          <w:p w:rsidR="002666A8" w:rsidRPr="003A7AFC" w:rsidRDefault="002666A8" w:rsidP="0021646B">
                            <w:pPr>
                              <w:pStyle w:val="Weld"/>
                            </w:pPr>
                            <w:r>
                              <w:t>MARYLOU SUDDERS</w:t>
                            </w:r>
                          </w:p>
                          <w:p w:rsidR="002666A8" w:rsidRDefault="002666A8" w:rsidP="0021646B">
                            <w:pPr>
                              <w:pStyle w:val="Governor"/>
                            </w:pPr>
                            <w:r>
                              <w:t>Secretary</w:t>
                            </w:r>
                          </w:p>
                          <w:p w:rsidR="002666A8" w:rsidRDefault="002666A8" w:rsidP="0021646B">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2666A8" w:rsidRDefault="002666A8" w:rsidP="0021646B">
                            <w:pPr>
                              <w:jc w:val="center"/>
                              <w:rPr>
                                <w:rFonts w:ascii="Arial Rounded MT Bold" w:hAnsi="Arial Rounded MT Bold"/>
                                <w:sz w:val="14"/>
                                <w:szCs w:val="14"/>
                              </w:rPr>
                            </w:pPr>
                          </w:p>
                          <w:p w:rsidR="002666A8" w:rsidRPr="004813AC" w:rsidRDefault="002666A8" w:rsidP="0021646B">
                            <w:pPr>
                              <w:jc w:val="center"/>
                              <w:rPr>
                                <w:rFonts w:ascii="Arial" w:hAnsi="Arial" w:cs="Arial"/>
                                <w:b/>
                                <w:sz w:val="14"/>
                                <w:szCs w:val="14"/>
                              </w:rPr>
                            </w:pPr>
                            <w:r w:rsidRPr="004813AC">
                              <w:rPr>
                                <w:rFonts w:ascii="Arial" w:hAnsi="Arial" w:cs="Arial"/>
                                <w:b/>
                                <w:sz w:val="14"/>
                                <w:szCs w:val="14"/>
                              </w:rPr>
                              <w:t>Tel: 617-624-6000</w:t>
                            </w:r>
                          </w:p>
                          <w:p w:rsidR="002666A8" w:rsidRPr="004813AC" w:rsidRDefault="002666A8" w:rsidP="0021646B">
                            <w:pPr>
                              <w:jc w:val="center"/>
                              <w:rPr>
                                <w:rFonts w:ascii="Arial" w:hAnsi="Arial" w:cs="Arial"/>
                                <w:b/>
                                <w:sz w:val="14"/>
                                <w:szCs w:val="14"/>
                                <w:lang w:val="fr-FR"/>
                              </w:rPr>
                            </w:pPr>
                            <w:r w:rsidRPr="004813AC">
                              <w:rPr>
                                <w:rFonts w:ascii="Arial" w:hAnsi="Arial" w:cs="Arial"/>
                                <w:b/>
                                <w:sz w:val="14"/>
                                <w:szCs w:val="14"/>
                                <w:lang w:val="fr-FR"/>
                              </w:rPr>
                              <w:t>www.mass.gov/dph</w:t>
                            </w:r>
                          </w:p>
                          <w:p w:rsidR="002666A8" w:rsidRPr="00FC6B42" w:rsidRDefault="002666A8" w:rsidP="0021646B">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5" o:spid="_x0000_s1027" type="#_x0000_t202" style="position:absolute;left:0;text-align:left;margin-left:429.75pt;margin-top:151.9pt;width:142.85pt;height:89.45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" stroked="f">
                <v:textbox style="mso-fit-shape-to-text:t">
                  <w:txbxContent>
                    <w:p w:rsidR="002666A8" w:rsidRDefault="002666A8" w:rsidP="0021646B">
                      <w:pPr>
                        <w:pStyle w:val="Governor"/>
                        <w:spacing w:after="0"/>
                        <w:rPr>
                          <w:sz w:val="16"/>
                        </w:rPr>
                      </w:pPr>
                    </w:p>
                    <w:p w:rsidR="002666A8" w:rsidRPr="003A7AFC" w:rsidRDefault="002666A8" w:rsidP="0021646B">
                      <w:pPr>
                        <w:pStyle w:val="Weld"/>
                      </w:pPr>
                      <w:r>
                        <w:t>MARYLOU SUDDERS</w:t>
                      </w:r>
                    </w:p>
                    <w:p w:rsidR="002666A8" w:rsidRDefault="002666A8" w:rsidP="0021646B">
                      <w:pPr>
                        <w:pStyle w:val="Governor"/>
                      </w:pPr>
                      <w:r>
                        <w:t>Secretary</w:t>
                      </w:r>
                    </w:p>
                    <w:p w:rsidR="002666A8" w:rsidRDefault="002666A8" w:rsidP="0021646B">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2666A8" w:rsidRDefault="002666A8" w:rsidP="0021646B">
                      <w:pPr>
                        <w:jc w:val="center"/>
                        <w:rPr>
                          <w:rFonts w:ascii="Arial Rounded MT Bold" w:hAnsi="Arial Rounded MT Bold"/>
                          <w:sz w:val="14"/>
                          <w:szCs w:val="14"/>
                        </w:rPr>
                      </w:pPr>
                    </w:p>
                    <w:p w:rsidR="002666A8" w:rsidRPr="004813AC" w:rsidRDefault="002666A8" w:rsidP="0021646B">
                      <w:pPr>
                        <w:jc w:val="center"/>
                        <w:rPr>
                          <w:rFonts w:ascii="Arial" w:hAnsi="Arial" w:cs="Arial"/>
                          <w:b/>
                          <w:sz w:val="14"/>
                          <w:szCs w:val="14"/>
                        </w:rPr>
                      </w:pPr>
                      <w:r w:rsidRPr="004813AC">
                        <w:rPr>
                          <w:rFonts w:ascii="Arial" w:hAnsi="Arial" w:cs="Arial"/>
                          <w:b/>
                          <w:sz w:val="14"/>
                          <w:szCs w:val="14"/>
                        </w:rPr>
                        <w:t>Tel: 617-624-6000</w:t>
                      </w:r>
                    </w:p>
                    <w:p w:rsidR="002666A8" w:rsidRPr="004813AC" w:rsidRDefault="002666A8" w:rsidP="0021646B">
                      <w:pPr>
                        <w:jc w:val="center"/>
                        <w:rPr>
                          <w:rFonts w:ascii="Arial" w:hAnsi="Arial" w:cs="Arial"/>
                          <w:b/>
                          <w:sz w:val="14"/>
                          <w:szCs w:val="14"/>
                          <w:lang w:val="fr-FR"/>
                        </w:rPr>
                      </w:pPr>
                      <w:r w:rsidRPr="004813AC">
                        <w:rPr>
                          <w:rFonts w:ascii="Arial" w:hAnsi="Arial" w:cs="Arial"/>
                          <w:b/>
                          <w:sz w:val="14"/>
                          <w:szCs w:val="14"/>
                          <w:lang w:val="fr-FR"/>
                        </w:rPr>
                        <w:t>www.mass.gov/dph</w:t>
                      </w:r>
                    </w:p>
                    <w:p w:rsidR="002666A8" w:rsidRPr="00FC6B42" w:rsidRDefault="002666A8" w:rsidP="0021646B">
                      <w:pPr>
                        <w:jc w:val="center"/>
                        <w:rPr>
                          <w:rFonts w:ascii="Arial Rounded MT Bold" w:hAnsi="Arial Rounded MT Bold"/>
                          <w:sz w:val="14"/>
                          <w:szCs w:val="14"/>
                        </w:rPr>
                      </w:pPr>
                    </w:p>
                  </w:txbxContent>
                </v:textbox>
                <w10:wrap anchorx="page" anchory="page"/>
              </v:shape>
            </w:pict>
          </mc:Fallback>
        </mc:AlternateContent>
      </w:r>
    </w:p>
    <w:p w:rsidR="0021646B" w:rsidRPr="0021646B" w:rsidRDefault="0021646B" w:rsidP="0021646B">
      <w:pPr>
        <w:rPr>
          <w:rFonts w:ascii="Calibri" w:hAnsi="Calibri"/>
          <w:b/>
          <w:sz w:val="48"/>
        </w:rPr>
      </w:pPr>
    </w:p>
    <w:p w:rsidR="0021646B" w:rsidRPr="0021646B" w:rsidRDefault="0021646B" w:rsidP="0021646B">
      <w:pPr>
        <w:framePr w:w="1927" w:hSpace="180" w:wrap="auto" w:vAnchor="text" w:hAnchor="page" w:x="940" w:y="-951"/>
        <w:rPr>
          <w:rFonts w:ascii="LinePrinter" w:hAnsi="LinePrinter"/>
        </w:rPr>
      </w:pPr>
    </w:p>
    <w:p w:rsidR="0021646B" w:rsidRPr="0021646B" w:rsidRDefault="0021646B" w:rsidP="0021646B"/>
    <w:p w:rsidR="00E11012" w:rsidRDefault="00E11012" w:rsidP="00E11012"/>
    <w:p w:rsidR="00E11012" w:rsidRPr="0021646B" w:rsidRDefault="002224F2" w:rsidP="00E11012">
      <w:r>
        <w:t>September</w:t>
      </w:r>
      <w:r w:rsidRPr="0021646B">
        <w:t xml:space="preserve"> </w:t>
      </w:r>
      <w:r>
        <w:rPr>
          <w:szCs w:val="24"/>
        </w:rPr>
        <w:t>1</w:t>
      </w:r>
      <w:r w:rsidR="00DC50EA">
        <w:rPr>
          <w:szCs w:val="24"/>
        </w:rPr>
        <w:t>5</w:t>
      </w:r>
      <w:r w:rsidR="00E11012" w:rsidRPr="0021646B">
        <w:t>, 2016</w:t>
      </w:r>
    </w:p>
    <w:p w:rsidR="00E11012" w:rsidRPr="0021646B" w:rsidRDefault="00E11012" w:rsidP="00E11012"/>
    <w:p w:rsidR="00E11012" w:rsidRPr="0021646B" w:rsidRDefault="00E11012" w:rsidP="00E11012"/>
    <w:p w:rsidR="00E11012" w:rsidRPr="0021646B" w:rsidRDefault="00E11012" w:rsidP="00E11012">
      <w:pPr>
        <w:rPr>
          <w:szCs w:val="24"/>
        </w:rPr>
      </w:pPr>
      <w:r w:rsidRPr="0021646B">
        <w:t>Steven T. James</w:t>
      </w:r>
    </w:p>
    <w:p w:rsidR="00E11012" w:rsidRPr="0021646B" w:rsidRDefault="00E11012" w:rsidP="00E11012">
      <w:r w:rsidRPr="0021646B">
        <w:rPr>
          <w:szCs w:val="24"/>
        </w:rPr>
        <w:t>House</w:t>
      </w:r>
      <w:r w:rsidRPr="0021646B">
        <w:t xml:space="preserve"> Clerk</w:t>
      </w:r>
    </w:p>
    <w:p w:rsidR="00E11012" w:rsidRPr="0021646B" w:rsidRDefault="00E11012" w:rsidP="00E11012">
      <w:r w:rsidRPr="0021646B">
        <w:t>State House</w:t>
      </w:r>
      <w:r w:rsidRPr="0021646B">
        <w:rPr>
          <w:szCs w:val="24"/>
        </w:rPr>
        <w:t xml:space="preserve"> Room 145</w:t>
      </w:r>
    </w:p>
    <w:p w:rsidR="00E11012" w:rsidRPr="0021646B" w:rsidRDefault="00E11012" w:rsidP="00E11012">
      <w:r w:rsidRPr="0021646B">
        <w:t>Boston, MA 02133</w:t>
      </w:r>
    </w:p>
    <w:p w:rsidR="00E11012" w:rsidRPr="0021646B" w:rsidRDefault="00E11012" w:rsidP="00E11012"/>
    <w:p w:rsidR="00E11012" w:rsidRPr="0021646B" w:rsidRDefault="00E11012" w:rsidP="00E11012">
      <w:pPr>
        <w:rPr>
          <w:szCs w:val="24"/>
        </w:rPr>
      </w:pPr>
      <w:r w:rsidRPr="0021646B">
        <w:t>William F. Welch</w:t>
      </w:r>
    </w:p>
    <w:p w:rsidR="00E11012" w:rsidRPr="0021646B" w:rsidRDefault="00E11012" w:rsidP="00E11012">
      <w:pPr>
        <w:tabs>
          <w:tab w:val="center" w:pos="4680"/>
        </w:tabs>
      </w:pPr>
      <w:r w:rsidRPr="0021646B">
        <w:rPr>
          <w:szCs w:val="24"/>
        </w:rPr>
        <w:t>Senate</w:t>
      </w:r>
      <w:r w:rsidRPr="0021646B">
        <w:t xml:space="preserve"> Clerk</w:t>
      </w:r>
      <w:r w:rsidRPr="0021646B">
        <w:tab/>
      </w:r>
    </w:p>
    <w:p w:rsidR="00E11012" w:rsidRPr="0021646B" w:rsidRDefault="00E11012" w:rsidP="00E11012">
      <w:r w:rsidRPr="0021646B">
        <w:t>State House</w:t>
      </w:r>
      <w:r w:rsidRPr="0021646B">
        <w:rPr>
          <w:szCs w:val="24"/>
        </w:rPr>
        <w:t xml:space="preserve"> Room 335</w:t>
      </w:r>
    </w:p>
    <w:p w:rsidR="00E11012" w:rsidRPr="0021646B" w:rsidRDefault="00E11012" w:rsidP="00E11012">
      <w:r w:rsidRPr="0021646B">
        <w:t>Boston, MA 02133</w:t>
      </w:r>
    </w:p>
    <w:p w:rsidR="00E11012" w:rsidRPr="0021646B" w:rsidRDefault="00E11012" w:rsidP="00E11012"/>
    <w:p w:rsidR="00E11012" w:rsidRPr="0021646B" w:rsidRDefault="00E11012" w:rsidP="00E11012"/>
    <w:p w:rsidR="002224F2" w:rsidRDefault="002224F2" w:rsidP="002224F2">
      <w:r>
        <w:t>Dear Mr. Clerk,</w:t>
      </w:r>
    </w:p>
    <w:p w:rsidR="002224F2" w:rsidRDefault="002224F2" w:rsidP="002224F2"/>
    <w:p w:rsidR="002224F2" w:rsidRDefault="002224F2" w:rsidP="002224F2">
      <w:pPr>
        <w:rPr>
          <w:szCs w:val="24"/>
          <w:lang w:val="en"/>
        </w:rPr>
      </w:pPr>
      <w:r>
        <w:rPr>
          <w:szCs w:val="24"/>
          <w:lang w:val="en"/>
        </w:rPr>
        <w:t>T</w:t>
      </w:r>
      <w:r w:rsidRPr="0024004D">
        <w:rPr>
          <w:szCs w:val="24"/>
          <w:lang w:val="en"/>
        </w:rPr>
        <w:t xml:space="preserve">he Massachusetts Department of Public Health (DPH) </w:t>
      </w:r>
      <w:r>
        <w:rPr>
          <w:szCs w:val="24"/>
          <w:lang w:val="en"/>
        </w:rPr>
        <w:t xml:space="preserve">is pleased to submit the attached initial report on the </w:t>
      </w:r>
      <w:r>
        <w:t xml:space="preserve">opioid overdose study </w:t>
      </w:r>
      <w:r>
        <w:rPr>
          <w:szCs w:val="24"/>
          <w:lang w:val="en"/>
        </w:rPr>
        <w:t>authorized by Chapter 55 of the Acts of 2015</w:t>
      </w:r>
      <w:r w:rsidRPr="0024004D">
        <w:rPr>
          <w:szCs w:val="24"/>
          <w:lang w:val="en"/>
        </w:rPr>
        <w:t>.</w:t>
      </w:r>
    </w:p>
    <w:p w:rsidR="002224F2" w:rsidRDefault="002224F2" w:rsidP="002224F2"/>
    <w:p w:rsidR="002224F2" w:rsidRDefault="002224F2" w:rsidP="002224F2">
      <w:r>
        <w:t xml:space="preserve">The current opioid epidemic affecting our Commonwealth’s communities has taken a record number of lives in each of the last four years. Opioid Use Disorder is a complex chronic disease, and </w:t>
      </w:r>
      <w:r w:rsidR="00710BBA">
        <w:t xml:space="preserve">this </w:t>
      </w:r>
      <w:r>
        <w:t>opioid epidemic is a complex and persistent problem that will not be solved through a single solution. Analytic work is ongoing, and much is yet</w:t>
      </w:r>
      <w:r w:rsidR="0080505B">
        <w:t xml:space="preserve"> to be learned from this effort,</w:t>
      </w:r>
      <w:r>
        <w:t xml:space="preserve"> however, </w:t>
      </w:r>
      <w:r w:rsidR="0080505B">
        <w:t>the findings of this initial report can</w:t>
      </w:r>
      <w:r>
        <w:t xml:space="preserve"> immediately inform our collective work with new insight into overdose-related deaths and the relative risks faced by different populations.  </w:t>
      </w:r>
    </w:p>
    <w:p w:rsidR="002224F2" w:rsidRDefault="002224F2" w:rsidP="002224F2"/>
    <w:p w:rsidR="002224F2" w:rsidRDefault="002224F2" w:rsidP="002224F2">
      <w:r>
        <w:t>I would like to acknowledge that this work has required a significant collaborative effort from many government agencies. To this end, we are truly grateful to the many partners which have assisted DPH in this work so far. This effort highlights government’s ability to work collaboratively towards efficiently solving complex and urgent problems. With the effort of legal, technical, and analytical teams across seven</w:t>
      </w:r>
      <w:r w:rsidR="0080505B">
        <w:t xml:space="preserve"> state</w:t>
      </w:r>
      <w:r>
        <w:t xml:space="preserve"> agencies (Department of Public Health, EOHHS IT, the Office of the Chief Medical Examiner, the Department of Correction, MassHealth, the Center for Health Information and Analysis, and MassIT), Massachusetts has </w:t>
      </w:r>
      <w:r>
        <w:lastRenderedPageBreak/>
        <w:t xml:space="preserve">been able to develop a novel data model that allows for simultaneous analysis of 10 datasets with information relevant to opioid deaths. The goodwill of all parties has been a hallmark of this ongoing work. </w:t>
      </w:r>
    </w:p>
    <w:p w:rsidR="002224F2" w:rsidRDefault="002224F2" w:rsidP="002224F2"/>
    <w:p w:rsidR="002224F2" w:rsidRDefault="002224F2" w:rsidP="002224F2">
      <w:r>
        <w:t xml:space="preserve">I would also like to express my appreciation for the </w:t>
      </w:r>
      <w:r w:rsidR="00B324B8">
        <w:t xml:space="preserve">continued </w:t>
      </w:r>
      <w:r>
        <w:t xml:space="preserve">opportunity </w:t>
      </w:r>
      <w:r w:rsidR="00625B33">
        <w:t>the Legislature</w:t>
      </w:r>
      <w:r>
        <w:t xml:space="preserve"> has provided the Department of Publi</w:t>
      </w:r>
      <w:r w:rsidR="00625B33">
        <w:t xml:space="preserve">c Health. </w:t>
      </w:r>
      <w:r>
        <w:t xml:space="preserve">The analytic approach authorized by Chapter 55 has enabled Massachusetts to serve as a national example for the possibilities of public health’s ability to leverage data warehousing to respond to pressing policy and health concerns by allowing existing data to be </w:t>
      </w:r>
      <w:r w:rsidR="00625B33">
        <w:t>leveraged</w:t>
      </w:r>
      <w:r>
        <w:t xml:space="preserve"> in new and innovative ways to support policy</w:t>
      </w:r>
      <w:r w:rsidR="00625B33">
        <w:t xml:space="preserve"> development</w:t>
      </w:r>
      <w:r>
        <w:t xml:space="preserve"> and decision making, and to allocate resources more efficiently and effectively. To this end, other states have already engaged the Department in discussions about the technical aspects of this project, and I hope that this will serve as a model for how complex problems can be tackled in the future.</w:t>
      </w:r>
    </w:p>
    <w:p w:rsidR="002224F2" w:rsidRDefault="002224F2" w:rsidP="002224F2"/>
    <w:p w:rsidR="002224F2" w:rsidRDefault="002224F2" w:rsidP="002224F2">
      <w:r>
        <w:t xml:space="preserve">Let me once again </w:t>
      </w:r>
      <w:r w:rsidR="00625B33">
        <w:t xml:space="preserve">express </w:t>
      </w:r>
      <w:r w:rsidR="00B324B8">
        <w:t>how grateful I am for the Legislature’s</w:t>
      </w:r>
      <w:r w:rsidR="00625B33">
        <w:t xml:space="preserve"> </w:t>
      </w:r>
      <w:r w:rsidR="00B324B8">
        <w:t xml:space="preserve">commitment to </w:t>
      </w:r>
      <w:r>
        <w:t>better understand</w:t>
      </w:r>
      <w:r w:rsidR="00B324B8">
        <w:t>ing</w:t>
      </w:r>
      <w:r>
        <w:t xml:space="preserve"> the root causes of </w:t>
      </w:r>
      <w:r w:rsidR="00717E0E">
        <w:t xml:space="preserve">this </w:t>
      </w:r>
      <w:r>
        <w:t>opioid epidemic</w:t>
      </w:r>
      <w:r w:rsidR="00B324B8">
        <w:t xml:space="preserve"> by allowing us to continue this important work</w:t>
      </w:r>
      <w:r>
        <w:t>. I look forward to</w:t>
      </w:r>
      <w:r w:rsidR="00B324B8">
        <w:t xml:space="preserve"> continuing to share the results of our analyses, and to our continued partnership in addressing </w:t>
      </w:r>
      <w:r w:rsidR="006C7B57">
        <w:t xml:space="preserve">this </w:t>
      </w:r>
      <w:r w:rsidR="00B324B8">
        <w:t>opioid epidemic</w:t>
      </w:r>
      <w:r>
        <w:t>.</w:t>
      </w:r>
    </w:p>
    <w:p w:rsidR="002224F2" w:rsidRDefault="002224F2" w:rsidP="002224F2"/>
    <w:p w:rsidR="002224F2" w:rsidRDefault="002224F2" w:rsidP="002224F2"/>
    <w:p w:rsidR="002224F2" w:rsidRDefault="002224F2" w:rsidP="002224F2">
      <w:r>
        <w:t>Sincerely,</w:t>
      </w:r>
    </w:p>
    <w:p w:rsidR="002224F2" w:rsidRDefault="002224F2" w:rsidP="002224F2"/>
    <w:p w:rsidR="002224F2" w:rsidRDefault="002224F2" w:rsidP="002224F2"/>
    <w:p w:rsidR="002224F2" w:rsidRDefault="002224F2" w:rsidP="002224F2"/>
    <w:p w:rsidR="00710D98" w:rsidRDefault="00710D98" w:rsidP="002224F2"/>
    <w:p w:rsidR="002224F2" w:rsidRDefault="002224F2" w:rsidP="002224F2">
      <w:r>
        <w:t>Monica Bharel, MD, MPH</w:t>
      </w:r>
    </w:p>
    <w:p w:rsidR="002224F2" w:rsidRDefault="002224F2" w:rsidP="002224F2">
      <w:r>
        <w:t>Commissioner</w:t>
      </w:r>
    </w:p>
    <w:p w:rsidR="002224F2" w:rsidRDefault="002224F2" w:rsidP="002224F2">
      <w:r>
        <w:t>Department of Public Health</w:t>
      </w:r>
    </w:p>
    <w:p w:rsidR="00E11012" w:rsidRPr="0021646B" w:rsidRDefault="00E11012" w:rsidP="00E11012"/>
    <w:p w:rsidR="0021646B" w:rsidRPr="0021646B" w:rsidRDefault="0021646B" w:rsidP="0021646B"/>
    <w:p w:rsidR="0021646B" w:rsidRPr="0021646B" w:rsidRDefault="0021646B" w:rsidP="0021646B">
      <w:pPr>
        <w:rPr>
          <w:szCs w:val="24"/>
        </w:rPr>
        <w:sectPr w:rsidR="0021646B" w:rsidRPr="0021646B" w:rsidSect="00501D4E">
          <w:headerReference w:type="default" r:id="rId10"/>
          <w:footerReference w:type="even" r:id="rId11"/>
          <w:footerReference w:type="default" r:id="rId12"/>
          <w:footerReference w:type="first" r:id="rId13"/>
          <w:pgSz w:w="12240" w:h="15840"/>
          <w:pgMar w:top="1440" w:right="1440" w:bottom="1440" w:left="1440" w:header="720" w:footer="720" w:gutter="0"/>
          <w:cols w:space="720"/>
          <w:titlePg/>
          <w:rtlGutter/>
          <w:docGrid w:linePitch="360"/>
        </w:sectPr>
      </w:pPr>
    </w:p>
    <w:p w:rsidR="0021646B" w:rsidRPr="0021646B" w:rsidRDefault="0021646B" w:rsidP="0021646B">
      <w:pPr>
        <w:rPr>
          <w:rFonts w:ascii="Calibri" w:hAnsi="Calibri" w:cs="Arial"/>
          <w:b/>
          <w:sz w:val="28"/>
          <w:szCs w:val="28"/>
        </w:rPr>
        <w:sectPr w:rsidR="0021646B" w:rsidRPr="0021646B" w:rsidSect="00501D4E">
          <w:pgSz w:w="12240" w:h="15840"/>
          <w:pgMar w:top="1440" w:right="1440" w:bottom="1440" w:left="1440" w:header="720" w:footer="720" w:gutter="0"/>
          <w:cols w:space="720"/>
          <w:titlePg/>
          <w:rtlGutter/>
          <w:docGrid w:linePitch="360"/>
        </w:sectPr>
      </w:pPr>
      <w:r w:rsidRPr="0021646B">
        <w:rPr>
          <w:noProof/>
        </w:rPr>
        <w:lastRenderedPageBreak/>
        <mc:AlternateContent>
          <mc:Choice Requires="wpg">
            <w:drawing>
              <wp:anchor distT="0" distB="0" distL="114300" distR="114300" simplePos="0" relativeHeight="251669504" behindDoc="0" locked="0" layoutInCell="1" allowOverlap="1" wp14:anchorId="0518D5FA" wp14:editId="24D57844">
                <wp:simplePos x="0" y="0"/>
                <wp:positionH relativeFrom="page">
                  <wp:posOffset>118745</wp:posOffset>
                </wp:positionH>
                <wp:positionV relativeFrom="page">
                  <wp:posOffset>118745</wp:posOffset>
                </wp:positionV>
                <wp:extent cx="7571232" cy="9793224"/>
                <wp:effectExtent l="514350" t="438150" r="791845" b="798830"/>
                <wp:wrapNone/>
                <wp:docPr id="130" name="Group 130"/>
                <wp:cNvGraphicFramePr/>
                <a:graphic xmlns:a="http://schemas.openxmlformats.org/drawingml/2006/main">
                  <a:graphicData uri="http://schemas.microsoft.com/office/word/2010/wordprocessingGroup">
                    <wpg:wgp>
                      <wpg:cNvGrpSpPr/>
                      <wpg:grpSpPr>
                        <a:xfrm>
                          <a:off x="0" y="0"/>
                          <a:ext cx="7571232" cy="9793224"/>
                          <a:chOff x="0" y="0"/>
                          <a:chExt cx="7566991" cy="9793356"/>
                        </a:xfrm>
                      </wpg:grpSpPr>
                      <pic:pic xmlns:pic="http://schemas.openxmlformats.org/drawingml/2006/picture">
                        <pic:nvPicPr>
                          <pic:cNvPr id="131" name="Picture 13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6991" cy="979335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wps:wsp>
                        <wps:cNvPr id="132" name="Text Box 2"/>
                        <wps:cNvSpPr txBox="1">
                          <a:spLocks noChangeArrowheads="1"/>
                        </wps:cNvSpPr>
                        <wps:spPr bwMode="auto">
                          <a:xfrm>
                            <a:off x="834887" y="3511826"/>
                            <a:ext cx="5791200" cy="3046674"/>
                          </a:xfrm>
                          <a:prstGeom prst="rect">
                            <a:avLst/>
                          </a:prstGeom>
                          <a:solidFill>
                            <a:srgbClr val="FFFFFF"/>
                          </a:solidFill>
                          <a:ln w="9525">
                            <a:noFill/>
                            <a:miter lim="800000"/>
                            <a:headEnd/>
                            <a:tailEnd/>
                          </a:ln>
                        </wps:spPr>
                        <wps:txbx>
                          <w:txbxContent>
                            <w:p w:rsidR="002666A8" w:rsidRDefault="002666A8" w:rsidP="0021646B">
                              <w:pPr>
                                <w:spacing w:line="800" w:lineRule="exact"/>
                                <w:jc w:val="center"/>
                                <w:rPr>
                                  <w:rFonts w:ascii="Adobe Garamond Pro Bold" w:hAnsi="Adobe Garamond Pro Bold"/>
                                  <w:b/>
                                  <w:color w:val="043064"/>
                                  <w:sz w:val="72"/>
                                  <w:szCs w:val="72"/>
                                </w:rPr>
                              </w:pPr>
                            </w:p>
                            <w:p w:rsidR="002666A8" w:rsidRDefault="002666A8" w:rsidP="00400E42">
                              <w:pPr>
                                <w:spacing w:line="800" w:lineRule="exact"/>
                                <w:jc w:val="center"/>
                              </w:pPr>
                              <w:r w:rsidRPr="00400E42">
                                <w:rPr>
                                  <w:rFonts w:ascii="Adobe Garamond Pro Bold" w:hAnsi="Adobe Garamond Pro Bold"/>
                                  <w:b/>
                                  <w:color w:val="043064"/>
                                  <w:sz w:val="72"/>
                                  <w:szCs w:val="72"/>
                                </w:rPr>
                                <w:t>An Assessment of Opioid-Related Deaths in Massachusetts (2013 – 2014)</w:t>
                              </w:r>
                            </w:p>
                          </w:txbxContent>
                        </wps:txbx>
                        <wps:bodyPr rot="0" vert="horz" wrap="square" lIns="91440" tIns="45720" rIns="91440" bIns="45720" anchor="t" anchorCtr="0">
                          <a:noAutofit/>
                        </wps:bodyPr>
                      </wps:wsp>
                      <wps:wsp>
                        <wps:cNvPr id="133" name="Text Box 2"/>
                        <wps:cNvSpPr txBox="1">
                          <a:spLocks noChangeArrowheads="1"/>
                        </wps:cNvSpPr>
                        <wps:spPr bwMode="auto">
                          <a:xfrm>
                            <a:off x="2597426" y="7156173"/>
                            <a:ext cx="2481580" cy="967105"/>
                          </a:xfrm>
                          <a:prstGeom prst="rect">
                            <a:avLst/>
                          </a:prstGeom>
                          <a:solidFill>
                            <a:srgbClr val="FFFFFF"/>
                          </a:solidFill>
                          <a:ln w="9525">
                            <a:noFill/>
                            <a:miter lim="800000"/>
                            <a:headEnd/>
                            <a:tailEnd/>
                          </a:ln>
                        </wps:spPr>
                        <wps:txbx>
                          <w:txbxContent>
                            <w:p w:rsidR="002666A8" w:rsidRPr="006F19D6" w:rsidRDefault="002666A8" w:rsidP="0021646B">
                              <w:pPr>
                                <w:jc w:val="center"/>
                                <w:rPr>
                                  <w:rFonts w:ascii="Adobe Garamond Pro Bold" w:hAnsi="Adobe Garamond Pro Bold"/>
                                  <w:b/>
                                  <w:color w:val="043064"/>
                                  <w:sz w:val="44"/>
                                  <w:szCs w:val="44"/>
                                </w:rPr>
                              </w:pPr>
                              <w:r>
                                <w:rPr>
                                  <w:rFonts w:ascii="Adobe Garamond Pro Bold" w:hAnsi="Adobe Garamond Pro Bold"/>
                                  <w:b/>
                                  <w:color w:val="043064"/>
                                  <w:sz w:val="44"/>
                                  <w:szCs w:val="44"/>
                                </w:rPr>
                                <w:t>September 2016</w:t>
                              </w:r>
                            </w:p>
                            <w:p w:rsidR="002666A8" w:rsidRPr="00E02475" w:rsidRDefault="002666A8" w:rsidP="0021646B">
                              <w:pPr>
                                <w:jc w:val="center"/>
                                <w:rPr>
                                  <w:rFonts w:ascii="Adobe Garamond Pro Bold" w:hAnsi="Adobe Garamond Pro Bold"/>
                                  <w:sz w:val="48"/>
                                  <w:szCs w:val="4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30" o:spid="_x0000_s1028" style="position:absolute;margin-left:9.35pt;margin-top:9.35pt;width:596.15pt;height:771.1pt;z-index:251669504;mso-position-horizontal-relative:page;mso-position-vertical-relative:page;mso-width-relative:margin;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wooor+Wz&#10;+j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jHFVr7WrPTBm5u7a3&#10;A6mWVUx+ZqoxcnaKE5JK7LNFcrqXx18D6MSLzxl4VtCvUTatbx4/N6y/+GrPhaR/yUrwD/4UFp/8&#10;cr0KeT5hUV4UJteUZP8AQ45ZjhIO0qsV/wBvL/M76iuL079pD4d6wf8ARPHvgu65x+61u2fn8Hro&#10;tN8Y6RrKBrPVNNulboYblJAfyNY1svxVH+NSlH1i1+aNKeLoVP4c0/RpmlRQORRXGd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oZ/wyt8Pf+hV03/x7/Gj/hlb4e/9Crpv/j3+&#10;NegUV/Sn9k4H/nzD/wABX+R/P3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c78Q/ilovwwsLefVrlka7lENvBEhlnuGPZI1yzY6nA4FA&#10;b7HRUVzfwu+Leg/GTw2dU8P3y3ltHK1vKpUpLbyqcMkiH5lYehHTFdJ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1" o:spid="_x0000_s1029" type="#_x0000_t75"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tGRjCAAAA3AAAAA8AAABkcnMvZG93bnJldi54bWxET9tqwkAQfS/4D8sIvtWNWkRSV1EhEtKX&#10;qv2AITu5YHY2ZNck9uu7hULf5nCus92PphE9da62rGAxj0AQ51bXXCr4uiWvGxDOI2tsLJOCJznY&#10;7yYvW4y1HfhC/dWXIoSwi1FB5X0bS+nyigy6uW2JA1fYzqAPsCul7nAI4aaRyyhaS4M1h4YKWzpV&#10;lN+vD6PA3Nt18e05+8g++6Q4PtPV+fSm1Gw6Ht5BeBr9v/jPneowf7WA32fCBXL3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LRkYwgAAANwAAAAPAAAAAAAAAAAAAAAAAJ8C&#10;AABkcnMvZG93bnJldi54bWxQSwUGAAAAAAQABAD3AAAAjgMAAAAA&#10;" filled="t" fillcolor="black" stroked="t" strokecolor="window" strokeweight="35pt">
                  <v:stroke endcap="square"/>
                  <v:imagedata r:id="rId15" o:title=""/>
                  <v:shadow on="t" type="perspective" color="black" opacity="26214f" origin="-.5,.5" offset="3.74178mm,3.74178mm" matrix=",,,58982f"/>
                  <v:path arrowok="t"/>
                </v:shape>
                <v:shape id="Text Box 2" o:spid="_x0000_s1030" type="#_x0000_t202" style="position:absolute;left:8348;top:3511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QMEA&#10;AADcAAAADwAAAGRycy9kb3ducmV2LnhtbERP24rCMBB9F/Yfwiz4Imu63rrbNYoKiq9ePmDajG3Z&#10;ZlKaaOvfG0HwbQ7nOvNlZypxo8aVlhV8DyMQxJnVJecKzqft1w8I55E1VpZJwZ0cLBcfvTkm2rZ8&#10;oNvR5yKEsEtQQeF9nUjpsoIMuqGtiQN3sY1BH2CTS91gG8JNJUdRNJMGSw4NBda0KSj7P16Ngsu+&#10;HUx/23Tnz/FhMltjGaf2rlT/s1v9gfDU+bf45d7rMH88gucz4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uvkDBAAAA3AAAAA8AAAAAAAAAAAAAAAAAmAIAAGRycy9kb3du&#10;cmV2LnhtbFBLBQYAAAAABAAEAPUAAACGAwAAAAA=&#10;" stroked="f">
                  <v:textbox>
                    <w:txbxContent>
                      <w:p w:rsidR="002666A8" w:rsidRDefault="002666A8" w:rsidP="0021646B">
                        <w:pPr>
                          <w:spacing w:line="800" w:lineRule="exact"/>
                          <w:jc w:val="center"/>
                          <w:rPr>
                            <w:rFonts w:ascii="Adobe Garamond Pro Bold" w:hAnsi="Adobe Garamond Pro Bold"/>
                            <w:b/>
                            <w:color w:val="043064"/>
                            <w:sz w:val="72"/>
                            <w:szCs w:val="72"/>
                          </w:rPr>
                        </w:pPr>
                      </w:p>
                      <w:p w:rsidR="002666A8" w:rsidRDefault="002666A8" w:rsidP="00400E42">
                        <w:pPr>
                          <w:spacing w:line="800" w:lineRule="exact"/>
                          <w:jc w:val="center"/>
                        </w:pPr>
                        <w:r w:rsidRPr="00400E42">
                          <w:rPr>
                            <w:rFonts w:ascii="Adobe Garamond Pro Bold" w:hAnsi="Adobe Garamond Pro Bold"/>
                            <w:b/>
                            <w:color w:val="043064"/>
                            <w:sz w:val="72"/>
                            <w:szCs w:val="72"/>
                          </w:rPr>
                          <w:t>An Assessment of Opioid-Related Deaths in Massachusetts (2013 – 2014)</w:t>
                        </w:r>
                      </w:p>
                    </w:txbxContent>
                  </v:textbox>
                </v:shape>
                <v:shape id="Text Box 2" o:spid="_x0000_s1031"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b278A&#10;AADcAAAADwAAAGRycy9kb3ducmV2LnhtbERPy6rCMBDdX/AfwghuLpr61moUFa649fEBYzO2xWZS&#10;mmjr398Igrs5nOcs140pxJMql1tW0O9FIIgTq3NOFVzOf90ZCOeRNRaWScGLHKxXrZ8lxtrWfKTn&#10;yacihLCLUUHmfRlL6ZKMDLqeLYkDd7OVQR9glUpdYR3CTSEHUTSRBnMODRmWtMsouZ8eRsHtUP+O&#10;5/V17y/T42iyxXx6tS+lOu1mswDhqfFf8cd90GH+cAjvZ8IF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IhvbvwAAANwAAAAPAAAAAAAAAAAAAAAAAJgCAABkcnMvZG93bnJl&#10;di54bWxQSwUGAAAAAAQABAD1AAAAhAMAAAAA&#10;" stroked="f">
                  <v:textbox>
                    <w:txbxContent>
                      <w:p w:rsidR="002666A8" w:rsidRPr="006F19D6" w:rsidRDefault="002666A8" w:rsidP="0021646B">
                        <w:pPr>
                          <w:jc w:val="center"/>
                          <w:rPr>
                            <w:rFonts w:ascii="Adobe Garamond Pro Bold" w:hAnsi="Adobe Garamond Pro Bold"/>
                            <w:b/>
                            <w:color w:val="043064"/>
                            <w:sz w:val="44"/>
                            <w:szCs w:val="44"/>
                          </w:rPr>
                        </w:pPr>
                        <w:r>
                          <w:rPr>
                            <w:rFonts w:ascii="Adobe Garamond Pro Bold" w:hAnsi="Adobe Garamond Pro Bold"/>
                            <w:b/>
                            <w:color w:val="043064"/>
                            <w:sz w:val="44"/>
                            <w:szCs w:val="44"/>
                          </w:rPr>
                          <w:t>September 2016</w:t>
                        </w:r>
                      </w:p>
                      <w:p w:rsidR="002666A8" w:rsidRPr="00E02475" w:rsidRDefault="002666A8" w:rsidP="0021646B">
                        <w:pPr>
                          <w:jc w:val="center"/>
                          <w:rPr>
                            <w:rFonts w:ascii="Adobe Garamond Pro Bold" w:hAnsi="Adobe Garamond Pro Bold"/>
                            <w:sz w:val="48"/>
                            <w:szCs w:val="48"/>
                          </w:rPr>
                        </w:pPr>
                      </w:p>
                    </w:txbxContent>
                  </v:textbox>
                </v:shape>
                <w10:wrap anchorx="page" anchory="page"/>
              </v:group>
            </w:pict>
          </mc:Fallback>
        </mc:AlternateContent>
      </w:r>
    </w:p>
    <w:sdt>
      <w:sdtPr>
        <w:rPr>
          <w:rFonts w:ascii="Times New Roman" w:hAnsi="Times New Roman" w:cs="Times New Roman"/>
          <w:bCs w:val="0"/>
          <w:sz w:val="24"/>
          <w:szCs w:val="20"/>
          <w:lang w:eastAsia="en-US"/>
        </w:rPr>
        <w:id w:val="502554176"/>
        <w:docPartObj>
          <w:docPartGallery w:val="Table of Contents"/>
          <w:docPartUnique/>
        </w:docPartObj>
      </w:sdtPr>
      <w:sdtEndPr>
        <w:rPr>
          <w:noProof/>
        </w:rPr>
      </w:sdtEndPr>
      <w:sdtContent>
        <w:p w:rsidR="00BD3455" w:rsidRPr="0063167F" w:rsidRDefault="00BD3455" w:rsidP="0063167F">
          <w:pPr>
            <w:pStyle w:val="TOCHeading"/>
            <w:rPr>
              <w:b/>
            </w:rPr>
          </w:pPr>
          <w:r w:rsidRPr="00073F58">
            <w:rPr>
              <w:rStyle w:val="Heading1Char"/>
            </w:rPr>
            <w:t>Table of Contents</w:t>
          </w:r>
        </w:p>
        <w:p w:rsidR="0063167F" w:rsidRPr="00E2392E" w:rsidRDefault="00BD3455">
          <w:pPr>
            <w:pStyle w:val="TOC1"/>
            <w:rPr>
              <w:rFonts w:asciiTheme="minorHAnsi" w:eastAsiaTheme="minorEastAsia" w:hAnsiTheme="minorHAnsi" w:cstheme="minorBidi"/>
              <w:noProof/>
              <w:sz w:val="22"/>
              <w:szCs w:val="22"/>
            </w:rPr>
          </w:pPr>
          <w:r w:rsidRPr="00E2392E">
            <w:rPr>
              <w:rFonts w:asciiTheme="minorHAnsi" w:hAnsiTheme="minorHAnsi"/>
              <w:sz w:val="22"/>
              <w:szCs w:val="22"/>
            </w:rPr>
            <w:fldChar w:fldCharType="begin"/>
          </w:r>
          <w:r w:rsidRPr="00E2392E">
            <w:rPr>
              <w:rFonts w:asciiTheme="minorHAnsi" w:hAnsiTheme="minorHAnsi"/>
              <w:sz w:val="22"/>
              <w:szCs w:val="22"/>
            </w:rPr>
            <w:instrText xml:space="preserve"> TOC \o "1-3" \h \z \u </w:instrText>
          </w:r>
          <w:r w:rsidRPr="00E2392E">
            <w:rPr>
              <w:rFonts w:asciiTheme="minorHAnsi" w:hAnsiTheme="minorHAnsi"/>
              <w:sz w:val="22"/>
              <w:szCs w:val="22"/>
            </w:rPr>
            <w:fldChar w:fldCharType="separate"/>
          </w:r>
          <w:hyperlink w:anchor="_Toc454724762" w:history="1">
            <w:r w:rsidR="0063167F" w:rsidRPr="00E2392E">
              <w:rPr>
                <w:rStyle w:val="Hyperlink"/>
                <w:rFonts w:asciiTheme="minorHAnsi" w:hAnsiTheme="minorHAnsi"/>
                <w:noProof/>
                <w:sz w:val="22"/>
                <w:szCs w:val="22"/>
              </w:rPr>
              <w:t>Legislative Mandate</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_Toc454724762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6</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63" w:history="1">
            <w:r w:rsidR="0063167F" w:rsidRPr="00E2392E">
              <w:rPr>
                <w:rStyle w:val="Hyperlink"/>
                <w:rFonts w:asciiTheme="minorHAnsi" w:hAnsiTheme="minorHAnsi"/>
                <w:noProof/>
                <w:sz w:val="22"/>
                <w:szCs w:val="22"/>
              </w:rPr>
              <w:t>Executive Summary</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_Toc454724763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8</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64" w:history="1">
            <w:r w:rsidR="0063167F" w:rsidRPr="00E2392E">
              <w:rPr>
                <w:rStyle w:val="Hyperlink"/>
                <w:rFonts w:asciiTheme="minorHAnsi" w:hAnsiTheme="minorHAnsi"/>
                <w:noProof/>
                <w:sz w:val="22"/>
                <w:szCs w:val="22"/>
              </w:rPr>
              <w:t>Introduction</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_Toc454724764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12</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65" w:history="1">
            <w:r w:rsidR="0063167F" w:rsidRPr="00E2392E">
              <w:rPr>
                <w:rStyle w:val="Hyperlink"/>
                <w:rFonts w:asciiTheme="minorHAnsi" w:hAnsiTheme="minorHAnsi"/>
                <w:noProof/>
                <w:sz w:val="22"/>
                <w:szCs w:val="22"/>
              </w:rPr>
              <w:t>Report Organization</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_Toc454724765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18</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66" w:history="1">
            <w:r w:rsidR="0063167F" w:rsidRPr="00E2392E">
              <w:rPr>
                <w:rStyle w:val="Hyperlink"/>
                <w:rFonts w:asciiTheme="minorHAnsi" w:hAnsiTheme="minorHAnsi"/>
                <w:noProof/>
                <w:sz w:val="22"/>
                <w:szCs w:val="22"/>
              </w:rPr>
              <w:t>Key Findings from the Across Chapter 55 Datasets</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_Toc454724766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19</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67" w:history="1">
            <w:r w:rsidR="0063167F" w:rsidRPr="00E2392E">
              <w:rPr>
                <w:rStyle w:val="Hyperlink"/>
                <w:rFonts w:asciiTheme="minorHAnsi" w:hAnsiTheme="minorHAnsi"/>
                <w:noProof/>
                <w:sz w:val="22"/>
                <w:szCs w:val="22"/>
              </w:rPr>
              <w:t>Analysis #1 (Toxicology &amp; PDMP): Key Findings and Recommendations</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_Toc454724767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20</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68" w:history="1">
            <w:r w:rsidR="0063167F" w:rsidRPr="00E2392E">
              <w:rPr>
                <w:rStyle w:val="Hyperlink"/>
                <w:rFonts w:asciiTheme="minorHAnsi" w:hAnsiTheme="minorHAnsi"/>
                <w:noProof/>
                <w:sz w:val="22"/>
                <w:szCs w:val="22"/>
              </w:rPr>
              <w:t>Analysis #2 (Nonfatal Overdoses and Opioid Agonist Treatment): Key Findings and Recommendations</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_Toc454724768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28</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69" w:history="1">
            <w:r w:rsidR="0063167F" w:rsidRPr="00E2392E">
              <w:rPr>
                <w:rStyle w:val="Hyperlink"/>
                <w:rFonts w:asciiTheme="minorHAnsi" w:hAnsiTheme="minorHAnsi"/>
                <w:noProof/>
                <w:sz w:val="22"/>
                <w:szCs w:val="22"/>
              </w:rPr>
              <w:t>Analysis #3 (Gender Differences and the PDMP): Key Findings and Recommendations</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_Toc454724769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31</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70" w:history="1">
            <w:r w:rsidR="0063167F" w:rsidRPr="00E2392E">
              <w:rPr>
                <w:rStyle w:val="Hyperlink"/>
                <w:rFonts w:asciiTheme="minorHAnsi" w:hAnsiTheme="minorHAnsi"/>
                <w:noProof/>
                <w:sz w:val="22"/>
                <w:szCs w:val="22"/>
              </w:rPr>
              <w:t>Analysis #4 (Post Incarceration Risk): Key Findings and Recommendations</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_Toc454724770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36</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71" w:history="1">
            <w:r w:rsidR="0063167F" w:rsidRPr="00E2392E">
              <w:rPr>
                <w:rStyle w:val="Hyperlink"/>
                <w:rFonts w:asciiTheme="minorHAnsi" w:hAnsiTheme="minorHAnsi"/>
                <w:noProof/>
                <w:sz w:val="22"/>
                <w:szCs w:val="22"/>
              </w:rPr>
              <w:t>Conclusions</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_Toc454724771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41</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72" w:history="1">
            <w:r w:rsidR="0063167F" w:rsidRPr="00E2392E">
              <w:rPr>
                <w:rStyle w:val="Hyperlink"/>
                <w:rFonts w:asciiTheme="minorHAnsi" w:hAnsiTheme="minorHAnsi"/>
                <w:noProof/>
                <w:sz w:val="22"/>
                <w:szCs w:val="22"/>
              </w:rPr>
              <w:t>Appendix A: The Seven Chapter 55 Statute Questions</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_Toc454724772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42</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73" w:history="1">
            <w:r w:rsidR="0063167F" w:rsidRPr="00E2392E">
              <w:rPr>
                <w:rStyle w:val="Hyperlink"/>
                <w:rFonts w:asciiTheme="minorHAnsi" w:hAnsiTheme="minorHAnsi"/>
                <w:noProof/>
                <w:sz w:val="22"/>
                <w:szCs w:val="22"/>
              </w:rPr>
              <w:t>Appendix B:  Dataset Descriptions</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_Toc454724773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59</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74" w:history="1">
            <w:r w:rsidR="0063167F" w:rsidRPr="00E2392E">
              <w:rPr>
                <w:rStyle w:val="Hyperlink"/>
                <w:rFonts w:asciiTheme="minorHAnsi" w:hAnsiTheme="minorHAnsi"/>
                <w:noProof/>
                <w:sz w:val="22"/>
                <w:szCs w:val="22"/>
              </w:rPr>
              <w:t>Appendix C: Additional Single Table Discussion</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_Toc454724774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67</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75" w:history="1">
            <w:r w:rsidR="0063167F" w:rsidRPr="00E2392E">
              <w:rPr>
                <w:rStyle w:val="Hyperlink"/>
                <w:rFonts w:asciiTheme="minorHAnsi" w:hAnsiTheme="minorHAnsi"/>
                <w:noProof/>
                <w:sz w:val="22"/>
                <w:szCs w:val="22"/>
              </w:rPr>
              <w:t>Appendix D: Data Linkage</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_Toc454724775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73</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76" w:history="1">
            <w:r w:rsidR="0063167F" w:rsidRPr="00E2392E">
              <w:rPr>
                <w:rStyle w:val="Hyperlink"/>
                <w:rFonts w:asciiTheme="minorHAnsi" w:hAnsiTheme="minorHAnsi"/>
                <w:noProof/>
                <w:sz w:val="22"/>
                <w:szCs w:val="22"/>
              </w:rPr>
              <w:t>Appendix E: Data Quality and Strategies for Handling Missing Data</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_Toc454724776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75</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77" w:history="1">
            <w:r w:rsidR="0063167F" w:rsidRPr="00E2392E">
              <w:rPr>
                <w:rStyle w:val="Hyperlink"/>
                <w:rFonts w:asciiTheme="minorHAnsi" w:hAnsiTheme="minorHAnsi"/>
                <w:noProof/>
                <w:sz w:val="22"/>
                <w:szCs w:val="22"/>
              </w:rPr>
              <w:t>Appendix F: Data Privacy and System Architecture</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_Toc454724777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79</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78" w:history="1">
            <w:r w:rsidR="0063167F" w:rsidRPr="00E2392E">
              <w:rPr>
                <w:rStyle w:val="Hyperlink"/>
                <w:rFonts w:asciiTheme="minorHAnsi" w:hAnsiTheme="minorHAnsi"/>
                <w:noProof/>
                <w:sz w:val="22"/>
                <w:szCs w:val="22"/>
              </w:rPr>
              <w:t>Appendix G: Legal Agreements</w:t>
            </w:r>
            <w:r w:rsidR="0063167F" w:rsidRPr="00E2392E">
              <w:rPr>
                <w:rStyle w:val="Hyperlink"/>
                <w:rFonts w:asciiTheme="minorHAnsi" w:hAnsiTheme="minorHAnsi"/>
                <w:b/>
                <w:noProof/>
                <w:sz w:val="22"/>
                <w:szCs w:val="22"/>
              </w:rPr>
              <w:drawing>
                <wp:inline distT="0" distB="0" distL="0" distR="0" wp14:anchorId="09BAD4A5" wp14:editId="5F7C7F34">
                  <wp:extent cx="49530" cy="116840"/>
                  <wp:effectExtent l="0" t="0" r="7620" b="0"/>
                  <wp:docPr id="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 cy="116840"/>
                          </a:xfrm>
                          <a:prstGeom prst="rect">
                            <a:avLst/>
                          </a:prstGeom>
                          <a:noFill/>
                          <a:ln>
                            <a:noFill/>
                          </a:ln>
                        </pic:spPr>
                      </pic:pic>
                    </a:graphicData>
                  </a:graphic>
                </wp:inline>
              </w:drawing>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_Toc454724778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85</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79" w:history="1">
            <w:r w:rsidR="0063167F" w:rsidRPr="00E2392E">
              <w:rPr>
                <w:rStyle w:val="Hyperlink"/>
                <w:rFonts w:asciiTheme="minorHAnsi" w:hAnsiTheme="minorHAnsi"/>
                <w:noProof/>
                <w:sz w:val="22"/>
                <w:szCs w:val="22"/>
              </w:rPr>
              <w:t>Appendix H: Cross-tabulations of Chapter 55 Datasets with Death File Demographics</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_Toc454724779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86</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80" w:history="1">
            <w:r w:rsidR="0063167F" w:rsidRPr="00E2392E">
              <w:rPr>
                <w:rStyle w:val="Hyperlink"/>
                <w:rFonts w:asciiTheme="minorHAnsi" w:hAnsiTheme="minorHAnsi"/>
                <w:noProof/>
                <w:sz w:val="22"/>
                <w:szCs w:val="22"/>
              </w:rPr>
              <w:t>Appendix I: Background on Addiction &amp; the Bureau of Substance Abuse Services</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_Toc454724780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93</w:t>
            </w:r>
            <w:r w:rsidR="0063167F" w:rsidRPr="00E2392E">
              <w:rPr>
                <w:rFonts w:asciiTheme="minorHAnsi" w:hAnsiTheme="minorHAnsi"/>
                <w:noProof/>
                <w:webHidden/>
                <w:sz w:val="22"/>
                <w:szCs w:val="22"/>
              </w:rPr>
              <w:fldChar w:fldCharType="end"/>
            </w:r>
          </w:hyperlink>
        </w:p>
        <w:p w:rsidR="0063167F" w:rsidRPr="00E2392E" w:rsidRDefault="002573B9">
          <w:pPr>
            <w:pStyle w:val="TOC1"/>
            <w:rPr>
              <w:rFonts w:asciiTheme="minorHAnsi" w:eastAsiaTheme="minorEastAsia" w:hAnsiTheme="minorHAnsi" w:cstheme="minorBidi"/>
              <w:noProof/>
              <w:sz w:val="22"/>
              <w:szCs w:val="22"/>
            </w:rPr>
          </w:pPr>
          <w:hyperlink w:anchor="_Toc454724781" w:history="1">
            <w:r w:rsidR="0063167F" w:rsidRPr="00E2392E">
              <w:rPr>
                <w:rStyle w:val="Hyperlink"/>
                <w:rFonts w:asciiTheme="minorHAnsi" w:hAnsiTheme="minorHAnsi"/>
                <w:noProof/>
                <w:sz w:val="22"/>
                <w:szCs w:val="22"/>
              </w:rPr>
              <w:t>Appendix J:  Partnerships</w:t>
            </w:r>
            <w:r w:rsidR="0063167F" w:rsidRPr="00E2392E">
              <w:rPr>
                <w:rFonts w:asciiTheme="minorHAnsi" w:hAnsiTheme="minorHAnsi"/>
                <w:noProof/>
                <w:webHidden/>
                <w:sz w:val="22"/>
                <w:szCs w:val="22"/>
              </w:rPr>
              <w:tab/>
            </w:r>
            <w:r w:rsidR="0063167F" w:rsidRPr="00E2392E">
              <w:rPr>
                <w:rFonts w:asciiTheme="minorHAnsi" w:hAnsiTheme="minorHAnsi"/>
                <w:noProof/>
                <w:webHidden/>
                <w:sz w:val="22"/>
                <w:szCs w:val="22"/>
              </w:rPr>
              <w:fldChar w:fldCharType="begin"/>
            </w:r>
            <w:r w:rsidR="0063167F" w:rsidRPr="00E2392E">
              <w:rPr>
                <w:rFonts w:asciiTheme="minorHAnsi" w:hAnsiTheme="minorHAnsi"/>
                <w:noProof/>
                <w:webHidden/>
                <w:sz w:val="22"/>
                <w:szCs w:val="22"/>
              </w:rPr>
              <w:instrText xml:space="preserve"> PAGEREF _Toc454724781 \h </w:instrText>
            </w:r>
            <w:r w:rsidR="0063167F" w:rsidRPr="00E2392E">
              <w:rPr>
                <w:rFonts w:asciiTheme="minorHAnsi" w:hAnsiTheme="minorHAnsi"/>
                <w:noProof/>
                <w:webHidden/>
                <w:sz w:val="22"/>
                <w:szCs w:val="22"/>
              </w:rPr>
            </w:r>
            <w:r w:rsidR="0063167F" w:rsidRPr="00E2392E">
              <w:rPr>
                <w:rFonts w:asciiTheme="minorHAnsi" w:hAnsiTheme="minorHAnsi"/>
                <w:noProof/>
                <w:webHidden/>
                <w:sz w:val="22"/>
                <w:szCs w:val="22"/>
              </w:rPr>
              <w:fldChar w:fldCharType="separate"/>
            </w:r>
            <w:r w:rsidR="006678D2">
              <w:rPr>
                <w:rFonts w:asciiTheme="minorHAnsi" w:hAnsiTheme="minorHAnsi"/>
                <w:noProof/>
                <w:webHidden/>
                <w:sz w:val="22"/>
                <w:szCs w:val="22"/>
              </w:rPr>
              <w:t>96</w:t>
            </w:r>
            <w:r w:rsidR="0063167F" w:rsidRPr="00E2392E">
              <w:rPr>
                <w:rFonts w:asciiTheme="minorHAnsi" w:hAnsiTheme="minorHAnsi"/>
                <w:noProof/>
                <w:webHidden/>
                <w:sz w:val="22"/>
                <w:szCs w:val="22"/>
              </w:rPr>
              <w:fldChar w:fldCharType="end"/>
            </w:r>
          </w:hyperlink>
        </w:p>
        <w:p w:rsidR="00BD3455" w:rsidRDefault="00BD3455" w:rsidP="0063167F">
          <w:pPr>
            <w:sectPr w:rsidR="00BD3455" w:rsidSect="001D2DAF">
              <w:headerReference w:type="even" r:id="rId17"/>
              <w:headerReference w:type="default" r:id="rId18"/>
              <w:headerReference w:type="first" r:id="rId19"/>
              <w:pgSz w:w="12240" w:h="15840"/>
              <w:pgMar w:top="1440" w:right="1440" w:bottom="1440" w:left="1440" w:header="720" w:footer="720" w:gutter="0"/>
              <w:cols w:space="720"/>
              <w:titlePg/>
              <w:docGrid w:linePitch="360"/>
            </w:sectPr>
          </w:pPr>
          <w:r w:rsidRPr="00E2392E">
            <w:rPr>
              <w:rFonts w:asciiTheme="minorHAnsi" w:hAnsiTheme="minorHAnsi"/>
              <w:b/>
              <w:bCs/>
              <w:noProof/>
              <w:sz w:val="22"/>
              <w:szCs w:val="22"/>
            </w:rPr>
            <w:fldChar w:fldCharType="end"/>
          </w:r>
        </w:p>
      </w:sdtContent>
    </w:sdt>
    <w:p w:rsidR="000C6FF2" w:rsidRPr="00F240EB" w:rsidRDefault="00FD7F79" w:rsidP="00073F58">
      <w:pPr>
        <w:pStyle w:val="Heading1"/>
      </w:pPr>
      <w:bookmarkStart w:id="2" w:name="_Toc454724762"/>
      <w:r>
        <w:lastRenderedPageBreak/>
        <w:t>Legislative Mandate</w:t>
      </w:r>
      <w:bookmarkEnd w:id="2"/>
    </w:p>
    <w:p w:rsidR="007E6005" w:rsidRDefault="000C6FF2" w:rsidP="002D6E20">
      <w:pPr>
        <w:pStyle w:val="PBody"/>
      </w:pPr>
      <w:r w:rsidRPr="007E6005">
        <w:t>The following report is hereby issued pursuant to Chapter 55 of the Acts of 2015</w:t>
      </w:r>
      <w:r w:rsidR="00A20EA2">
        <w:t>, as amended by Chapter 133 of the Acts of 2016</w:t>
      </w:r>
      <w:r w:rsidRPr="007E6005">
        <w:t xml:space="preserve"> as follows:</w:t>
      </w:r>
    </w:p>
    <w:p w:rsidR="007E6005" w:rsidRPr="003447AA" w:rsidRDefault="00A20EA2" w:rsidP="002D6E20">
      <w:pPr>
        <w:pStyle w:val="Quote"/>
        <w:rPr>
          <w:rStyle w:val="Emphasis"/>
        </w:rPr>
      </w:pPr>
      <w:r w:rsidRPr="00A20EA2">
        <w:t>Notwithstanding any general or special law to the contrary, the secretary of health and human services, in collaboration with the department of public health, shall conduct or provide for an examination of the prescribing and treatment history, including court-ordered treatment or treatment within the criminal justice system, of persons in the commonwealth who suffered fatal or nonfatal opiate overdoses in calendar years 2013 to 2015, inclusive. Any report or supplemental reports resulting from this examination shall provide any data in an aggregate and de-identified format.</w:t>
      </w:r>
      <w:r w:rsidRPr="003447AA" w:rsidDel="00A20EA2">
        <w:rPr>
          <w:rStyle w:val="Emphasis"/>
        </w:rPr>
        <w:t xml:space="preserve"> </w:t>
      </w:r>
    </w:p>
    <w:p w:rsidR="007E6005" w:rsidRPr="003447AA" w:rsidRDefault="008B1A0A" w:rsidP="002D6E20">
      <w:pPr>
        <w:pStyle w:val="PBody"/>
        <w:rPr>
          <w:rStyle w:val="Emphasis"/>
          <w:i/>
        </w:rPr>
      </w:pPr>
      <w:r w:rsidRPr="003447AA">
        <w:rPr>
          <w:rStyle w:val="Emphasis"/>
          <w:i/>
        </w:rPr>
        <w:t>Notwithstanding any general or special law to the contrary, to facilitate the examination, the department shall request, and the relevant offices and agencies shall provide, information necessary to complete the examination from the division of medical assistance, the executive office of public safety and security, the center for health information and analysis, the office of patient protection and the chief justice of the trial court, which may include, but shall not be limited to: data from the prescription drug monitoring program; the all-payer claims database; the criminal offender record information database; and the court activity record information</w:t>
      </w:r>
      <w:r w:rsidR="00301E0D">
        <w:rPr>
          <w:rStyle w:val="Emphasis"/>
          <w:i/>
        </w:rPr>
        <w:t>.  T</w:t>
      </w:r>
      <w:r w:rsidRPr="003447AA">
        <w:rPr>
          <w:rStyle w:val="Emphasis"/>
          <w:i/>
        </w:rPr>
        <w:t>o the extent feasible, the department shall request data from the Massachusetts Sheriffs Association, Inc. relating to treatment wi</w:t>
      </w:r>
      <w:r w:rsidR="007E6005" w:rsidRPr="003447AA">
        <w:rPr>
          <w:rStyle w:val="Emphasis"/>
          <w:i/>
        </w:rPr>
        <w:t>thin houses of correction.</w:t>
      </w:r>
    </w:p>
    <w:p w:rsidR="007E6005" w:rsidRPr="003447AA" w:rsidRDefault="008B1A0A" w:rsidP="002D6E20">
      <w:pPr>
        <w:pStyle w:val="PBody"/>
        <w:rPr>
          <w:rStyle w:val="Emphasis"/>
          <w:i/>
        </w:rPr>
      </w:pPr>
      <w:r w:rsidRPr="003447AA">
        <w:rPr>
          <w:rStyle w:val="Emphasis"/>
          <w:i/>
        </w:rPr>
        <w:t>Not later than 1 year from the effective date of this act, the secretary of health and human services shall publish a report on the findings of the examination including, but not limited to: (i) instances of multiple provider episodes, meaning a single patient having access to opiate prescriptions from more than 1 provider; (ii) instances of poly-substance access, meaning a patient having simultaneous prescriptions for an opiate and a benzodiazepine or for an opiate and another drug which may enhance the effects or the risks of drug abuse or overdose; (iii) the overall opiate prescription history of the individuals, including whether the individuals had access to legal prescriptions for opiate drugs at the time of their deaths; (iv) whether the individuals had previously undergone voluntary or involuntary treatment for substance addiction or behavioral health; (v) whether the individuals had attempted to enter but were denied access to treatment for substance addiction or behavioral health; (vi) whether the individuals had received past treatment for a substance overdose; (vii) whether any individuals had been previously detained or incarcerated and, if so, whether the individuals had received treatment during the d</w:t>
      </w:r>
      <w:r w:rsidR="007E6005" w:rsidRPr="003447AA">
        <w:rPr>
          <w:rStyle w:val="Emphasis"/>
          <w:i/>
        </w:rPr>
        <w:t>etention or incarceration.</w:t>
      </w:r>
    </w:p>
    <w:p w:rsidR="008B1A0A" w:rsidRPr="00103E73" w:rsidRDefault="00A20EA2" w:rsidP="002D6E20">
      <w:pPr>
        <w:pStyle w:val="PBody"/>
        <w:rPr>
          <w:rStyle w:val="Emphasis"/>
          <w:i/>
        </w:rPr>
      </w:pPr>
      <w:r w:rsidRPr="00016430">
        <w:rPr>
          <w:i/>
        </w:rPr>
        <w:t xml:space="preserve">The report shall be filed with the clerks of the senate and house of representatives, the house and senate chairs of the joint committee on mental health and substance abuse, the joint committee on public health, the joint committee on health care financing and the house and senate committees on ways and means. The secretary of health and human services may publish supplemental reports on the trends identified through its examination; provided, however, that any supplemental report shall be filed not later than July 1, 2017 and shall be filed with the clerks of the senate and house of representatives, the house and senate chairs of the joint committee on mental health and substance abuse, the joint </w:t>
      </w:r>
      <w:r w:rsidRPr="00016430">
        <w:rPr>
          <w:i/>
        </w:rPr>
        <w:lastRenderedPageBreak/>
        <w:t>committee on public health, the joint committee on health care financing and the house and senate committees on ways and means.</w:t>
      </w:r>
    </w:p>
    <w:p w:rsidR="000C6FF2" w:rsidRPr="00016430" w:rsidRDefault="008B1A0A" w:rsidP="002D6E20">
      <w:pPr>
        <w:pStyle w:val="PBody"/>
        <w:rPr>
          <w:i/>
        </w:rPr>
      </w:pPr>
      <w:r w:rsidRPr="00016430">
        <w:rPr>
          <w:rStyle w:val="Emphasis"/>
          <w:i/>
        </w:rPr>
        <w:t>Notwithstanding any general or special law to the contrary, the executive office of health and human services may contract with a non-profit or educational entity to conduct data analytics on the data set generated in the examination, provided that the executive office shall implement appropriate privacy safeguards.</w:t>
      </w:r>
      <w:r w:rsidR="000C6FF2" w:rsidRPr="00016430">
        <w:rPr>
          <w:i/>
          <w:szCs w:val="24"/>
        </w:rPr>
        <w:br w:type="page"/>
      </w:r>
    </w:p>
    <w:p w:rsidR="000C6FF2" w:rsidRPr="00C02B2D" w:rsidRDefault="000C6FF2" w:rsidP="00073F58">
      <w:pPr>
        <w:pStyle w:val="Heading1"/>
      </w:pPr>
      <w:bookmarkStart w:id="3" w:name="_Toc452726661"/>
      <w:bookmarkStart w:id="4" w:name="_Toc454724763"/>
      <w:r w:rsidRPr="00C02B2D">
        <w:lastRenderedPageBreak/>
        <w:t xml:space="preserve">Executive </w:t>
      </w:r>
      <w:r w:rsidRPr="00637671">
        <w:t>Summary</w:t>
      </w:r>
      <w:bookmarkEnd w:id="3"/>
      <w:bookmarkEnd w:id="4"/>
    </w:p>
    <w:bookmarkEnd w:id="0"/>
    <w:p w:rsidR="00BC57E7" w:rsidRPr="002D6E20" w:rsidRDefault="00BC57E7" w:rsidP="001178AC">
      <w:pPr>
        <w:pStyle w:val="Headingp2"/>
      </w:pPr>
      <w:r w:rsidRPr="002D6E20">
        <w:t>Background</w:t>
      </w:r>
    </w:p>
    <w:p w:rsidR="00BC57E7" w:rsidRPr="00A92FFC" w:rsidRDefault="00BC57E7" w:rsidP="002D6E20">
      <w:pPr>
        <w:pStyle w:val="PBody"/>
      </w:pPr>
      <w:r>
        <w:t>Since 2000</w:t>
      </w:r>
      <w:r w:rsidRPr="003447AA">
        <w:t xml:space="preserve">, opioid-related deaths </w:t>
      </w:r>
      <w:r>
        <w:t xml:space="preserve">have </w:t>
      </w:r>
      <w:r w:rsidRPr="003447AA">
        <w:t xml:space="preserve">increased in Massachusetts by </w:t>
      </w:r>
      <w:r>
        <w:t>3</w:t>
      </w:r>
      <w:r w:rsidRPr="003447AA">
        <w:t>50%.  The recent rate of increase is several times fa</w:t>
      </w:r>
      <w:r>
        <w:t>ster than anything seen before</w:t>
      </w:r>
      <w:r w:rsidRPr="008F291B">
        <w:rPr>
          <w:vertAlign w:val="superscript"/>
        </w:rPr>
        <w:footnoteReference w:id="1"/>
      </w:r>
      <w:r w:rsidRPr="003447AA">
        <w:t xml:space="preserve"> </w:t>
      </w:r>
      <w:r>
        <w:t xml:space="preserve"> with </w:t>
      </w:r>
      <w:r w:rsidRPr="003447AA">
        <w:t>every community in Massachusetts impacted by the</w:t>
      </w:r>
      <w:r>
        <w:t xml:space="preserve"> current</w:t>
      </w:r>
      <w:r w:rsidRPr="003447AA">
        <w:t xml:space="preserve"> opioid epidemic.  </w:t>
      </w:r>
      <w:r>
        <w:t>H</w:t>
      </w:r>
      <w:r w:rsidRPr="003447AA">
        <w:t xml:space="preserve">owever, </w:t>
      </w:r>
      <w:r>
        <w:t xml:space="preserve">beneath this </w:t>
      </w:r>
      <w:r w:rsidR="0058779E">
        <w:t>state</w:t>
      </w:r>
      <w:r>
        <w:t xml:space="preserve">wide impact, data </w:t>
      </w:r>
      <w:r w:rsidR="0058779E">
        <w:t xml:space="preserve">indicates </w:t>
      </w:r>
      <w:r>
        <w:t xml:space="preserve">that </w:t>
      </w:r>
      <w:r w:rsidR="0058779E">
        <w:t>some</w:t>
      </w:r>
      <w:r>
        <w:t xml:space="preserve"> </w:t>
      </w:r>
      <w:r w:rsidRPr="003447AA">
        <w:t xml:space="preserve">areas </w:t>
      </w:r>
      <w:r>
        <w:t xml:space="preserve">of the Commonwealth </w:t>
      </w:r>
      <w:r w:rsidRPr="003447AA">
        <w:t xml:space="preserve">have been </w:t>
      </w:r>
      <w:r w:rsidR="0058779E">
        <w:t>disproportionately</w:t>
      </w:r>
      <w:r>
        <w:t xml:space="preserve"> </w:t>
      </w:r>
      <w:r w:rsidRPr="003447AA">
        <w:t>impacted</w:t>
      </w:r>
      <w:r>
        <w:t xml:space="preserve"> by </w:t>
      </w:r>
      <w:r w:rsidR="005D101C">
        <w:t xml:space="preserve">this </w:t>
      </w:r>
      <w:r>
        <w:t>opioid epidemic.  I</w:t>
      </w:r>
      <w:r w:rsidRPr="003447AA">
        <w:t xml:space="preserve">n particular, southeastern Massachusetts and Essex County have been </w:t>
      </w:r>
      <w:r w:rsidR="00A60F64">
        <w:t xml:space="preserve">inordinately </w:t>
      </w:r>
      <w:r w:rsidR="00710BBA">
        <w:t>affected</w:t>
      </w:r>
      <w:r w:rsidRPr="003447AA">
        <w:t xml:space="preserve">.  Just as communities are differentially </w:t>
      </w:r>
      <w:r>
        <w:t>impacted</w:t>
      </w:r>
      <w:r w:rsidRPr="003447AA">
        <w:t xml:space="preserve"> by the</w:t>
      </w:r>
      <w:r>
        <w:t xml:space="preserve"> current</w:t>
      </w:r>
      <w:r w:rsidRPr="003447AA">
        <w:t xml:space="preserve"> opioid epidemic, population groups are also differently</w:t>
      </w:r>
      <w:r w:rsidRPr="00A92FFC">
        <w:t xml:space="preserve"> burdened.  </w:t>
      </w:r>
      <w:r w:rsidR="0058779E">
        <w:t>Opioid-related d</w:t>
      </w:r>
      <w:r w:rsidRPr="00A92FFC">
        <w:t>eath rates are highest among younger males – a fact that is similar in all states.</w:t>
      </w:r>
      <w:r w:rsidRPr="005E2F2A">
        <w:rPr>
          <w:rStyle w:val="FootnoteReference"/>
        </w:rPr>
        <w:footnoteReference w:id="2"/>
      </w:r>
      <w:r w:rsidRPr="00A92FFC">
        <w:t xml:space="preserve"> </w:t>
      </w:r>
      <w:r w:rsidR="00DA5D4B">
        <w:t>Opioid-related death</w:t>
      </w:r>
      <w:r w:rsidR="00DA5D4B" w:rsidRPr="00A92FFC">
        <w:t xml:space="preserve"> </w:t>
      </w:r>
      <w:r w:rsidRPr="00A92FFC">
        <w:t xml:space="preserve">rates are also higher </w:t>
      </w:r>
      <w:r w:rsidR="00DA5D4B">
        <w:t>among</w:t>
      </w:r>
      <w:r w:rsidR="00DA5D4B" w:rsidRPr="00A92FFC">
        <w:t xml:space="preserve"> </w:t>
      </w:r>
      <w:r w:rsidR="00DA5D4B">
        <w:t>those who have</w:t>
      </w:r>
      <w:r w:rsidR="00DA5D4B" w:rsidRPr="00A92FFC">
        <w:t xml:space="preserve"> </w:t>
      </w:r>
      <w:r w:rsidRPr="00A92FFC">
        <w:t xml:space="preserve">recently </w:t>
      </w:r>
      <w:r w:rsidR="00DA5D4B">
        <w:t xml:space="preserve">been </w:t>
      </w:r>
      <w:r w:rsidRPr="00A92FFC">
        <w:t xml:space="preserve">released from Massachusetts prisons, those who </w:t>
      </w:r>
      <w:r w:rsidR="00DA5D4B">
        <w:t xml:space="preserve">have </w:t>
      </w:r>
      <w:r w:rsidRPr="00A92FFC">
        <w:t>obtain</w:t>
      </w:r>
      <w:r w:rsidR="00DA5D4B">
        <w:t>ed</w:t>
      </w:r>
      <w:r w:rsidRPr="00A92FFC">
        <w:t xml:space="preserve"> opioid prescriptions from multiple pharmacies, and those who </w:t>
      </w:r>
      <w:r w:rsidR="00DA5D4B">
        <w:t xml:space="preserve">have </w:t>
      </w:r>
      <w:r w:rsidRPr="00A92FFC">
        <w:t>obtain</w:t>
      </w:r>
      <w:r w:rsidR="00DA5D4B">
        <w:t>ed</w:t>
      </w:r>
      <w:r w:rsidRPr="00A92FFC">
        <w:t xml:space="preserve"> prescription opioids in combination with other scheduled medications.  </w:t>
      </w:r>
    </w:p>
    <w:p w:rsidR="00BC57E7" w:rsidRDefault="00BC57E7" w:rsidP="002D6E20">
      <w:pPr>
        <w:pStyle w:val="PBody"/>
      </w:pPr>
      <w:r>
        <w:t>As part of a multi-faceted effort to</w:t>
      </w:r>
      <w:r w:rsidRPr="00A92FFC">
        <w:t xml:space="preserve"> address this </w:t>
      </w:r>
      <w:r w:rsidR="00DA5D4B">
        <w:t>unprecedented</w:t>
      </w:r>
      <w:r w:rsidR="00DA5D4B" w:rsidRPr="00A92FFC">
        <w:t xml:space="preserve"> </w:t>
      </w:r>
      <w:r w:rsidRPr="00A92FFC">
        <w:t>public health crisis, Chapter 55</w:t>
      </w:r>
      <w:r>
        <w:t xml:space="preserve"> of the Acts of 2015 (Chapter 55) was passed by the Massachusetts Legislature and signed into law by Governor Charles D. Baker in August 2015.</w:t>
      </w:r>
      <w:r w:rsidRPr="00A92FFC">
        <w:t xml:space="preserve"> </w:t>
      </w:r>
      <w:r>
        <w:t>This new law</w:t>
      </w:r>
      <w:r w:rsidRPr="00A92FFC">
        <w:t xml:space="preserve"> permits the linkage and analysis of </w:t>
      </w:r>
      <w:r w:rsidR="00DA5D4B">
        <w:t xml:space="preserve">existing </w:t>
      </w:r>
      <w:r w:rsidRPr="00A92FFC">
        <w:t xml:space="preserve">data across </w:t>
      </w:r>
      <w:r>
        <w:t xml:space="preserve">state </w:t>
      </w:r>
      <w:r w:rsidRPr="00A92FFC">
        <w:t xml:space="preserve">government in order to </w:t>
      </w:r>
      <w:r>
        <w:t xml:space="preserve">better </w:t>
      </w:r>
      <w:r w:rsidRPr="00A92FFC">
        <w:t xml:space="preserve">guide </w:t>
      </w:r>
      <w:r w:rsidR="00DA5D4B">
        <w:t xml:space="preserve">policy development and </w:t>
      </w:r>
      <w:r w:rsidRPr="00A92FFC">
        <w:t>program</w:t>
      </w:r>
      <w:r>
        <w:t>matic</w:t>
      </w:r>
      <w:r w:rsidRPr="00A92FFC">
        <w:t xml:space="preserve"> </w:t>
      </w:r>
      <w:r w:rsidR="00DA5D4B">
        <w:t xml:space="preserve">decision-making </w:t>
      </w:r>
      <w:r>
        <w:t>to successfully tackle the current opioid epidemic</w:t>
      </w:r>
      <w:r w:rsidRPr="00A92FFC">
        <w:t xml:space="preserve">.  Chapter 55 articulates seven questions to be addressed in this </w:t>
      </w:r>
      <w:r w:rsidR="00DA5D4B">
        <w:t xml:space="preserve">initial </w:t>
      </w:r>
      <w:r w:rsidRPr="00A92FFC">
        <w:t xml:space="preserve">report.  Detailed responses to </w:t>
      </w:r>
      <w:r w:rsidR="005D101C">
        <w:t>each</w:t>
      </w:r>
      <w:r w:rsidR="005D101C" w:rsidRPr="00A92FFC">
        <w:t xml:space="preserve"> </w:t>
      </w:r>
      <w:r w:rsidRPr="00A92FFC">
        <w:t xml:space="preserve">question </w:t>
      </w:r>
      <w:r>
        <w:t>can be</w:t>
      </w:r>
      <w:r w:rsidRPr="00A92FFC">
        <w:t xml:space="preserve"> found in </w:t>
      </w:r>
      <w:r w:rsidRPr="00C678BF">
        <w:rPr>
          <w:u w:val="single"/>
        </w:rPr>
        <w:t>Appendix A</w:t>
      </w:r>
      <w:r w:rsidRPr="00A92FFC">
        <w:t xml:space="preserve">.  In addition, Chapter 55 permits examinations beyond these seven questions, providing the </w:t>
      </w:r>
      <w:r>
        <w:t>Department of Public Health (DPH) an opportunity</w:t>
      </w:r>
      <w:r w:rsidRPr="00A92FFC">
        <w:t xml:space="preserve"> to build an even more comprehensive picture of the </w:t>
      </w:r>
      <w:r>
        <w:t xml:space="preserve">current </w:t>
      </w:r>
      <w:r w:rsidRPr="00A92FFC">
        <w:t xml:space="preserve">opioid crisis.  </w:t>
      </w:r>
      <w:r>
        <w:t xml:space="preserve">To this end, DPH has </w:t>
      </w:r>
      <w:r w:rsidR="005D101C">
        <w:t>connected</w:t>
      </w:r>
      <w:r>
        <w:t xml:space="preserve"> t</w:t>
      </w:r>
      <w:r w:rsidRPr="00A92FFC">
        <w:t xml:space="preserve">en datasets managed by five </w:t>
      </w:r>
      <w:r w:rsidR="00DA5D4B">
        <w:t>state</w:t>
      </w:r>
      <w:r w:rsidR="00DA5D4B" w:rsidRPr="00A92FFC">
        <w:t xml:space="preserve"> </w:t>
      </w:r>
      <w:r w:rsidRPr="00A92FFC">
        <w:t>agencies</w:t>
      </w:r>
      <w:r>
        <w:t xml:space="preserve"> </w:t>
      </w:r>
      <w:r w:rsidR="00DD5402">
        <w:t xml:space="preserve">to build </w:t>
      </w:r>
      <w:r>
        <w:t xml:space="preserve">a data warehouse structure – a concept viewed by </w:t>
      </w:r>
      <w:r w:rsidR="00DD5402">
        <w:t>national experts</w:t>
      </w:r>
      <w:r>
        <w:t xml:space="preserve"> as the future of successful public health.</w:t>
      </w:r>
    </w:p>
    <w:p w:rsidR="00CE73ED" w:rsidRDefault="00BC57E7" w:rsidP="00E126A0">
      <w:pPr>
        <w:pStyle w:val="PBody"/>
      </w:pPr>
      <w:r>
        <w:t>While t</w:t>
      </w:r>
      <w:r w:rsidRPr="00A92FFC">
        <w:t xml:space="preserve">his </w:t>
      </w:r>
      <w:r w:rsidR="00DD5402">
        <w:t xml:space="preserve">initial </w:t>
      </w:r>
      <w:r w:rsidRPr="00A92FFC">
        <w:t xml:space="preserve">report </w:t>
      </w:r>
      <w:r>
        <w:t>includes</w:t>
      </w:r>
      <w:r w:rsidRPr="00A92FFC">
        <w:t xml:space="preserve"> </w:t>
      </w:r>
      <w:r w:rsidR="00DD5402">
        <w:t>the first</w:t>
      </w:r>
      <w:r w:rsidR="00DD5402" w:rsidRPr="00A92FFC">
        <w:t xml:space="preserve"> </w:t>
      </w:r>
      <w:r w:rsidRPr="00A92FFC">
        <w:t>findings from the cross</w:t>
      </w:r>
      <w:r>
        <w:t>-agency</w:t>
      </w:r>
      <w:r w:rsidRPr="00A92FFC">
        <w:t xml:space="preserve"> analyses of these </w:t>
      </w:r>
      <w:r>
        <w:t xml:space="preserve">ten </w:t>
      </w:r>
      <w:r w:rsidRPr="00A92FFC">
        <w:t>data</w:t>
      </w:r>
      <w:r>
        <w:t>sets,</w:t>
      </w:r>
      <w:r w:rsidRPr="00A92FFC">
        <w:t xml:space="preserve"> analytic work is ongoing</w:t>
      </w:r>
      <w:r>
        <w:t xml:space="preserve">, and much is yet to be learned from this </w:t>
      </w:r>
      <w:r w:rsidR="00CE73ED">
        <w:t>nationally-</w:t>
      </w:r>
      <w:r>
        <w:t>leading effort</w:t>
      </w:r>
      <w:r w:rsidRPr="00A92FFC">
        <w:t xml:space="preserve">.  Contained </w:t>
      </w:r>
      <w:r>
        <w:t>within this report</w:t>
      </w:r>
      <w:r w:rsidRPr="00A92FFC">
        <w:t xml:space="preserve"> are descriptions of four </w:t>
      </w:r>
      <w:r>
        <w:t xml:space="preserve">specific </w:t>
      </w:r>
      <w:r w:rsidRPr="00A92FFC">
        <w:t>analyses that</w:t>
      </w:r>
      <w:r>
        <w:t xml:space="preserve"> directly respond to questions posed by Chapter 55,</w:t>
      </w:r>
      <w:r w:rsidRPr="00A92FFC">
        <w:t xml:space="preserve"> </w:t>
      </w:r>
      <w:r>
        <w:t>providing the state with</w:t>
      </w:r>
      <w:r w:rsidRPr="00A92FFC">
        <w:t xml:space="preserve"> important new </w:t>
      </w:r>
      <w:r>
        <w:t>insights into</w:t>
      </w:r>
      <w:r w:rsidRPr="00A92FFC">
        <w:t xml:space="preserve"> the profile of overdose-related deaths and the relative risks </w:t>
      </w:r>
      <w:r>
        <w:t>faced by the Commonwealth’s diverse populations</w:t>
      </w:r>
      <w:r w:rsidRPr="00A92FFC">
        <w:t xml:space="preserve">.  The importance of these findings has prompted the Department to </w:t>
      </w:r>
      <w:r w:rsidR="004F72E5">
        <w:t>issue initial</w:t>
      </w:r>
      <w:r w:rsidRPr="00A92FFC">
        <w:t xml:space="preserve"> recommendations </w:t>
      </w:r>
      <w:r w:rsidR="007A2650">
        <w:t>to</w:t>
      </w:r>
      <w:r>
        <w:t xml:space="preserve"> </w:t>
      </w:r>
      <w:r w:rsidRPr="00A92FFC">
        <w:t xml:space="preserve">inform </w:t>
      </w:r>
      <w:r>
        <w:t>policy and response efforts across the state and region</w:t>
      </w:r>
      <w:r w:rsidR="007A2650">
        <w:t>.</w:t>
      </w:r>
    </w:p>
    <w:p w:rsidR="00BC57E7" w:rsidRPr="00C678BF" w:rsidRDefault="007A2650" w:rsidP="001178AC">
      <w:pPr>
        <w:pStyle w:val="Headingp2"/>
      </w:pPr>
      <w:r>
        <w:t xml:space="preserve">Key </w:t>
      </w:r>
      <w:r w:rsidR="00BC57E7">
        <w:t>Findings</w:t>
      </w:r>
    </w:p>
    <w:p w:rsidR="00BC57E7" w:rsidRDefault="00BC57E7" w:rsidP="002D6E20">
      <w:pPr>
        <w:pStyle w:val="PBody"/>
      </w:pPr>
      <w:r w:rsidRPr="00C678BF">
        <w:rPr>
          <w:b/>
        </w:rPr>
        <w:lastRenderedPageBreak/>
        <w:t xml:space="preserve">Prescription Drugs </w:t>
      </w:r>
      <w:r w:rsidRPr="005E2D62">
        <w:rPr>
          <w:b/>
        </w:rPr>
        <w:t xml:space="preserve">Fuel </w:t>
      </w:r>
      <w:r w:rsidR="00CE73ED">
        <w:rPr>
          <w:b/>
        </w:rPr>
        <w:t xml:space="preserve">This </w:t>
      </w:r>
      <w:r w:rsidRPr="005E2D62">
        <w:rPr>
          <w:b/>
        </w:rPr>
        <w:t xml:space="preserve">Epidemic, </w:t>
      </w:r>
      <w:r w:rsidR="007A2650">
        <w:rPr>
          <w:b/>
        </w:rPr>
        <w:t>b</w:t>
      </w:r>
      <w:r w:rsidRPr="005E2D62">
        <w:rPr>
          <w:b/>
        </w:rPr>
        <w:t>ut I</w:t>
      </w:r>
      <w:r>
        <w:rPr>
          <w:b/>
        </w:rPr>
        <w:t>llegally-Obtained Substances</w:t>
      </w:r>
      <w:r w:rsidRPr="00C678BF">
        <w:rPr>
          <w:b/>
        </w:rPr>
        <w:t xml:space="preserve"> </w:t>
      </w:r>
      <w:r w:rsidR="007A2650">
        <w:rPr>
          <w:b/>
        </w:rPr>
        <w:t xml:space="preserve">More Closely </w:t>
      </w:r>
      <w:r w:rsidRPr="00C678BF">
        <w:rPr>
          <w:b/>
        </w:rPr>
        <w:t xml:space="preserve">Linked to </w:t>
      </w:r>
      <w:r w:rsidR="007A2650" w:rsidRPr="00C678BF">
        <w:rPr>
          <w:b/>
        </w:rPr>
        <w:t>Overdose</w:t>
      </w:r>
      <w:r w:rsidR="007A2650">
        <w:rPr>
          <w:b/>
        </w:rPr>
        <w:t xml:space="preserve"> Deaths</w:t>
      </w:r>
      <w:r w:rsidRPr="00C678BF">
        <w:rPr>
          <w:b/>
        </w:rPr>
        <w:t>:</w:t>
      </w:r>
      <w:r w:rsidRPr="001C267C">
        <w:rPr>
          <w:b/>
        </w:rPr>
        <w:t xml:space="preserve"> </w:t>
      </w:r>
      <w:r w:rsidRPr="001C267C">
        <w:t>Using these data, it was determined that illegally-obtained substances are much more frequently present in post-mortem toxicology</w:t>
      </w:r>
      <w:r w:rsidR="007A2650">
        <w:t xml:space="preserve"> than </w:t>
      </w:r>
      <w:r w:rsidR="007A2650" w:rsidRPr="001C267C">
        <w:t xml:space="preserve">prescription drugs (i.e., a </w:t>
      </w:r>
      <w:r w:rsidR="007A2650" w:rsidRPr="001C267C">
        <w:rPr>
          <w:rFonts w:cs="Arial"/>
        </w:rPr>
        <w:t>Schedule II-III opioid</w:t>
      </w:r>
      <w:r w:rsidR="007A2650">
        <w:rPr>
          <w:rFonts w:cs="Arial"/>
        </w:rPr>
        <w:t>s</w:t>
      </w:r>
      <w:r w:rsidR="007A2650" w:rsidRPr="001C267C">
        <w:rPr>
          <w:rFonts w:cs="Arial"/>
        </w:rPr>
        <w:t>, or benzodiazepine</w:t>
      </w:r>
      <w:r w:rsidR="007A2650">
        <w:rPr>
          <w:rFonts w:cs="Arial"/>
        </w:rPr>
        <w:t>s</w:t>
      </w:r>
      <w:r w:rsidR="007A2650" w:rsidRPr="001C267C">
        <w:rPr>
          <w:rFonts w:cs="Arial"/>
        </w:rPr>
        <w:t>)</w:t>
      </w:r>
      <w:r w:rsidRPr="001C267C">
        <w:t>.  While prescription drug</w:t>
      </w:r>
      <w:r w:rsidR="007A2650">
        <w:t xml:space="preserve"> use</w:t>
      </w:r>
      <w:r w:rsidR="00524380">
        <w:t xml:space="preserve"> can result in addiction and</w:t>
      </w:r>
      <w:r w:rsidRPr="001C267C">
        <w:t xml:space="preserve"> may increase the long-term risk of death, illegal drugs appear more </w:t>
      </w:r>
      <w:r>
        <w:t xml:space="preserve">likely </w:t>
      </w:r>
      <w:r w:rsidRPr="00A92FFC">
        <w:t xml:space="preserve">to be the direct cause of death.  As a result, increasing the availability of </w:t>
      </w:r>
      <w:r w:rsidR="00524380">
        <w:t xml:space="preserve">harm reduction strategies and </w:t>
      </w:r>
      <w:r w:rsidRPr="00A92FFC">
        <w:t xml:space="preserve">interventions that </w:t>
      </w:r>
      <w:r>
        <w:t>target</w:t>
      </w:r>
      <w:r w:rsidRPr="00A92FFC">
        <w:t xml:space="preserve"> Heroin, Fentanyl, and polysubstance use (especially </w:t>
      </w:r>
      <w:r w:rsidR="007E10E1">
        <w:t xml:space="preserve">opioid use concurrent with </w:t>
      </w:r>
      <w:r w:rsidRPr="00A92FFC">
        <w:t>benzodiazepine and</w:t>
      </w:r>
      <w:r w:rsidR="007E10E1">
        <w:t>/or</w:t>
      </w:r>
      <w:r w:rsidRPr="00A92FFC">
        <w:t xml:space="preserve"> Cocaine</w:t>
      </w:r>
      <w:r w:rsidR="002D6E20">
        <w:t xml:space="preserve"> use</w:t>
      </w:r>
      <w:r w:rsidRPr="00A92FFC">
        <w:t xml:space="preserve">) could significantly reduce the opioid-related death rate.  </w:t>
      </w:r>
    </w:p>
    <w:p w:rsidR="00BC57E7" w:rsidRDefault="00BC57E7" w:rsidP="002D6E20">
      <w:pPr>
        <w:pStyle w:val="PBody"/>
      </w:pPr>
      <w:r w:rsidRPr="00C678BF">
        <w:rPr>
          <w:b/>
        </w:rPr>
        <w:t>Medication Assisted Treatment Reduce</w:t>
      </w:r>
      <w:r w:rsidR="00AA5FDA">
        <w:rPr>
          <w:b/>
        </w:rPr>
        <w:t xml:space="preserve">s the </w:t>
      </w:r>
      <w:r w:rsidRPr="00C678BF">
        <w:rPr>
          <w:b/>
        </w:rPr>
        <w:t xml:space="preserve">Risk of </w:t>
      </w:r>
      <w:r w:rsidR="00AA5FDA">
        <w:rPr>
          <w:b/>
        </w:rPr>
        <w:t xml:space="preserve">Fatal </w:t>
      </w:r>
      <w:r w:rsidRPr="00C678BF">
        <w:rPr>
          <w:b/>
        </w:rPr>
        <w:t xml:space="preserve">Opioid Overdose: </w:t>
      </w:r>
      <w:r>
        <w:t xml:space="preserve">Another key finding from these data is that </w:t>
      </w:r>
      <w:r w:rsidR="007E10E1">
        <w:t xml:space="preserve">receiving </w:t>
      </w:r>
      <w:r w:rsidR="008922C8" w:rsidRPr="00A92FFC">
        <w:t>evidence-based opioid agonist</w:t>
      </w:r>
      <w:r w:rsidR="008922C8">
        <w:t xml:space="preserve"> treatment</w:t>
      </w:r>
      <w:r w:rsidR="00DC76C9" w:rsidRPr="00DC76C9">
        <w:t xml:space="preserve"> </w:t>
      </w:r>
      <w:r w:rsidR="00DC76C9" w:rsidRPr="00A92FFC">
        <w:t>following a nonfatal overdose</w:t>
      </w:r>
      <w:r w:rsidR="008922C8" w:rsidRPr="00A92FFC">
        <w:t xml:space="preserve"> </w:t>
      </w:r>
      <w:r w:rsidR="008922C8">
        <w:t>was</w:t>
      </w:r>
      <w:r w:rsidR="008922C8" w:rsidRPr="00A92FFC">
        <w:t xml:space="preserve"> </w:t>
      </w:r>
      <w:r w:rsidRPr="00A92FFC">
        <w:t xml:space="preserve">associated with a reduced risk of </w:t>
      </w:r>
      <w:r w:rsidR="00DC76C9">
        <w:t xml:space="preserve">a subsequent </w:t>
      </w:r>
      <w:r w:rsidRPr="00A92FFC">
        <w:t>fatal opioid overdose</w:t>
      </w:r>
      <w:r w:rsidR="00DC76C9">
        <w:t>.</w:t>
      </w:r>
      <w:r>
        <w:t xml:space="preserve"> </w:t>
      </w:r>
      <w:r w:rsidR="00DC76C9">
        <w:t xml:space="preserve">This suggests </w:t>
      </w:r>
      <w:r>
        <w:t>that overdose survivors</w:t>
      </w:r>
      <w:r w:rsidRPr="00A92FFC">
        <w:t xml:space="preserve"> have a short window of opportunity after a nonfatal overdose to reduce their risk of death</w:t>
      </w:r>
      <w:r>
        <w:t xml:space="preserve"> </w:t>
      </w:r>
      <w:r w:rsidR="00DC76C9">
        <w:t xml:space="preserve">by undergoing an evidence-based </w:t>
      </w:r>
      <w:r>
        <w:t>medication-assisted treatment (MAT)</w:t>
      </w:r>
      <w:r w:rsidRPr="00A92FFC">
        <w:t xml:space="preserve">.  A comprehensive plan for delivering </w:t>
      </w:r>
      <w:r>
        <w:t>evidence-based MAT</w:t>
      </w:r>
      <w:r w:rsidRPr="00A92FFC">
        <w:t xml:space="preserve">, </w:t>
      </w:r>
      <w:r>
        <w:t>such as</w:t>
      </w:r>
      <w:r w:rsidRPr="00A92FFC">
        <w:t xml:space="preserve"> </w:t>
      </w:r>
      <w:r w:rsidR="00667C4C">
        <w:t>bup</w:t>
      </w:r>
      <w:r w:rsidRPr="00A92FFC">
        <w:t xml:space="preserve">renorphine or </w:t>
      </w:r>
      <w:r w:rsidR="00667C4C">
        <w:t>methadone</w:t>
      </w:r>
      <w:r w:rsidR="00DC76C9">
        <w:t xml:space="preserve"> treatment</w:t>
      </w:r>
      <w:r w:rsidRPr="00A92FFC">
        <w:t xml:space="preserve">, </w:t>
      </w:r>
      <w:r w:rsidR="00AA5FDA">
        <w:t>to treat</w:t>
      </w:r>
      <w:r w:rsidR="00AA5FDA" w:rsidRPr="00A92FFC">
        <w:t xml:space="preserve"> </w:t>
      </w:r>
      <w:r w:rsidRPr="00A92FFC">
        <w:t>opioid use disorder</w:t>
      </w:r>
      <w:r w:rsidR="00AA5FDA">
        <w:t xml:space="preserve"> for</w:t>
      </w:r>
      <w:r w:rsidRPr="00A92FFC">
        <w:t xml:space="preserve"> those with high overdose risk could significantly lower the death rate</w:t>
      </w:r>
      <w:r>
        <w:t>.  T</w:t>
      </w:r>
      <w:r w:rsidRPr="00A92FFC">
        <w:t xml:space="preserve">his report only includes data </w:t>
      </w:r>
      <w:r w:rsidR="00447F84">
        <w:t xml:space="preserve">for </w:t>
      </w:r>
      <w:r w:rsidR="00AA5FDA">
        <w:t>state-</w:t>
      </w:r>
      <w:r w:rsidR="00447F84">
        <w:t>funded</w:t>
      </w:r>
      <w:r w:rsidRPr="00A92FFC">
        <w:t xml:space="preserve"> opioid agonist treatment</w:t>
      </w:r>
      <w:r w:rsidR="00447F84">
        <w:t xml:space="preserve"> (i.e. </w:t>
      </w:r>
      <w:r w:rsidR="00447F84" w:rsidRPr="00A92FFC">
        <w:t>Buprenorphine or Methadone</w:t>
      </w:r>
      <w:r w:rsidR="00447F84">
        <w:t>).</w:t>
      </w:r>
      <w:r w:rsidRPr="00A92FFC">
        <w:t xml:space="preserve"> </w:t>
      </w:r>
      <w:r w:rsidR="00447F84">
        <w:t xml:space="preserve">Work is ongoing to examine risk reductions associated with </w:t>
      </w:r>
      <w:r w:rsidRPr="00A92FFC">
        <w:t xml:space="preserve">additional </w:t>
      </w:r>
      <w:r>
        <w:t xml:space="preserve">MATs </w:t>
      </w:r>
      <w:r w:rsidRPr="00A92FFC">
        <w:t>including naltrexone</w:t>
      </w:r>
      <w:r w:rsidR="00447F84">
        <w:t>.</w:t>
      </w:r>
      <w:r w:rsidR="00447F84">
        <w:rPr>
          <w:rStyle w:val="FootnoteReference"/>
        </w:rPr>
        <w:footnoteReference w:id="3"/>
      </w:r>
    </w:p>
    <w:p w:rsidR="00BC57E7" w:rsidRDefault="00BC57E7" w:rsidP="002D6E20">
      <w:pPr>
        <w:pStyle w:val="PBody"/>
      </w:pPr>
      <w:r w:rsidRPr="00C678BF">
        <w:rPr>
          <w:b/>
        </w:rPr>
        <w:t xml:space="preserve">Women are More Likely  </w:t>
      </w:r>
      <w:r w:rsidR="00D069A2">
        <w:rPr>
          <w:b/>
        </w:rPr>
        <w:t xml:space="preserve">than Men to </w:t>
      </w:r>
      <w:r w:rsidRPr="00C678BF">
        <w:rPr>
          <w:b/>
        </w:rPr>
        <w:t>Experience a</w:t>
      </w:r>
      <w:r w:rsidR="00AA5FDA">
        <w:rPr>
          <w:b/>
        </w:rPr>
        <w:t xml:space="preserve"> Fatal</w:t>
      </w:r>
      <w:r w:rsidRPr="00C678BF">
        <w:rPr>
          <w:b/>
        </w:rPr>
        <w:t xml:space="preserve"> Overdose Due to Prescription </w:t>
      </w:r>
      <w:r w:rsidR="00347891">
        <w:rPr>
          <w:b/>
        </w:rPr>
        <w:t xml:space="preserve">Opioid </w:t>
      </w:r>
      <w:r w:rsidR="00AA5FDA">
        <w:rPr>
          <w:b/>
        </w:rPr>
        <w:t>Use</w:t>
      </w:r>
      <w:r w:rsidRPr="00C678BF">
        <w:rPr>
          <w:b/>
        </w:rPr>
        <w:t xml:space="preserve">: </w:t>
      </w:r>
      <w:r w:rsidR="005E6F25">
        <w:rPr>
          <w:b/>
        </w:rPr>
        <w:t xml:space="preserve"> </w:t>
      </w:r>
      <w:r w:rsidR="005E6F25" w:rsidRPr="001178AC">
        <w:t xml:space="preserve">While </w:t>
      </w:r>
      <w:r w:rsidR="005E6F25">
        <w:t>men were found to be significantly more likely to die from an</w:t>
      </w:r>
      <w:r w:rsidR="00D069A2">
        <w:t>y</w:t>
      </w:r>
      <w:r w:rsidR="005E6F25">
        <w:t xml:space="preserve"> opioid-related overdose,</w:t>
      </w:r>
      <w:r w:rsidR="005E6F25">
        <w:rPr>
          <w:b/>
        </w:rPr>
        <w:t xml:space="preserve"> </w:t>
      </w:r>
      <w:r w:rsidR="005E6F25">
        <w:t>t</w:t>
      </w:r>
      <w:r w:rsidR="00347891">
        <w:t>he results of this study indicate</w:t>
      </w:r>
      <w:r w:rsidRPr="00A92FFC">
        <w:t xml:space="preserve"> that women are more likely than men to </w:t>
      </w:r>
      <w:r w:rsidR="00D069A2">
        <w:t xml:space="preserve">die of a prescription opioid-related overdose. Women were more likely than men to both </w:t>
      </w:r>
      <w:r w:rsidRPr="00A92FFC">
        <w:t xml:space="preserve">obtain </w:t>
      </w:r>
      <w:r w:rsidR="001C267C" w:rsidRPr="001C267C">
        <w:rPr>
          <w:rFonts w:asciiTheme="minorHAnsi" w:hAnsiTheme="minorHAnsi" w:cs="Arial"/>
        </w:rPr>
        <w:t xml:space="preserve">Schedule II-III </w:t>
      </w:r>
      <w:r w:rsidRPr="00A92FFC">
        <w:t xml:space="preserve">opioids and to have </w:t>
      </w:r>
      <w:r w:rsidR="001C267C" w:rsidRPr="001C267C">
        <w:rPr>
          <w:rFonts w:asciiTheme="minorHAnsi" w:hAnsiTheme="minorHAnsi" w:cs="Arial"/>
        </w:rPr>
        <w:t xml:space="preserve">Schedule II-III </w:t>
      </w:r>
      <w:r w:rsidRPr="00A92FFC">
        <w:t>opioids present in post-mortem toxicology</w:t>
      </w:r>
      <w:r w:rsidR="005E6F25">
        <w:t xml:space="preserve"> following an opioid-related overdose death</w:t>
      </w:r>
      <w:r w:rsidRPr="00A92FFC">
        <w:t>.  While legal</w:t>
      </w:r>
      <w:r w:rsidR="00347891">
        <w:t>ly-</w:t>
      </w:r>
      <w:r w:rsidRPr="00A92FFC">
        <w:t xml:space="preserve"> and </w:t>
      </w:r>
      <w:r>
        <w:t>illegally-obtained</w:t>
      </w:r>
      <w:r w:rsidRPr="00A92FFC">
        <w:t xml:space="preserve"> opioids pose a risk for men and women alike, prescribers and pharmacists should be educated to utilize</w:t>
      </w:r>
      <w:r w:rsidR="00447F84">
        <w:t xml:space="preserve"> </w:t>
      </w:r>
      <w:r w:rsidR="00A643C6">
        <w:t>the Prescription Drug Monitoring Database (</w:t>
      </w:r>
      <w:r w:rsidR="00A643C6" w:rsidRPr="00A92FFC">
        <w:t>PDMP</w:t>
      </w:r>
      <w:r w:rsidR="00A643C6">
        <w:t>) through th</w:t>
      </w:r>
      <w:r w:rsidR="00A643C6" w:rsidRPr="00A92FFC">
        <w:t>e</w:t>
      </w:r>
      <w:r w:rsidR="00A643C6">
        <w:t xml:space="preserve"> </w:t>
      </w:r>
      <w:r w:rsidR="00AC3E8A">
        <w:t xml:space="preserve">Massachusetts Prescription Awareness Tool (MassPAT) </w:t>
      </w:r>
      <w:r w:rsidR="00A643C6">
        <w:t xml:space="preserve">in order </w:t>
      </w:r>
      <w:r w:rsidRPr="00A92FFC">
        <w:t>to identify any active or past prescriptions for their patients</w:t>
      </w:r>
      <w:r w:rsidR="002307BF">
        <w:t xml:space="preserve"> </w:t>
      </w:r>
      <w:r w:rsidR="00D069A2">
        <w:t xml:space="preserve"> </w:t>
      </w:r>
      <w:r w:rsidRPr="00A92FFC">
        <w:t>and to provide coordinated ca</w:t>
      </w:r>
      <w:r w:rsidR="00AC3E8A">
        <w:t>re and overdose risk reduction.</w:t>
      </w:r>
    </w:p>
    <w:p w:rsidR="00BC57E7" w:rsidRDefault="005E6F25" w:rsidP="002D6E20">
      <w:pPr>
        <w:pStyle w:val="PBody"/>
      </w:pPr>
      <w:r>
        <w:rPr>
          <w:b/>
        </w:rPr>
        <w:t>Individuals Who Have Recently Been Released from Massachusetts Prisons are 56 Times as Likely to Die from an Opioid Related Overdose</w:t>
      </w:r>
      <w:r w:rsidR="00BC57E7" w:rsidRPr="001178AC">
        <w:rPr>
          <w:b/>
        </w:rPr>
        <w:t>:</w:t>
      </w:r>
      <w:r w:rsidR="00BC57E7">
        <w:t xml:space="preserve"> </w:t>
      </w:r>
      <w:r w:rsidR="003B0254">
        <w:t>Those who have recently been released from Massachusetts prisons have a</w:t>
      </w:r>
      <w:r w:rsidR="003B0254" w:rsidRPr="00A92FFC">
        <w:t xml:space="preserve"> short-term risk of death from opioid overdose </w:t>
      </w:r>
      <w:r w:rsidR="003B0254">
        <w:t xml:space="preserve">that </w:t>
      </w:r>
      <w:r w:rsidR="003B0254" w:rsidRPr="00A92FFC">
        <w:t xml:space="preserve">is </w:t>
      </w:r>
      <w:r w:rsidR="003B0254">
        <w:t>greater</w:t>
      </w:r>
      <w:r w:rsidR="003B0254" w:rsidRPr="00A92FFC">
        <w:t xml:space="preserve"> than 50 times </w:t>
      </w:r>
      <w:r w:rsidR="003B0254">
        <w:t>the risk</w:t>
      </w:r>
      <w:r w:rsidR="003B0254" w:rsidRPr="00A92FFC">
        <w:t xml:space="preserve"> for the general public.  </w:t>
      </w:r>
      <w:r w:rsidR="003B0254">
        <w:t xml:space="preserve">25% of Massachusetts prison inmates received treatment during their incarceration, </w:t>
      </w:r>
      <w:r w:rsidR="003B0254" w:rsidRPr="009E1213">
        <w:t xml:space="preserve">and there was not a notable reduction in risk of fatal overdose in </w:t>
      </w:r>
      <w:r w:rsidR="003B0254">
        <w:t>those</w:t>
      </w:r>
      <w:r w:rsidR="003B0254" w:rsidRPr="009E1213">
        <w:t xml:space="preserve"> that received treatment</w:t>
      </w:r>
      <w:r w:rsidR="003B0254">
        <w:t>.</w:t>
      </w:r>
      <w:r w:rsidR="00BC57E7">
        <w:t xml:space="preserve"> </w:t>
      </w:r>
      <w:r w:rsidR="009E1213">
        <w:t xml:space="preserve"> </w:t>
      </w:r>
      <w:r w:rsidR="003B0254">
        <w:t>To</w:t>
      </w:r>
      <w:r w:rsidR="003B0254" w:rsidRPr="00A92FFC">
        <w:t xml:space="preserve"> further reduce the </w:t>
      </w:r>
      <w:r w:rsidR="003B0254">
        <w:t xml:space="preserve">opioid-related </w:t>
      </w:r>
      <w:r w:rsidR="003B0254" w:rsidRPr="00A92FFC">
        <w:t xml:space="preserve">death rate, additional focus </w:t>
      </w:r>
      <w:r w:rsidR="003B0254">
        <w:t>should</w:t>
      </w:r>
      <w:r w:rsidR="003B0254" w:rsidRPr="00A92FFC">
        <w:t xml:space="preserve"> be paid to </w:t>
      </w:r>
      <w:r w:rsidR="003B0254">
        <w:t>those</w:t>
      </w:r>
      <w:r w:rsidR="003B0254" w:rsidRPr="00A92FFC">
        <w:t xml:space="preserve"> being released from Massachusetts prisons</w:t>
      </w:r>
      <w:r w:rsidR="003B0254">
        <w:t>, and treatment opportunities should be standardized regardless of setting</w:t>
      </w:r>
      <w:r w:rsidR="009E1213" w:rsidRPr="009E1213">
        <w:t>.</w:t>
      </w:r>
    </w:p>
    <w:p w:rsidR="001C267C" w:rsidRPr="00073F58" w:rsidRDefault="001C267C" w:rsidP="002D6E20">
      <w:pPr>
        <w:pStyle w:val="P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788"/>
      </w:tblGrid>
      <w:tr w:rsidR="00BC57E7" w:rsidTr="001178AC">
        <w:trPr>
          <w:trHeight w:val="288"/>
        </w:trPr>
        <w:tc>
          <w:tcPr>
            <w:tcW w:w="4788" w:type="dxa"/>
            <w:shd w:val="clear" w:color="auto" w:fill="D9D9D9"/>
            <w:vAlign w:val="center"/>
          </w:tcPr>
          <w:p w:rsidR="00BC57E7" w:rsidRPr="002D6E20" w:rsidRDefault="00BC57E7" w:rsidP="001178AC">
            <w:pPr>
              <w:pStyle w:val="Tableheader"/>
            </w:pPr>
            <w:r w:rsidRPr="002D6E20">
              <w:t>Key Findings</w:t>
            </w:r>
          </w:p>
        </w:tc>
        <w:tc>
          <w:tcPr>
            <w:tcW w:w="4788" w:type="dxa"/>
            <w:shd w:val="clear" w:color="auto" w:fill="D9D9D9"/>
            <w:vAlign w:val="center"/>
          </w:tcPr>
          <w:p w:rsidR="00BC57E7" w:rsidRPr="00570FB0" w:rsidRDefault="00BC57E7" w:rsidP="001178AC">
            <w:pPr>
              <w:pStyle w:val="Tableheader"/>
            </w:pPr>
            <w:r w:rsidRPr="00570FB0">
              <w:t>Recommendations</w:t>
            </w:r>
          </w:p>
        </w:tc>
      </w:tr>
      <w:tr w:rsidR="00BC57E7" w:rsidTr="001178AC">
        <w:tc>
          <w:tcPr>
            <w:tcW w:w="4788" w:type="dxa"/>
            <w:vAlign w:val="center"/>
          </w:tcPr>
          <w:p w:rsidR="00BC57E7" w:rsidRPr="00570FB0" w:rsidRDefault="00BC57E7" w:rsidP="001178AC">
            <w:pPr>
              <w:pStyle w:val="tabletext"/>
            </w:pPr>
            <w:r w:rsidRPr="00C678BF">
              <w:rPr>
                <w:b/>
                <w:i/>
              </w:rPr>
              <w:t>FINDING 1</w:t>
            </w:r>
            <w:r w:rsidRPr="00570FB0">
              <w:t xml:space="preserve"> – Individuals who died from opi</w:t>
            </w:r>
            <w:r>
              <w:t>oid</w:t>
            </w:r>
            <w:r w:rsidR="00242E4A">
              <w:t>-</w:t>
            </w:r>
            <w:r w:rsidRPr="00570FB0">
              <w:t xml:space="preserve"> related </w:t>
            </w:r>
            <w:r w:rsidRPr="002D6E20">
              <w:t>overdoses are much more likely to have an illegally-obtained substance</w:t>
            </w:r>
            <w:r w:rsidRPr="00570FB0">
              <w:t xml:space="preserve"> (</w:t>
            </w:r>
            <w:r w:rsidR="001C267C">
              <w:t xml:space="preserve">i.e., </w:t>
            </w:r>
            <w:r w:rsidRPr="00570FB0">
              <w:t xml:space="preserve">not </w:t>
            </w:r>
            <w:r w:rsidR="001C267C" w:rsidRPr="001C267C">
              <w:rPr>
                <w:rFonts w:asciiTheme="minorHAnsi" w:hAnsiTheme="minorHAnsi" w:cs="Arial"/>
              </w:rPr>
              <w:t>Schedule II-III opioid</w:t>
            </w:r>
            <w:r w:rsidRPr="00570FB0">
              <w:t>) present in post-mortem toxicology</w:t>
            </w:r>
          </w:p>
        </w:tc>
        <w:tc>
          <w:tcPr>
            <w:tcW w:w="4788" w:type="dxa"/>
            <w:vAlign w:val="center"/>
          </w:tcPr>
          <w:p w:rsidR="00BC57E7" w:rsidRPr="00570FB0" w:rsidRDefault="003B0254" w:rsidP="003B0254">
            <w:pPr>
              <w:pStyle w:val="tabletext"/>
              <w:rPr>
                <w:rFonts w:cs="Calibri"/>
              </w:rPr>
            </w:pPr>
            <w:r>
              <w:rPr>
                <w:rFonts w:cs="Calibri"/>
              </w:rPr>
              <w:t>Harm reduction strategies and other i</w:t>
            </w:r>
            <w:r w:rsidR="00BC57E7" w:rsidRPr="00570FB0">
              <w:rPr>
                <w:rFonts w:cs="Calibri"/>
              </w:rPr>
              <w:t>nterventions that address Heroin, Fentanyl</w:t>
            </w:r>
            <w:r w:rsidR="00BC57E7">
              <w:rPr>
                <w:rFonts w:cs="Calibri"/>
              </w:rPr>
              <w:t>,</w:t>
            </w:r>
            <w:r w:rsidR="00BC57E7" w:rsidRPr="00570FB0">
              <w:rPr>
                <w:rFonts w:cs="Calibri"/>
              </w:rPr>
              <w:t xml:space="preserve"> and polysubstance use should be increased, expanded</w:t>
            </w:r>
            <w:r>
              <w:rPr>
                <w:rFonts w:cs="Calibri"/>
              </w:rPr>
              <w:t>,</w:t>
            </w:r>
            <w:r w:rsidR="00BC57E7" w:rsidRPr="00570FB0">
              <w:rPr>
                <w:rFonts w:cs="Calibri"/>
              </w:rPr>
              <w:t xml:space="preserve"> and enhanced.</w:t>
            </w:r>
          </w:p>
        </w:tc>
      </w:tr>
      <w:tr w:rsidR="00BC57E7" w:rsidTr="001178AC">
        <w:tc>
          <w:tcPr>
            <w:tcW w:w="4788" w:type="dxa"/>
            <w:vAlign w:val="center"/>
          </w:tcPr>
          <w:p w:rsidR="00BC57E7" w:rsidRPr="00570FB0" w:rsidRDefault="00BC57E7" w:rsidP="001178AC">
            <w:pPr>
              <w:pStyle w:val="tabletext"/>
            </w:pPr>
            <w:r w:rsidRPr="00C678BF">
              <w:rPr>
                <w:b/>
                <w:i/>
              </w:rPr>
              <w:t>FINDING 2</w:t>
            </w:r>
            <w:r w:rsidRPr="00570FB0">
              <w:t xml:space="preserve"> – Following nonfatal overdoses, </w:t>
            </w:r>
            <w:r>
              <w:t xml:space="preserve">people on </w:t>
            </w:r>
            <w:r w:rsidRPr="00570FB0">
              <w:t>opioid agonist treatment (i.e.,  medications that bl</w:t>
            </w:r>
            <w:r>
              <w:t xml:space="preserve">ock the effect of opioids like Methadone and </w:t>
            </w:r>
            <w:r w:rsidR="00667C4C">
              <w:t>bup</w:t>
            </w:r>
            <w:r w:rsidRPr="00570FB0">
              <w:t xml:space="preserve">renorphine) </w:t>
            </w:r>
            <w:r>
              <w:t xml:space="preserve">are </w:t>
            </w:r>
            <w:r w:rsidRPr="00570FB0">
              <w:t>significantly less likely to die</w:t>
            </w:r>
          </w:p>
        </w:tc>
        <w:tc>
          <w:tcPr>
            <w:tcW w:w="4788" w:type="dxa"/>
            <w:vAlign w:val="center"/>
          </w:tcPr>
          <w:p w:rsidR="00BC57E7" w:rsidRPr="00570FB0" w:rsidRDefault="00BC57E7" w:rsidP="001178AC">
            <w:pPr>
              <w:pStyle w:val="tabletext"/>
            </w:pPr>
            <w:r w:rsidRPr="00570FB0">
              <w:t xml:space="preserve">Strategies for making </w:t>
            </w:r>
            <w:r>
              <w:t>medications for opioid use disorders</w:t>
            </w:r>
            <w:r w:rsidRPr="00570FB0">
              <w:t xml:space="preserve"> </w:t>
            </w:r>
            <w:r>
              <w:t xml:space="preserve">more </w:t>
            </w:r>
            <w:r w:rsidRPr="00570FB0">
              <w:t>accessible to individuals who experience a nonfatal opioid overdose should be prioritized.</w:t>
            </w:r>
          </w:p>
        </w:tc>
      </w:tr>
      <w:tr w:rsidR="00BC57E7" w:rsidTr="001178AC">
        <w:tc>
          <w:tcPr>
            <w:tcW w:w="4788" w:type="dxa"/>
            <w:vAlign w:val="center"/>
          </w:tcPr>
          <w:p w:rsidR="00BC57E7" w:rsidRPr="00570FB0" w:rsidRDefault="00BC57E7" w:rsidP="001178AC">
            <w:pPr>
              <w:pStyle w:val="tabletext"/>
            </w:pPr>
            <w:r w:rsidRPr="00C678BF">
              <w:rPr>
                <w:b/>
                <w:i/>
              </w:rPr>
              <w:t>FINDING 3</w:t>
            </w:r>
            <w:r w:rsidRPr="00570FB0">
              <w:t xml:space="preserve"> – Women are significantly more likely than men to receive opioids from 3 or more prescribers and obtain them from 3 or more pharmacies.</w:t>
            </w:r>
          </w:p>
        </w:tc>
        <w:tc>
          <w:tcPr>
            <w:tcW w:w="4788" w:type="dxa"/>
            <w:vAlign w:val="center"/>
          </w:tcPr>
          <w:p w:rsidR="00BC57E7" w:rsidRPr="00447F84" w:rsidRDefault="00BC57E7" w:rsidP="004E5B48">
            <w:pPr>
              <w:pStyle w:val="tabletext"/>
            </w:pPr>
            <w:r w:rsidRPr="00447F84">
              <w:t xml:space="preserve">MassPAT should be </w:t>
            </w:r>
            <w:r w:rsidR="004E5B48">
              <w:t>leveraged by prescribers and pharmacists as</w:t>
            </w:r>
            <w:r w:rsidR="004E5B48" w:rsidRPr="00447F84">
              <w:t xml:space="preserve"> </w:t>
            </w:r>
            <w:r w:rsidR="004E5B48">
              <w:t xml:space="preserve">a decision support tool </w:t>
            </w:r>
            <w:r w:rsidRPr="00447F84">
              <w:t xml:space="preserve">to </w:t>
            </w:r>
            <w:r w:rsidR="004E5B48">
              <w:t>inform clinical decision-making</w:t>
            </w:r>
            <w:r w:rsidRPr="00447F84">
              <w:t>.</w:t>
            </w:r>
            <w:r w:rsidR="00A643C6">
              <w:t xml:space="preserve"> </w:t>
            </w:r>
            <w:r w:rsidR="00805443">
              <w:t>Also, p</w:t>
            </w:r>
            <w:r w:rsidR="00A643C6" w:rsidRPr="00447F84">
              <w:t>rescribers and pharmacists</w:t>
            </w:r>
            <w:r w:rsidR="00A643C6">
              <w:t xml:space="preserve"> should be educated about </w:t>
            </w:r>
            <w:r w:rsidR="004E5B48">
              <w:t xml:space="preserve">their own </w:t>
            </w:r>
            <w:r w:rsidR="00A643C6">
              <w:t>personal biases.</w:t>
            </w:r>
          </w:p>
        </w:tc>
      </w:tr>
      <w:tr w:rsidR="00BC57E7" w:rsidTr="001178AC">
        <w:tc>
          <w:tcPr>
            <w:tcW w:w="4788" w:type="dxa"/>
            <w:vAlign w:val="center"/>
          </w:tcPr>
          <w:p w:rsidR="00BC57E7" w:rsidRPr="00570FB0" w:rsidRDefault="00BC57E7" w:rsidP="001178AC">
            <w:pPr>
              <w:pStyle w:val="tabletext"/>
            </w:pPr>
            <w:r w:rsidRPr="00C678BF">
              <w:rPr>
                <w:b/>
                <w:i/>
              </w:rPr>
              <w:t>FINDING 4</w:t>
            </w:r>
            <w:r w:rsidRPr="00570FB0">
              <w:t xml:space="preserve"> –</w:t>
            </w:r>
            <w:r w:rsidRPr="00570FB0">
              <w:rPr>
                <w:rFonts w:hAnsi="Arial"/>
                <w:sz w:val="44"/>
                <w:szCs w:val="44"/>
              </w:rPr>
              <w:t xml:space="preserve"> </w:t>
            </w:r>
            <w:r w:rsidRPr="00570FB0">
              <w:t xml:space="preserve">The risk </w:t>
            </w:r>
            <w:r>
              <w:t xml:space="preserve">of </w:t>
            </w:r>
            <w:r w:rsidRPr="00570FB0">
              <w:t>opioid overdose death following incarceration is 5</w:t>
            </w:r>
            <w:r>
              <w:t>6</w:t>
            </w:r>
            <w:r w:rsidRPr="00570FB0">
              <w:t xml:space="preserve"> times higher than for the general public</w:t>
            </w:r>
            <w:r w:rsidRPr="00570FB0">
              <w:rPr>
                <w:rFonts w:cs="Arial"/>
              </w:rPr>
              <w:t>.</w:t>
            </w:r>
          </w:p>
        </w:tc>
        <w:tc>
          <w:tcPr>
            <w:tcW w:w="4788" w:type="dxa"/>
            <w:vAlign w:val="center"/>
          </w:tcPr>
          <w:p w:rsidR="00BC57E7" w:rsidRPr="00447F84" w:rsidRDefault="00BC57E7" w:rsidP="000C2428">
            <w:pPr>
              <w:pStyle w:val="tabletext"/>
            </w:pPr>
            <w:r w:rsidRPr="00447F84">
              <w:rPr>
                <w:rFonts w:cs="Arial"/>
              </w:rPr>
              <w:t xml:space="preserve"> </w:t>
            </w:r>
            <w:r w:rsidR="001C267C" w:rsidRPr="00447F84">
              <w:rPr>
                <w:rFonts w:cs="Arial"/>
              </w:rPr>
              <w:t xml:space="preserve"> </w:t>
            </w:r>
            <w:r w:rsidR="000C2428">
              <w:rPr>
                <w:rFonts w:cs="Arial"/>
              </w:rPr>
              <w:t>MAT</w:t>
            </w:r>
            <w:r w:rsidR="000C2428" w:rsidRPr="00447F84">
              <w:rPr>
                <w:rFonts w:cs="Arial"/>
              </w:rPr>
              <w:t xml:space="preserve"> </w:t>
            </w:r>
            <w:r w:rsidRPr="00447F84">
              <w:rPr>
                <w:rFonts w:cs="Arial"/>
              </w:rPr>
              <w:t>and overdose prevention services should be expanded in correctional facilities</w:t>
            </w:r>
            <w:r w:rsidR="000C2428">
              <w:rPr>
                <w:rFonts w:cs="Arial"/>
              </w:rPr>
              <w:t>, and a</w:t>
            </w:r>
            <w:r w:rsidR="000C2428" w:rsidRPr="00447F84">
              <w:rPr>
                <w:rFonts w:cs="Arial"/>
              </w:rPr>
              <w:t>ccess to post-incarceration medical care and substance use prevention and treatment should be put in place prior to release.</w:t>
            </w:r>
          </w:p>
        </w:tc>
      </w:tr>
    </w:tbl>
    <w:p w:rsidR="00BC57E7" w:rsidRPr="0029220F" w:rsidRDefault="00BC57E7" w:rsidP="00BC57E7">
      <w:pPr>
        <w:spacing w:line="480" w:lineRule="auto"/>
        <w:rPr>
          <w:rFonts w:ascii="Calibri" w:hAnsi="Calibri"/>
          <w:sz w:val="22"/>
          <w:szCs w:val="22"/>
        </w:rPr>
      </w:pPr>
    </w:p>
    <w:p w:rsidR="00BC57E7" w:rsidRPr="0029220F" w:rsidRDefault="00BC57E7" w:rsidP="001178AC">
      <w:pPr>
        <w:pStyle w:val="PBody"/>
      </w:pPr>
      <w:r w:rsidRPr="0029220F">
        <w:t xml:space="preserve">Importantly, in addition to providing </w:t>
      </w:r>
      <w:r w:rsidR="00D8667E">
        <w:t>insight</w:t>
      </w:r>
      <w:r w:rsidR="009E1213">
        <w:t xml:space="preserve"> </w:t>
      </w:r>
      <w:r w:rsidRPr="0029220F">
        <w:t xml:space="preserve">into the current opioid </w:t>
      </w:r>
      <w:r w:rsidR="00F80998">
        <w:t>epidemic</w:t>
      </w:r>
      <w:r w:rsidRPr="0029220F">
        <w:t xml:space="preserve">, this </w:t>
      </w:r>
      <w:r w:rsidR="00F80998">
        <w:t>effort</w:t>
      </w:r>
      <w:r w:rsidR="00F80998" w:rsidRPr="0029220F">
        <w:t xml:space="preserve"> </w:t>
      </w:r>
      <w:r w:rsidRPr="0029220F">
        <w:t>also marks the beginning of how government, academia,</w:t>
      </w:r>
      <w:r w:rsidR="00F84F6D">
        <w:t xml:space="preserve"> the health care system,</w:t>
      </w:r>
      <w:r w:rsidRPr="0029220F">
        <w:t xml:space="preserve"> and private industry can and should collaborate to ask and answer complex questions.  </w:t>
      </w:r>
      <w:r w:rsidR="00066B37" w:rsidRPr="0029220F">
        <w:t>DPH is no longer asked to simply track the incidence of disease.</w:t>
      </w:r>
      <w:r w:rsidR="00066B37">
        <w:t xml:space="preserve"> Instead,</w:t>
      </w:r>
      <w:r w:rsidRPr="0029220F">
        <w:t xml:space="preserve"> public health </w:t>
      </w:r>
      <w:r w:rsidR="006C40E5">
        <w:t xml:space="preserve">policymakers, </w:t>
      </w:r>
      <w:r w:rsidRPr="0029220F">
        <w:t>analysts</w:t>
      </w:r>
      <w:r w:rsidR="006C40E5">
        <w:t>,</w:t>
      </w:r>
      <w:r w:rsidRPr="0029220F">
        <w:t xml:space="preserve"> and researchers are </w:t>
      </w:r>
      <w:r w:rsidR="00066B37">
        <w:t xml:space="preserve">faced with </w:t>
      </w:r>
      <w:r w:rsidRPr="0029220F">
        <w:t xml:space="preserve">more complex </w:t>
      </w:r>
      <w:r w:rsidR="00066B37">
        <w:t xml:space="preserve">questions </w:t>
      </w:r>
      <w:r w:rsidRPr="0029220F">
        <w:t xml:space="preserve">than ever before. </w:t>
      </w:r>
      <w:r w:rsidR="00066B37">
        <w:t xml:space="preserve"> </w:t>
      </w:r>
      <w:r w:rsidRPr="0029220F">
        <w:t xml:space="preserve">Increasingly, </w:t>
      </w:r>
      <w:r w:rsidR="006C40E5">
        <w:t>state leadership</w:t>
      </w:r>
      <w:r w:rsidRPr="0029220F">
        <w:t xml:space="preserve">, stakeholders, and the public are calling upon </w:t>
      </w:r>
      <w:r w:rsidR="006C40E5">
        <w:t>DPH</w:t>
      </w:r>
      <w:r w:rsidRPr="0029220F">
        <w:t xml:space="preserve"> to assess the effectiveness of</w:t>
      </w:r>
      <w:r w:rsidR="00066B37">
        <w:t xml:space="preserve"> its</w:t>
      </w:r>
      <w:r w:rsidRPr="0029220F">
        <w:t xml:space="preserve"> </w:t>
      </w:r>
      <w:r w:rsidR="00066B37" w:rsidRPr="0029220F">
        <w:t>policies</w:t>
      </w:r>
      <w:r w:rsidR="00066B37">
        <w:t xml:space="preserve"> and programming</w:t>
      </w:r>
      <w:r w:rsidR="00066B37" w:rsidRPr="0029220F">
        <w:t xml:space="preserve"> </w:t>
      </w:r>
      <w:r w:rsidR="006C40E5">
        <w:t xml:space="preserve">and </w:t>
      </w:r>
      <w:r w:rsidR="00066B37">
        <w:t xml:space="preserve">to </w:t>
      </w:r>
      <w:r w:rsidR="006C40E5">
        <w:t>adjust accordingly</w:t>
      </w:r>
      <w:r w:rsidRPr="0029220F">
        <w:t xml:space="preserve">. </w:t>
      </w:r>
      <w:r w:rsidR="006C40E5">
        <w:t xml:space="preserve"> </w:t>
      </w:r>
      <w:r w:rsidRPr="0029220F">
        <w:t>The Department’s ability to engage academic partners</w:t>
      </w:r>
      <w:r w:rsidR="00F84F6D">
        <w:t xml:space="preserve"> and private industry</w:t>
      </w:r>
      <w:r w:rsidRPr="0029220F">
        <w:t xml:space="preserve"> </w:t>
      </w:r>
      <w:r w:rsidR="00F84F6D">
        <w:t>to</w:t>
      </w:r>
      <w:r w:rsidR="00F84F6D" w:rsidRPr="0029220F">
        <w:t xml:space="preserve"> </w:t>
      </w:r>
      <w:r w:rsidRPr="0029220F">
        <w:t xml:space="preserve">support surveillance and evaluation activities will be crucial, and collaborative, data-driven efforts such as </w:t>
      </w:r>
      <w:r w:rsidR="00066B37">
        <w:t>this</w:t>
      </w:r>
      <w:r w:rsidRPr="0029220F">
        <w:t xml:space="preserve"> should become standard practice in Massachusetts and beyond.  </w:t>
      </w:r>
    </w:p>
    <w:p w:rsidR="001178AC" w:rsidRDefault="00BC57E7" w:rsidP="001178AC">
      <w:pPr>
        <w:pStyle w:val="PBody"/>
      </w:pPr>
      <w:r w:rsidRPr="0029220F">
        <w:t xml:space="preserve">To this end, a virtual Data Warehouse – a virtual </w:t>
      </w:r>
      <w:r w:rsidR="006C40E5">
        <w:t>platform</w:t>
      </w:r>
      <w:r w:rsidR="006C40E5" w:rsidRPr="0029220F">
        <w:t xml:space="preserve"> </w:t>
      </w:r>
      <w:r w:rsidRPr="0029220F">
        <w:t>that links, stores, and allows for the analysis of datasets from multiple sources</w:t>
      </w:r>
      <w:r w:rsidR="006C40E5">
        <w:t xml:space="preserve"> – </w:t>
      </w:r>
      <w:r w:rsidRPr="0029220F">
        <w:t>should continue to be developed and expanded.</w:t>
      </w:r>
      <w:r w:rsidR="00066B37">
        <w:t xml:space="preserve"> </w:t>
      </w:r>
      <w:r w:rsidRPr="0029220F">
        <w:t xml:space="preserve"> </w:t>
      </w:r>
      <w:r w:rsidR="00066B37">
        <w:t xml:space="preserve">Similarly to how successful businesses leverage big data to </w:t>
      </w:r>
      <w:r w:rsidR="008C0CE3">
        <w:t xml:space="preserve">identify market opportunities, evaluate initiatives, and inform their operational and strategic decisions, a virtual Data Warehouse </w:t>
      </w:r>
      <w:r w:rsidR="003B41B4">
        <w:t>can serve as</w:t>
      </w:r>
      <w:r w:rsidR="008C0CE3">
        <w:t xml:space="preserve"> a business intelligence tool that would enable DPH to more efficiently and effectively target its resources, and to more precisely evaluate its programming.  Furthermore, </w:t>
      </w:r>
      <w:r w:rsidR="00066B37">
        <w:t xml:space="preserve">DPH </w:t>
      </w:r>
      <w:r w:rsidRPr="0029220F">
        <w:t xml:space="preserve">will be </w:t>
      </w:r>
      <w:r w:rsidR="00EE0640">
        <w:t>able</w:t>
      </w:r>
      <w:r w:rsidR="00EE0640" w:rsidRPr="0029220F">
        <w:t xml:space="preserve"> </w:t>
      </w:r>
      <w:r w:rsidRPr="0029220F">
        <w:t>to support researchers</w:t>
      </w:r>
      <w:r w:rsidR="00EE0640">
        <w:t xml:space="preserve"> and industry</w:t>
      </w:r>
      <w:r w:rsidR="003B41B4">
        <w:t xml:space="preserve"> by being able to quickly provide these partners with information and analyses from multiple </w:t>
      </w:r>
      <w:r w:rsidRPr="0029220F">
        <w:t xml:space="preserve">public and private data systems. Information from vital records (e.g. birth and death records), insurance </w:t>
      </w:r>
      <w:r w:rsidRPr="0029220F">
        <w:lastRenderedPageBreak/>
        <w:t xml:space="preserve">claims data, public health programs, </w:t>
      </w:r>
      <w:r w:rsidR="00B439E7">
        <w:t xml:space="preserve">research and educational institutions, </w:t>
      </w:r>
      <w:r w:rsidRPr="0029220F">
        <w:t xml:space="preserve">hospitals, and other clinical partners can be aligned and examined to </w:t>
      </w:r>
      <w:r w:rsidR="003B41B4">
        <w:t xml:space="preserve">provide DPH, academics, and industry with </w:t>
      </w:r>
      <w:r w:rsidRPr="0029220F">
        <w:t>answer</w:t>
      </w:r>
      <w:r w:rsidR="003B41B4">
        <w:t>s to</w:t>
      </w:r>
      <w:r w:rsidRPr="0029220F">
        <w:t xml:space="preserve"> critical questions about health outcomes, program effectiveness, and health care costs. These and other examples – all fueled by data warehousing technology – represent public health of tomorrow. </w:t>
      </w:r>
    </w:p>
    <w:p w:rsidR="00400E42" w:rsidRDefault="00400E42" w:rsidP="002D6E20">
      <w:pPr>
        <w:pStyle w:val="PBody"/>
      </w:pPr>
      <w:r>
        <w:br w:type="page"/>
      </w:r>
    </w:p>
    <w:p w:rsidR="00400E42" w:rsidRPr="00F978E0" w:rsidRDefault="00400E42" w:rsidP="0092313F">
      <w:pPr>
        <w:pStyle w:val="Heading1"/>
      </w:pPr>
      <w:bookmarkStart w:id="5" w:name="_Toc453664354"/>
      <w:bookmarkStart w:id="6" w:name="_Toc454724764"/>
      <w:r w:rsidRPr="00F978E0">
        <w:lastRenderedPageBreak/>
        <w:t>Introduction</w:t>
      </w:r>
      <w:bookmarkEnd w:id="5"/>
      <w:bookmarkEnd w:id="6"/>
      <w:r w:rsidRPr="00F978E0">
        <w:t xml:space="preserve"> </w:t>
      </w:r>
    </w:p>
    <w:p w:rsidR="00400E42" w:rsidRPr="003447AA" w:rsidRDefault="00400E42" w:rsidP="002D6E20">
      <w:pPr>
        <w:pStyle w:val="PBody"/>
      </w:pPr>
      <w:r w:rsidRPr="003447AA">
        <w:t>Addiction is a complex chronic disease characterized by compulsive alcohol/drug use and/or behaviors, cravings, and continued use despite harmful consequences</w:t>
      </w:r>
      <w:r w:rsidR="00301E0D">
        <w:t>.  N</w:t>
      </w:r>
      <w:r w:rsidRPr="003447AA">
        <w:t xml:space="preserve">early </w:t>
      </w:r>
      <w:r w:rsidR="00C35768">
        <w:t>one in ten</w:t>
      </w:r>
      <w:r w:rsidRPr="003447AA">
        <w:t xml:space="preserve"> Americans over the age of 12 are classified as having a substance use disorder</w:t>
      </w:r>
      <w:r w:rsidR="005E2F2A" w:rsidRPr="00FB160F">
        <w:rPr>
          <w:rStyle w:val="FootnoteReference"/>
          <w:vertAlign w:val="baseline"/>
        </w:rPr>
        <w:t>.</w:t>
      </w:r>
      <w:r w:rsidR="005E2F2A" w:rsidRPr="005E2F2A">
        <w:rPr>
          <w:rStyle w:val="FootnoteReference"/>
        </w:rPr>
        <w:t>3</w:t>
      </w:r>
      <w:r w:rsidRPr="003447AA">
        <w:t xml:space="preserve"> </w:t>
      </w:r>
      <w:r w:rsidR="00C35768">
        <w:t xml:space="preserve"> </w:t>
      </w:r>
      <w:r w:rsidRPr="003447AA">
        <w:t xml:space="preserve">Among brain disorders, addiction incurs </w:t>
      </w:r>
      <w:r w:rsidR="00C35768">
        <w:t>greater</w:t>
      </w:r>
      <w:r w:rsidR="00C35768" w:rsidRPr="003447AA">
        <w:t xml:space="preserve"> </w:t>
      </w:r>
      <w:r w:rsidRPr="003447AA">
        <w:t>economic costs than Alzheimer’s disease, stroke, Parkinson’s disease, or head and neck injury</w:t>
      </w:r>
      <w:r w:rsidR="00FB160F">
        <w:t>.  A</w:t>
      </w:r>
      <w:r w:rsidRPr="003447AA">
        <w:t>ddiction is also the most costly neuropsychiatric disorder.</w:t>
      </w:r>
      <w:r w:rsidRPr="005E2F2A">
        <w:rPr>
          <w:rStyle w:val="FootnoteReference"/>
        </w:rPr>
        <w:footnoteReference w:id="4"/>
      </w:r>
      <w:r w:rsidRPr="003447AA">
        <w:t xml:space="preserve"> According to the National Institute on Drug Abuse,</w:t>
      </w:r>
      <w:r w:rsidRPr="00C35768">
        <w:rPr>
          <w:rStyle w:val="FootnoteReference"/>
        </w:rPr>
        <w:footnoteReference w:id="5"/>
      </w:r>
      <w:r w:rsidRPr="00E2392E">
        <w:rPr>
          <w:vertAlign w:val="superscript"/>
        </w:rPr>
        <w:t>,</w:t>
      </w:r>
      <w:r w:rsidRPr="005E2F2A">
        <w:rPr>
          <w:rStyle w:val="FootnoteReference"/>
        </w:rPr>
        <w:footnoteReference w:id="6"/>
      </w:r>
      <w:r w:rsidRPr="003447AA">
        <w:t xml:space="preserve"> the overall cost of substance abuse in the United States exceeds half a trillion dollars, including health</w:t>
      </w:r>
      <w:r w:rsidR="00C35768">
        <w:t>-</w:t>
      </w:r>
      <w:r w:rsidRPr="003447AA">
        <w:t xml:space="preserve"> and </w:t>
      </w:r>
      <w:r w:rsidR="00C35768" w:rsidRPr="003447AA">
        <w:t>crime</w:t>
      </w:r>
      <w:r w:rsidR="00C35768">
        <w:t>-</w:t>
      </w:r>
      <w:r w:rsidRPr="003447AA">
        <w:t>related expenses, as well as losses in productivity</w:t>
      </w:r>
      <w:r w:rsidR="00301E0D">
        <w:t>.  W</w:t>
      </w:r>
      <w:r w:rsidRPr="003447AA">
        <w:t>hile the term addiction includes alcohol and drug abuse, this report focuses on opioid addiction and its impact on premature death in Massachusetts.</w:t>
      </w:r>
    </w:p>
    <w:p w:rsidR="00400E42" w:rsidRPr="003447AA" w:rsidRDefault="00400E42" w:rsidP="002D6E20">
      <w:pPr>
        <w:pStyle w:val="PBody"/>
      </w:pPr>
      <w:r w:rsidRPr="003447AA">
        <w:t>The consequences of addiction extend far beyond just cost</w:t>
      </w:r>
      <w:r w:rsidR="00301E0D">
        <w:t>.  S</w:t>
      </w:r>
      <w:r w:rsidRPr="003447AA">
        <w:t xml:space="preserve">pecifically, addiction harms individuals, as well as their families, friends, and communities. </w:t>
      </w:r>
      <w:r w:rsidR="00E2392E">
        <w:t xml:space="preserve"> </w:t>
      </w:r>
      <w:r w:rsidRPr="003447AA">
        <w:t xml:space="preserve">Addiction to substances, like opioids, also put people at risk for the development of health problems, </w:t>
      </w:r>
      <w:r w:rsidR="00C35768">
        <w:t>including life-threatening infections such as HIV and hepatitis,</w:t>
      </w:r>
      <w:r w:rsidRPr="003447AA">
        <w:t xml:space="preserve"> cirrhosis, cognitive decline, overdose, unplanned pregnancy, family disintegration, domestic violence, criminal behavior, child abuse, and death</w:t>
      </w:r>
      <w:r w:rsidRPr="003447AA">
        <w:fldChar w:fldCharType="begin">
          <w:fldData xml:space="preserve">PEVuZE5vdGU+PENpdGU+PEF1dGhvcj5LaGFsc2E8L0F1dGhvcj48WWVhcj4yMDA4PC9ZZWFyPjxS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=
</w:fldData>
        </w:fldChar>
      </w:r>
      <w:r w:rsidRPr="003447AA">
        <w:instrText xml:space="preserve"> ADDIN EN.CITE </w:instrText>
      </w:r>
      <w:r w:rsidRPr="003447AA">
        <w:fldChar w:fldCharType="begin">
          <w:fldData xml:space="preserve">PEVuZE5vdGU+PENpdGU+PEF1dGhvcj5LaGFsc2E8L0F1dGhvcj48WWVhcj4yMDA4PC9ZZWFyPjxS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=
</w:fldData>
        </w:fldChar>
      </w:r>
      <w:r w:rsidRPr="003447AA">
        <w:instrText xml:space="preserve"> ADDIN EN.CITE.DATA </w:instrText>
      </w:r>
      <w:r w:rsidRPr="003447AA">
        <w:fldChar w:fldCharType="end"/>
      </w:r>
      <w:r w:rsidRPr="003447AA">
        <w:fldChar w:fldCharType="end"/>
      </w:r>
      <w:r w:rsidRPr="003447AA">
        <w:t>.</w:t>
      </w:r>
      <w:r w:rsidRPr="005E2F2A">
        <w:rPr>
          <w:rStyle w:val="FootnoteReference"/>
        </w:rPr>
        <w:footnoteReference w:id="7"/>
      </w:r>
    </w:p>
    <w:p w:rsidR="00400E42" w:rsidRPr="003447AA" w:rsidRDefault="00400E42" w:rsidP="002D6E20">
      <w:pPr>
        <w:pStyle w:val="PBody"/>
      </w:pPr>
      <w:r w:rsidRPr="003447AA">
        <w:t xml:space="preserve">Massachusetts is particularly affected by opioids and opioid addiction.  As in other states, the 1990s and 2000s were marked with substantial increases in prescribing of opioids for acute and chronic pain.  This increased access to prescription opioids has been followed by increased availability of </w:t>
      </w:r>
      <w:r w:rsidR="001A017E">
        <w:t>Heroin</w:t>
      </w:r>
      <w:r w:rsidRPr="003447AA">
        <w:t xml:space="preserve">.  According to a 2013 Drug Enforcement Administration (DEA) report, the reported availability of </w:t>
      </w:r>
      <w:r w:rsidR="001A017E">
        <w:t>Heroin</w:t>
      </w:r>
      <w:r w:rsidR="008A576D" w:rsidRPr="003447AA">
        <w:t xml:space="preserve"> </w:t>
      </w:r>
      <w:r w:rsidRPr="003447AA">
        <w:t xml:space="preserve">has increased </w:t>
      </w:r>
      <w:r w:rsidR="00E2392E">
        <w:t xml:space="preserve">significantly </w:t>
      </w:r>
      <w:r w:rsidRPr="003447AA">
        <w:t>from 2007 to 2013 in New England.</w:t>
      </w:r>
      <w:r w:rsidRPr="005E2F2A">
        <w:rPr>
          <w:rStyle w:val="FootnoteReference"/>
        </w:rPr>
        <w:footnoteReference w:id="8"/>
      </w:r>
      <w:r w:rsidRPr="003447AA">
        <w:t xml:space="preserve"> A decade ago</w:t>
      </w:r>
      <w:r w:rsidR="008A576D">
        <w:t>,</w:t>
      </w:r>
      <w:r w:rsidRPr="003447AA">
        <w:t xml:space="preserve"> the most prevalent substance reported to the Bureau of Substance Abuse Services (BSAS) at the time of admission for addiction treatment </w:t>
      </w:r>
      <w:r w:rsidR="008A576D">
        <w:t xml:space="preserve">in Massachusetts </w:t>
      </w:r>
      <w:r w:rsidRPr="003447AA">
        <w:t>was alcohol.  In 2015, the most prevalent reported drugs were opioids</w:t>
      </w:r>
      <w:r w:rsidR="00301E0D">
        <w:t>.  T</w:t>
      </w:r>
      <w:r w:rsidRPr="003447AA">
        <w:t>he percentage of BSAS admissions that were opioid-related increased from 31% in 2000 to 55% in 2014.</w:t>
      </w:r>
      <w:r w:rsidRPr="005E2F2A">
        <w:rPr>
          <w:rStyle w:val="FootnoteReference"/>
        </w:rPr>
        <w:footnoteReference w:id="9"/>
      </w:r>
      <w:r w:rsidRPr="003447AA">
        <w:t xml:space="preserve"> The Health Policy Commission has reported similar substantial increases over the same time period for </w:t>
      </w:r>
      <w:r w:rsidR="008A576D">
        <w:t xml:space="preserve">Massachusetts </w:t>
      </w:r>
      <w:r w:rsidRPr="003447AA">
        <w:t xml:space="preserve">emergency department visits and hospitalizations. </w:t>
      </w:r>
      <w:r w:rsidRPr="005E2F2A">
        <w:rPr>
          <w:rStyle w:val="FootnoteReference"/>
        </w:rPr>
        <w:footnoteReference w:id="10"/>
      </w:r>
      <w:r w:rsidRPr="00E2392E">
        <w:rPr>
          <w:vertAlign w:val="superscript"/>
        </w:rPr>
        <w:t>,</w:t>
      </w:r>
      <w:r w:rsidRPr="005E2F2A">
        <w:rPr>
          <w:rStyle w:val="FootnoteReference"/>
        </w:rPr>
        <w:footnoteReference w:id="11"/>
      </w:r>
    </w:p>
    <w:p w:rsidR="007177E4" w:rsidRDefault="00400E42" w:rsidP="00AC51C2">
      <w:pPr>
        <w:pStyle w:val="PBody"/>
        <w:rPr>
          <w:rFonts w:asciiTheme="minorHAnsi" w:hAnsiTheme="minorHAnsi"/>
        </w:rPr>
      </w:pPr>
      <w:r w:rsidRPr="00F240EB">
        <w:lastRenderedPageBreak/>
        <w:t>Nationally, and in Massachusetts, there has been a</w:t>
      </w:r>
      <w:r w:rsidR="00522340">
        <w:t xml:space="preserve"> dramatic</w:t>
      </w:r>
      <w:r w:rsidRPr="00F240EB">
        <w:t xml:space="preserve"> increase in fatal and </w:t>
      </w:r>
      <w:r>
        <w:t>nonfatal</w:t>
      </w:r>
      <w:r w:rsidRPr="00F240EB">
        <w:t xml:space="preserve"> opioid overdoses</w:t>
      </w:r>
      <w:r w:rsidR="00E2392E">
        <w:t xml:space="preserve"> since 2000</w:t>
      </w:r>
      <w:r w:rsidRPr="00F240EB">
        <w:t>.</w:t>
      </w:r>
      <w:r w:rsidRPr="005E2F2A">
        <w:rPr>
          <w:rStyle w:val="FootnoteReference"/>
        </w:rPr>
        <w:footnoteReference w:id="12"/>
      </w:r>
      <w:r w:rsidRPr="00F240EB">
        <w:t xml:space="preserve"> In May 2016, DPH reported that there were at least 1,379 confirmed </w:t>
      </w:r>
      <w:r>
        <w:t xml:space="preserve">opioid-related deaths in </w:t>
      </w:r>
      <w:r w:rsidRPr="00F240EB">
        <w:t>Massachusetts during 2015.</w:t>
      </w:r>
      <w:r w:rsidRPr="005E2F2A">
        <w:rPr>
          <w:rStyle w:val="FootnoteReference"/>
        </w:rPr>
        <w:footnoteReference w:id="13"/>
      </w:r>
      <w:r w:rsidRPr="001D2DAF">
        <w:t xml:space="preserve"> </w:t>
      </w:r>
      <w:r w:rsidR="00BB5850">
        <w:t xml:space="preserve"> In</w:t>
      </w:r>
      <w:r w:rsidR="00BB5850" w:rsidRPr="00F240EB">
        <w:t xml:space="preserve"> </w:t>
      </w:r>
      <w:r w:rsidRPr="00F240EB">
        <w:t>comparison, there were one-quarter as many confirmed opioid-related deaths (3</w:t>
      </w:r>
      <w:r>
        <w:t>38</w:t>
      </w:r>
      <w:r w:rsidR="001B2897">
        <w:t>)</w:t>
      </w:r>
      <w:r w:rsidR="008A576D" w:rsidRPr="008A576D">
        <w:t xml:space="preserve"> </w:t>
      </w:r>
      <w:r w:rsidR="008A576D" w:rsidRPr="00F240EB">
        <w:t>in the year 2000</w:t>
      </w:r>
      <w:r w:rsidRPr="00F240EB">
        <w:t xml:space="preserve">. </w:t>
      </w:r>
      <w:r>
        <w:t xml:space="preserve"> </w:t>
      </w:r>
      <w:r w:rsidRPr="00F240EB">
        <w:t xml:space="preserve">In 2013-2014, </w:t>
      </w:r>
      <w:r w:rsidR="008A576D">
        <w:t xml:space="preserve">opioid-related </w:t>
      </w:r>
      <w:r w:rsidRPr="00F240EB">
        <w:t xml:space="preserve">deaths occurred in two-thirds of the communities in Massachusetts.  While the opioid crisis has impacted every community in Massachusetts in some fashion (e.g., deaths, </w:t>
      </w:r>
      <w:r>
        <w:t>nonfatal</w:t>
      </w:r>
      <w:r w:rsidRPr="00F240EB">
        <w:t xml:space="preserve"> overdoses, or disruptions to marriages, families, and neighborhoods), there are clearly areas that ha</w:t>
      </w:r>
      <w:r>
        <w:t>ve been hit harder than others</w:t>
      </w:r>
      <w:r w:rsidR="00301E0D">
        <w:t xml:space="preserve">.  </w:t>
      </w:r>
      <w:r w:rsidR="008A576D">
        <w:rPr>
          <w:rFonts w:cs="Calibri"/>
          <w:color w:val="000000"/>
        </w:rPr>
        <w:t>T</w:t>
      </w:r>
      <w:r w:rsidRPr="00F240EB">
        <w:rPr>
          <w:rFonts w:cs="Calibri"/>
          <w:color w:val="000000"/>
        </w:rPr>
        <w:t>he contrast between the</w:t>
      </w:r>
      <w:r>
        <w:rPr>
          <w:rFonts w:cs="Calibri"/>
          <w:color w:val="000000"/>
        </w:rPr>
        <w:t xml:space="preserve"> </w:t>
      </w:r>
      <w:r w:rsidR="008A576D">
        <w:rPr>
          <w:rFonts w:cs="Calibri"/>
          <w:color w:val="000000"/>
        </w:rPr>
        <w:t>community-</w:t>
      </w:r>
      <w:r>
        <w:rPr>
          <w:rFonts w:cs="Calibri"/>
          <w:color w:val="000000"/>
        </w:rPr>
        <w:t xml:space="preserve">level map from 2000 </w:t>
      </w:r>
      <w:r w:rsidRPr="00F240EB">
        <w:rPr>
          <w:rFonts w:cs="Calibri"/>
          <w:color w:val="000000"/>
        </w:rPr>
        <w:t xml:space="preserve">and </w:t>
      </w:r>
      <w:r w:rsidR="008A576D">
        <w:rPr>
          <w:rFonts w:cs="Calibri"/>
          <w:color w:val="000000"/>
        </w:rPr>
        <w:t>from</w:t>
      </w:r>
      <w:r w:rsidR="008A576D" w:rsidRPr="00F240EB">
        <w:rPr>
          <w:rFonts w:cs="Calibri"/>
          <w:color w:val="000000"/>
        </w:rPr>
        <w:t xml:space="preserve"> </w:t>
      </w:r>
      <w:r w:rsidRPr="00F240EB">
        <w:rPr>
          <w:rFonts w:cs="Calibri"/>
          <w:color w:val="000000"/>
        </w:rPr>
        <w:t>2013-2014</w:t>
      </w:r>
      <w:r>
        <w:rPr>
          <w:rFonts w:cs="Calibri"/>
          <w:color w:val="000000"/>
        </w:rPr>
        <w:t xml:space="preserve"> </w:t>
      </w:r>
      <w:r w:rsidRPr="00F240EB">
        <w:t>(Figure INTR.1)</w:t>
      </w:r>
      <w:r w:rsidRPr="00F240EB">
        <w:rPr>
          <w:rFonts w:cs="Calibri"/>
          <w:color w:val="000000"/>
        </w:rPr>
        <w:t xml:space="preserve"> clearly show</w:t>
      </w:r>
      <w:r>
        <w:rPr>
          <w:rFonts w:cs="Calibri"/>
          <w:color w:val="000000"/>
        </w:rPr>
        <w:t>s</w:t>
      </w:r>
      <w:r w:rsidRPr="00F240EB">
        <w:rPr>
          <w:rFonts w:cs="Calibri"/>
          <w:color w:val="000000"/>
        </w:rPr>
        <w:t xml:space="preserve"> </w:t>
      </w:r>
      <w:r w:rsidR="008A576D">
        <w:rPr>
          <w:rFonts w:cs="Calibri"/>
          <w:color w:val="000000"/>
        </w:rPr>
        <w:t>the increase in the number of</w:t>
      </w:r>
      <w:r w:rsidRPr="00F240EB">
        <w:rPr>
          <w:rFonts w:cs="Calibri"/>
          <w:color w:val="000000"/>
        </w:rPr>
        <w:t xml:space="preserve"> communities </w:t>
      </w:r>
      <w:r w:rsidR="008A576D">
        <w:rPr>
          <w:rFonts w:cs="Calibri"/>
          <w:color w:val="000000"/>
        </w:rPr>
        <w:t>with</w:t>
      </w:r>
      <w:r w:rsidRPr="00F240EB">
        <w:rPr>
          <w:rFonts w:cs="Calibri"/>
          <w:color w:val="000000"/>
        </w:rPr>
        <w:t xml:space="preserve"> opioid-related deaths</w:t>
      </w:r>
      <w:r w:rsidR="00E2392E">
        <w:rPr>
          <w:rFonts w:cs="Calibri"/>
          <w:color w:val="000000"/>
        </w:rPr>
        <w:t xml:space="preserve"> over a span of 15 years</w:t>
      </w:r>
      <w:r w:rsidRPr="00F240EB">
        <w:rPr>
          <w:rFonts w:cs="Calibri"/>
          <w:color w:val="000000"/>
        </w:rPr>
        <w:t>.</w:t>
      </w:r>
      <w:r>
        <w:rPr>
          <w:rFonts w:cs="Calibri"/>
          <w:color w:val="000000"/>
        </w:rPr>
        <w:t xml:space="preserve">  Annual figures for confirmed and estimated cases can be found in Figure INTR.2.</w:t>
      </w:r>
      <w:r>
        <w:rPr>
          <w:rFonts w:asciiTheme="minorHAnsi" w:hAnsiTheme="minorHAnsi"/>
        </w:rPr>
        <w:t xml:space="preserve"> </w:t>
      </w:r>
      <w:r w:rsidR="009E1213" w:rsidRPr="009E1213">
        <w:rPr>
          <w:rFonts w:asciiTheme="minorHAnsi" w:hAnsiTheme="minorHAnsi"/>
        </w:rPr>
        <w:t xml:space="preserve">The number of confirmed unintentional opioid overdose deaths for 2015 (n=1531) represents an 18% increase over 2014 (n=1294), and the 2014 number (n=1294) represents a 41% increase over cases for 2013 (n=918). In order to obtain timelier estimates of the total number of opioid overdose deaths in Massachusetts - confirmed and probable - DPH used predictive modeling techniques for all cases not yet finalized by the Office of the Chief Medical Examiner (OCME). </w:t>
      </w:r>
      <w:r w:rsidR="007177E4">
        <w:rPr>
          <w:rFonts w:asciiTheme="minorHAnsi" w:hAnsiTheme="minorHAnsi"/>
        </w:rPr>
        <w:br w:type="page"/>
      </w:r>
    </w:p>
    <w:p w:rsidR="00400E42" w:rsidRDefault="00400E42" w:rsidP="002D6E20">
      <w:pPr>
        <w:pStyle w:val="PBody"/>
        <w:sectPr w:rsidR="00400E42" w:rsidSect="00C85E29">
          <w:footerReference w:type="default" r:id="rId20"/>
          <w:footerReference w:type="first" r:id="rId21"/>
          <w:pgSz w:w="12240" w:h="15840"/>
          <w:pgMar w:top="1440" w:right="1440" w:bottom="1440" w:left="1440" w:header="720" w:footer="720" w:gutter="0"/>
          <w:pgNumType w:start="6"/>
          <w:cols w:space="720"/>
          <w:titlePg/>
          <w:docGrid w:linePitch="360"/>
        </w:sectPr>
      </w:pPr>
    </w:p>
    <w:p w:rsidR="00400E42" w:rsidRPr="001D2DAF" w:rsidRDefault="00400E42" w:rsidP="00400E42">
      <w:pPr>
        <w:spacing w:line="480" w:lineRule="auto"/>
        <w:jc w:val="center"/>
        <w:rPr>
          <w:rFonts w:ascii="Calibri" w:hAnsi="Calibri" w:cs="Calibri"/>
          <w:b/>
          <w:sz w:val="22"/>
          <w:szCs w:val="22"/>
        </w:rPr>
      </w:pPr>
      <w:r w:rsidRPr="005044BE">
        <w:rPr>
          <w:rFonts w:ascii="Calibri" w:hAnsi="Calibri" w:cs="Calibri"/>
          <w:b/>
          <w:sz w:val="22"/>
          <w:szCs w:val="22"/>
        </w:rPr>
        <w:lastRenderedPageBreak/>
        <w:t xml:space="preserve">Figure INTR.1: Opioid deaths in Massachusetts </w:t>
      </w:r>
      <w:r>
        <w:rPr>
          <w:rFonts w:ascii="Calibri" w:hAnsi="Calibri" w:cs="Calibri"/>
          <w:b/>
          <w:sz w:val="22"/>
          <w:szCs w:val="22"/>
        </w:rPr>
        <w:t xml:space="preserve">2000 and </w:t>
      </w:r>
      <w:r w:rsidRPr="005044BE">
        <w:rPr>
          <w:rFonts w:ascii="Calibri" w:hAnsi="Calibri" w:cs="Calibri"/>
          <w:b/>
          <w:sz w:val="22"/>
          <w:szCs w:val="22"/>
        </w:rPr>
        <w:t xml:space="preserve">2013 </w:t>
      </w:r>
      <w:r>
        <w:rPr>
          <w:rFonts w:ascii="Calibri" w:hAnsi="Calibri" w:cs="Calibri"/>
          <w:b/>
          <w:sz w:val="22"/>
          <w:szCs w:val="22"/>
        </w:rPr>
        <w:t>–</w:t>
      </w:r>
      <w:r w:rsidRPr="005044BE">
        <w:rPr>
          <w:rFonts w:ascii="Calibri" w:hAnsi="Calibri" w:cs="Calibri"/>
          <w:b/>
          <w:sz w:val="22"/>
          <w:szCs w:val="22"/>
        </w:rPr>
        <w:t xml:space="preserve"> 2014</w:t>
      </w:r>
    </w:p>
    <w:p w:rsidR="00585B6E" w:rsidRDefault="00400E42" w:rsidP="00400E42">
      <w:pPr>
        <w:spacing w:line="480" w:lineRule="auto"/>
        <w:jc w:val="center"/>
        <w:rPr>
          <w:rFonts w:ascii="Calibri" w:hAnsi="Calibri" w:cs="Calibri"/>
          <w:b/>
          <w:sz w:val="22"/>
          <w:szCs w:val="22"/>
        </w:rPr>
      </w:pPr>
      <w:r>
        <w:rPr>
          <w:rFonts w:ascii="Calibri" w:hAnsi="Calibri"/>
          <w:noProof/>
          <w:sz w:val="22"/>
          <w:szCs w:val="22"/>
        </w:rPr>
        <w:drawing>
          <wp:inline distT="0" distB="0" distL="0" distR="0" wp14:anchorId="568CADCE" wp14:editId="6DF4951F">
            <wp:extent cx="4867275" cy="3488410"/>
            <wp:effectExtent l="0" t="0" r="0"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a:extLst>
                        <a:ext uri="{28A0092B-C50C-407E-A947-70E740481C1C}">
                          <a14:useLocalDpi xmlns:a14="http://schemas.microsoft.com/office/drawing/2010/main" val="0"/>
                        </a:ext>
                      </a:extLst>
                    </a:blip>
                    <a:srcRect l="7117" t="6903" r="6138" b="11248"/>
                    <a:stretch/>
                  </pic:blipFill>
                  <pic:spPr bwMode="auto">
                    <a:xfrm>
                      <a:off x="0" y="0"/>
                      <a:ext cx="4869544" cy="3490036"/>
                    </a:xfrm>
                    <a:prstGeom prst="rect">
                      <a:avLst/>
                    </a:prstGeom>
                    <a:noFill/>
                    <a:ln>
                      <a:noFill/>
                    </a:ln>
                    <a:extLst>
                      <a:ext uri="{53640926-AAD7-44D8-BBD7-CCE9431645EC}">
                        <a14:shadowObscured xmlns:a14="http://schemas.microsoft.com/office/drawing/2010/main"/>
                      </a:ext>
                    </a:extLst>
                  </pic:spPr>
                </pic:pic>
              </a:graphicData>
            </a:graphic>
          </wp:inline>
        </w:drawing>
      </w:r>
    </w:p>
    <w:p w:rsidR="00E2392E" w:rsidRDefault="00E2392E" w:rsidP="00400E42">
      <w:pPr>
        <w:spacing w:line="480" w:lineRule="auto"/>
        <w:jc w:val="center"/>
        <w:rPr>
          <w:rFonts w:ascii="Calibri" w:hAnsi="Calibri" w:cs="Calibri"/>
          <w:b/>
          <w:sz w:val="22"/>
          <w:szCs w:val="22"/>
        </w:rPr>
      </w:pPr>
    </w:p>
    <w:p w:rsidR="00400E42" w:rsidRDefault="00400E42" w:rsidP="00400E42">
      <w:pPr>
        <w:spacing w:line="480" w:lineRule="auto"/>
        <w:jc w:val="center"/>
        <w:rPr>
          <w:rFonts w:ascii="Calibri" w:hAnsi="Calibri" w:cs="Calibri"/>
          <w:b/>
          <w:sz w:val="22"/>
          <w:szCs w:val="22"/>
        </w:rPr>
      </w:pPr>
      <w:r>
        <w:rPr>
          <w:rFonts w:ascii="Calibri" w:hAnsi="Calibri"/>
          <w:noProof/>
          <w:sz w:val="22"/>
          <w:szCs w:val="22"/>
        </w:rPr>
        <w:drawing>
          <wp:inline distT="0" distB="0" distL="0" distR="0" wp14:anchorId="5B09A592" wp14:editId="1C21ADAE">
            <wp:extent cx="5038725" cy="3665672"/>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l="7464" t="6699" r="5964" b="10385"/>
                    <a:stretch/>
                  </pic:blipFill>
                  <pic:spPr bwMode="auto">
                    <a:xfrm>
                      <a:off x="0" y="0"/>
                      <a:ext cx="5043294" cy="3668996"/>
                    </a:xfrm>
                    <a:prstGeom prst="rect">
                      <a:avLst/>
                    </a:prstGeom>
                    <a:noFill/>
                    <a:ln>
                      <a:noFill/>
                    </a:ln>
                    <a:extLst>
                      <a:ext uri="{53640926-AAD7-44D8-BBD7-CCE9431645EC}">
                        <a14:shadowObscured xmlns:a14="http://schemas.microsoft.com/office/drawing/2010/main"/>
                      </a:ext>
                    </a:extLst>
                  </pic:spPr>
                </pic:pic>
              </a:graphicData>
            </a:graphic>
          </wp:inline>
        </w:drawing>
      </w:r>
    </w:p>
    <w:p w:rsidR="00585B6E" w:rsidRDefault="00585B6E">
      <w:pPr>
        <w:rPr>
          <w:rFonts w:ascii="Calibri" w:hAnsi="Calibri" w:cs="Calibri"/>
          <w:b/>
          <w:sz w:val="22"/>
          <w:szCs w:val="22"/>
        </w:rPr>
        <w:sectPr w:rsidR="00585B6E" w:rsidSect="00E2392E">
          <w:pgSz w:w="12240" w:h="15840"/>
          <w:pgMar w:top="1440" w:right="432" w:bottom="1440" w:left="432" w:header="720" w:footer="720" w:gutter="0"/>
          <w:cols w:space="720"/>
          <w:titlePg/>
          <w:docGrid w:linePitch="360"/>
        </w:sectPr>
      </w:pPr>
    </w:p>
    <w:p w:rsidR="00400E42" w:rsidRDefault="00400E42" w:rsidP="00585B6E">
      <w:pPr>
        <w:spacing w:line="480" w:lineRule="auto"/>
        <w:jc w:val="center"/>
        <w:rPr>
          <w:rFonts w:ascii="Calibri" w:hAnsi="Calibri"/>
          <w:noProof/>
          <w:sz w:val="22"/>
          <w:szCs w:val="22"/>
        </w:rPr>
      </w:pPr>
      <w:r w:rsidRPr="005044BE">
        <w:rPr>
          <w:rFonts w:ascii="Calibri" w:hAnsi="Calibri" w:cs="Calibri"/>
          <w:b/>
          <w:sz w:val="22"/>
          <w:szCs w:val="22"/>
        </w:rPr>
        <w:lastRenderedPageBreak/>
        <w:t>Figure INTR.</w:t>
      </w:r>
      <w:r>
        <w:rPr>
          <w:rFonts w:ascii="Calibri" w:hAnsi="Calibri" w:cs="Calibri"/>
          <w:b/>
          <w:sz w:val="22"/>
          <w:szCs w:val="22"/>
        </w:rPr>
        <w:t>2: Confirmed and estimated o</w:t>
      </w:r>
      <w:r w:rsidRPr="005044BE">
        <w:rPr>
          <w:rFonts w:ascii="Calibri" w:hAnsi="Calibri" w:cs="Calibri"/>
          <w:b/>
          <w:sz w:val="22"/>
          <w:szCs w:val="22"/>
        </w:rPr>
        <w:t xml:space="preserve">pioid deaths </w:t>
      </w:r>
      <w:r w:rsidR="00BA3381">
        <w:rPr>
          <w:rFonts w:ascii="Calibri" w:hAnsi="Calibri" w:cs="Calibri"/>
          <w:b/>
          <w:sz w:val="22"/>
          <w:szCs w:val="22"/>
        </w:rPr>
        <w:t>in</w:t>
      </w:r>
      <w:r>
        <w:rPr>
          <w:rFonts w:ascii="Calibri" w:hAnsi="Calibri" w:cs="Calibri"/>
          <w:b/>
          <w:sz w:val="22"/>
          <w:szCs w:val="22"/>
        </w:rPr>
        <w:t xml:space="preserve"> Massachusetts between 2000 and 2015</w:t>
      </w:r>
    </w:p>
    <w:p w:rsidR="00400E42" w:rsidRPr="00F240EB" w:rsidRDefault="00400E42" w:rsidP="00400E42">
      <w:pPr>
        <w:spacing w:line="480" w:lineRule="auto"/>
        <w:jc w:val="center"/>
        <w:rPr>
          <w:rFonts w:ascii="Calibri" w:hAnsi="Calibri"/>
          <w:sz w:val="22"/>
          <w:szCs w:val="22"/>
        </w:rPr>
      </w:pPr>
      <w:r w:rsidRPr="0082492A">
        <w:rPr>
          <w:noProof/>
        </w:rPr>
        <w:drawing>
          <wp:inline distT="0" distB="0" distL="0" distR="0" wp14:anchorId="5310A54E" wp14:editId="40A28AE9">
            <wp:extent cx="7723290" cy="295275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731682" cy="2955959"/>
                    </a:xfrm>
                    <a:prstGeom prst="rect">
                      <a:avLst/>
                    </a:prstGeom>
                    <a:noFill/>
                    <a:ln>
                      <a:noFill/>
                    </a:ln>
                  </pic:spPr>
                </pic:pic>
              </a:graphicData>
            </a:graphic>
          </wp:inline>
        </w:drawing>
      </w:r>
    </w:p>
    <w:p w:rsidR="00E2392E" w:rsidRDefault="00400E42" w:rsidP="00E2392E">
      <w:pPr>
        <w:spacing w:line="180" w:lineRule="exact"/>
        <w:ind w:left="100"/>
        <w:rPr>
          <w:rFonts w:ascii="Calibri" w:eastAsia="Calibri" w:hAnsi="Calibri" w:cs="Calibri"/>
          <w:position w:val="1"/>
          <w:sz w:val="16"/>
          <w:szCs w:val="16"/>
        </w:rPr>
      </w:pPr>
      <w:r w:rsidRPr="00A30B77">
        <w:rPr>
          <w:rFonts w:ascii="Calibri" w:hAnsi="Calibri"/>
          <w:sz w:val="16"/>
          <w:szCs w:val="16"/>
        </w:rPr>
        <w:t>Note</w:t>
      </w:r>
      <w:r w:rsidR="00E2392E">
        <w:rPr>
          <w:rFonts w:ascii="Calibri" w:hAnsi="Calibri"/>
          <w:sz w:val="16"/>
          <w:szCs w:val="16"/>
        </w:rPr>
        <w:t xml:space="preserve">: </w:t>
      </w:r>
      <w:r w:rsidR="00E2392E">
        <w:rPr>
          <w:rFonts w:ascii="Calibri" w:eastAsia="Calibri" w:hAnsi="Calibri" w:cs="Calibri"/>
          <w:spacing w:val="1"/>
          <w:position w:val="1"/>
          <w:sz w:val="16"/>
          <w:szCs w:val="16"/>
        </w:rPr>
        <w:t>C</w:t>
      </w:r>
      <w:r w:rsidR="00E2392E">
        <w:rPr>
          <w:rFonts w:ascii="Calibri" w:eastAsia="Calibri" w:hAnsi="Calibri" w:cs="Calibri"/>
          <w:spacing w:val="-1"/>
          <w:position w:val="1"/>
          <w:sz w:val="16"/>
          <w:szCs w:val="16"/>
        </w:rPr>
        <w:t>o</w:t>
      </w:r>
      <w:r w:rsidR="00E2392E">
        <w:rPr>
          <w:rFonts w:ascii="Calibri" w:eastAsia="Calibri" w:hAnsi="Calibri" w:cs="Calibri"/>
          <w:position w:val="1"/>
          <w:sz w:val="16"/>
          <w:szCs w:val="16"/>
        </w:rPr>
        <w:t>u</w:t>
      </w:r>
      <w:r w:rsidR="00E2392E">
        <w:rPr>
          <w:rFonts w:ascii="Calibri" w:eastAsia="Calibri" w:hAnsi="Calibri" w:cs="Calibri"/>
          <w:spacing w:val="-1"/>
          <w:position w:val="1"/>
          <w:sz w:val="16"/>
          <w:szCs w:val="16"/>
        </w:rPr>
        <w:t>nt</w:t>
      </w:r>
      <w:r w:rsidR="00E2392E">
        <w:rPr>
          <w:rFonts w:ascii="Calibri" w:eastAsia="Calibri" w:hAnsi="Calibri" w:cs="Calibri"/>
          <w:position w:val="1"/>
          <w:sz w:val="16"/>
          <w:szCs w:val="16"/>
        </w:rPr>
        <w:t xml:space="preserve">s </w:t>
      </w:r>
      <w:r w:rsidR="00E2392E">
        <w:rPr>
          <w:rFonts w:ascii="Calibri" w:eastAsia="Calibri" w:hAnsi="Calibri" w:cs="Calibri"/>
          <w:spacing w:val="-1"/>
          <w:position w:val="1"/>
          <w:sz w:val="16"/>
          <w:szCs w:val="16"/>
        </w:rPr>
        <w:t>f</w:t>
      </w:r>
      <w:r w:rsidR="00E2392E">
        <w:rPr>
          <w:rFonts w:ascii="Calibri" w:eastAsia="Calibri" w:hAnsi="Calibri" w:cs="Calibri"/>
          <w:spacing w:val="1"/>
          <w:position w:val="1"/>
          <w:sz w:val="16"/>
          <w:szCs w:val="16"/>
        </w:rPr>
        <w:t>o</w:t>
      </w:r>
      <w:r w:rsidR="00E2392E">
        <w:rPr>
          <w:rFonts w:ascii="Calibri" w:eastAsia="Calibri" w:hAnsi="Calibri" w:cs="Calibri"/>
          <w:position w:val="1"/>
          <w:sz w:val="16"/>
          <w:szCs w:val="16"/>
        </w:rPr>
        <w:t>r</w:t>
      </w:r>
      <w:r w:rsidR="00E2392E">
        <w:rPr>
          <w:rFonts w:ascii="Calibri" w:eastAsia="Calibri" w:hAnsi="Calibri" w:cs="Calibri"/>
          <w:spacing w:val="-1"/>
          <w:position w:val="1"/>
          <w:sz w:val="16"/>
          <w:szCs w:val="16"/>
        </w:rPr>
        <w:t xml:space="preserve"> </w:t>
      </w:r>
      <w:r w:rsidR="00E2392E">
        <w:rPr>
          <w:rFonts w:ascii="Calibri" w:eastAsia="Calibri" w:hAnsi="Calibri" w:cs="Calibri"/>
          <w:position w:val="1"/>
          <w:sz w:val="16"/>
          <w:szCs w:val="16"/>
        </w:rPr>
        <w:t>2000 –</w:t>
      </w:r>
      <w:r w:rsidR="00E2392E">
        <w:rPr>
          <w:rFonts w:ascii="Calibri" w:eastAsia="Calibri" w:hAnsi="Calibri" w:cs="Calibri"/>
          <w:spacing w:val="-1"/>
          <w:position w:val="1"/>
          <w:sz w:val="16"/>
          <w:szCs w:val="16"/>
        </w:rPr>
        <w:t xml:space="preserve"> </w:t>
      </w:r>
      <w:r w:rsidR="00E2392E">
        <w:rPr>
          <w:rFonts w:ascii="Calibri" w:eastAsia="Calibri" w:hAnsi="Calibri" w:cs="Calibri"/>
          <w:position w:val="1"/>
          <w:sz w:val="16"/>
          <w:szCs w:val="16"/>
        </w:rPr>
        <w:t>2013 a</w:t>
      </w:r>
      <w:r w:rsidR="00E2392E">
        <w:rPr>
          <w:rFonts w:ascii="Calibri" w:eastAsia="Calibri" w:hAnsi="Calibri" w:cs="Calibri"/>
          <w:spacing w:val="-1"/>
          <w:position w:val="1"/>
          <w:sz w:val="16"/>
          <w:szCs w:val="16"/>
        </w:rPr>
        <w:t>r</w:t>
      </w:r>
      <w:r w:rsidR="00E2392E">
        <w:rPr>
          <w:rFonts w:ascii="Calibri" w:eastAsia="Calibri" w:hAnsi="Calibri" w:cs="Calibri"/>
          <w:position w:val="1"/>
          <w:sz w:val="16"/>
          <w:szCs w:val="16"/>
        </w:rPr>
        <w:t>e</w:t>
      </w:r>
      <w:r w:rsidR="00E2392E">
        <w:rPr>
          <w:rFonts w:ascii="Calibri" w:eastAsia="Calibri" w:hAnsi="Calibri" w:cs="Calibri"/>
          <w:spacing w:val="-1"/>
          <w:position w:val="1"/>
          <w:sz w:val="16"/>
          <w:szCs w:val="16"/>
        </w:rPr>
        <w:t xml:space="preserve"> co</w:t>
      </w:r>
      <w:r w:rsidR="00E2392E">
        <w:rPr>
          <w:rFonts w:ascii="Calibri" w:eastAsia="Calibri" w:hAnsi="Calibri" w:cs="Calibri"/>
          <w:spacing w:val="1"/>
          <w:position w:val="1"/>
          <w:sz w:val="16"/>
          <w:szCs w:val="16"/>
        </w:rPr>
        <w:t>m</w:t>
      </w:r>
      <w:r w:rsidR="00E2392E">
        <w:rPr>
          <w:rFonts w:ascii="Calibri" w:eastAsia="Calibri" w:hAnsi="Calibri" w:cs="Calibri"/>
          <w:position w:val="1"/>
          <w:sz w:val="16"/>
          <w:szCs w:val="16"/>
        </w:rPr>
        <w:t>p</w:t>
      </w:r>
      <w:r w:rsidR="00E2392E">
        <w:rPr>
          <w:rFonts w:ascii="Calibri" w:eastAsia="Calibri" w:hAnsi="Calibri" w:cs="Calibri"/>
          <w:spacing w:val="-1"/>
          <w:position w:val="1"/>
          <w:sz w:val="16"/>
          <w:szCs w:val="16"/>
        </w:rPr>
        <w:t>let</w:t>
      </w:r>
      <w:r w:rsidR="00E2392E">
        <w:rPr>
          <w:rFonts w:ascii="Calibri" w:eastAsia="Calibri" w:hAnsi="Calibri" w:cs="Calibri"/>
          <w:position w:val="1"/>
          <w:sz w:val="16"/>
          <w:szCs w:val="16"/>
        </w:rPr>
        <w:t>e</w:t>
      </w:r>
      <w:r w:rsidR="00E2392E">
        <w:rPr>
          <w:rFonts w:ascii="Calibri" w:eastAsia="Calibri" w:hAnsi="Calibri" w:cs="Calibri"/>
          <w:spacing w:val="-1"/>
          <w:position w:val="1"/>
          <w:sz w:val="16"/>
          <w:szCs w:val="16"/>
        </w:rPr>
        <w:t xml:space="preserve"> a</w:t>
      </w:r>
      <w:r w:rsidR="00E2392E">
        <w:rPr>
          <w:rFonts w:ascii="Calibri" w:eastAsia="Calibri" w:hAnsi="Calibri" w:cs="Calibri"/>
          <w:position w:val="1"/>
          <w:sz w:val="16"/>
          <w:szCs w:val="16"/>
        </w:rPr>
        <w:t>s</w:t>
      </w:r>
      <w:r w:rsidR="00E2392E">
        <w:rPr>
          <w:rFonts w:ascii="Calibri" w:eastAsia="Calibri" w:hAnsi="Calibri" w:cs="Calibri"/>
          <w:spacing w:val="-1"/>
          <w:position w:val="1"/>
          <w:sz w:val="16"/>
          <w:szCs w:val="16"/>
        </w:rPr>
        <w:t xml:space="preserve"> o</w:t>
      </w:r>
      <w:r w:rsidR="00E2392E">
        <w:rPr>
          <w:rFonts w:ascii="Calibri" w:eastAsia="Calibri" w:hAnsi="Calibri" w:cs="Calibri"/>
          <w:position w:val="1"/>
          <w:sz w:val="16"/>
          <w:szCs w:val="16"/>
        </w:rPr>
        <w:t>f</w:t>
      </w:r>
      <w:r w:rsidR="00E2392E">
        <w:rPr>
          <w:rFonts w:ascii="Calibri" w:eastAsia="Calibri" w:hAnsi="Calibri" w:cs="Calibri"/>
          <w:spacing w:val="-1"/>
          <w:position w:val="1"/>
          <w:sz w:val="16"/>
          <w:szCs w:val="16"/>
        </w:rPr>
        <w:t xml:space="preserve"> t</w:t>
      </w:r>
      <w:r w:rsidR="00E2392E">
        <w:rPr>
          <w:rFonts w:ascii="Calibri" w:eastAsia="Calibri" w:hAnsi="Calibri" w:cs="Calibri"/>
          <w:spacing w:val="2"/>
          <w:position w:val="1"/>
          <w:sz w:val="16"/>
          <w:szCs w:val="16"/>
        </w:rPr>
        <w:t>h</w:t>
      </w:r>
      <w:r w:rsidR="00E2392E">
        <w:rPr>
          <w:rFonts w:ascii="Calibri" w:eastAsia="Calibri" w:hAnsi="Calibri" w:cs="Calibri"/>
          <w:position w:val="1"/>
          <w:sz w:val="16"/>
          <w:szCs w:val="16"/>
        </w:rPr>
        <w:t>e</w:t>
      </w:r>
      <w:r w:rsidR="00E2392E">
        <w:rPr>
          <w:rFonts w:ascii="Calibri" w:eastAsia="Calibri" w:hAnsi="Calibri" w:cs="Calibri"/>
          <w:spacing w:val="-1"/>
          <w:position w:val="1"/>
          <w:sz w:val="16"/>
          <w:szCs w:val="16"/>
        </w:rPr>
        <w:t xml:space="preserve"> d</w:t>
      </w:r>
      <w:r w:rsidR="00E2392E">
        <w:rPr>
          <w:rFonts w:ascii="Calibri" w:eastAsia="Calibri" w:hAnsi="Calibri" w:cs="Calibri"/>
          <w:position w:val="1"/>
          <w:sz w:val="16"/>
          <w:szCs w:val="16"/>
        </w:rPr>
        <w:t>a</w:t>
      </w:r>
      <w:r w:rsidR="00E2392E">
        <w:rPr>
          <w:rFonts w:ascii="Calibri" w:eastAsia="Calibri" w:hAnsi="Calibri" w:cs="Calibri"/>
          <w:spacing w:val="-1"/>
          <w:position w:val="1"/>
          <w:sz w:val="16"/>
          <w:szCs w:val="16"/>
        </w:rPr>
        <w:t>t</w:t>
      </w:r>
      <w:r w:rsidR="00E2392E">
        <w:rPr>
          <w:rFonts w:ascii="Calibri" w:eastAsia="Calibri" w:hAnsi="Calibri" w:cs="Calibri"/>
          <w:position w:val="1"/>
          <w:sz w:val="16"/>
          <w:szCs w:val="16"/>
        </w:rPr>
        <w:t>e</w:t>
      </w:r>
      <w:r w:rsidR="00E2392E">
        <w:rPr>
          <w:rFonts w:ascii="Calibri" w:eastAsia="Calibri" w:hAnsi="Calibri" w:cs="Calibri"/>
          <w:spacing w:val="-1"/>
          <w:position w:val="1"/>
          <w:sz w:val="16"/>
          <w:szCs w:val="16"/>
        </w:rPr>
        <w:t xml:space="preserve"> </w:t>
      </w:r>
      <w:r w:rsidR="00E2392E">
        <w:rPr>
          <w:rFonts w:ascii="Calibri" w:eastAsia="Calibri" w:hAnsi="Calibri" w:cs="Calibri"/>
          <w:spacing w:val="1"/>
          <w:position w:val="1"/>
          <w:sz w:val="16"/>
          <w:szCs w:val="16"/>
        </w:rPr>
        <w:t>t</w:t>
      </w:r>
      <w:r w:rsidR="00E2392E">
        <w:rPr>
          <w:rFonts w:ascii="Calibri" w:eastAsia="Calibri" w:hAnsi="Calibri" w:cs="Calibri"/>
          <w:position w:val="1"/>
          <w:sz w:val="16"/>
          <w:szCs w:val="16"/>
        </w:rPr>
        <w:t>h</w:t>
      </w:r>
      <w:r w:rsidR="00E2392E">
        <w:rPr>
          <w:rFonts w:ascii="Calibri" w:eastAsia="Calibri" w:hAnsi="Calibri" w:cs="Calibri"/>
          <w:spacing w:val="-1"/>
          <w:position w:val="1"/>
          <w:sz w:val="16"/>
          <w:szCs w:val="16"/>
        </w:rPr>
        <w:t>a</w:t>
      </w:r>
      <w:r w:rsidR="00E2392E">
        <w:rPr>
          <w:rFonts w:ascii="Calibri" w:eastAsia="Calibri" w:hAnsi="Calibri" w:cs="Calibri"/>
          <w:position w:val="1"/>
          <w:sz w:val="16"/>
          <w:szCs w:val="16"/>
        </w:rPr>
        <w:t>t</w:t>
      </w:r>
      <w:r w:rsidR="00E2392E">
        <w:rPr>
          <w:rFonts w:ascii="Calibri" w:eastAsia="Calibri" w:hAnsi="Calibri" w:cs="Calibri"/>
          <w:spacing w:val="-1"/>
          <w:position w:val="1"/>
          <w:sz w:val="16"/>
          <w:szCs w:val="16"/>
        </w:rPr>
        <w:t xml:space="preserve"> t</w:t>
      </w:r>
      <w:r w:rsidR="00E2392E">
        <w:rPr>
          <w:rFonts w:ascii="Calibri" w:eastAsia="Calibri" w:hAnsi="Calibri" w:cs="Calibri"/>
          <w:position w:val="1"/>
          <w:sz w:val="16"/>
          <w:szCs w:val="16"/>
        </w:rPr>
        <w:t>he</w:t>
      </w:r>
      <w:r w:rsidR="00E2392E">
        <w:rPr>
          <w:rFonts w:ascii="Calibri" w:eastAsia="Calibri" w:hAnsi="Calibri" w:cs="Calibri"/>
          <w:spacing w:val="1"/>
          <w:position w:val="1"/>
          <w:sz w:val="16"/>
          <w:szCs w:val="16"/>
        </w:rPr>
        <w:t xml:space="preserve"> </w:t>
      </w:r>
      <w:r w:rsidR="00E2392E">
        <w:rPr>
          <w:rFonts w:ascii="Calibri" w:eastAsia="Calibri" w:hAnsi="Calibri" w:cs="Calibri"/>
          <w:position w:val="1"/>
          <w:sz w:val="16"/>
          <w:szCs w:val="16"/>
        </w:rPr>
        <w:t>s</w:t>
      </w:r>
      <w:r w:rsidR="00E2392E">
        <w:rPr>
          <w:rFonts w:ascii="Calibri" w:eastAsia="Calibri" w:hAnsi="Calibri" w:cs="Calibri"/>
          <w:spacing w:val="-2"/>
          <w:position w:val="1"/>
          <w:sz w:val="16"/>
          <w:szCs w:val="16"/>
        </w:rPr>
        <w:t>t</w:t>
      </w:r>
      <w:r w:rsidR="00E2392E">
        <w:rPr>
          <w:rFonts w:ascii="Calibri" w:eastAsia="Calibri" w:hAnsi="Calibri" w:cs="Calibri"/>
          <w:position w:val="1"/>
          <w:sz w:val="16"/>
          <w:szCs w:val="16"/>
        </w:rPr>
        <w:t>at</w:t>
      </w:r>
      <w:r w:rsidR="00E2392E">
        <w:rPr>
          <w:rFonts w:ascii="Calibri" w:eastAsia="Calibri" w:hAnsi="Calibri" w:cs="Calibri"/>
          <w:spacing w:val="-1"/>
          <w:position w:val="1"/>
          <w:sz w:val="16"/>
          <w:szCs w:val="16"/>
        </w:rPr>
        <w:t>e</w:t>
      </w:r>
      <w:r w:rsidR="00E2392E">
        <w:rPr>
          <w:rFonts w:ascii="Calibri" w:eastAsia="Calibri" w:hAnsi="Calibri" w:cs="Calibri"/>
          <w:position w:val="1"/>
          <w:sz w:val="16"/>
          <w:szCs w:val="16"/>
        </w:rPr>
        <w:t>’s</w:t>
      </w:r>
      <w:r w:rsidR="00E2392E">
        <w:rPr>
          <w:rFonts w:ascii="Calibri" w:eastAsia="Calibri" w:hAnsi="Calibri" w:cs="Calibri"/>
          <w:spacing w:val="2"/>
          <w:position w:val="1"/>
          <w:sz w:val="16"/>
          <w:szCs w:val="16"/>
        </w:rPr>
        <w:t xml:space="preserve"> </w:t>
      </w:r>
      <w:r w:rsidR="00E2392E">
        <w:rPr>
          <w:rFonts w:ascii="Calibri" w:eastAsia="Calibri" w:hAnsi="Calibri" w:cs="Calibri"/>
          <w:position w:val="1"/>
          <w:sz w:val="16"/>
          <w:szCs w:val="16"/>
        </w:rPr>
        <w:t>s</w:t>
      </w:r>
      <w:r w:rsidR="00E2392E">
        <w:rPr>
          <w:rFonts w:ascii="Calibri" w:eastAsia="Calibri" w:hAnsi="Calibri" w:cs="Calibri"/>
          <w:spacing w:val="-2"/>
          <w:position w:val="1"/>
          <w:sz w:val="16"/>
          <w:szCs w:val="16"/>
        </w:rPr>
        <w:t>t</w:t>
      </w:r>
      <w:r w:rsidR="00E2392E">
        <w:rPr>
          <w:rFonts w:ascii="Calibri" w:eastAsia="Calibri" w:hAnsi="Calibri" w:cs="Calibri"/>
          <w:position w:val="1"/>
          <w:sz w:val="16"/>
          <w:szCs w:val="16"/>
        </w:rPr>
        <w:t>a</w:t>
      </w:r>
      <w:r w:rsidR="00E2392E">
        <w:rPr>
          <w:rFonts w:ascii="Calibri" w:eastAsia="Calibri" w:hAnsi="Calibri" w:cs="Calibri"/>
          <w:spacing w:val="-1"/>
          <w:position w:val="1"/>
          <w:sz w:val="16"/>
          <w:szCs w:val="16"/>
        </w:rPr>
        <w:t>ti</w:t>
      </w:r>
      <w:r w:rsidR="00E2392E">
        <w:rPr>
          <w:rFonts w:ascii="Calibri" w:eastAsia="Calibri" w:hAnsi="Calibri" w:cs="Calibri"/>
          <w:position w:val="1"/>
          <w:sz w:val="16"/>
          <w:szCs w:val="16"/>
        </w:rPr>
        <w:t>s</w:t>
      </w:r>
      <w:r w:rsidR="00E2392E">
        <w:rPr>
          <w:rFonts w:ascii="Calibri" w:eastAsia="Calibri" w:hAnsi="Calibri" w:cs="Calibri"/>
          <w:spacing w:val="1"/>
          <w:position w:val="1"/>
          <w:sz w:val="16"/>
          <w:szCs w:val="16"/>
        </w:rPr>
        <w:t>t</w:t>
      </w:r>
      <w:r w:rsidR="00E2392E">
        <w:rPr>
          <w:rFonts w:ascii="Calibri" w:eastAsia="Calibri" w:hAnsi="Calibri" w:cs="Calibri"/>
          <w:spacing w:val="-1"/>
          <w:position w:val="1"/>
          <w:sz w:val="16"/>
          <w:szCs w:val="16"/>
        </w:rPr>
        <w:t>ic</w:t>
      </w:r>
      <w:r w:rsidR="00E2392E">
        <w:rPr>
          <w:rFonts w:ascii="Calibri" w:eastAsia="Calibri" w:hAnsi="Calibri" w:cs="Calibri"/>
          <w:position w:val="1"/>
          <w:sz w:val="16"/>
          <w:szCs w:val="16"/>
        </w:rPr>
        <w:t>al</w:t>
      </w:r>
      <w:r w:rsidR="00E2392E">
        <w:rPr>
          <w:rFonts w:ascii="Calibri" w:eastAsia="Calibri" w:hAnsi="Calibri" w:cs="Calibri"/>
          <w:spacing w:val="1"/>
          <w:position w:val="1"/>
          <w:sz w:val="16"/>
          <w:szCs w:val="16"/>
        </w:rPr>
        <w:t xml:space="preserve"> </w:t>
      </w:r>
      <w:r w:rsidR="00E2392E">
        <w:rPr>
          <w:rFonts w:ascii="Calibri" w:eastAsia="Calibri" w:hAnsi="Calibri" w:cs="Calibri"/>
          <w:spacing w:val="-1"/>
          <w:position w:val="1"/>
          <w:sz w:val="16"/>
          <w:szCs w:val="16"/>
        </w:rPr>
        <w:t>fil</w:t>
      </w:r>
      <w:r w:rsidR="00E2392E">
        <w:rPr>
          <w:rFonts w:ascii="Calibri" w:eastAsia="Calibri" w:hAnsi="Calibri" w:cs="Calibri"/>
          <w:position w:val="1"/>
          <w:sz w:val="16"/>
          <w:szCs w:val="16"/>
        </w:rPr>
        <w:t>e</w:t>
      </w:r>
      <w:r w:rsidR="00E2392E">
        <w:rPr>
          <w:rFonts w:ascii="Calibri" w:eastAsia="Calibri" w:hAnsi="Calibri" w:cs="Calibri"/>
          <w:spacing w:val="-1"/>
          <w:position w:val="1"/>
          <w:sz w:val="16"/>
          <w:szCs w:val="16"/>
        </w:rPr>
        <w:t xml:space="preserve"> </w:t>
      </w:r>
      <w:r w:rsidR="00E2392E">
        <w:rPr>
          <w:rFonts w:ascii="Calibri" w:eastAsia="Calibri" w:hAnsi="Calibri" w:cs="Calibri"/>
          <w:position w:val="1"/>
          <w:sz w:val="16"/>
          <w:szCs w:val="16"/>
        </w:rPr>
        <w:t>was</w:t>
      </w:r>
      <w:r w:rsidR="00E2392E">
        <w:rPr>
          <w:rFonts w:ascii="Calibri" w:eastAsia="Calibri" w:hAnsi="Calibri" w:cs="Calibri"/>
          <w:spacing w:val="-1"/>
          <w:position w:val="1"/>
          <w:sz w:val="16"/>
          <w:szCs w:val="16"/>
        </w:rPr>
        <w:t xml:space="preserve"> </w:t>
      </w:r>
      <w:r w:rsidR="00E2392E">
        <w:rPr>
          <w:rFonts w:ascii="Calibri" w:eastAsia="Calibri" w:hAnsi="Calibri" w:cs="Calibri"/>
          <w:spacing w:val="1"/>
          <w:position w:val="1"/>
          <w:sz w:val="16"/>
          <w:szCs w:val="16"/>
        </w:rPr>
        <w:t>c</w:t>
      </w:r>
      <w:r w:rsidR="00E2392E">
        <w:rPr>
          <w:rFonts w:ascii="Calibri" w:eastAsia="Calibri" w:hAnsi="Calibri" w:cs="Calibri"/>
          <w:spacing w:val="-1"/>
          <w:position w:val="1"/>
          <w:sz w:val="16"/>
          <w:szCs w:val="16"/>
        </w:rPr>
        <w:t>lo</w:t>
      </w:r>
      <w:r w:rsidR="00E2392E">
        <w:rPr>
          <w:rFonts w:ascii="Calibri" w:eastAsia="Calibri" w:hAnsi="Calibri" w:cs="Calibri"/>
          <w:position w:val="1"/>
          <w:sz w:val="16"/>
          <w:szCs w:val="16"/>
        </w:rPr>
        <w:t>s</w:t>
      </w:r>
      <w:r w:rsidR="00E2392E">
        <w:rPr>
          <w:rFonts w:ascii="Calibri" w:eastAsia="Calibri" w:hAnsi="Calibri" w:cs="Calibri"/>
          <w:spacing w:val="-1"/>
          <w:position w:val="1"/>
          <w:sz w:val="16"/>
          <w:szCs w:val="16"/>
        </w:rPr>
        <w:t>e</w:t>
      </w:r>
      <w:r w:rsidR="00E2392E">
        <w:rPr>
          <w:rFonts w:ascii="Calibri" w:eastAsia="Calibri" w:hAnsi="Calibri" w:cs="Calibri"/>
          <w:spacing w:val="1"/>
          <w:position w:val="1"/>
          <w:sz w:val="16"/>
          <w:szCs w:val="16"/>
        </w:rPr>
        <w:t>d</w:t>
      </w:r>
      <w:r w:rsidR="00E2392E">
        <w:rPr>
          <w:rFonts w:ascii="Calibri" w:eastAsia="Calibri" w:hAnsi="Calibri" w:cs="Calibri"/>
          <w:position w:val="1"/>
          <w:sz w:val="16"/>
          <w:szCs w:val="16"/>
        </w:rPr>
        <w:t xml:space="preserve">. </w:t>
      </w:r>
      <w:r w:rsidR="00E2392E">
        <w:rPr>
          <w:rFonts w:ascii="Calibri" w:eastAsia="Calibri" w:hAnsi="Calibri" w:cs="Calibri"/>
          <w:spacing w:val="1"/>
          <w:position w:val="1"/>
          <w:sz w:val="16"/>
          <w:szCs w:val="16"/>
        </w:rPr>
        <w:t>E</w:t>
      </w:r>
      <w:r w:rsidR="00E2392E">
        <w:rPr>
          <w:rFonts w:ascii="Calibri" w:eastAsia="Calibri" w:hAnsi="Calibri" w:cs="Calibri"/>
          <w:position w:val="1"/>
          <w:sz w:val="16"/>
          <w:szCs w:val="16"/>
        </w:rPr>
        <w:t>a</w:t>
      </w:r>
      <w:r w:rsidR="00E2392E">
        <w:rPr>
          <w:rFonts w:ascii="Calibri" w:eastAsia="Calibri" w:hAnsi="Calibri" w:cs="Calibri"/>
          <w:spacing w:val="-1"/>
          <w:position w:val="1"/>
          <w:sz w:val="16"/>
          <w:szCs w:val="16"/>
        </w:rPr>
        <w:t>c</w:t>
      </w:r>
      <w:r w:rsidR="00E2392E">
        <w:rPr>
          <w:rFonts w:ascii="Calibri" w:eastAsia="Calibri" w:hAnsi="Calibri" w:cs="Calibri"/>
          <w:position w:val="1"/>
          <w:sz w:val="16"/>
          <w:szCs w:val="16"/>
        </w:rPr>
        <w:t>h</w:t>
      </w:r>
      <w:r w:rsidR="00E2392E">
        <w:rPr>
          <w:rFonts w:ascii="Calibri" w:eastAsia="Calibri" w:hAnsi="Calibri" w:cs="Calibri"/>
          <w:spacing w:val="-1"/>
          <w:position w:val="1"/>
          <w:sz w:val="16"/>
          <w:szCs w:val="16"/>
        </w:rPr>
        <w:t xml:space="preserve"> ye</w:t>
      </w:r>
      <w:r w:rsidR="00E2392E">
        <w:rPr>
          <w:rFonts w:ascii="Calibri" w:eastAsia="Calibri" w:hAnsi="Calibri" w:cs="Calibri"/>
          <w:position w:val="1"/>
          <w:sz w:val="16"/>
          <w:szCs w:val="16"/>
        </w:rPr>
        <w:t>a</w:t>
      </w:r>
      <w:r w:rsidR="00E2392E">
        <w:rPr>
          <w:rFonts w:ascii="Calibri" w:eastAsia="Calibri" w:hAnsi="Calibri" w:cs="Calibri"/>
          <w:spacing w:val="-1"/>
          <w:position w:val="1"/>
          <w:sz w:val="16"/>
          <w:szCs w:val="16"/>
        </w:rPr>
        <w:t>r</w:t>
      </w:r>
      <w:r w:rsidR="00E2392E">
        <w:rPr>
          <w:rFonts w:ascii="Calibri" w:eastAsia="Calibri" w:hAnsi="Calibri" w:cs="Calibri"/>
          <w:position w:val="1"/>
          <w:sz w:val="16"/>
          <w:szCs w:val="16"/>
        </w:rPr>
        <w:t>,</w:t>
      </w:r>
      <w:r w:rsidR="00E2392E">
        <w:rPr>
          <w:rFonts w:ascii="Calibri" w:eastAsia="Calibri" w:hAnsi="Calibri" w:cs="Calibri"/>
          <w:spacing w:val="1"/>
          <w:position w:val="1"/>
          <w:sz w:val="16"/>
          <w:szCs w:val="16"/>
        </w:rPr>
        <w:t xml:space="preserve"> </w:t>
      </w:r>
      <w:r w:rsidR="00E2392E">
        <w:rPr>
          <w:rFonts w:ascii="Calibri" w:eastAsia="Calibri" w:hAnsi="Calibri" w:cs="Calibri"/>
          <w:position w:val="1"/>
          <w:sz w:val="16"/>
          <w:szCs w:val="16"/>
        </w:rPr>
        <w:t>a</w:t>
      </w:r>
      <w:r w:rsidR="00E2392E">
        <w:rPr>
          <w:rFonts w:ascii="Calibri" w:eastAsia="Calibri" w:hAnsi="Calibri" w:cs="Calibri"/>
          <w:spacing w:val="2"/>
          <w:position w:val="1"/>
          <w:sz w:val="16"/>
          <w:szCs w:val="16"/>
        </w:rPr>
        <w:t xml:space="preserve"> </w:t>
      </w:r>
      <w:r w:rsidR="00E2392E">
        <w:rPr>
          <w:rFonts w:ascii="Calibri" w:eastAsia="Calibri" w:hAnsi="Calibri" w:cs="Calibri"/>
          <w:spacing w:val="-1"/>
          <w:position w:val="1"/>
          <w:sz w:val="16"/>
          <w:szCs w:val="16"/>
        </w:rPr>
        <w:t>s</w:t>
      </w:r>
      <w:r w:rsidR="00E2392E">
        <w:rPr>
          <w:rFonts w:ascii="Calibri" w:eastAsia="Calibri" w:hAnsi="Calibri" w:cs="Calibri"/>
          <w:spacing w:val="1"/>
          <w:position w:val="1"/>
          <w:sz w:val="16"/>
          <w:szCs w:val="16"/>
        </w:rPr>
        <w:t>m</w:t>
      </w:r>
      <w:r w:rsidR="00E2392E">
        <w:rPr>
          <w:rFonts w:ascii="Calibri" w:eastAsia="Calibri" w:hAnsi="Calibri" w:cs="Calibri"/>
          <w:position w:val="1"/>
          <w:sz w:val="16"/>
          <w:szCs w:val="16"/>
        </w:rPr>
        <w:t>a</w:t>
      </w:r>
      <w:r w:rsidR="00E2392E">
        <w:rPr>
          <w:rFonts w:ascii="Calibri" w:eastAsia="Calibri" w:hAnsi="Calibri" w:cs="Calibri"/>
          <w:spacing w:val="-1"/>
          <w:position w:val="1"/>
          <w:sz w:val="16"/>
          <w:szCs w:val="16"/>
        </w:rPr>
        <w:t>l</w:t>
      </w:r>
      <w:r w:rsidR="00E2392E">
        <w:rPr>
          <w:rFonts w:ascii="Calibri" w:eastAsia="Calibri" w:hAnsi="Calibri" w:cs="Calibri"/>
          <w:position w:val="1"/>
          <w:sz w:val="16"/>
          <w:szCs w:val="16"/>
        </w:rPr>
        <w:t>l</w:t>
      </w:r>
      <w:r w:rsidR="00E2392E">
        <w:rPr>
          <w:rFonts w:ascii="Calibri" w:eastAsia="Calibri" w:hAnsi="Calibri" w:cs="Calibri"/>
          <w:spacing w:val="-1"/>
          <w:position w:val="1"/>
          <w:sz w:val="16"/>
          <w:szCs w:val="16"/>
        </w:rPr>
        <w:t xml:space="preserve"> n</w:t>
      </w:r>
      <w:r w:rsidR="00E2392E">
        <w:rPr>
          <w:rFonts w:ascii="Calibri" w:eastAsia="Calibri" w:hAnsi="Calibri" w:cs="Calibri"/>
          <w:position w:val="1"/>
          <w:sz w:val="16"/>
          <w:szCs w:val="16"/>
        </w:rPr>
        <w:t>umb</w:t>
      </w:r>
      <w:r w:rsidR="00E2392E">
        <w:rPr>
          <w:rFonts w:ascii="Calibri" w:eastAsia="Calibri" w:hAnsi="Calibri" w:cs="Calibri"/>
          <w:spacing w:val="-1"/>
          <w:position w:val="1"/>
          <w:sz w:val="16"/>
          <w:szCs w:val="16"/>
        </w:rPr>
        <w:t>e</w:t>
      </w:r>
      <w:r w:rsidR="00E2392E">
        <w:rPr>
          <w:rFonts w:ascii="Calibri" w:eastAsia="Calibri" w:hAnsi="Calibri" w:cs="Calibri"/>
          <w:position w:val="1"/>
          <w:sz w:val="16"/>
          <w:szCs w:val="16"/>
        </w:rPr>
        <w:t>r</w:t>
      </w:r>
      <w:r w:rsidR="00E2392E">
        <w:rPr>
          <w:rFonts w:ascii="Calibri" w:eastAsia="Calibri" w:hAnsi="Calibri" w:cs="Calibri"/>
          <w:spacing w:val="-1"/>
          <w:position w:val="1"/>
          <w:sz w:val="16"/>
          <w:szCs w:val="16"/>
        </w:rPr>
        <w:t xml:space="preserve"> o</w:t>
      </w:r>
      <w:r w:rsidR="00E2392E">
        <w:rPr>
          <w:rFonts w:ascii="Calibri" w:eastAsia="Calibri" w:hAnsi="Calibri" w:cs="Calibri"/>
          <w:position w:val="1"/>
          <w:sz w:val="16"/>
          <w:szCs w:val="16"/>
        </w:rPr>
        <w:t>f</w:t>
      </w:r>
      <w:r w:rsidR="00E2392E">
        <w:rPr>
          <w:rFonts w:ascii="Calibri" w:eastAsia="Calibri" w:hAnsi="Calibri" w:cs="Calibri"/>
          <w:spacing w:val="-1"/>
          <w:position w:val="1"/>
          <w:sz w:val="16"/>
          <w:szCs w:val="16"/>
        </w:rPr>
        <w:t xml:space="preserve"> c</w:t>
      </w:r>
      <w:r w:rsidR="00E2392E">
        <w:rPr>
          <w:rFonts w:ascii="Calibri" w:eastAsia="Calibri" w:hAnsi="Calibri" w:cs="Calibri"/>
          <w:position w:val="1"/>
          <w:sz w:val="16"/>
          <w:szCs w:val="16"/>
        </w:rPr>
        <w:t>a</w:t>
      </w:r>
      <w:r w:rsidR="00E2392E">
        <w:rPr>
          <w:rFonts w:ascii="Calibri" w:eastAsia="Calibri" w:hAnsi="Calibri" w:cs="Calibri"/>
          <w:spacing w:val="-1"/>
          <w:position w:val="1"/>
          <w:sz w:val="16"/>
          <w:szCs w:val="16"/>
        </w:rPr>
        <w:t>se</w:t>
      </w:r>
      <w:r w:rsidR="00E2392E">
        <w:rPr>
          <w:rFonts w:ascii="Calibri" w:eastAsia="Calibri" w:hAnsi="Calibri" w:cs="Calibri"/>
          <w:position w:val="1"/>
          <w:sz w:val="16"/>
          <w:szCs w:val="16"/>
        </w:rPr>
        <w:t>s</w:t>
      </w:r>
      <w:r w:rsidR="00E2392E">
        <w:rPr>
          <w:rFonts w:ascii="Calibri" w:eastAsia="Calibri" w:hAnsi="Calibri" w:cs="Calibri"/>
          <w:spacing w:val="-1"/>
          <w:position w:val="1"/>
          <w:sz w:val="16"/>
          <w:szCs w:val="16"/>
        </w:rPr>
        <w:t xml:space="preserve"> r</w:t>
      </w:r>
      <w:r w:rsidR="00E2392E">
        <w:rPr>
          <w:rFonts w:ascii="Calibri" w:eastAsia="Calibri" w:hAnsi="Calibri" w:cs="Calibri"/>
          <w:spacing w:val="1"/>
          <w:position w:val="1"/>
          <w:sz w:val="16"/>
          <w:szCs w:val="16"/>
        </w:rPr>
        <w:t>e</w:t>
      </w:r>
      <w:r w:rsidR="00E2392E">
        <w:rPr>
          <w:rFonts w:ascii="Calibri" w:eastAsia="Calibri" w:hAnsi="Calibri" w:cs="Calibri"/>
          <w:spacing w:val="-1"/>
          <w:position w:val="1"/>
          <w:sz w:val="16"/>
          <w:szCs w:val="16"/>
        </w:rPr>
        <w:t>ceiv</w:t>
      </w:r>
      <w:r w:rsidR="00E2392E">
        <w:rPr>
          <w:rFonts w:ascii="Calibri" w:eastAsia="Calibri" w:hAnsi="Calibri" w:cs="Calibri"/>
          <w:position w:val="1"/>
          <w:sz w:val="16"/>
          <w:szCs w:val="16"/>
        </w:rPr>
        <w:t>e</w:t>
      </w:r>
      <w:r w:rsidR="00E2392E">
        <w:rPr>
          <w:rFonts w:ascii="Calibri" w:eastAsia="Calibri" w:hAnsi="Calibri" w:cs="Calibri"/>
          <w:spacing w:val="-1"/>
          <w:position w:val="1"/>
          <w:sz w:val="16"/>
          <w:szCs w:val="16"/>
        </w:rPr>
        <w:t xml:space="preserve"> </w:t>
      </w:r>
      <w:r w:rsidR="00E2392E">
        <w:rPr>
          <w:rFonts w:ascii="Calibri" w:eastAsia="Calibri" w:hAnsi="Calibri" w:cs="Calibri"/>
          <w:position w:val="1"/>
          <w:sz w:val="16"/>
          <w:szCs w:val="16"/>
        </w:rPr>
        <w:t>a</w:t>
      </w:r>
      <w:r w:rsidR="00E2392E">
        <w:rPr>
          <w:rFonts w:ascii="Calibri" w:eastAsia="Calibri" w:hAnsi="Calibri" w:cs="Calibri"/>
          <w:spacing w:val="1"/>
          <w:position w:val="1"/>
          <w:sz w:val="16"/>
          <w:szCs w:val="16"/>
        </w:rPr>
        <w:t xml:space="preserve"> </w:t>
      </w:r>
      <w:r w:rsidR="00E2392E">
        <w:rPr>
          <w:rFonts w:ascii="Calibri" w:eastAsia="Calibri" w:hAnsi="Calibri" w:cs="Calibri"/>
          <w:spacing w:val="-1"/>
          <w:position w:val="1"/>
          <w:sz w:val="16"/>
          <w:szCs w:val="16"/>
        </w:rPr>
        <w:t>c</w:t>
      </w:r>
      <w:r w:rsidR="00E2392E">
        <w:rPr>
          <w:rFonts w:ascii="Calibri" w:eastAsia="Calibri" w:hAnsi="Calibri" w:cs="Calibri"/>
          <w:position w:val="1"/>
          <w:sz w:val="16"/>
          <w:szCs w:val="16"/>
        </w:rPr>
        <w:t>a</w:t>
      </w:r>
      <w:r w:rsidR="00E2392E">
        <w:rPr>
          <w:rFonts w:ascii="Calibri" w:eastAsia="Calibri" w:hAnsi="Calibri" w:cs="Calibri"/>
          <w:spacing w:val="-1"/>
          <w:position w:val="1"/>
          <w:sz w:val="16"/>
          <w:szCs w:val="16"/>
        </w:rPr>
        <w:t>u</w:t>
      </w:r>
      <w:r w:rsidR="00E2392E">
        <w:rPr>
          <w:rFonts w:ascii="Calibri" w:eastAsia="Calibri" w:hAnsi="Calibri" w:cs="Calibri"/>
          <w:spacing w:val="2"/>
          <w:position w:val="1"/>
          <w:sz w:val="16"/>
          <w:szCs w:val="16"/>
        </w:rPr>
        <w:t>s</w:t>
      </w:r>
      <w:r w:rsidR="00E2392E">
        <w:rPr>
          <w:rFonts w:ascii="Calibri" w:eastAsia="Calibri" w:hAnsi="Calibri" w:cs="Calibri"/>
          <w:position w:val="1"/>
          <w:sz w:val="16"/>
          <w:szCs w:val="16"/>
        </w:rPr>
        <w:t>e</w:t>
      </w:r>
      <w:r w:rsidR="00E2392E">
        <w:rPr>
          <w:rFonts w:ascii="Calibri" w:eastAsia="Calibri" w:hAnsi="Calibri" w:cs="Calibri"/>
          <w:spacing w:val="-1"/>
          <w:position w:val="1"/>
          <w:sz w:val="16"/>
          <w:szCs w:val="16"/>
        </w:rPr>
        <w:t xml:space="preserve"> o</w:t>
      </w:r>
      <w:r w:rsidR="00E2392E">
        <w:rPr>
          <w:rFonts w:ascii="Calibri" w:eastAsia="Calibri" w:hAnsi="Calibri" w:cs="Calibri"/>
          <w:position w:val="1"/>
          <w:sz w:val="16"/>
          <w:szCs w:val="16"/>
        </w:rPr>
        <w:t>f</w:t>
      </w:r>
      <w:r w:rsidR="00E2392E">
        <w:rPr>
          <w:rFonts w:ascii="Calibri" w:eastAsia="Calibri" w:hAnsi="Calibri" w:cs="Calibri"/>
          <w:spacing w:val="-1"/>
          <w:position w:val="1"/>
          <w:sz w:val="16"/>
          <w:szCs w:val="16"/>
        </w:rPr>
        <w:t xml:space="preserve"> de</w:t>
      </w:r>
      <w:r w:rsidR="00E2392E">
        <w:rPr>
          <w:rFonts w:ascii="Calibri" w:eastAsia="Calibri" w:hAnsi="Calibri" w:cs="Calibri"/>
          <w:position w:val="1"/>
          <w:sz w:val="16"/>
          <w:szCs w:val="16"/>
        </w:rPr>
        <w:t>a</w:t>
      </w:r>
      <w:r w:rsidR="00E2392E">
        <w:rPr>
          <w:rFonts w:ascii="Calibri" w:eastAsia="Calibri" w:hAnsi="Calibri" w:cs="Calibri"/>
          <w:spacing w:val="-1"/>
          <w:position w:val="1"/>
          <w:sz w:val="16"/>
          <w:szCs w:val="16"/>
        </w:rPr>
        <w:t>t</w:t>
      </w:r>
      <w:r w:rsidR="00E2392E">
        <w:rPr>
          <w:rFonts w:ascii="Calibri" w:eastAsia="Calibri" w:hAnsi="Calibri" w:cs="Calibri"/>
          <w:position w:val="1"/>
          <w:sz w:val="16"/>
          <w:szCs w:val="16"/>
        </w:rPr>
        <w:t>h</w:t>
      </w:r>
      <w:r w:rsidR="00E2392E">
        <w:rPr>
          <w:rFonts w:ascii="Calibri" w:eastAsia="Calibri" w:hAnsi="Calibri" w:cs="Calibri"/>
          <w:spacing w:val="-1"/>
          <w:position w:val="1"/>
          <w:sz w:val="16"/>
          <w:szCs w:val="16"/>
        </w:rPr>
        <w:t xml:space="preserve"> </w:t>
      </w:r>
      <w:r w:rsidR="00E2392E">
        <w:rPr>
          <w:rFonts w:ascii="Calibri" w:eastAsia="Calibri" w:hAnsi="Calibri" w:cs="Calibri"/>
          <w:spacing w:val="2"/>
          <w:position w:val="1"/>
          <w:sz w:val="16"/>
          <w:szCs w:val="16"/>
        </w:rPr>
        <w:t>a</w:t>
      </w:r>
      <w:r w:rsidR="00E2392E">
        <w:rPr>
          <w:rFonts w:ascii="Calibri" w:eastAsia="Calibri" w:hAnsi="Calibri" w:cs="Calibri"/>
          <w:spacing w:val="-1"/>
          <w:position w:val="1"/>
          <w:sz w:val="16"/>
          <w:szCs w:val="16"/>
        </w:rPr>
        <w:t>fte</w:t>
      </w:r>
      <w:r w:rsidR="00E2392E">
        <w:rPr>
          <w:rFonts w:ascii="Calibri" w:eastAsia="Calibri" w:hAnsi="Calibri" w:cs="Calibri"/>
          <w:position w:val="1"/>
          <w:sz w:val="16"/>
          <w:szCs w:val="16"/>
        </w:rPr>
        <w:t>r the file is closed.</w:t>
      </w:r>
    </w:p>
    <w:p w:rsidR="00E2392E" w:rsidRDefault="00E2392E" w:rsidP="00E2392E">
      <w:pPr>
        <w:spacing w:line="180" w:lineRule="exact"/>
        <w:ind w:left="100"/>
        <w:rPr>
          <w:rFonts w:ascii="Calibri" w:eastAsia="Calibri" w:hAnsi="Calibri" w:cs="Calibri"/>
          <w:position w:val="1"/>
          <w:sz w:val="16"/>
          <w:szCs w:val="16"/>
        </w:rPr>
      </w:pPr>
    </w:p>
    <w:p w:rsidR="00E2392E" w:rsidRPr="00E2392E" w:rsidRDefault="00E2392E" w:rsidP="00E2392E">
      <w:pPr>
        <w:spacing w:line="180" w:lineRule="exact"/>
        <w:ind w:left="100" w:firstLine="126"/>
        <w:rPr>
          <w:rFonts w:ascii="Calibri" w:eastAsia="Calibri" w:hAnsi="Calibri" w:cs="Calibri"/>
          <w:position w:val="1"/>
          <w:sz w:val="16"/>
          <w:szCs w:val="16"/>
        </w:rPr>
      </w:pPr>
      <w:r>
        <w:rPr>
          <w:rFonts w:ascii="Calibri" w:eastAsia="Calibri" w:hAnsi="Calibri" w:cs="Calibri"/>
          <w:sz w:val="16"/>
          <w:szCs w:val="16"/>
        </w:rPr>
        <w:t>Un</w:t>
      </w:r>
      <w:r>
        <w:rPr>
          <w:rFonts w:ascii="Calibri" w:eastAsia="Calibri" w:hAnsi="Calibri" w:cs="Calibri"/>
          <w:spacing w:val="-1"/>
          <w:sz w:val="16"/>
          <w:szCs w:val="16"/>
        </w:rPr>
        <w:t>i</w:t>
      </w:r>
      <w:r>
        <w:rPr>
          <w:rFonts w:ascii="Calibri" w:eastAsia="Calibri" w:hAnsi="Calibri" w:cs="Calibri"/>
          <w:sz w:val="16"/>
          <w:szCs w:val="16"/>
        </w:rPr>
        <w:t>n</w:t>
      </w:r>
      <w:r>
        <w:rPr>
          <w:rFonts w:ascii="Calibri" w:eastAsia="Calibri" w:hAnsi="Calibri" w:cs="Calibri"/>
          <w:spacing w:val="-2"/>
          <w:sz w:val="16"/>
          <w:szCs w:val="16"/>
        </w:rPr>
        <w:t>t</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2"/>
          <w:sz w:val="16"/>
          <w:szCs w:val="16"/>
        </w:rPr>
        <w:t>t</w:t>
      </w:r>
      <w:r>
        <w:rPr>
          <w:rFonts w:ascii="Calibri" w:eastAsia="Calibri" w:hAnsi="Calibri" w:cs="Calibri"/>
          <w:spacing w:val="1"/>
          <w:sz w:val="16"/>
          <w:szCs w:val="16"/>
        </w:rPr>
        <w:t>i</w:t>
      </w:r>
      <w:r>
        <w:rPr>
          <w:rFonts w:ascii="Calibri" w:eastAsia="Calibri" w:hAnsi="Calibri" w:cs="Calibri"/>
          <w:spacing w:val="-1"/>
          <w:sz w:val="16"/>
          <w:szCs w:val="16"/>
        </w:rPr>
        <w:t>o</w:t>
      </w:r>
      <w:r>
        <w:rPr>
          <w:rFonts w:ascii="Calibri" w:eastAsia="Calibri" w:hAnsi="Calibri" w:cs="Calibri"/>
          <w:sz w:val="16"/>
          <w:szCs w:val="16"/>
        </w:rPr>
        <w:t>n</w:t>
      </w:r>
      <w:r>
        <w:rPr>
          <w:rFonts w:ascii="Calibri" w:eastAsia="Calibri" w:hAnsi="Calibri" w:cs="Calibri"/>
          <w:spacing w:val="-1"/>
          <w:sz w:val="16"/>
          <w:szCs w:val="16"/>
        </w:rPr>
        <w:t>a</w:t>
      </w:r>
      <w:r>
        <w:rPr>
          <w:rFonts w:ascii="Calibri" w:eastAsia="Calibri" w:hAnsi="Calibri" w:cs="Calibri"/>
          <w:sz w:val="16"/>
          <w:szCs w:val="16"/>
        </w:rPr>
        <w:t>l</w:t>
      </w:r>
      <w:r>
        <w:rPr>
          <w:rFonts w:ascii="Calibri" w:eastAsia="Calibri" w:hAnsi="Calibri" w:cs="Calibri"/>
          <w:spacing w:val="-1"/>
          <w:sz w:val="16"/>
          <w:szCs w:val="16"/>
        </w:rPr>
        <w:t xml:space="preserve"> poi</w:t>
      </w:r>
      <w:r>
        <w:rPr>
          <w:rFonts w:ascii="Calibri" w:eastAsia="Calibri" w:hAnsi="Calibri" w:cs="Calibri"/>
          <w:spacing w:val="2"/>
          <w:sz w:val="16"/>
          <w:szCs w:val="16"/>
        </w:rPr>
        <w:t>s</w:t>
      </w:r>
      <w:r>
        <w:rPr>
          <w:rFonts w:ascii="Calibri" w:eastAsia="Calibri" w:hAnsi="Calibri" w:cs="Calibri"/>
          <w:spacing w:val="-1"/>
          <w:sz w:val="16"/>
          <w:szCs w:val="16"/>
        </w:rPr>
        <w:t>o</w:t>
      </w:r>
      <w:r>
        <w:rPr>
          <w:rFonts w:ascii="Calibri" w:eastAsia="Calibri" w:hAnsi="Calibri" w:cs="Calibri"/>
          <w:sz w:val="16"/>
          <w:szCs w:val="16"/>
        </w:rPr>
        <w:t>n</w:t>
      </w:r>
      <w:r>
        <w:rPr>
          <w:rFonts w:ascii="Calibri" w:eastAsia="Calibri" w:hAnsi="Calibri" w:cs="Calibri"/>
          <w:spacing w:val="-1"/>
          <w:sz w:val="16"/>
          <w:szCs w:val="16"/>
        </w:rPr>
        <w:t>i</w:t>
      </w:r>
      <w:r>
        <w:rPr>
          <w:rFonts w:ascii="Calibri" w:eastAsia="Calibri" w:hAnsi="Calibri" w:cs="Calibri"/>
          <w:sz w:val="16"/>
          <w:szCs w:val="16"/>
        </w:rPr>
        <w:t>ng/o</w:t>
      </w:r>
      <w:r>
        <w:rPr>
          <w:rFonts w:ascii="Calibri" w:eastAsia="Calibri" w:hAnsi="Calibri" w:cs="Calibri"/>
          <w:spacing w:val="-1"/>
          <w:sz w:val="16"/>
          <w:szCs w:val="16"/>
        </w:rPr>
        <w:t>ver</w:t>
      </w:r>
      <w:r>
        <w:rPr>
          <w:rFonts w:ascii="Calibri" w:eastAsia="Calibri" w:hAnsi="Calibri" w:cs="Calibri"/>
          <w:sz w:val="16"/>
          <w:szCs w:val="16"/>
        </w:rPr>
        <w:t>d</w:t>
      </w:r>
      <w:r>
        <w:rPr>
          <w:rFonts w:ascii="Calibri" w:eastAsia="Calibri" w:hAnsi="Calibri" w:cs="Calibri"/>
          <w:spacing w:val="-1"/>
          <w:sz w:val="16"/>
          <w:szCs w:val="16"/>
        </w:rPr>
        <w:t>o</w:t>
      </w:r>
      <w:r>
        <w:rPr>
          <w:rFonts w:ascii="Calibri" w:eastAsia="Calibri" w:hAnsi="Calibri" w:cs="Calibri"/>
          <w:sz w:val="16"/>
          <w:szCs w:val="16"/>
        </w:rPr>
        <w:t>se</w:t>
      </w:r>
      <w:r>
        <w:rPr>
          <w:rFonts w:ascii="Calibri" w:eastAsia="Calibri" w:hAnsi="Calibri" w:cs="Calibri"/>
          <w:spacing w:val="-1"/>
          <w:sz w:val="16"/>
          <w:szCs w:val="16"/>
        </w:rPr>
        <w:t xml:space="preserve"> </w:t>
      </w:r>
      <w:r>
        <w:rPr>
          <w:rFonts w:ascii="Calibri" w:eastAsia="Calibri" w:hAnsi="Calibri" w:cs="Calibri"/>
          <w:spacing w:val="1"/>
          <w:sz w:val="16"/>
          <w:szCs w:val="16"/>
        </w:rPr>
        <w:t>d</w:t>
      </w:r>
      <w:r>
        <w:rPr>
          <w:rFonts w:ascii="Calibri" w:eastAsia="Calibri" w:hAnsi="Calibri" w:cs="Calibri"/>
          <w:spacing w:val="-1"/>
          <w:sz w:val="16"/>
          <w:szCs w:val="16"/>
        </w:rPr>
        <w:t>e</w:t>
      </w:r>
      <w:r>
        <w:rPr>
          <w:rFonts w:ascii="Calibri" w:eastAsia="Calibri" w:hAnsi="Calibri" w:cs="Calibri"/>
          <w:sz w:val="16"/>
          <w:szCs w:val="16"/>
        </w:rPr>
        <w:t>a</w:t>
      </w:r>
      <w:r>
        <w:rPr>
          <w:rFonts w:ascii="Calibri" w:eastAsia="Calibri" w:hAnsi="Calibri" w:cs="Calibri"/>
          <w:spacing w:val="-1"/>
          <w:sz w:val="16"/>
          <w:szCs w:val="16"/>
        </w:rPr>
        <w:t>t</w:t>
      </w:r>
      <w:r>
        <w:rPr>
          <w:rFonts w:ascii="Calibri" w:eastAsia="Calibri" w:hAnsi="Calibri" w:cs="Calibri"/>
          <w:sz w:val="16"/>
          <w:szCs w:val="16"/>
        </w:rPr>
        <w:t>hs</w:t>
      </w:r>
      <w:r>
        <w:rPr>
          <w:rFonts w:ascii="Calibri" w:eastAsia="Calibri" w:hAnsi="Calibri" w:cs="Calibri"/>
          <w:spacing w:val="-1"/>
          <w:sz w:val="16"/>
          <w:szCs w:val="16"/>
        </w:rPr>
        <w:t xml:space="preserve"> co</w:t>
      </w:r>
      <w:r>
        <w:rPr>
          <w:rFonts w:ascii="Calibri" w:eastAsia="Calibri" w:hAnsi="Calibri" w:cs="Calibri"/>
          <w:spacing w:val="1"/>
          <w:sz w:val="16"/>
          <w:szCs w:val="16"/>
        </w:rPr>
        <w:t>m</w:t>
      </w:r>
      <w:r>
        <w:rPr>
          <w:rFonts w:ascii="Calibri" w:eastAsia="Calibri" w:hAnsi="Calibri" w:cs="Calibri"/>
          <w:sz w:val="16"/>
          <w:szCs w:val="16"/>
        </w:rPr>
        <w:t>b</w:t>
      </w:r>
      <w:r>
        <w:rPr>
          <w:rFonts w:ascii="Calibri" w:eastAsia="Calibri" w:hAnsi="Calibri" w:cs="Calibri"/>
          <w:spacing w:val="-1"/>
          <w:sz w:val="16"/>
          <w:szCs w:val="16"/>
        </w:rPr>
        <w:t>i</w:t>
      </w:r>
      <w:r>
        <w:rPr>
          <w:rFonts w:ascii="Calibri" w:eastAsia="Calibri" w:hAnsi="Calibri" w:cs="Calibri"/>
          <w:sz w:val="16"/>
          <w:szCs w:val="16"/>
        </w:rPr>
        <w:t>ne</w:t>
      </w:r>
      <w:r>
        <w:rPr>
          <w:rFonts w:ascii="Calibri" w:eastAsia="Calibri" w:hAnsi="Calibri" w:cs="Calibri"/>
          <w:spacing w:val="-1"/>
          <w:sz w:val="16"/>
          <w:szCs w:val="16"/>
        </w:rPr>
        <w:t xml:space="preserve"> u</w:t>
      </w:r>
      <w:r>
        <w:rPr>
          <w:rFonts w:ascii="Calibri" w:eastAsia="Calibri" w:hAnsi="Calibri" w:cs="Calibri"/>
          <w:sz w:val="16"/>
          <w:szCs w:val="16"/>
        </w:rPr>
        <w:t>n</w:t>
      </w:r>
      <w:r>
        <w:rPr>
          <w:rFonts w:ascii="Calibri" w:eastAsia="Calibri" w:hAnsi="Calibri" w:cs="Calibri"/>
          <w:spacing w:val="-1"/>
          <w:sz w:val="16"/>
          <w:szCs w:val="16"/>
        </w:rPr>
        <w:t>i</w:t>
      </w:r>
      <w:r>
        <w:rPr>
          <w:rFonts w:ascii="Calibri" w:eastAsia="Calibri" w:hAnsi="Calibri" w:cs="Calibri"/>
          <w:spacing w:val="2"/>
          <w:sz w:val="16"/>
          <w:szCs w:val="16"/>
        </w:rPr>
        <w:t>n</w:t>
      </w:r>
      <w:r>
        <w:rPr>
          <w:rFonts w:ascii="Calibri" w:eastAsia="Calibri" w:hAnsi="Calibri" w:cs="Calibri"/>
          <w:spacing w:val="-1"/>
          <w:sz w:val="16"/>
          <w:szCs w:val="16"/>
        </w:rPr>
        <w:t>te</w:t>
      </w:r>
      <w:r>
        <w:rPr>
          <w:rFonts w:ascii="Calibri" w:eastAsia="Calibri" w:hAnsi="Calibri" w:cs="Calibri"/>
          <w:sz w:val="16"/>
          <w:szCs w:val="16"/>
        </w:rPr>
        <w:t>n</w:t>
      </w:r>
      <w:r>
        <w:rPr>
          <w:rFonts w:ascii="Calibri" w:eastAsia="Calibri" w:hAnsi="Calibri" w:cs="Calibri"/>
          <w:spacing w:val="-2"/>
          <w:sz w:val="16"/>
          <w:szCs w:val="16"/>
        </w:rPr>
        <w:t>t</w:t>
      </w:r>
      <w:r>
        <w:rPr>
          <w:rFonts w:ascii="Calibri" w:eastAsia="Calibri" w:hAnsi="Calibri" w:cs="Calibri"/>
          <w:spacing w:val="1"/>
          <w:sz w:val="16"/>
          <w:szCs w:val="16"/>
        </w:rPr>
        <w:t>i</w:t>
      </w:r>
      <w:r>
        <w:rPr>
          <w:rFonts w:ascii="Calibri" w:eastAsia="Calibri" w:hAnsi="Calibri" w:cs="Calibri"/>
          <w:spacing w:val="-1"/>
          <w:sz w:val="16"/>
          <w:szCs w:val="16"/>
        </w:rPr>
        <w:t>o</w:t>
      </w:r>
      <w:r>
        <w:rPr>
          <w:rFonts w:ascii="Calibri" w:eastAsia="Calibri" w:hAnsi="Calibri" w:cs="Calibri"/>
          <w:sz w:val="16"/>
          <w:szCs w:val="16"/>
        </w:rPr>
        <w:t>n</w:t>
      </w:r>
      <w:r>
        <w:rPr>
          <w:rFonts w:ascii="Calibri" w:eastAsia="Calibri" w:hAnsi="Calibri" w:cs="Calibri"/>
          <w:spacing w:val="-1"/>
          <w:sz w:val="16"/>
          <w:szCs w:val="16"/>
        </w:rPr>
        <w:t>a</w:t>
      </w:r>
      <w:r>
        <w:rPr>
          <w:rFonts w:ascii="Calibri" w:eastAsia="Calibri" w:hAnsi="Calibri" w:cs="Calibri"/>
          <w:sz w:val="16"/>
          <w:szCs w:val="16"/>
        </w:rPr>
        <w:t>l</w:t>
      </w:r>
      <w:r>
        <w:rPr>
          <w:rFonts w:ascii="Calibri" w:eastAsia="Calibri" w:hAnsi="Calibri" w:cs="Calibri"/>
          <w:spacing w:val="-1"/>
          <w:sz w:val="16"/>
          <w:szCs w:val="16"/>
        </w:rPr>
        <w:t xml:space="preserve"> a</w:t>
      </w:r>
      <w:r>
        <w:rPr>
          <w:rFonts w:ascii="Calibri" w:eastAsia="Calibri" w:hAnsi="Calibri" w:cs="Calibri"/>
          <w:sz w:val="16"/>
          <w:szCs w:val="16"/>
        </w:rPr>
        <w:t>nd</w:t>
      </w:r>
      <w:r>
        <w:rPr>
          <w:rFonts w:ascii="Calibri" w:eastAsia="Calibri" w:hAnsi="Calibri" w:cs="Calibri"/>
          <w:spacing w:val="-1"/>
          <w:sz w:val="16"/>
          <w:szCs w:val="16"/>
        </w:rPr>
        <w:t xml:space="preserve"> u</w:t>
      </w:r>
      <w:r>
        <w:rPr>
          <w:rFonts w:ascii="Calibri" w:eastAsia="Calibri" w:hAnsi="Calibri" w:cs="Calibri"/>
          <w:sz w:val="16"/>
          <w:szCs w:val="16"/>
        </w:rPr>
        <w:t>n</w:t>
      </w:r>
      <w:r>
        <w:rPr>
          <w:rFonts w:ascii="Calibri" w:eastAsia="Calibri" w:hAnsi="Calibri" w:cs="Calibri"/>
          <w:spacing w:val="1"/>
          <w:sz w:val="16"/>
          <w:szCs w:val="16"/>
        </w:rPr>
        <w:t>d</w:t>
      </w:r>
      <w:r>
        <w:rPr>
          <w:rFonts w:ascii="Calibri" w:eastAsia="Calibri" w:hAnsi="Calibri" w:cs="Calibri"/>
          <w:spacing w:val="-1"/>
          <w:sz w:val="16"/>
          <w:szCs w:val="16"/>
        </w:rPr>
        <w:t>eter</w:t>
      </w:r>
      <w:r>
        <w:rPr>
          <w:rFonts w:ascii="Calibri" w:eastAsia="Calibri" w:hAnsi="Calibri" w:cs="Calibri"/>
          <w:spacing w:val="1"/>
          <w:sz w:val="16"/>
          <w:szCs w:val="16"/>
        </w:rPr>
        <w:t>m</w:t>
      </w:r>
      <w:r>
        <w:rPr>
          <w:rFonts w:ascii="Calibri" w:eastAsia="Calibri" w:hAnsi="Calibri" w:cs="Calibri"/>
          <w:spacing w:val="-1"/>
          <w:sz w:val="16"/>
          <w:szCs w:val="16"/>
        </w:rPr>
        <w:t>i</w:t>
      </w:r>
      <w:r>
        <w:rPr>
          <w:rFonts w:ascii="Calibri" w:eastAsia="Calibri" w:hAnsi="Calibri" w:cs="Calibri"/>
          <w:sz w:val="16"/>
          <w:szCs w:val="16"/>
        </w:rPr>
        <w:t>n</w:t>
      </w:r>
      <w:r>
        <w:rPr>
          <w:rFonts w:ascii="Calibri" w:eastAsia="Calibri" w:hAnsi="Calibri" w:cs="Calibri"/>
          <w:spacing w:val="-1"/>
          <w:sz w:val="16"/>
          <w:szCs w:val="16"/>
        </w:rPr>
        <w:t>e</w:t>
      </w:r>
      <w:r>
        <w:rPr>
          <w:rFonts w:ascii="Calibri" w:eastAsia="Calibri" w:hAnsi="Calibri" w:cs="Calibri"/>
          <w:sz w:val="16"/>
          <w:szCs w:val="16"/>
        </w:rPr>
        <w:t>d</w:t>
      </w:r>
      <w:r>
        <w:rPr>
          <w:rFonts w:ascii="Calibri" w:eastAsia="Calibri" w:hAnsi="Calibri" w:cs="Calibri"/>
          <w:spacing w:val="-1"/>
          <w:sz w:val="16"/>
          <w:szCs w:val="16"/>
        </w:rPr>
        <w:t xml:space="preserve"> i</w:t>
      </w:r>
      <w:r>
        <w:rPr>
          <w:rFonts w:ascii="Calibri" w:eastAsia="Calibri" w:hAnsi="Calibri" w:cs="Calibri"/>
          <w:sz w:val="16"/>
          <w:szCs w:val="16"/>
        </w:rPr>
        <w:t>n</w:t>
      </w:r>
      <w:r>
        <w:rPr>
          <w:rFonts w:ascii="Calibri" w:eastAsia="Calibri" w:hAnsi="Calibri" w:cs="Calibri"/>
          <w:spacing w:val="1"/>
          <w:sz w:val="16"/>
          <w:szCs w:val="16"/>
        </w:rPr>
        <w:t>t</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2"/>
          <w:sz w:val="16"/>
          <w:szCs w:val="16"/>
        </w:rPr>
        <w:t>t</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pacing w:val="1"/>
          <w:sz w:val="16"/>
          <w:szCs w:val="16"/>
        </w:rPr>
        <w:t>t</w:t>
      </w:r>
      <w:r>
        <w:rPr>
          <w:rFonts w:ascii="Calibri" w:eastAsia="Calibri" w:hAnsi="Calibri" w:cs="Calibri"/>
          <w:sz w:val="16"/>
          <w:szCs w:val="16"/>
        </w:rPr>
        <w:t>o</w:t>
      </w:r>
      <w:r>
        <w:rPr>
          <w:rFonts w:ascii="Calibri" w:eastAsia="Calibri" w:hAnsi="Calibri" w:cs="Calibri"/>
          <w:spacing w:val="-1"/>
          <w:sz w:val="16"/>
          <w:szCs w:val="16"/>
        </w:rPr>
        <w:t xml:space="preserve"> acco</w:t>
      </w:r>
      <w:r>
        <w:rPr>
          <w:rFonts w:ascii="Calibri" w:eastAsia="Calibri" w:hAnsi="Calibri" w:cs="Calibri"/>
          <w:sz w:val="16"/>
          <w:szCs w:val="16"/>
        </w:rPr>
        <w:t>u</w:t>
      </w:r>
      <w:r>
        <w:rPr>
          <w:rFonts w:ascii="Calibri" w:eastAsia="Calibri" w:hAnsi="Calibri" w:cs="Calibri"/>
          <w:spacing w:val="1"/>
          <w:sz w:val="16"/>
          <w:szCs w:val="16"/>
        </w:rPr>
        <w:t>n</w:t>
      </w:r>
      <w:r>
        <w:rPr>
          <w:rFonts w:ascii="Calibri" w:eastAsia="Calibri" w:hAnsi="Calibri" w:cs="Calibri"/>
          <w:sz w:val="16"/>
          <w:szCs w:val="16"/>
        </w:rPr>
        <w:t>t</w:t>
      </w:r>
      <w:r>
        <w:rPr>
          <w:rFonts w:ascii="Calibri" w:eastAsia="Calibri" w:hAnsi="Calibri" w:cs="Calibri"/>
          <w:spacing w:val="-1"/>
          <w:sz w:val="16"/>
          <w:szCs w:val="16"/>
        </w:rPr>
        <w:t xml:space="preserve"> fo</w:t>
      </w:r>
      <w:r>
        <w:rPr>
          <w:rFonts w:ascii="Calibri" w:eastAsia="Calibri" w:hAnsi="Calibri" w:cs="Calibri"/>
          <w:sz w:val="16"/>
          <w:szCs w:val="16"/>
        </w:rPr>
        <w:t>r</w:t>
      </w:r>
      <w:r>
        <w:rPr>
          <w:rFonts w:ascii="Calibri" w:eastAsia="Calibri" w:hAnsi="Calibri" w:cs="Calibri"/>
          <w:spacing w:val="-1"/>
          <w:sz w:val="16"/>
          <w:szCs w:val="16"/>
        </w:rPr>
        <w:t xml:space="preserve"> </w:t>
      </w:r>
      <w:r>
        <w:rPr>
          <w:rFonts w:ascii="Calibri" w:eastAsia="Calibri" w:hAnsi="Calibri" w:cs="Calibri"/>
          <w:sz w:val="16"/>
          <w:szCs w:val="16"/>
        </w:rPr>
        <w:t>a</w:t>
      </w:r>
      <w:r>
        <w:rPr>
          <w:rFonts w:ascii="Calibri" w:eastAsia="Calibri" w:hAnsi="Calibri" w:cs="Calibri"/>
          <w:spacing w:val="1"/>
          <w:sz w:val="16"/>
          <w:szCs w:val="16"/>
        </w:rPr>
        <w:t xml:space="preserve"> </w:t>
      </w:r>
      <w:r>
        <w:rPr>
          <w:rFonts w:ascii="Calibri" w:eastAsia="Calibri" w:hAnsi="Calibri" w:cs="Calibri"/>
          <w:spacing w:val="-1"/>
          <w:sz w:val="16"/>
          <w:szCs w:val="16"/>
        </w:rPr>
        <w:t>c</w:t>
      </w:r>
      <w:r>
        <w:rPr>
          <w:rFonts w:ascii="Calibri" w:eastAsia="Calibri" w:hAnsi="Calibri" w:cs="Calibri"/>
          <w:spacing w:val="2"/>
          <w:sz w:val="16"/>
          <w:szCs w:val="16"/>
        </w:rPr>
        <w:t>h</w:t>
      </w:r>
      <w:r>
        <w:rPr>
          <w:rFonts w:ascii="Calibri" w:eastAsia="Calibri" w:hAnsi="Calibri" w:cs="Calibri"/>
          <w:sz w:val="16"/>
          <w:szCs w:val="16"/>
        </w:rPr>
        <w:t>a</w:t>
      </w:r>
      <w:r>
        <w:rPr>
          <w:rFonts w:ascii="Calibri" w:eastAsia="Calibri" w:hAnsi="Calibri" w:cs="Calibri"/>
          <w:spacing w:val="-1"/>
          <w:sz w:val="16"/>
          <w:szCs w:val="16"/>
        </w:rPr>
        <w:t>n</w:t>
      </w:r>
      <w:r>
        <w:rPr>
          <w:rFonts w:ascii="Calibri" w:eastAsia="Calibri" w:hAnsi="Calibri" w:cs="Calibri"/>
          <w:spacing w:val="1"/>
          <w:sz w:val="16"/>
          <w:szCs w:val="16"/>
        </w:rPr>
        <w:t>g</w:t>
      </w:r>
      <w:r>
        <w:rPr>
          <w:rFonts w:ascii="Calibri" w:eastAsia="Calibri" w:hAnsi="Calibri" w:cs="Calibri"/>
          <w:sz w:val="16"/>
          <w:szCs w:val="16"/>
        </w:rPr>
        <w:t>e</w:t>
      </w:r>
      <w:r>
        <w:rPr>
          <w:rFonts w:ascii="Calibri" w:eastAsia="Calibri" w:hAnsi="Calibri" w:cs="Calibri"/>
          <w:spacing w:val="-1"/>
          <w:sz w:val="16"/>
          <w:szCs w:val="16"/>
        </w:rPr>
        <w:t xml:space="preserve"> i</w:t>
      </w:r>
      <w:r>
        <w:rPr>
          <w:rFonts w:ascii="Calibri" w:eastAsia="Calibri" w:hAnsi="Calibri" w:cs="Calibri"/>
          <w:sz w:val="16"/>
          <w:szCs w:val="16"/>
        </w:rPr>
        <w:t>n</w:t>
      </w:r>
      <w:r>
        <w:rPr>
          <w:rFonts w:ascii="Calibri" w:eastAsia="Calibri" w:hAnsi="Calibri" w:cs="Calibri"/>
          <w:spacing w:val="-1"/>
          <w:sz w:val="16"/>
          <w:szCs w:val="16"/>
        </w:rPr>
        <w:t xml:space="preserve"> </w:t>
      </w:r>
      <w:r>
        <w:rPr>
          <w:rFonts w:ascii="Calibri" w:eastAsia="Calibri" w:hAnsi="Calibri" w:cs="Calibri"/>
          <w:sz w:val="16"/>
          <w:szCs w:val="16"/>
        </w:rPr>
        <w:t>d</w:t>
      </w:r>
      <w:r>
        <w:rPr>
          <w:rFonts w:ascii="Calibri" w:eastAsia="Calibri" w:hAnsi="Calibri" w:cs="Calibri"/>
          <w:spacing w:val="-1"/>
          <w:sz w:val="16"/>
          <w:szCs w:val="16"/>
        </w:rPr>
        <w:t>e</w:t>
      </w:r>
      <w:r>
        <w:rPr>
          <w:rFonts w:ascii="Calibri" w:eastAsia="Calibri" w:hAnsi="Calibri" w:cs="Calibri"/>
          <w:sz w:val="16"/>
          <w:szCs w:val="16"/>
        </w:rPr>
        <w:t>a</w:t>
      </w:r>
      <w:r>
        <w:rPr>
          <w:rFonts w:ascii="Calibri" w:eastAsia="Calibri" w:hAnsi="Calibri" w:cs="Calibri"/>
          <w:spacing w:val="-1"/>
          <w:sz w:val="16"/>
          <w:szCs w:val="16"/>
        </w:rPr>
        <w:t>t</w:t>
      </w:r>
      <w:r>
        <w:rPr>
          <w:rFonts w:ascii="Calibri" w:eastAsia="Calibri" w:hAnsi="Calibri" w:cs="Calibri"/>
          <w:sz w:val="16"/>
          <w:szCs w:val="16"/>
        </w:rPr>
        <w:t>h</w:t>
      </w:r>
      <w:r>
        <w:rPr>
          <w:rFonts w:ascii="Calibri" w:eastAsia="Calibri" w:hAnsi="Calibri" w:cs="Calibri"/>
          <w:spacing w:val="-1"/>
          <w:sz w:val="16"/>
          <w:szCs w:val="16"/>
        </w:rPr>
        <w:t xml:space="preserve"> co</w:t>
      </w:r>
      <w:r>
        <w:rPr>
          <w:rFonts w:ascii="Calibri" w:eastAsia="Calibri" w:hAnsi="Calibri" w:cs="Calibri"/>
          <w:sz w:val="16"/>
          <w:szCs w:val="16"/>
        </w:rPr>
        <w:t>d</w:t>
      </w:r>
      <w:r>
        <w:rPr>
          <w:rFonts w:ascii="Calibri" w:eastAsia="Calibri" w:hAnsi="Calibri" w:cs="Calibri"/>
          <w:spacing w:val="-1"/>
          <w:sz w:val="16"/>
          <w:szCs w:val="16"/>
        </w:rPr>
        <w:t>i</w:t>
      </w:r>
      <w:r>
        <w:rPr>
          <w:rFonts w:ascii="Calibri" w:eastAsia="Calibri" w:hAnsi="Calibri" w:cs="Calibri"/>
          <w:spacing w:val="4"/>
          <w:sz w:val="16"/>
          <w:szCs w:val="16"/>
        </w:rPr>
        <w:t>n</w:t>
      </w:r>
      <w:r>
        <w:rPr>
          <w:rFonts w:ascii="Calibri" w:eastAsia="Calibri" w:hAnsi="Calibri" w:cs="Calibri"/>
          <w:sz w:val="16"/>
          <w:szCs w:val="16"/>
        </w:rPr>
        <w:t>g</w:t>
      </w:r>
      <w:r>
        <w:rPr>
          <w:rFonts w:ascii="Calibri" w:eastAsia="Calibri" w:hAnsi="Calibri" w:cs="Calibri"/>
          <w:spacing w:val="1"/>
          <w:sz w:val="16"/>
          <w:szCs w:val="16"/>
        </w:rPr>
        <w:t xml:space="preserve"> </w:t>
      </w:r>
      <w:r>
        <w:rPr>
          <w:rFonts w:ascii="Calibri" w:eastAsia="Calibri" w:hAnsi="Calibri" w:cs="Calibri"/>
          <w:spacing w:val="-1"/>
          <w:sz w:val="16"/>
          <w:szCs w:val="16"/>
        </w:rPr>
        <w:t>t</w:t>
      </w:r>
      <w:r>
        <w:rPr>
          <w:rFonts w:ascii="Calibri" w:eastAsia="Calibri" w:hAnsi="Calibri" w:cs="Calibri"/>
          <w:sz w:val="16"/>
          <w:szCs w:val="16"/>
        </w:rPr>
        <w:t>h</w:t>
      </w:r>
      <w:r>
        <w:rPr>
          <w:rFonts w:ascii="Calibri" w:eastAsia="Calibri" w:hAnsi="Calibri" w:cs="Calibri"/>
          <w:spacing w:val="-1"/>
          <w:sz w:val="16"/>
          <w:szCs w:val="16"/>
        </w:rPr>
        <w:t>a</w:t>
      </w:r>
      <w:r>
        <w:rPr>
          <w:rFonts w:ascii="Calibri" w:eastAsia="Calibri" w:hAnsi="Calibri" w:cs="Calibri"/>
          <w:sz w:val="16"/>
          <w:szCs w:val="16"/>
        </w:rPr>
        <w:t>t</w:t>
      </w:r>
      <w:r>
        <w:rPr>
          <w:rFonts w:ascii="Calibri" w:eastAsia="Calibri" w:hAnsi="Calibri" w:cs="Calibri"/>
          <w:spacing w:val="1"/>
          <w:sz w:val="16"/>
          <w:szCs w:val="16"/>
        </w:rPr>
        <w:t xml:space="preserve"> </w:t>
      </w:r>
      <w:r>
        <w:rPr>
          <w:rFonts w:ascii="Calibri" w:eastAsia="Calibri" w:hAnsi="Calibri" w:cs="Calibri"/>
          <w:spacing w:val="-1"/>
          <w:sz w:val="16"/>
          <w:szCs w:val="16"/>
        </w:rPr>
        <w:t>occ</w:t>
      </w:r>
      <w:r>
        <w:rPr>
          <w:rFonts w:ascii="Calibri" w:eastAsia="Calibri" w:hAnsi="Calibri" w:cs="Calibri"/>
          <w:sz w:val="16"/>
          <w:szCs w:val="16"/>
        </w:rPr>
        <w:t>u</w:t>
      </w:r>
      <w:r>
        <w:rPr>
          <w:rFonts w:ascii="Calibri" w:eastAsia="Calibri" w:hAnsi="Calibri" w:cs="Calibri"/>
          <w:spacing w:val="-1"/>
          <w:sz w:val="16"/>
          <w:szCs w:val="16"/>
        </w:rPr>
        <w:t>r</w:t>
      </w:r>
      <w:r>
        <w:rPr>
          <w:rFonts w:ascii="Calibri" w:eastAsia="Calibri" w:hAnsi="Calibri" w:cs="Calibri"/>
          <w:spacing w:val="1"/>
          <w:sz w:val="16"/>
          <w:szCs w:val="16"/>
        </w:rPr>
        <w:t>r</w:t>
      </w:r>
      <w:r>
        <w:rPr>
          <w:rFonts w:ascii="Calibri" w:eastAsia="Calibri" w:hAnsi="Calibri" w:cs="Calibri"/>
          <w:spacing w:val="-1"/>
          <w:sz w:val="16"/>
          <w:szCs w:val="16"/>
        </w:rPr>
        <w:t>e</w:t>
      </w:r>
      <w:r>
        <w:rPr>
          <w:rFonts w:ascii="Calibri" w:eastAsia="Calibri" w:hAnsi="Calibri" w:cs="Calibri"/>
          <w:sz w:val="16"/>
          <w:szCs w:val="16"/>
        </w:rPr>
        <w:t>d</w:t>
      </w:r>
      <w:r>
        <w:rPr>
          <w:rFonts w:ascii="Calibri" w:eastAsia="Calibri" w:hAnsi="Calibri" w:cs="Calibri"/>
          <w:spacing w:val="-1"/>
          <w:sz w:val="16"/>
          <w:szCs w:val="16"/>
        </w:rPr>
        <w:t xml:space="preserve"> i</w:t>
      </w:r>
      <w:r>
        <w:rPr>
          <w:rFonts w:ascii="Calibri" w:eastAsia="Calibri" w:hAnsi="Calibri" w:cs="Calibri"/>
          <w:sz w:val="16"/>
          <w:szCs w:val="16"/>
        </w:rPr>
        <w:t>n</w:t>
      </w:r>
      <w:r>
        <w:rPr>
          <w:rFonts w:ascii="Calibri" w:eastAsia="Calibri" w:hAnsi="Calibri" w:cs="Calibri"/>
          <w:spacing w:val="2"/>
          <w:sz w:val="16"/>
          <w:szCs w:val="16"/>
        </w:rPr>
        <w:t xml:space="preserve"> </w:t>
      </w:r>
      <w:r>
        <w:rPr>
          <w:rFonts w:ascii="Calibri" w:eastAsia="Calibri" w:hAnsi="Calibri" w:cs="Calibri"/>
          <w:sz w:val="16"/>
          <w:szCs w:val="16"/>
        </w:rPr>
        <w:t>2005. Su</w:t>
      </w:r>
      <w:r>
        <w:rPr>
          <w:rFonts w:ascii="Calibri" w:eastAsia="Calibri" w:hAnsi="Calibri" w:cs="Calibri"/>
          <w:spacing w:val="-1"/>
          <w:sz w:val="16"/>
          <w:szCs w:val="16"/>
        </w:rPr>
        <w:t>ici</w:t>
      </w:r>
      <w:r>
        <w:rPr>
          <w:rFonts w:ascii="Calibri" w:eastAsia="Calibri" w:hAnsi="Calibri" w:cs="Calibri"/>
          <w:sz w:val="16"/>
          <w:szCs w:val="16"/>
        </w:rPr>
        <w:t>d</w:t>
      </w:r>
      <w:r>
        <w:rPr>
          <w:rFonts w:ascii="Calibri" w:eastAsia="Calibri" w:hAnsi="Calibri" w:cs="Calibri"/>
          <w:spacing w:val="-1"/>
          <w:sz w:val="16"/>
          <w:szCs w:val="16"/>
        </w:rPr>
        <w:t>e</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z w:val="16"/>
          <w:szCs w:val="16"/>
        </w:rPr>
        <w:t>a</w:t>
      </w:r>
      <w:r>
        <w:rPr>
          <w:rFonts w:ascii="Calibri" w:eastAsia="Calibri" w:hAnsi="Calibri" w:cs="Calibri"/>
          <w:spacing w:val="-1"/>
          <w:sz w:val="16"/>
          <w:szCs w:val="16"/>
        </w:rPr>
        <w:t>r</w:t>
      </w:r>
      <w:r>
        <w:rPr>
          <w:rFonts w:ascii="Calibri" w:eastAsia="Calibri" w:hAnsi="Calibri" w:cs="Calibri"/>
          <w:sz w:val="16"/>
          <w:szCs w:val="16"/>
        </w:rPr>
        <w:t>e</w:t>
      </w:r>
      <w:r>
        <w:rPr>
          <w:rFonts w:ascii="Calibri" w:eastAsia="Calibri" w:hAnsi="Calibri" w:cs="Calibri"/>
          <w:spacing w:val="-1"/>
          <w:sz w:val="16"/>
          <w:szCs w:val="16"/>
        </w:rPr>
        <w:t xml:space="preserve"> e</w:t>
      </w:r>
      <w:r>
        <w:rPr>
          <w:rFonts w:ascii="Calibri" w:eastAsia="Calibri" w:hAnsi="Calibri" w:cs="Calibri"/>
          <w:sz w:val="16"/>
          <w:szCs w:val="16"/>
        </w:rPr>
        <w:t>x</w:t>
      </w:r>
      <w:r>
        <w:rPr>
          <w:rFonts w:ascii="Calibri" w:eastAsia="Calibri" w:hAnsi="Calibri" w:cs="Calibri"/>
          <w:spacing w:val="-1"/>
          <w:sz w:val="16"/>
          <w:szCs w:val="16"/>
        </w:rPr>
        <w:t>cl</w:t>
      </w:r>
      <w:r>
        <w:rPr>
          <w:rFonts w:ascii="Calibri" w:eastAsia="Calibri" w:hAnsi="Calibri" w:cs="Calibri"/>
          <w:sz w:val="16"/>
          <w:szCs w:val="16"/>
        </w:rPr>
        <w:t>u</w:t>
      </w:r>
      <w:r>
        <w:rPr>
          <w:rFonts w:ascii="Calibri" w:eastAsia="Calibri" w:hAnsi="Calibri" w:cs="Calibri"/>
          <w:spacing w:val="-1"/>
          <w:sz w:val="16"/>
          <w:szCs w:val="16"/>
        </w:rPr>
        <w:t>de</w:t>
      </w:r>
      <w:r>
        <w:rPr>
          <w:rFonts w:ascii="Calibri" w:eastAsia="Calibri" w:hAnsi="Calibri" w:cs="Calibri"/>
          <w:sz w:val="16"/>
          <w:szCs w:val="16"/>
        </w:rPr>
        <w:t>d</w:t>
      </w:r>
      <w:r>
        <w:rPr>
          <w:rFonts w:ascii="Calibri" w:eastAsia="Calibri" w:hAnsi="Calibri" w:cs="Calibri"/>
          <w:spacing w:val="2"/>
          <w:sz w:val="16"/>
          <w:szCs w:val="16"/>
        </w:rPr>
        <w:t xml:space="preserve"> </w:t>
      </w:r>
      <w:r>
        <w:rPr>
          <w:rFonts w:ascii="Calibri" w:eastAsia="Calibri" w:hAnsi="Calibri" w:cs="Calibri"/>
          <w:spacing w:val="-1"/>
          <w:sz w:val="16"/>
          <w:szCs w:val="16"/>
        </w:rPr>
        <w:t>fro</w:t>
      </w:r>
      <w:r>
        <w:rPr>
          <w:rFonts w:ascii="Calibri" w:eastAsia="Calibri" w:hAnsi="Calibri" w:cs="Calibri"/>
          <w:sz w:val="16"/>
          <w:szCs w:val="16"/>
        </w:rPr>
        <w:t>m</w:t>
      </w:r>
      <w:r>
        <w:rPr>
          <w:rFonts w:ascii="Calibri" w:eastAsia="Calibri" w:hAnsi="Calibri" w:cs="Calibri"/>
          <w:spacing w:val="1"/>
          <w:sz w:val="16"/>
          <w:szCs w:val="16"/>
        </w:rPr>
        <w:t xml:space="preserve"> </w:t>
      </w:r>
      <w:r>
        <w:rPr>
          <w:rFonts w:ascii="Calibri" w:eastAsia="Calibri" w:hAnsi="Calibri" w:cs="Calibri"/>
          <w:spacing w:val="-1"/>
          <w:sz w:val="16"/>
          <w:szCs w:val="16"/>
        </w:rPr>
        <w:t>t</w:t>
      </w:r>
      <w:r>
        <w:rPr>
          <w:rFonts w:ascii="Calibri" w:eastAsia="Calibri" w:hAnsi="Calibri" w:cs="Calibri"/>
          <w:sz w:val="16"/>
          <w:szCs w:val="16"/>
        </w:rPr>
        <w:t>h</w:t>
      </w:r>
      <w:r>
        <w:rPr>
          <w:rFonts w:ascii="Calibri" w:eastAsia="Calibri" w:hAnsi="Calibri" w:cs="Calibri"/>
          <w:spacing w:val="1"/>
          <w:sz w:val="16"/>
          <w:szCs w:val="16"/>
        </w:rPr>
        <w:t>i</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z w:val="16"/>
          <w:szCs w:val="16"/>
        </w:rPr>
        <w:t>a</w:t>
      </w:r>
      <w:r>
        <w:rPr>
          <w:rFonts w:ascii="Calibri" w:eastAsia="Calibri" w:hAnsi="Calibri" w:cs="Calibri"/>
          <w:spacing w:val="-1"/>
          <w:sz w:val="16"/>
          <w:szCs w:val="16"/>
        </w:rPr>
        <w:t>n</w:t>
      </w:r>
      <w:r>
        <w:rPr>
          <w:rFonts w:ascii="Calibri" w:eastAsia="Calibri" w:hAnsi="Calibri" w:cs="Calibri"/>
          <w:sz w:val="16"/>
          <w:szCs w:val="16"/>
        </w:rPr>
        <w:t>a</w:t>
      </w:r>
      <w:r>
        <w:rPr>
          <w:rFonts w:ascii="Calibri" w:eastAsia="Calibri" w:hAnsi="Calibri" w:cs="Calibri"/>
          <w:spacing w:val="-1"/>
          <w:sz w:val="16"/>
          <w:szCs w:val="16"/>
        </w:rPr>
        <w:t>ly</w:t>
      </w:r>
      <w:r>
        <w:rPr>
          <w:rFonts w:ascii="Calibri" w:eastAsia="Calibri" w:hAnsi="Calibri" w:cs="Calibri"/>
          <w:sz w:val="16"/>
          <w:szCs w:val="16"/>
        </w:rPr>
        <w:t>s</w:t>
      </w:r>
      <w:r>
        <w:rPr>
          <w:rFonts w:ascii="Calibri" w:eastAsia="Calibri" w:hAnsi="Calibri" w:cs="Calibri"/>
          <w:spacing w:val="-1"/>
          <w:sz w:val="16"/>
          <w:szCs w:val="16"/>
        </w:rPr>
        <w:t>i</w:t>
      </w:r>
      <w:r>
        <w:rPr>
          <w:rFonts w:ascii="Calibri" w:eastAsia="Calibri" w:hAnsi="Calibri" w:cs="Calibri"/>
          <w:sz w:val="16"/>
          <w:szCs w:val="16"/>
        </w:rPr>
        <w:t>s.</w:t>
      </w:r>
    </w:p>
    <w:p w:rsidR="00E2392E" w:rsidRDefault="00E2392E" w:rsidP="00E2392E">
      <w:pPr>
        <w:spacing w:line="180" w:lineRule="exact"/>
        <w:ind w:left="226"/>
        <w:rPr>
          <w:rFonts w:ascii="Calibri" w:eastAsia="Calibri" w:hAnsi="Calibri" w:cs="Calibri"/>
          <w:spacing w:val="-1"/>
          <w:sz w:val="16"/>
          <w:szCs w:val="16"/>
        </w:rPr>
      </w:pPr>
    </w:p>
    <w:p w:rsidR="00E2392E" w:rsidRDefault="00E2392E" w:rsidP="00E2392E">
      <w:pPr>
        <w:spacing w:line="180" w:lineRule="exact"/>
        <w:ind w:left="226"/>
        <w:rPr>
          <w:rFonts w:ascii="Calibri" w:eastAsia="Calibri" w:hAnsi="Calibri" w:cs="Calibri"/>
          <w:sz w:val="16"/>
          <w:szCs w:val="16"/>
        </w:rPr>
      </w:pPr>
      <w:r>
        <w:rPr>
          <w:rFonts w:ascii="Calibri" w:eastAsia="Calibri" w:hAnsi="Calibri" w:cs="Calibri"/>
          <w:spacing w:val="-1"/>
          <w:sz w:val="16"/>
          <w:szCs w:val="16"/>
        </w:rPr>
        <w:t>O</w:t>
      </w:r>
      <w:r>
        <w:rPr>
          <w:rFonts w:ascii="Calibri" w:eastAsia="Calibri" w:hAnsi="Calibri" w:cs="Calibri"/>
          <w:sz w:val="16"/>
          <w:szCs w:val="16"/>
        </w:rPr>
        <w:t>p</w:t>
      </w:r>
      <w:r>
        <w:rPr>
          <w:rFonts w:ascii="Calibri" w:eastAsia="Calibri" w:hAnsi="Calibri" w:cs="Calibri"/>
          <w:spacing w:val="-1"/>
          <w:sz w:val="16"/>
          <w:szCs w:val="16"/>
        </w:rPr>
        <w:t>ioi</w:t>
      </w:r>
      <w:r>
        <w:rPr>
          <w:rFonts w:ascii="Calibri" w:eastAsia="Calibri" w:hAnsi="Calibri" w:cs="Calibri"/>
          <w:sz w:val="16"/>
          <w:szCs w:val="16"/>
        </w:rPr>
        <w:t>ds</w:t>
      </w:r>
      <w:r>
        <w:rPr>
          <w:rFonts w:ascii="Calibri" w:eastAsia="Calibri" w:hAnsi="Calibri" w:cs="Calibri"/>
          <w:spacing w:val="1"/>
          <w:sz w:val="16"/>
          <w:szCs w:val="16"/>
        </w:rPr>
        <w:t xml:space="preserve"> </w:t>
      </w:r>
      <w:r>
        <w:rPr>
          <w:rFonts w:ascii="Calibri" w:eastAsia="Calibri" w:hAnsi="Calibri" w:cs="Calibri"/>
          <w:spacing w:val="-1"/>
          <w:sz w:val="16"/>
          <w:szCs w:val="16"/>
        </w:rPr>
        <w:t>i</w:t>
      </w:r>
      <w:r>
        <w:rPr>
          <w:rFonts w:ascii="Calibri" w:eastAsia="Calibri" w:hAnsi="Calibri" w:cs="Calibri"/>
          <w:sz w:val="16"/>
          <w:szCs w:val="16"/>
        </w:rPr>
        <w:t>n</w:t>
      </w:r>
      <w:r>
        <w:rPr>
          <w:rFonts w:ascii="Calibri" w:eastAsia="Calibri" w:hAnsi="Calibri" w:cs="Calibri"/>
          <w:spacing w:val="-1"/>
          <w:sz w:val="16"/>
          <w:szCs w:val="16"/>
        </w:rPr>
        <w:t>cl</w:t>
      </w:r>
      <w:r>
        <w:rPr>
          <w:rFonts w:ascii="Calibri" w:eastAsia="Calibri" w:hAnsi="Calibri" w:cs="Calibri"/>
          <w:sz w:val="16"/>
          <w:szCs w:val="16"/>
        </w:rPr>
        <w:t>u</w:t>
      </w:r>
      <w:r>
        <w:rPr>
          <w:rFonts w:ascii="Calibri" w:eastAsia="Calibri" w:hAnsi="Calibri" w:cs="Calibri"/>
          <w:spacing w:val="-1"/>
          <w:sz w:val="16"/>
          <w:szCs w:val="16"/>
        </w:rPr>
        <w:t>d</w:t>
      </w:r>
      <w:r>
        <w:rPr>
          <w:rFonts w:ascii="Calibri" w:eastAsia="Calibri" w:hAnsi="Calibri" w:cs="Calibri"/>
          <w:sz w:val="16"/>
          <w:szCs w:val="16"/>
        </w:rPr>
        <w:t>e</w:t>
      </w:r>
      <w:r>
        <w:rPr>
          <w:rFonts w:ascii="Calibri" w:eastAsia="Calibri" w:hAnsi="Calibri" w:cs="Calibri"/>
          <w:spacing w:val="-1"/>
          <w:sz w:val="16"/>
          <w:szCs w:val="16"/>
        </w:rPr>
        <w:t xml:space="preserve"> </w:t>
      </w:r>
      <w:r w:rsidR="001A017E">
        <w:rPr>
          <w:rFonts w:ascii="Calibri" w:eastAsia="Calibri" w:hAnsi="Calibri" w:cs="Calibri"/>
          <w:spacing w:val="1"/>
          <w:sz w:val="16"/>
          <w:szCs w:val="16"/>
        </w:rPr>
        <w:t>Heroin</w:t>
      </w:r>
      <w:r>
        <w:rPr>
          <w:rFonts w:ascii="Calibri" w:eastAsia="Calibri" w:hAnsi="Calibri" w:cs="Calibri"/>
          <w:sz w:val="16"/>
          <w:szCs w:val="16"/>
        </w:rPr>
        <w:t xml:space="preserve">, </w:t>
      </w:r>
      <w:r>
        <w:rPr>
          <w:rFonts w:ascii="Calibri" w:eastAsia="Calibri" w:hAnsi="Calibri" w:cs="Calibri"/>
          <w:spacing w:val="-1"/>
          <w:sz w:val="16"/>
          <w:szCs w:val="16"/>
        </w:rPr>
        <w:t>o</w:t>
      </w:r>
      <w:r>
        <w:rPr>
          <w:rFonts w:ascii="Calibri" w:eastAsia="Calibri" w:hAnsi="Calibri" w:cs="Calibri"/>
          <w:spacing w:val="2"/>
          <w:sz w:val="16"/>
          <w:szCs w:val="16"/>
        </w:rPr>
        <w:t>p</w:t>
      </w:r>
      <w:r>
        <w:rPr>
          <w:rFonts w:ascii="Calibri" w:eastAsia="Calibri" w:hAnsi="Calibri" w:cs="Calibri"/>
          <w:spacing w:val="-1"/>
          <w:sz w:val="16"/>
          <w:szCs w:val="16"/>
        </w:rPr>
        <w:t>ioi</w:t>
      </w:r>
      <w:r>
        <w:rPr>
          <w:rFonts w:ascii="Calibri" w:eastAsia="Calibri" w:hAnsi="Calibri" w:cs="Calibri"/>
          <w:spacing w:val="1"/>
          <w:sz w:val="16"/>
          <w:szCs w:val="16"/>
        </w:rPr>
        <w:t>d-</w:t>
      </w:r>
      <w:r>
        <w:rPr>
          <w:rFonts w:ascii="Calibri" w:eastAsia="Calibri" w:hAnsi="Calibri" w:cs="Calibri"/>
          <w:sz w:val="16"/>
          <w:szCs w:val="16"/>
        </w:rPr>
        <w:t>b</w:t>
      </w:r>
      <w:r>
        <w:rPr>
          <w:rFonts w:ascii="Calibri" w:eastAsia="Calibri" w:hAnsi="Calibri" w:cs="Calibri"/>
          <w:spacing w:val="-1"/>
          <w:sz w:val="16"/>
          <w:szCs w:val="16"/>
        </w:rPr>
        <w:t>a</w:t>
      </w:r>
      <w:r>
        <w:rPr>
          <w:rFonts w:ascii="Calibri" w:eastAsia="Calibri" w:hAnsi="Calibri" w:cs="Calibri"/>
          <w:sz w:val="16"/>
          <w:szCs w:val="16"/>
        </w:rPr>
        <w:t>s</w:t>
      </w:r>
      <w:r>
        <w:rPr>
          <w:rFonts w:ascii="Calibri" w:eastAsia="Calibri" w:hAnsi="Calibri" w:cs="Calibri"/>
          <w:spacing w:val="1"/>
          <w:sz w:val="16"/>
          <w:szCs w:val="16"/>
        </w:rPr>
        <w:t>e</w:t>
      </w:r>
      <w:r>
        <w:rPr>
          <w:rFonts w:ascii="Calibri" w:eastAsia="Calibri" w:hAnsi="Calibri" w:cs="Calibri"/>
          <w:sz w:val="16"/>
          <w:szCs w:val="16"/>
        </w:rPr>
        <w:t>d</w:t>
      </w:r>
      <w:r>
        <w:rPr>
          <w:rFonts w:ascii="Calibri" w:eastAsia="Calibri" w:hAnsi="Calibri" w:cs="Calibri"/>
          <w:spacing w:val="-1"/>
          <w:sz w:val="16"/>
          <w:szCs w:val="16"/>
        </w:rPr>
        <w:t xml:space="preserve"> </w:t>
      </w:r>
      <w:r>
        <w:rPr>
          <w:rFonts w:ascii="Calibri" w:eastAsia="Calibri" w:hAnsi="Calibri" w:cs="Calibri"/>
          <w:sz w:val="16"/>
          <w:szCs w:val="16"/>
        </w:rPr>
        <w:t>p</w:t>
      </w:r>
      <w:r>
        <w:rPr>
          <w:rFonts w:ascii="Calibri" w:eastAsia="Calibri" w:hAnsi="Calibri" w:cs="Calibri"/>
          <w:spacing w:val="-1"/>
          <w:sz w:val="16"/>
          <w:szCs w:val="16"/>
        </w:rPr>
        <w:t>re</w:t>
      </w:r>
      <w:r>
        <w:rPr>
          <w:rFonts w:ascii="Calibri" w:eastAsia="Calibri" w:hAnsi="Calibri" w:cs="Calibri"/>
          <w:sz w:val="16"/>
          <w:szCs w:val="16"/>
        </w:rPr>
        <w:t>s</w:t>
      </w:r>
      <w:r>
        <w:rPr>
          <w:rFonts w:ascii="Calibri" w:eastAsia="Calibri" w:hAnsi="Calibri" w:cs="Calibri"/>
          <w:spacing w:val="-1"/>
          <w:sz w:val="16"/>
          <w:szCs w:val="16"/>
        </w:rPr>
        <w:t>cri</w:t>
      </w:r>
      <w:r>
        <w:rPr>
          <w:rFonts w:ascii="Calibri" w:eastAsia="Calibri" w:hAnsi="Calibri" w:cs="Calibri"/>
          <w:spacing w:val="2"/>
          <w:sz w:val="16"/>
          <w:szCs w:val="16"/>
        </w:rPr>
        <w:t>p</w:t>
      </w:r>
      <w:r>
        <w:rPr>
          <w:rFonts w:ascii="Calibri" w:eastAsia="Calibri" w:hAnsi="Calibri" w:cs="Calibri"/>
          <w:spacing w:val="-1"/>
          <w:sz w:val="16"/>
          <w:szCs w:val="16"/>
        </w:rPr>
        <w:t>tio</w:t>
      </w:r>
      <w:r>
        <w:rPr>
          <w:rFonts w:ascii="Calibri" w:eastAsia="Calibri" w:hAnsi="Calibri" w:cs="Calibri"/>
          <w:sz w:val="16"/>
          <w:szCs w:val="16"/>
        </w:rPr>
        <w:t>n p</w:t>
      </w:r>
      <w:r>
        <w:rPr>
          <w:rFonts w:ascii="Calibri" w:eastAsia="Calibri" w:hAnsi="Calibri" w:cs="Calibri"/>
          <w:spacing w:val="2"/>
          <w:sz w:val="16"/>
          <w:szCs w:val="16"/>
        </w:rPr>
        <w:t>a</w:t>
      </w:r>
      <w:r>
        <w:rPr>
          <w:rFonts w:ascii="Calibri" w:eastAsia="Calibri" w:hAnsi="Calibri" w:cs="Calibri"/>
          <w:spacing w:val="-1"/>
          <w:sz w:val="16"/>
          <w:szCs w:val="16"/>
        </w:rPr>
        <w:t>i</w:t>
      </w:r>
      <w:r>
        <w:rPr>
          <w:rFonts w:ascii="Calibri" w:eastAsia="Calibri" w:hAnsi="Calibri" w:cs="Calibri"/>
          <w:sz w:val="16"/>
          <w:szCs w:val="16"/>
        </w:rPr>
        <w:t>n</w:t>
      </w:r>
      <w:r>
        <w:rPr>
          <w:rFonts w:ascii="Calibri" w:eastAsia="Calibri" w:hAnsi="Calibri" w:cs="Calibri"/>
          <w:spacing w:val="-2"/>
          <w:sz w:val="16"/>
          <w:szCs w:val="16"/>
        </w:rPr>
        <w:t>k</w:t>
      </w:r>
      <w:r>
        <w:rPr>
          <w:rFonts w:ascii="Calibri" w:eastAsia="Calibri" w:hAnsi="Calibri" w:cs="Calibri"/>
          <w:spacing w:val="-1"/>
          <w:sz w:val="16"/>
          <w:szCs w:val="16"/>
        </w:rPr>
        <w:t>i</w:t>
      </w:r>
      <w:r>
        <w:rPr>
          <w:rFonts w:ascii="Calibri" w:eastAsia="Calibri" w:hAnsi="Calibri" w:cs="Calibri"/>
          <w:spacing w:val="1"/>
          <w:sz w:val="16"/>
          <w:szCs w:val="16"/>
        </w:rPr>
        <w:t>l</w:t>
      </w:r>
      <w:r>
        <w:rPr>
          <w:rFonts w:ascii="Calibri" w:eastAsia="Calibri" w:hAnsi="Calibri" w:cs="Calibri"/>
          <w:spacing w:val="-1"/>
          <w:sz w:val="16"/>
          <w:szCs w:val="16"/>
        </w:rPr>
        <w:t>ler</w:t>
      </w:r>
      <w:r>
        <w:rPr>
          <w:rFonts w:ascii="Calibri" w:eastAsia="Calibri" w:hAnsi="Calibri" w:cs="Calibri"/>
          <w:sz w:val="16"/>
          <w:szCs w:val="16"/>
        </w:rPr>
        <w:t>s, a</w:t>
      </w:r>
      <w:r>
        <w:rPr>
          <w:rFonts w:ascii="Calibri" w:eastAsia="Calibri" w:hAnsi="Calibri" w:cs="Calibri"/>
          <w:spacing w:val="-1"/>
          <w:sz w:val="16"/>
          <w:szCs w:val="16"/>
        </w:rPr>
        <w:t>n</w:t>
      </w:r>
      <w:r>
        <w:rPr>
          <w:rFonts w:ascii="Calibri" w:eastAsia="Calibri" w:hAnsi="Calibri" w:cs="Calibri"/>
          <w:sz w:val="16"/>
          <w:szCs w:val="16"/>
        </w:rPr>
        <w:t>d</w:t>
      </w:r>
      <w:r>
        <w:rPr>
          <w:rFonts w:ascii="Calibri" w:eastAsia="Calibri" w:hAnsi="Calibri" w:cs="Calibri"/>
          <w:spacing w:val="-1"/>
          <w:sz w:val="16"/>
          <w:szCs w:val="16"/>
        </w:rPr>
        <w:t xml:space="preserve"> </w:t>
      </w:r>
      <w:r>
        <w:rPr>
          <w:rFonts w:ascii="Calibri" w:eastAsia="Calibri" w:hAnsi="Calibri" w:cs="Calibri"/>
          <w:spacing w:val="1"/>
          <w:sz w:val="16"/>
          <w:szCs w:val="16"/>
        </w:rPr>
        <w:t>o</w:t>
      </w:r>
      <w:r>
        <w:rPr>
          <w:rFonts w:ascii="Calibri" w:eastAsia="Calibri" w:hAnsi="Calibri" w:cs="Calibri"/>
          <w:spacing w:val="-1"/>
          <w:sz w:val="16"/>
          <w:szCs w:val="16"/>
        </w:rPr>
        <w:t>t</w:t>
      </w:r>
      <w:r>
        <w:rPr>
          <w:rFonts w:ascii="Calibri" w:eastAsia="Calibri" w:hAnsi="Calibri" w:cs="Calibri"/>
          <w:sz w:val="16"/>
          <w:szCs w:val="16"/>
        </w:rPr>
        <w:t>h</w:t>
      </w:r>
      <w:r>
        <w:rPr>
          <w:rFonts w:ascii="Calibri" w:eastAsia="Calibri" w:hAnsi="Calibri" w:cs="Calibri"/>
          <w:spacing w:val="-1"/>
          <w:sz w:val="16"/>
          <w:szCs w:val="16"/>
        </w:rPr>
        <w:t>e</w:t>
      </w:r>
      <w:r>
        <w:rPr>
          <w:rFonts w:ascii="Calibri" w:eastAsia="Calibri" w:hAnsi="Calibri" w:cs="Calibri"/>
          <w:sz w:val="16"/>
          <w:szCs w:val="16"/>
        </w:rPr>
        <w:t>r</w:t>
      </w:r>
      <w:r>
        <w:rPr>
          <w:rFonts w:ascii="Calibri" w:eastAsia="Calibri" w:hAnsi="Calibri" w:cs="Calibri"/>
          <w:spacing w:val="-1"/>
          <w:sz w:val="16"/>
          <w:szCs w:val="16"/>
        </w:rPr>
        <w:t xml:space="preserve"> </w:t>
      </w:r>
      <w:r>
        <w:rPr>
          <w:rFonts w:ascii="Calibri" w:eastAsia="Calibri" w:hAnsi="Calibri" w:cs="Calibri"/>
          <w:spacing w:val="1"/>
          <w:sz w:val="16"/>
          <w:szCs w:val="16"/>
        </w:rPr>
        <w:t>u</w:t>
      </w:r>
      <w:r>
        <w:rPr>
          <w:rFonts w:ascii="Calibri" w:eastAsia="Calibri" w:hAnsi="Calibri" w:cs="Calibri"/>
          <w:sz w:val="16"/>
          <w:szCs w:val="16"/>
        </w:rPr>
        <w:t>n</w:t>
      </w:r>
      <w:r>
        <w:rPr>
          <w:rFonts w:ascii="Calibri" w:eastAsia="Calibri" w:hAnsi="Calibri" w:cs="Calibri"/>
          <w:spacing w:val="-1"/>
          <w:sz w:val="16"/>
          <w:szCs w:val="16"/>
        </w:rPr>
        <w:t>s</w:t>
      </w:r>
      <w:r>
        <w:rPr>
          <w:rFonts w:ascii="Calibri" w:eastAsia="Calibri" w:hAnsi="Calibri" w:cs="Calibri"/>
          <w:sz w:val="16"/>
          <w:szCs w:val="16"/>
        </w:rPr>
        <w:t>p</w:t>
      </w:r>
      <w:r>
        <w:rPr>
          <w:rFonts w:ascii="Calibri" w:eastAsia="Calibri" w:hAnsi="Calibri" w:cs="Calibri"/>
          <w:spacing w:val="-1"/>
          <w:sz w:val="16"/>
          <w:szCs w:val="16"/>
        </w:rPr>
        <w:t>ecif</w:t>
      </w:r>
      <w:r>
        <w:rPr>
          <w:rFonts w:ascii="Calibri" w:eastAsia="Calibri" w:hAnsi="Calibri" w:cs="Calibri"/>
          <w:spacing w:val="1"/>
          <w:sz w:val="16"/>
          <w:szCs w:val="16"/>
        </w:rPr>
        <w:t>i</w:t>
      </w:r>
      <w:r>
        <w:rPr>
          <w:rFonts w:ascii="Calibri" w:eastAsia="Calibri" w:hAnsi="Calibri" w:cs="Calibri"/>
          <w:spacing w:val="-1"/>
          <w:sz w:val="16"/>
          <w:szCs w:val="16"/>
        </w:rPr>
        <w:t>e</w:t>
      </w:r>
      <w:r>
        <w:rPr>
          <w:rFonts w:ascii="Calibri" w:eastAsia="Calibri" w:hAnsi="Calibri" w:cs="Calibri"/>
          <w:sz w:val="16"/>
          <w:szCs w:val="16"/>
        </w:rPr>
        <w:t>d</w:t>
      </w:r>
      <w:r>
        <w:rPr>
          <w:rFonts w:ascii="Calibri" w:eastAsia="Calibri" w:hAnsi="Calibri" w:cs="Calibri"/>
          <w:spacing w:val="-1"/>
          <w:sz w:val="16"/>
          <w:szCs w:val="16"/>
        </w:rPr>
        <w:t xml:space="preserve"> o</w:t>
      </w:r>
      <w:r>
        <w:rPr>
          <w:rFonts w:ascii="Calibri" w:eastAsia="Calibri" w:hAnsi="Calibri" w:cs="Calibri"/>
          <w:sz w:val="16"/>
          <w:szCs w:val="16"/>
        </w:rPr>
        <w:t>p</w:t>
      </w:r>
      <w:r>
        <w:rPr>
          <w:rFonts w:ascii="Calibri" w:eastAsia="Calibri" w:hAnsi="Calibri" w:cs="Calibri"/>
          <w:spacing w:val="-1"/>
          <w:sz w:val="16"/>
          <w:szCs w:val="16"/>
        </w:rPr>
        <w:t>i</w:t>
      </w:r>
      <w:r>
        <w:rPr>
          <w:rFonts w:ascii="Calibri" w:eastAsia="Calibri" w:hAnsi="Calibri" w:cs="Calibri"/>
          <w:spacing w:val="1"/>
          <w:sz w:val="16"/>
          <w:szCs w:val="16"/>
        </w:rPr>
        <w:t>o</w:t>
      </w:r>
      <w:r>
        <w:rPr>
          <w:rFonts w:ascii="Calibri" w:eastAsia="Calibri" w:hAnsi="Calibri" w:cs="Calibri"/>
          <w:spacing w:val="-1"/>
          <w:sz w:val="16"/>
          <w:szCs w:val="16"/>
        </w:rPr>
        <w:t>i</w:t>
      </w:r>
      <w:r>
        <w:rPr>
          <w:rFonts w:ascii="Calibri" w:eastAsia="Calibri" w:hAnsi="Calibri" w:cs="Calibri"/>
          <w:sz w:val="16"/>
          <w:szCs w:val="16"/>
        </w:rPr>
        <w:t>d</w:t>
      </w:r>
      <w:r>
        <w:rPr>
          <w:rFonts w:ascii="Calibri" w:eastAsia="Calibri" w:hAnsi="Calibri" w:cs="Calibri"/>
          <w:spacing w:val="-1"/>
          <w:sz w:val="16"/>
          <w:szCs w:val="16"/>
        </w:rPr>
        <w:t>s</w:t>
      </w:r>
      <w:r>
        <w:rPr>
          <w:rFonts w:ascii="Calibri" w:eastAsia="Calibri" w:hAnsi="Calibri" w:cs="Calibri"/>
          <w:sz w:val="16"/>
          <w:szCs w:val="16"/>
        </w:rPr>
        <w:t>.</w:t>
      </w:r>
    </w:p>
    <w:p w:rsidR="00E2392E" w:rsidRDefault="00E2392E" w:rsidP="00E2392E">
      <w:pPr>
        <w:spacing w:line="180" w:lineRule="exact"/>
        <w:ind w:left="226"/>
        <w:rPr>
          <w:rFonts w:ascii="Calibri" w:eastAsia="Calibri" w:hAnsi="Calibri" w:cs="Calibri"/>
          <w:sz w:val="16"/>
          <w:szCs w:val="16"/>
        </w:rPr>
      </w:pPr>
    </w:p>
    <w:p w:rsidR="00E2392E" w:rsidRDefault="00E2392E" w:rsidP="00E2392E">
      <w:pPr>
        <w:spacing w:line="180" w:lineRule="exact"/>
        <w:ind w:left="226"/>
        <w:rPr>
          <w:rFonts w:ascii="Calibri" w:eastAsia="Calibri" w:hAnsi="Calibri" w:cs="Calibri"/>
          <w:sz w:val="16"/>
          <w:szCs w:val="16"/>
        </w:rPr>
      </w:pPr>
      <w:r>
        <w:rPr>
          <w:rFonts w:ascii="Calibri" w:eastAsia="Calibri" w:hAnsi="Calibri" w:cs="Calibri"/>
          <w:sz w:val="16"/>
          <w:szCs w:val="16"/>
        </w:rPr>
        <w:t>Ca</w:t>
      </w:r>
      <w:r>
        <w:rPr>
          <w:rFonts w:ascii="Calibri" w:eastAsia="Calibri" w:hAnsi="Calibri" w:cs="Calibri"/>
          <w:spacing w:val="-1"/>
          <w:sz w:val="16"/>
          <w:szCs w:val="16"/>
        </w:rPr>
        <w:t>se</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z w:val="16"/>
          <w:szCs w:val="16"/>
        </w:rPr>
        <w:t>w</w:t>
      </w:r>
      <w:r>
        <w:rPr>
          <w:rFonts w:ascii="Calibri" w:eastAsia="Calibri" w:hAnsi="Calibri" w:cs="Calibri"/>
          <w:spacing w:val="-1"/>
          <w:sz w:val="16"/>
          <w:szCs w:val="16"/>
        </w:rPr>
        <w:t>er</w:t>
      </w:r>
      <w:r>
        <w:rPr>
          <w:rFonts w:ascii="Calibri" w:eastAsia="Calibri" w:hAnsi="Calibri" w:cs="Calibri"/>
          <w:sz w:val="16"/>
          <w:szCs w:val="16"/>
        </w:rPr>
        <w:t>e</w:t>
      </w:r>
      <w:r>
        <w:rPr>
          <w:rFonts w:ascii="Calibri" w:eastAsia="Calibri" w:hAnsi="Calibri" w:cs="Calibri"/>
          <w:spacing w:val="-1"/>
          <w:sz w:val="16"/>
          <w:szCs w:val="16"/>
        </w:rPr>
        <w:t xml:space="preserve"> defi</w:t>
      </w:r>
      <w:r>
        <w:rPr>
          <w:rFonts w:ascii="Calibri" w:eastAsia="Calibri" w:hAnsi="Calibri" w:cs="Calibri"/>
          <w:sz w:val="16"/>
          <w:szCs w:val="16"/>
        </w:rPr>
        <w:t>n</w:t>
      </w:r>
      <w:r>
        <w:rPr>
          <w:rFonts w:ascii="Calibri" w:eastAsia="Calibri" w:hAnsi="Calibri" w:cs="Calibri"/>
          <w:spacing w:val="-1"/>
          <w:sz w:val="16"/>
          <w:szCs w:val="16"/>
        </w:rPr>
        <w:t>e</w:t>
      </w:r>
      <w:r>
        <w:rPr>
          <w:rFonts w:ascii="Calibri" w:eastAsia="Calibri" w:hAnsi="Calibri" w:cs="Calibri"/>
          <w:sz w:val="16"/>
          <w:szCs w:val="16"/>
        </w:rPr>
        <w:t>d</w:t>
      </w:r>
      <w:r>
        <w:rPr>
          <w:rFonts w:ascii="Calibri" w:eastAsia="Calibri" w:hAnsi="Calibri" w:cs="Calibri"/>
          <w:spacing w:val="-1"/>
          <w:sz w:val="16"/>
          <w:szCs w:val="16"/>
        </w:rPr>
        <w:t xml:space="preserve"> </w:t>
      </w:r>
      <w:r>
        <w:rPr>
          <w:rFonts w:ascii="Calibri" w:eastAsia="Calibri" w:hAnsi="Calibri" w:cs="Calibri"/>
          <w:sz w:val="16"/>
          <w:szCs w:val="16"/>
        </w:rPr>
        <w:t>u</w:t>
      </w:r>
      <w:r>
        <w:rPr>
          <w:rFonts w:ascii="Calibri" w:eastAsia="Calibri" w:hAnsi="Calibri" w:cs="Calibri"/>
          <w:spacing w:val="1"/>
          <w:sz w:val="16"/>
          <w:szCs w:val="16"/>
        </w:rPr>
        <w:t>s</w:t>
      </w:r>
      <w:r>
        <w:rPr>
          <w:rFonts w:ascii="Calibri" w:eastAsia="Calibri" w:hAnsi="Calibri" w:cs="Calibri"/>
          <w:spacing w:val="-1"/>
          <w:sz w:val="16"/>
          <w:szCs w:val="16"/>
        </w:rPr>
        <w:t>i</w:t>
      </w:r>
      <w:r>
        <w:rPr>
          <w:rFonts w:ascii="Calibri" w:eastAsia="Calibri" w:hAnsi="Calibri" w:cs="Calibri"/>
          <w:sz w:val="16"/>
          <w:szCs w:val="16"/>
        </w:rPr>
        <w:t>ng</w:t>
      </w:r>
      <w:r>
        <w:rPr>
          <w:rFonts w:ascii="Calibri" w:eastAsia="Calibri" w:hAnsi="Calibri" w:cs="Calibri"/>
          <w:spacing w:val="1"/>
          <w:sz w:val="16"/>
          <w:szCs w:val="16"/>
        </w:rPr>
        <w:t xml:space="preserve"> </w:t>
      </w:r>
      <w:r>
        <w:rPr>
          <w:rFonts w:ascii="Calibri" w:eastAsia="Calibri" w:hAnsi="Calibri" w:cs="Calibri"/>
          <w:spacing w:val="-1"/>
          <w:sz w:val="16"/>
          <w:szCs w:val="16"/>
        </w:rPr>
        <w:t>t</w:t>
      </w:r>
      <w:r>
        <w:rPr>
          <w:rFonts w:ascii="Calibri" w:eastAsia="Calibri" w:hAnsi="Calibri" w:cs="Calibri"/>
          <w:sz w:val="16"/>
          <w:szCs w:val="16"/>
        </w:rPr>
        <w:t>he</w:t>
      </w:r>
      <w:r>
        <w:rPr>
          <w:rFonts w:ascii="Calibri" w:eastAsia="Calibri" w:hAnsi="Calibri" w:cs="Calibri"/>
          <w:spacing w:val="-1"/>
          <w:sz w:val="16"/>
          <w:szCs w:val="16"/>
        </w:rPr>
        <w:t xml:space="preserve"> </w:t>
      </w:r>
      <w:r>
        <w:rPr>
          <w:rFonts w:ascii="Calibri" w:eastAsia="Calibri" w:hAnsi="Calibri" w:cs="Calibri"/>
          <w:sz w:val="16"/>
          <w:szCs w:val="16"/>
        </w:rPr>
        <w:t>I</w:t>
      </w:r>
      <w:r>
        <w:rPr>
          <w:rFonts w:ascii="Calibri" w:eastAsia="Calibri" w:hAnsi="Calibri" w:cs="Calibri"/>
          <w:spacing w:val="-1"/>
          <w:sz w:val="16"/>
          <w:szCs w:val="16"/>
        </w:rPr>
        <w:t>nter</w:t>
      </w:r>
      <w:r>
        <w:rPr>
          <w:rFonts w:ascii="Calibri" w:eastAsia="Calibri" w:hAnsi="Calibri" w:cs="Calibri"/>
          <w:sz w:val="16"/>
          <w:szCs w:val="16"/>
        </w:rPr>
        <w:t>n</w:t>
      </w:r>
      <w:r>
        <w:rPr>
          <w:rFonts w:ascii="Calibri" w:eastAsia="Calibri" w:hAnsi="Calibri" w:cs="Calibri"/>
          <w:spacing w:val="2"/>
          <w:sz w:val="16"/>
          <w:szCs w:val="16"/>
        </w:rPr>
        <w:t>a</w:t>
      </w:r>
      <w:r>
        <w:rPr>
          <w:rFonts w:ascii="Calibri" w:eastAsia="Calibri" w:hAnsi="Calibri" w:cs="Calibri"/>
          <w:spacing w:val="-1"/>
          <w:sz w:val="16"/>
          <w:szCs w:val="16"/>
        </w:rPr>
        <w:t>tio</w:t>
      </w:r>
      <w:r>
        <w:rPr>
          <w:rFonts w:ascii="Calibri" w:eastAsia="Calibri" w:hAnsi="Calibri" w:cs="Calibri"/>
          <w:sz w:val="16"/>
          <w:szCs w:val="16"/>
        </w:rPr>
        <w:t>n</w:t>
      </w:r>
      <w:r>
        <w:rPr>
          <w:rFonts w:ascii="Calibri" w:eastAsia="Calibri" w:hAnsi="Calibri" w:cs="Calibri"/>
          <w:spacing w:val="-1"/>
          <w:sz w:val="16"/>
          <w:szCs w:val="16"/>
        </w:rPr>
        <w:t>a</w:t>
      </w:r>
      <w:r>
        <w:rPr>
          <w:rFonts w:ascii="Calibri" w:eastAsia="Calibri" w:hAnsi="Calibri" w:cs="Calibri"/>
          <w:sz w:val="16"/>
          <w:szCs w:val="16"/>
        </w:rPr>
        <w:t>l</w:t>
      </w:r>
      <w:r>
        <w:rPr>
          <w:rFonts w:ascii="Calibri" w:eastAsia="Calibri" w:hAnsi="Calibri" w:cs="Calibri"/>
          <w:spacing w:val="-1"/>
          <w:sz w:val="16"/>
          <w:szCs w:val="16"/>
        </w:rPr>
        <w:t xml:space="preserve"> </w:t>
      </w:r>
      <w:r>
        <w:rPr>
          <w:rFonts w:ascii="Calibri" w:eastAsia="Calibri" w:hAnsi="Calibri" w:cs="Calibri"/>
          <w:sz w:val="16"/>
          <w:szCs w:val="16"/>
        </w:rPr>
        <w:t>C</w:t>
      </w:r>
      <w:r>
        <w:rPr>
          <w:rFonts w:ascii="Calibri" w:eastAsia="Calibri" w:hAnsi="Calibri" w:cs="Calibri"/>
          <w:spacing w:val="-1"/>
          <w:sz w:val="16"/>
          <w:szCs w:val="16"/>
        </w:rPr>
        <w:t>l</w:t>
      </w:r>
      <w:r>
        <w:rPr>
          <w:rFonts w:ascii="Calibri" w:eastAsia="Calibri" w:hAnsi="Calibri" w:cs="Calibri"/>
          <w:sz w:val="16"/>
          <w:szCs w:val="16"/>
        </w:rPr>
        <w:t>a</w:t>
      </w:r>
      <w:r>
        <w:rPr>
          <w:rFonts w:ascii="Calibri" w:eastAsia="Calibri" w:hAnsi="Calibri" w:cs="Calibri"/>
          <w:spacing w:val="-1"/>
          <w:sz w:val="16"/>
          <w:szCs w:val="16"/>
        </w:rPr>
        <w:t>s</w:t>
      </w:r>
      <w:r>
        <w:rPr>
          <w:rFonts w:ascii="Calibri" w:eastAsia="Calibri" w:hAnsi="Calibri" w:cs="Calibri"/>
          <w:sz w:val="16"/>
          <w:szCs w:val="16"/>
        </w:rPr>
        <w:t>s</w:t>
      </w:r>
      <w:r>
        <w:rPr>
          <w:rFonts w:ascii="Calibri" w:eastAsia="Calibri" w:hAnsi="Calibri" w:cs="Calibri"/>
          <w:spacing w:val="1"/>
          <w:sz w:val="16"/>
          <w:szCs w:val="16"/>
        </w:rPr>
        <w:t>i</w:t>
      </w:r>
      <w:r>
        <w:rPr>
          <w:rFonts w:ascii="Calibri" w:eastAsia="Calibri" w:hAnsi="Calibri" w:cs="Calibri"/>
          <w:spacing w:val="-1"/>
          <w:sz w:val="16"/>
          <w:szCs w:val="16"/>
        </w:rPr>
        <w:t>fic</w:t>
      </w:r>
      <w:r>
        <w:rPr>
          <w:rFonts w:ascii="Calibri" w:eastAsia="Calibri" w:hAnsi="Calibri" w:cs="Calibri"/>
          <w:sz w:val="16"/>
          <w:szCs w:val="16"/>
        </w:rPr>
        <w:t>a</w:t>
      </w:r>
      <w:r>
        <w:rPr>
          <w:rFonts w:ascii="Calibri" w:eastAsia="Calibri" w:hAnsi="Calibri" w:cs="Calibri"/>
          <w:spacing w:val="1"/>
          <w:sz w:val="16"/>
          <w:szCs w:val="16"/>
        </w:rPr>
        <w:t>t</w:t>
      </w:r>
      <w:r>
        <w:rPr>
          <w:rFonts w:ascii="Calibri" w:eastAsia="Calibri" w:hAnsi="Calibri" w:cs="Calibri"/>
          <w:spacing w:val="-1"/>
          <w:sz w:val="16"/>
          <w:szCs w:val="16"/>
        </w:rPr>
        <w:t>io</w:t>
      </w:r>
      <w:r>
        <w:rPr>
          <w:rFonts w:ascii="Calibri" w:eastAsia="Calibri" w:hAnsi="Calibri" w:cs="Calibri"/>
          <w:sz w:val="16"/>
          <w:szCs w:val="16"/>
        </w:rPr>
        <w:t>n</w:t>
      </w:r>
      <w:r>
        <w:rPr>
          <w:rFonts w:ascii="Calibri" w:eastAsia="Calibri" w:hAnsi="Calibri" w:cs="Calibri"/>
          <w:spacing w:val="-1"/>
          <w:sz w:val="16"/>
          <w:szCs w:val="16"/>
        </w:rPr>
        <w:t xml:space="preserve"> </w:t>
      </w:r>
      <w:r>
        <w:rPr>
          <w:rFonts w:ascii="Calibri" w:eastAsia="Calibri" w:hAnsi="Calibri" w:cs="Calibri"/>
          <w:spacing w:val="1"/>
          <w:sz w:val="16"/>
          <w:szCs w:val="16"/>
        </w:rPr>
        <w:t>o</w:t>
      </w:r>
      <w:r>
        <w:rPr>
          <w:rFonts w:ascii="Calibri" w:eastAsia="Calibri" w:hAnsi="Calibri" w:cs="Calibri"/>
          <w:sz w:val="16"/>
          <w:szCs w:val="16"/>
        </w:rPr>
        <w:t>f</w:t>
      </w:r>
      <w:r>
        <w:rPr>
          <w:rFonts w:ascii="Calibri" w:eastAsia="Calibri" w:hAnsi="Calibri" w:cs="Calibri"/>
          <w:spacing w:val="-1"/>
          <w:sz w:val="16"/>
          <w:szCs w:val="16"/>
        </w:rPr>
        <w:t xml:space="preserve"> Di</w:t>
      </w:r>
      <w:r>
        <w:rPr>
          <w:rFonts w:ascii="Calibri" w:eastAsia="Calibri" w:hAnsi="Calibri" w:cs="Calibri"/>
          <w:sz w:val="16"/>
          <w:szCs w:val="16"/>
        </w:rPr>
        <w:t>s</w:t>
      </w:r>
      <w:r>
        <w:rPr>
          <w:rFonts w:ascii="Calibri" w:eastAsia="Calibri" w:hAnsi="Calibri" w:cs="Calibri"/>
          <w:spacing w:val="-1"/>
          <w:sz w:val="16"/>
          <w:szCs w:val="16"/>
        </w:rPr>
        <w:t>e</w:t>
      </w:r>
      <w:r>
        <w:rPr>
          <w:rFonts w:ascii="Calibri" w:eastAsia="Calibri" w:hAnsi="Calibri" w:cs="Calibri"/>
          <w:sz w:val="16"/>
          <w:szCs w:val="16"/>
        </w:rPr>
        <w:t>a</w:t>
      </w:r>
      <w:r>
        <w:rPr>
          <w:rFonts w:ascii="Calibri" w:eastAsia="Calibri" w:hAnsi="Calibri" w:cs="Calibri"/>
          <w:spacing w:val="-1"/>
          <w:sz w:val="16"/>
          <w:szCs w:val="16"/>
        </w:rPr>
        <w:t>s</w:t>
      </w:r>
      <w:r>
        <w:rPr>
          <w:rFonts w:ascii="Calibri" w:eastAsia="Calibri" w:hAnsi="Calibri" w:cs="Calibri"/>
          <w:sz w:val="16"/>
          <w:szCs w:val="16"/>
        </w:rPr>
        <w:t>e</w:t>
      </w:r>
      <w:r>
        <w:rPr>
          <w:rFonts w:ascii="Calibri" w:eastAsia="Calibri" w:hAnsi="Calibri" w:cs="Calibri"/>
          <w:spacing w:val="1"/>
          <w:sz w:val="16"/>
          <w:szCs w:val="16"/>
        </w:rPr>
        <w:t xml:space="preserve"> </w:t>
      </w:r>
      <w:r>
        <w:rPr>
          <w:rFonts w:ascii="Calibri" w:eastAsia="Calibri" w:hAnsi="Calibri" w:cs="Calibri"/>
          <w:spacing w:val="-1"/>
          <w:sz w:val="16"/>
          <w:szCs w:val="16"/>
        </w:rPr>
        <w:t>(</w:t>
      </w:r>
      <w:r>
        <w:rPr>
          <w:rFonts w:ascii="Calibri" w:eastAsia="Calibri" w:hAnsi="Calibri" w:cs="Calibri"/>
          <w:sz w:val="16"/>
          <w:szCs w:val="16"/>
        </w:rPr>
        <w:t>I</w:t>
      </w:r>
      <w:r>
        <w:rPr>
          <w:rFonts w:ascii="Calibri" w:eastAsia="Calibri" w:hAnsi="Calibri" w:cs="Calibri"/>
          <w:spacing w:val="1"/>
          <w:sz w:val="16"/>
          <w:szCs w:val="16"/>
        </w:rPr>
        <w:t>CD-</w:t>
      </w:r>
      <w:r>
        <w:rPr>
          <w:rFonts w:ascii="Calibri" w:eastAsia="Calibri" w:hAnsi="Calibri" w:cs="Calibri"/>
          <w:spacing w:val="-2"/>
          <w:sz w:val="16"/>
          <w:szCs w:val="16"/>
        </w:rPr>
        <w:t>1</w:t>
      </w:r>
      <w:r>
        <w:rPr>
          <w:rFonts w:ascii="Calibri" w:eastAsia="Calibri" w:hAnsi="Calibri" w:cs="Calibri"/>
          <w:sz w:val="16"/>
          <w:szCs w:val="16"/>
        </w:rPr>
        <w:t xml:space="preserve">0) </w:t>
      </w:r>
      <w:r>
        <w:rPr>
          <w:rFonts w:ascii="Calibri" w:eastAsia="Calibri" w:hAnsi="Calibri" w:cs="Calibri"/>
          <w:spacing w:val="-1"/>
          <w:sz w:val="16"/>
          <w:szCs w:val="16"/>
        </w:rPr>
        <w:t>co</w:t>
      </w:r>
      <w:r>
        <w:rPr>
          <w:rFonts w:ascii="Calibri" w:eastAsia="Calibri" w:hAnsi="Calibri" w:cs="Calibri"/>
          <w:sz w:val="16"/>
          <w:szCs w:val="16"/>
        </w:rPr>
        <w:t>d</w:t>
      </w:r>
      <w:r>
        <w:rPr>
          <w:rFonts w:ascii="Calibri" w:eastAsia="Calibri" w:hAnsi="Calibri" w:cs="Calibri"/>
          <w:spacing w:val="-1"/>
          <w:sz w:val="16"/>
          <w:szCs w:val="16"/>
        </w:rPr>
        <w:t>e</w:t>
      </w:r>
      <w:r>
        <w:rPr>
          <w:rFonts w:ascii="Calibri" w:eastAsia="Calibri" w:hAnsi="Calibri" w:cs="Calibri"/>
          <w:sz w:val="16"/>
          <w:szCs w:val="16"/>
        </w:rPr>
        <w:t>s</w:t>
      </w:r>
      <w:r>
        <w:rPr>
          <w:rFonts w:ascii="Calibri" w:eastAsia="Calibri" w:hAnsi="Calibri" w:cs="Calibri"/>
          <w:spacing w:val="-1"/>
          <w:sz w:val="16"/>
          <w:szCs w:val="16"/>
        </w:rPr>
        <w:t xml:space="preserve"> f</w:t>
      </w:r>
      <w:r>
        <w:rPr>
          <w:rFonts w:ascii="Calibri" w:eastAsia="Calibri" w:hAnsi="Calibri" w:cs="Calibri"/>
          <w:spacing w:val="1"/>
          <w:sz w:val="16"/>
          <w:szCs w:val="16"/>
        </w:rPr>
        <w:t>o</w:t>
      </w:r>
      <w:r>
        <w:rPr>
          <w:rFonts w:ascii="Calibri" w:eastAsia="Calibri" w:hAnsi="Calibri" w:cs="Calibri"/>
          <w:sz w:val="16"/>
          <w:szCs w:val="16"/>
        </w:rPr>
        <w:t>r</w:t>
      </w:r>
      <w:r>
        <w:rPr>
          <w:rFonts w:ascii="Calibri" w:eastAsia="Calibri" w:hAnsi="Calibri" w:cs="Calibri"/>
          <w:spacing w:val="-1"/>
          <w:sz w:val="16"/>
          <w:szCs w:val="16"/>
        </w:rPr>
        <w:t xml:space="preserve"> </w:t>
      </w:r>
      <w:r>
        <w:rPr>
          <w:rFonts w:ascii="Calibri" w:eastAsia="Calibri" w:hAnsi="Calibri" w:cs="Calibri"/>
          <w:spacing w:val="1"/>
          <w:sz w:val="16"/>
          <w:szCs w:val="16"/>
        </w:rPr>
        <w:t>m</w:t>
      </w:r>
      <w:r>
        <w:rPr>
          <w:rFonts w:ascii="Calibri" w:eastAsia="Calibri" w:hAnsi="Calibri" w:cs="Calibri"/>
          <w:spacing w:val="-1"/>
          <w:sz w:val="16"/>
          <w:szCs w:val="16"/>
        </w:rPr>
        <w:t>ort</w:t>
      </w:r>
      <w:r>
        <w:rPr>
          <w:rFonts w:ascii="Calibri" w:eastAsia="Calibri" w:hAnsi="Calibri" w:cs="Calibri"/>
          <w:sz w:val="16"/>
          <w:szCs w:val="16"/>
        </w:rPr>
        <w:t>a</w:t>
      </w:r>
      <w:r>
        <w:rPr>
          <w:rFonts w:ascii="Calibri" w:eastAsia="Calibri" w:hAnsi="Calibri" w:cs="Calibri"/>
          <w:spacing w:val="-1"/>
          <w:sz w:val="16"/>
          <w:szCs w:val="16"/>
        </w:rPr>
        <w:t>li</w:t>
      </w:r>
      <w:r>
        <w:rPr>
          <w:rFonts w:ascii="Calibri" w:eastAsia="Calibri" w:hAnsi="Calibri" w:cs="Calibri"/>
          <w:spacing w:val="1"/>
          <w:sz w:val="16"/>
          <w:szCs w:val="16"/>
        </w:rPr>
        <w:t>t</w:t>
      </w:r>
      <w:r>
        <w:rPr>
          <w:rFonts w:ascii="Calibri" w:eastAsia="Calibri" w:hAnsi="Calibri" w:cs="Calibri"/>
          <w:spacing w:val="-1"/>
          <w:sz w:val="16"/>
          <w:szCs w:val="16"/>
        </w:rPr>
        <w:t>y</w:t>
      </w:r>
      <w:r>
        <w:rPr>
          <w:rFonts w:ascii="Calibri" w:eastAsia="Calibri" w:hAnsi="Calibri" w:cs="Calibri"/>
          <w:sz w:val="16"/>
          <w:szCs w:val="16"/>
        </w:rPr>
        <w:t xml:space="preserve">. </w:t>
      </w:r>
      <w:r>
        <w:rPr>
          <w:rFonts w:ascii="Calibri" w:eastAsia="Calibri" w:hAnsi="Calibri" w:cs="Calibri"/>
          <w:spacing w:val="1"/>
          <w:sz w:val="16"/>
          <w:szCs w:val="16"/>
        </w:rPr>
        <w:t>T</w:t>
      </w:r>
      <w:r>
        <w:rPr>
          <w:rFonts w:ascii="Calibri" w:eastAsia="Calibri" w:hAnsi="Calibri" w:cs="Calibri"/>
          <w:sz w:val="16"/>
          <w:szCs w:val="16"/>
        </w:rPr>
        <w:t>he</w:t>
      </w:r>
      <w:r>
        <w:rPr>
          <w:rFonts w:ascii="Calibri" w:eastAsia="Calibri" w:hAnsi="Calibri" w:cs="Calibri"/>
          <w:spacing w:val="-1"/>
          <w:sz w:val="16"/>
          <w:szCs w:val="16"/>
        </w:rPr>
        <w:t xml:space="preserve"> fol</w:t>
      </w:r>
      <w:r>
        <w:rPr>
          <w:rFonts w:ascii="Calibri" w:eastAsia="Calibri" w:hAnsi="Calibri" w:cs="Calibri"/>
          <w:spacing w:val="1"/>
          <w:sz w:val="16"/>
          <w:szCs w:val="16"/>
        </w:rPr>
        <w:t>l</w:t>
      </w:r>
      <w:r>
        <w:rPr>
          <w:rFonts w:ascii="Calibri" w:eastAsia="Calibri" w:hAnsi="Calibri" w:cs="Calibri"/>
          <w:spacing w:val="-1"/>
          <w:sz w:val="16"/>
          <w:szCs w:val="16"/>
        </w:rPr>
        <w:t>o</w:t>
      </w:r>
      <w:r>
        <w:rPr>
          <w:rFonts w:ascii="Calibri" w:eastAsia="Calibri" w:hAnsi="Calibri" w:cs="Calibri"/>
          <w:sz w:val="16"/>
          <w:szCs w:val="16"/>
        </w:rPr>
        <w:t>w</w:t>
      </w:r>
      <w:r>
        <w:rPr>
          <w:rFonts w:ascii="Calibri" w:eastAsia="Calibri" w:hAnsi="Calibri" w:cs="Calibri"/>
          <w:spacing w:val="-1"/>
          <w:sz w:val="16"/>
          <w:szCs w:val="16"/>
        </w:rPr>
        <w:t>i</w:t>
      </w:r>
      <w:r>
        <w:rPr>
          <w:rFonts w:ascii="Calibri" w:eastAsia="Calibri" w:hAnsi="Calibri" w:cs="Calibri"/>
          <w:sz w:val="16"/>
          <w:szCs w:val="16"/>
        </w:rPr>
        <w:t>ng</w:t>
      </w:r>
      <w:r>
        <w:rPr>
          <w:rFonts w:ascii="Calibri" w:eastAsia="Calibri" w:hAnsi="Calibri" w:cs="Calibri"/>
          <w:spacing w:val="1"/>
          <w:sz w:val="16"/>
          <w:szCs w:val="16"/>
        </w:rPr>
        <w:t xml:space="preserve"> </w:t>
      </w:r>
      <w:r>
        <w:rPr>
          <w:rFonts w:ascii="Calibri" w:eastAsia="Calibri" w:hAnsi="Calibri" w:cs="Calibri"/>
          <w:spacing w:val="-1"/>
          <w:sz w:val="16"/>
          <w:szCs w:val="16"/>
        </w:rPr>
        <w:t>co</w:t>
      </w:r>
      <w:r>
        <w:rPr>
          <w:rFonts w:ascii="Calibri" w:eastAsia="Calibri" w:hAnsi="Calibri" w:cs="Calibri"/>
          <w:sz w:val="16"/>
          <w:szCs w:val="16"/>
        </w:rPr>
        <w:t>d</w:t>
      </w:r>
      <w:r>
        <w:rPr>
          <w:rFonts w:ascii="Calibri" w:eastAsia="Calibri" w:hAnsi="Calibri" w:cs="Calibri"/>
          <w:spacing w:val="-1"/>
          <w:sz w:val="16"/>
          <w:szCs w:val="16"/>
        </w:rPr>
        <w:t>e</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z w:val="16"/>
          <w:szCs w:val="16"/>
        </w:rPr>
        <w:t>w</w:t>
      </w:r>
      <w:r>
        <w:rPr>
          <w:rFonts w:ascii="Calibri" w:eastAsia="Calibri" w:hAnsi="Calibri" w:cs="Calibri"/>
          <w:spacing w:val="-1"/>
          <w:sz w:val="16"/>
          <w:szCs w:val="16"/>
        </w:rPr>
        <w:t>er</w:t>
      </w:r>
      <w:r>
        <w:rPr>
          <w:rFonts w:ascii="Calibri" w:eastAsia="Calibri" w:hAnsi="Calibri" w:cs="Calibri"/>
          <w:sz w:val="16"/>
          <w:szCs w:val="16"/>
        </w:rPr>
        <w:t>e</w:t>
      </w:r>
      <w:r>
        <w:rPr>
          <w:rFonts w:ascii="Calibri" w:eastAsia="Calibri" w:hAnsi="Calibri" w:cs="Calibri"/>
          <w:spacing w:val="-1"/>
          <w:sz w:val="16"/>
          <w:szCs w:val="16"/>
        </w:rPr>
        <w:t xml:space="preserve"> s</w:t>
      </w:r>
      <w:r>
        <w:rPr>
          <w:rFonts w:ascii="Calibri" w:eastAsia="Calibri" w:hAnsi="Calibri" w:cs="Calibri"/>
          <w:spacing w:val="1"/>
          <w:sz w:val="16"/>
          <w:szCs w:val="16"/>
        </w:rPr>
        <w:t>e</w:t>
      </w:r>
      <w:r>
        <w:rPr>
          <w:rFonts w:ascii="Calibri" w:eastAsia="Calibri" w:hAnsi="Calibri" w:cs="Calibri"/>
          <w:spacing w:val="-1"/>
          <w:sz w:val="16"/>
          <w:szCs w:val="16"/>
        </w:rPr>
        <w:t>lecte</w:t>
      </w:r>
      <w:r>
        <w:rPr>
          <w:rFonts w:ascii="Calibri" w:eastAsia="Calibri" w:hAnsi="Calibri" w:cs="Calibri"/>
          <w:sz w:val="16"/>
          <w:szCs w:val="16"/>
        </w:rPr>
        <w:t>d</w:t>
      </w:r>
      <w:r>
        <w:rPr>
          <w:rFonts w:ascii="Calibri" w:eastAsia="Calibri" w:hAnsi="Calibri" w:cs="Calibri"/>
          <w:spacing w:val="2"/>
          <w:sz w:val="16"/>
          <w:szCs w:val="16"/>
        </w:rPr>
        <w:t xml:space="preserve"> </w:t>
      </w:r>
      <w:r>
        <w:rPr>
          <w:rFonts w:ascii="Calibri" w:eastAsia="Calibri" w:hAnsi="Calibri" w:cs="Calibri"/>
          <w:spacing w:val="-1"/>
          <w:sz w:val="16"/>
          <w:szCs w:val="16"/>
        </w:rPr>
        <w:t>fro</w:t>
      </w:r>
      <w:r>
        <w:rPr>
          <w:rFonts w:ascii="Calibri" w:eastAsia="Calibri" w:hAnsi="Calibri" w:cs="Calibri"/>
          <w:sz w:val="16"/>
          <w:szCs w:val="16"/>
        </w:rPr>
        <w:t>m</w:t>
      </w:r>
      <w:r>
        <w:rPr>
          <w:rFonts w:ascii="Calibri" w:eastAsia="Calibri" w:hAnsi="Calibri" w:cs="Calibri"/>
          <w:spacing w:val="1"/>
          <w:sz w:val="16"/>
          <w:szCs w:val="16"/>
        </w:rPr>
        <w:t xml:space="preserve"> </w:t>
      </w:r>
      <w:r>
        <w:rPr>
          <w:rFonts w:ascii="Calibri" w:eastAsia="Calibri" w:hAnsi="Calibri" w:cs="Calibri"/>
          <w:spacing w:val="-1"/>
          <w:sz w:val="16"/>
          <w:szCs w:val="16"/>
        </w:rPr>
        <w:t>t</w:t>
      </w:r>
      <w:r>
        <w:rPr>
          <w:rFonts w:ascii="Calibri" w:eastAsia="Calibri" w:hAnsi="Calibri" w:cs="Calibri"/>
          <w:sz w:val="16"/>
          <w:szCs w:val="16"/>
        </w:rPr>
        <w:t>he</w:t>
      </w:r>
      <w:r>
        <w:rPr>
          <w:rFonts w:ascii="Calibri" w:eastAsia="Calibri" w:hAnsi="Calibri" w:cs="Calibri"/>
          <w:spacing w:val="-1"/>
          <w:sz w:val="16"/>
          <w:szCs w:val="16"/>
        </w:rPr>
        <w:t xml:space="preserve"> u</w:t>
      </w:r>
      <w:r>
        <w:rPr>
          <w:rFonts w:ascii="Calibri" w:eastAsia="Calibri" w:hAnsi="Calibri" w:cs="Calibri"/>
          <w:sz w:val="16"/>
          <w:szCs w:val="16"/>
        </w:rPr>
        <w:t>n</w:t>
      </w:r>
      <w:r>
        <w:rPr>
          <w:rFonts w:ascii="Calibri" w:eastAsia="Calibri" w:hAnsi="Calibri" w:cs="Calibri"/>
          <w:spacing w:val="-1"/>
          <w:sz w:val="16"/>
          <w:szCs w:val="16"/>
        </w:rPr>
        <w:t>d</w:t>
      </w:r>
      <w:r>
        <w:rPr>
          <w:rFonts w:ascii="Calibri" w:eastAsia="Calibri" w:hAnsi="Calibri" w:cs="Calibri"/>
          <w:spacing w:val="1"/>
          <w:sz w:val="16"/>
          <w:szCs w:val="16"/>
        </w:rPr>
        <w:t>e</w:t>
      </w:r>
      <w:r>
        <w:rPr>
          <w:rFonts w:ascii="Calibri" w:eastAsia="Calibri" w:hAnsi="Calibri" w:cs="Calibri"/>
          <w:spacing w:val="-1"/>
          <w:sz w:val="16"/>
          <w:szCs w:val="16"/>
        </w:rPr>
        <w:t>r</w:t>
      </w:r>
      <w:r>
        <w:rPr>
          <w:rFonts w:ascii="Calibri" w:eastAsia="Calibri" w:hAnsi="Calibri" w:cs="Calibri"/>
          <w:spacing w:val="1"/>
          <w:sz w:val="16"/>
          <w:szCs w:val="16"/>
        </w:rPr>
        <w:t>l</w:t>
      </w:r>
      <w:r>
        <w:rPr>
          <w:rFonts w:ascii="Calibri" w:eastAsia="Calibri" w:hAnsi="Calibri" w:cs="Calibri"/>
          <w:spacing w:val="-1"/>
          <w:sz w:val="16"/>
          <w:szCs w:val="16"/>
        </w:rPr>
        <w:t>yi</w:t>
      </w:r>
      <w:r>
        <w:rPr>
          <w:rFonts w:ascii="Calibri" w:eastAsia="Calibri" w:hAnsi="Calibri" w:cs="Calibri"/>
          <w:sz w:val="16"/>
          <w:szCs w:val="16"/>
        </w:rPr>
        <w:t>ng</w:t>
      </w:r>
      <w:r>
        <w:rPr>
          <w:rFonts w:ascii="Calibri" w:eastAsia="Calibri" w:hAnsi="Calibri" w:cs="Calibri"/>
          <w:spacing w:val="1"/>
          <w:sz w:val="16"/>
          <w:szCs w:val="16"/>
        </w:rPr>
        <w:t xml:space="preserve"> </w:t>
      </w:r>
      <w:r>
        <w:rPr>
          <w:rFonts w:ascii="Calibri" w:eastAsia="Calibri" w:hAnsi="Calibri" w:cs="Calibri"/>
          <w:spacing w:val="-1"/>
          <w:sz w:val="16"/>
          <w:szCs w:val="16"/>
        </w:rPr>
        <w:t>c</w:t>
      </w:r>
      <w:r>
        <w:rPr>
          <w:rFonts w:ascii="Calibri" w:eastAsia="Calibri" w:hAnsi="Calibri" w:cs="Calibri"/>
          <w:sz w:val="16"/>
          <w:szCs w:val="16"/>
        </w:rPr>
        <w:t>a</w:t>
      </w:r>
      <w:r>
        <w:rPr>
          <w:rFonts w:ascii="Calibri" w:eastAsia="Calibri" w:hAnsi="Calibri" w:cs="Calibri"/>
          <w:spacing w:val="-1"/>
          <w:sz w:val="16"/>
          <w:szCs w:val="16"/>
        </w:rPr>
        <w:t>u</w:t>
      </w:r>
      <w:r>
        <w:rPr>
          <w:rFonts w:ascii="Calibri" w:eastAsia="Calibri" w:hAnsi="Calibri" w:cs="Calibri"/>
          <w:sz w:val="16"/>
          <w:szCs w:val="16"/>
        </w:rPr>
        <w:t>se</w:t>
      </w:r>
      <w:r>
        <w:rPr>
          <w:rFonts w:ascii="Calibri" w:eastAsia="Calibri" w:hAnsi="Calibri" w:cs="Calibri"/>
          <w:spacing w:val="-1"/>
          <w:sz w:val="16"/>
          <w:szCs w:val="16"/>
        </w:rPr>
        <w:t xml:space="preserve"> o</w:t>
      </w:r>
      <w:r>
        <w:rPr>
          <w:rFonts w:ascii="Calibri" w:eastAsia="Calibri" w:hAnsi="Calibri" w:cs="Calibri"/>
          <w:sz w:val="16"/>
          <w:szCs w:val="16"/>
        </w:rPr>
        <w:t>f</w:t>
      </w:r>
      <w:r>
        <w:rPr>
          <w:rFonts w:ascii="Calibri" w:eastAsia="Calibri" w:hAnsi="Calibri" w:cs="Calibri"/>
          <w:spacing w:val="-1"/>
          <w:sz w:val="16"/>
          <w:szCs w:val="16"/>
        </w:rPr>
        <w:t xml:space="preserve"> de</w:t>
      </w:r>
      <w:r>
        <w:rPr>
          <w:rFonts w:ascii="Calibri" w:eastAsia="Calibri" w:hAnsi="Calibri" w:cs="Calibri"/>
          <w:sz w:val="16"/>
          <w:szCs w:val="16"/>
        </w:rPr>
        <w:t>a</w:t>
      </w:r>
      <w:r>
        <w:rPr>
          <w:rFonts w:ascii="Calibri" w:eastAsia="Calibri" w:hAnsi="Calibri" w:cs="Calibri"/>
          <w:spacing w:val="1"/>
          <w:sz w:val="16"/>
          <w:szCs w:val="16"/>
        </w:rPr>
        <w:t>t</w:t>
      </w:r>
      <w:r>
        <w:rPr>
          <w:rFonts w:ascii="Calibri" w:eastAsia="Calibri" w:hAnsi="Calibri" w:cs="Calibri"/>
          <w:sz w:val="16"/>
          <w:szCs w:val="16"/>
        </w:rPr>
        <w:t>h</w:t>
      </w:r>
      <w:r>
        <w:rPr>
          <w:rFonts w:ascii="Calibri" w:eastAsia="Calibri" w:hAnsi="Calibri" w:cs="Calibri"/>
          <w:spacing w:val="-1"/>
          <w:sz w:val="16"/>
          <w:szCs w:val="16"/>
        </w:rPr>
        <w:t xml:space="preserve"> fi</w:t>
      </w:r>
      <w:r>
        <w:rPr>
          <w:rFonts w:ascii="Calibri" w:eastAsia="Calibri" w:hAnsi="Calibri" w:cs="Calibri"/>
          <w:spacing w:val="1"/>
          <w:sz w:val="16"/>
          <w:szCs w:val="16"/>
        </w:rPr>
        <w:t>e</w:t>
      </w:r>
      <w:r>
        <w:rPr>
          <w:rFonts w:ascii="Calibri" w:eastAsia="Calibri" w:hAnsi="Calibri" w:cs="Calibri"/>
          <w:spacing w:val="-1"/>
          <w:sz w:val="16"/>
          <w:szCs w:val="16"/>
        </w:rPr>
        <w:t>l</w:t>
      </w:r>
      <w:r>
        <w:rPr>
          <w:rFonts w:ascii="Calibri" w:eastAsia="Calibri" w:hAnsi="Calibri" w:cs="Calibri"/>
          <w:sz w:val="16"/>
          <w:szCs w:val="16"/>
        </w:rPr>
        <w:t>d</w:t>
      </w:r>
      <w:r>
        <w:rPr>
          <w:rFonts w:ascii="Calibri" w:eastAsia="Calibri" w:hAnsi="Calibri" w:cs="Calibri"/>
          <w:spacing w:val="-1"/>
          <w:sz w:val="16"/>
          <w:szCs w:val="16"/>
        </w:rPr>
        <w:t xml:space="preserve"> t</w:t>
      </w:r>
      <w:r>
        <w:rPr>
          <w:rFonts w:ascii="Calibri" w:eastAsia="Calibri" w:hAnsi="Calibri" w:cs="Calibri"/>
          <w:sz w:val="16"/>
          <w:szCs w:val="16"/>
        </w:rPr>
        <w:t>o</w:t>
      </w:r>
      <w:r>
        <w:rPr>
          <w:rFonts w:ascii="Calibri" w:eastAsia="Calibri" w:hAnsi="Calibri" w:cs="Calibri"/>
          <w:spacing w:val="1"/>
          <w:sz w:val="16"/>
          <w:szCs w:val="16"/>
        </w:rPr>
        <w:t xml:space="preserve"> </w:t>
      </w:r>
      <w:r>
        <w:rPr>
          <w:rFonts w:ascii="Calibri" w:eastAsia="Calibri" w:hAnsi="Calibri" w:cs="Calibri"/>
          <w:spacing w:val="-1"/>
          <w:sz w:val="16"/>
          <w:szCs w:val="16"/>
        </w:rPr>
        <w:t>i</w:t>
      </w:r>
      <w:r>
        <w:rPr>
          <w:rFonts w:ascii="Calibri" w:eastAsia="Calibri" w:hAnsi="Calibri" w:cs="Calibri"/>
          <w:sz w:val="16"/>
          <w:szCs w:val="16"/>
        </w:rPr>
        <w:t>d</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1"/>
          <w:sz w:val="16"/>
          <w:szCs w:val="16"/>
        </w:rPr>
        <w:t>t</w:t>
      </w:r>
      <w:r>
        <w:rPr>
          <w:rFonts w:ascii="Calibri" w:eastAsia="Calibri" w:hAnsi="Calibri" w:cs="Calibri"/>
          <w:spacing w:val="-1"/>
          <w:sz w:val="16"/>
          <w:szCs w:val="16"/>
        </w:rPr>
        <w:t>if</w:t>
      </w:r>
      <w:r>
        <w:rPr>
          <w:rFonts w:ascii="Calibri" w:eastAsia="Calibri" w:hAnsi="Calibri" w:cs="Calibri"/>
          <w:sz w:val="16"/>
          <w:szCs w:val="16"/>
        </w:rPr>
        <w:t>y</w:t>
      </w:r>
      <w:r>
        <w:rPr>
          <w:rFonts w:ascii="Calibri" w:eastAsia="Calibri" w:hAnsi="Calibri" w:cs="Calibri"/>
          <w:spacing w:val="-1"/>
          <w:sz w:val="16"/>
          <w:szCs w:val="16"/>
        </w:rPr>
        <w:t xml:space="preserve"> </w:t>
      </w:r>
      <w:r>
        <w:rPr>
          <w:rFonts w:ascii="Calibri" w:eastAsia="Calibri" w:hAnsi="Calibri" w:cs="Calibri"/>
          <w:spacing w:val="1"/>
          <w:sz w:val="16"/>
          <w:szCs w:val="16"/>
        </w:rPr>
        <w:t>p</w:t>
      </w:r>
      <w:r>
        <w:rPr>
          <w:rFonts w:ascii="Calibri" w:eastAsia="Calibri" w:hAnsi="Calibri" w:cs="Calibri"/>
          <w:spacing w:val="-1"/>
          <w:sz w:val="16"/>
          <w:szCs w:val="16"/>
        </w:rPr>
        <w:t>oi</w:t>
      </w:r>
      <w:r>
        <w:rPr>
          <w:rFonts w:ascii="Calibri" w:eastAsia="Calibri" w:hAnsi="Calibri" w:cs="Calibri"/>
          <w:sz w:val="16"/>
          <w:szCs w:val="16"/>
        </w:rPr>
        <w:t>s</w:t>
      </w:r>
      <w:r>
        <w:rPr>
          <w:rFonts w:ascii="Calibri" w:eastAsia="Calibri" w:hAnsi="Calibri" w:cs="Calibri"/>
          <w:spacing w:val="-1"/>
          <w:sz w:val="16"/>
          <w:szCs w:val="16"/>
        </w:rPr>
        <w:t>o</w:t>
      </w:r>
      <w:r>
        <w:rPr>
          <w:rFonts w:ascii="Calibri" w:eastAsia="Calibri" w:hAnsi="Calibri" w:cs="Calibri"/>
          <w:sz w:val="16"/>
          <w:szCs w:val="16"/>
        </w:rPr>
        <w:t>n</w:t>
      </w:r>
      <w:r>
        <w:rPr>
          <w:rFonts w:ascii="Calibri" w:eastAsia="Calibri" w:hAnsi="Calibri" w:cs="Calibri"/>
          <w:spacing w:val="-1"/>
          <w:sz w:val="16"/>
          <w:szCs w:val="16"/>
        </w:rPr>
        <w:t>i</w:t>
      </w:r>
      <w:r>
        <w:rPr>
          <w:rFonts w:ascii="Calibri" w:eastAsia="Calibri" w:hAnsi="Calibri" w:cs="Calibri"/>
          <w:sz w:val="16"/>
          <w:szCs w:val="16"/>
        </w:rPr>
        <w:t>ngs/</w:t>
      </w:r>
      <w:r>
        <w:rPr>
          <w:rFonts w:ascii="Calibri" w:eastAsia="Calibri" w:hAnsi="Calibri" w:cs="Calibri"/>
          <w:spacing w:val="-1"/>
          <w:sz w:val="16"/>
          <w:szCs w:val="16"/>
        </w:rPr>
        <w:t>o</w:t>
      </w:r>
      <w:r>
        <w:rPr>
          <w:rFonts w:ascii="Calibri" w:eastAsia="Calibri" w:hAnsi="Calibri" w:cs="Calibri"/>
          <w:spacing w:val="4"/>
          <w:sz w:val="16"/>
          <w:szCs w:val="16"/>
        </w:rPr>
        <w:t>v</w:t>
      </w:r>
      <w:r>
        <w:rPr>
          <w:rFonts w:ascii="Calibri" w:eastAsia="Calibri" w:hAnsi="Calibri" w:cs="Calibri"/>
          <w:spacing w:val="-1"/>
          <w:sz w:val="16"/>
          <w:szCs w:val="16"/>
        </w:rPr>
        <w:t>er</w:t>
      </w:r>
      <w:r>
        <w:rPr>
          <w:rFonts w:ascii="Calibri" w:eastAsia="Calibri" w:hAnsi="Calibri" w:cs="Calibri"/>
          <w:sz w:val="16"/>
          <w:szCs w:val="16"/>
        </w:rPr>
        <w:t>d</w:t>
      </w:r>
      <w:r>
        <w:rPr>
          <w:rFonts w:ascii="Calibri" w:eastAsia="Calibri" w:hAnsi="Calibri" w:cs="Calibri"/>
          <w:spacing w:val="-1"/>
          <w:sz w:val="16"/>
          <w:szCs w:val="16"/>
        </w:rPr>
        <w:t>o</w:t>
      </w:r>
      <w:r>
        <w:rPr>
          <w:rFonts w:ascii="Calibri" w:eastAsia="Calibri" w:hAnsi="Calibri" w:cs="Calibri"/>
          <w:sz w:val="16"/>
          <w:szCs w:val="16"/>
        </w:rPr>
        <w:t>s</w:t>
      </w:r>
      <w:r>
        <w:rPr>
          <w:rFonts w:ascii="Calibri" w:eastAsia="Calibri" w:hAnsi="Calibri" w:cs="Calibri"/>
          <w:spacing w:val="-1"/>
          <w:sz w:val="16"/>
          <w:szCs w:val="16"/>
        </w:rPr>
        <w:t>e</w:t>
      </w:r>
      <w:r>
        <w:rPr>
          <w:rFonts w:ascii="Calibri" w:eastAsia="Calibri" w:hAnsi="Calibri" w:cs="Calibri"/>
          <w:sz w:val="16"/>
          <w:szCs w:val="16"/>
        </w:rPr>
        <w:t>s: X40-</w:t>
      </w:r>
    </w:p>
    <w:p w:rsidR="00E2392E" w:rsidRDefault="00E2392E" w:rsidP="00E2392E">
      <w:pPr>
        <w:spacing w:before="1"/>
        <w:ind w:left="498"/>
        <w:rPr>
          <w:rFonts w:ascii="Calibri" w:eastAsia="Calibri" w:hAnsi="Calibri" w:cs="Calibri"/>
          <w:sz w:val="16"/>
          <w:szCs w:val="16"/>
        </w:rPr>
      </w:pPr>
      <w:r>
        <w:rPr>
          <w:rFonts w:ascii="Calibri" w:eastAsia="Calibri" w:hAnsi="Calibri" w:cs="Calibri"/>
          <w:sz w:val="16"/>
          <w:szCs w:val="16"/>
        </w:rPr>
        <w:t>X49,</w:t>
      </w:r>
      <w:r>
        <w:rPr>
          <w:rFonts w:ascii="Calibri" w:eastAsia="Calibri" w:hAnsi="Calibri" w:cs="Calibri"/>
          <w:spacing w:val="-2"/>
          <w:sz w:val="16"/>
          <w:szCs w:val="16"/>
        </w:rPr>
        <w:t xml:space="preserve"> </w:t>
      </w:r>
      <w:r>
        <w:rPr>
          <w:rFonts w:ascii="Calibri" w:eastAsia="Calibri" w:hAnsi="Calibri" w:cs="Calibri"/>
          <w:spacing w:val="1"/>
          <w:sz w:val="16"/>
          <w:szCs w:val="16"/>
        </w:rPr>
        <w:t>Y</w:t>
      </w:r>
      <w:r>
        <w:rPr>
          <w:rFonts w:ascii="Calibri" w:eastAsia="Calibri" w:hAnsi="Calibri" w:cs="Calibri"/>
          <w:sz w:val="16"/>
          <w:szCs w:val="16"/>
        </w:rPr>
        <w:t>1</w:t>
      </w:r>
      <w:r>
        <w:rPr>
          <w:rFonts w:ascii="Calibri" w:eastAsia="Calibri" w:hAnsi="Calibri" w:cs="Calibri"/>
          <w:spacing w:val="-2"/>
          <w:sz w:val="16"/>
          <w:szCs w:val="16"/>
        </w:rPr>
        <w:t>0</w:t>
      </w:r>
      <w:r>
        <w:rPr>
          <w:rFonts w:ascii="Calibri" w:eastAsia="Calibri" w:hAnsi="Calibri" w:cs="Calibri"/>
          <w:spacing w:val="1"/>
          <w:sz w:val="16"/>
          <w:szCs w:val="16"/>
        </w:rPr>
        <w:t>-Y</w:t>
      </w:r>
      <w:r>
        <w:rPr>
          <w:rFonts w:ascii="Calibri" w:eastAsia="Calibri" w:hAnsi="Calibri" w:cs="Calibri"/>
          <w:spacing w:val="-2"/>
          <w:sz w:val="16"/>
          <w:szCs w:val="16"/>
        </w:rPr>
        <w:t>1</w:t>
      </w:r>
      <w:r>
        <w:rPr>
          <w:rFonts w:ascii="Calibri" w:eastAsia="Calibri" w:hAnsi="Calibri" w:cs="Calibri"/>
          <w:sz w:val="16"/>
          <w:szCs w:val="16"/>
        </w:rPr>
        <w:t>9. A</w:t>
      </w:r>
      <w:r>
        <w:rPr>
          <w:rFonts w:ascii="Calibri" w:eastAsia="Calibri" w:hAnsi="Calibri" w:cs="Calibri"/>
          <w:spacing w:val="-1"/>
          <w:sz w:val="16"/>
          <w:szCs w:val="16"/>
        </w:rPr>
        <w:t>l</w:t>
      </w:r>
      <w:r>
        <w:rPr>
          <w:rFonts w:ascii="Calibri" w:eastAsia="Calibri" w:hAnsi="Calibri" w:cs="Calibri"/>
          <w:sz w:val="16"/>
          <w:szCs w:val="16"/>
        </w:rPr>
        <w:t>l</w:t>
      </w:r>
      <w:r>
        <w:rPr>
          <w:rFonts w:ascii="Calibri" w:eastAsia="Calibri" w:hAnsi="Calibri" w:cs="Calibri"/>
          <w:spacing w:val="-1"/>
          <w:sz w:val="16"/>
          <w:szCs w:val="16"/>
        </w:rPr>
        <w:t xml:space="preserve"> </w:t>
      </w:r>
      <w:r>
        <w:rPr>
          <w:rFonts w:ascii="Calibri" w:eastAsia="Calibri" w:hAnsi="Calibri" w:cs="Calibri"/>
          <w:spacing w:val="1"/>
          <w:sz w:val="16"/>
          <w:szCs w:val="16"/>
        </w:rPr>
        <w:t>m</w:t>
      </w:r>
      <w:r>
        <w:rPr>
          <w:rFonts w:ascii="Calibri" w:eastAsia="Calibri" w:hAnsi="Calibri" w:cs="Calibri"/>
          <w:sz w:val="16"/>
          <w:szCs w:val="16"/>
        </w:rPr>
        <w:t>u</w:t>
      </w:r>
      <w:r>
        <w:rPr>
          <w:rFonts w:ascii="Calibri" w:eastAsia="Calibri" w:hAnsi="Calibri" w:cs="Calibri"/>
          <w:spacing w:val="-1"/>
          <w:sz w:val="16"/>
          <w:szCs w:val="16"/>
        </w:rPr>
        <w:t>lti</w:t>
      </w:r>
      <w:r>
        <w:rPr>
          <w:rFonts w:ascii="Calibri" w:eastAsia="Calibri" w:hAnsi="Calibri" w:cs="Calibri"/>
          <w:sz w:val="16"/>
          <w:szCs w:val="16"/>
        </w:rPr>
        <w:t>p</w:t>
      </w:r>
      <w:r>
        <w:rPr>
          <w:rFonts w:ascii="Calibri" w:eastAsia="Calibri" w:hAnsi="Calibri" w:cs="Calibri"/>
          <w:spacing w:val="-1"/>
          <w:sz w:val="16"/>
          <w:szCs w:val="16"/>
        </w:rPr>
        <w:t>l</w:t>
      </w:r>
      <w:r>
        <w:rPr>
          <w:rFonts w:ascii="Calibri" w:eastAsia="Calibri" w:hAnsi="Calibri" w:cs="Calibri"/>
          <w:sz w:val="16"/>
          <w:szCs w:val="16"/>
        </w:rPr>
        <w:t>e</w:t>
      </w:r>
      <w:r>
        <w:rPr>
          <w:rFonts w:ascii="Calibri" w:eastAsia="Calibri" w:hAnsi="Calibri" w:cs="Calibri"/>
          <w:spacing w:val="-1"/>
          <w:sz w:val="16"/>
          <w:szCs w:val="16"/>
        </w:rPr>
        <w:t xml:space="preserve"> c</w:t>
      </w:r>
      <w:r>
        <w:rPr>
          <w:rFonts w:ascii="Calibri" w:eastAsia="Calibri" w:hAnsi="Calibri" w:cs="Calibri"/>
          <w:sz w:val="16"/>
          <w:szCs w:val="16"/>
        </w:rPr>
        <w:t>a</w:t>
      </w:r>
      <w:r>
        <w:rPr>
          <w:rFonts w:ascii="Calibri" w:eastAsia="Calibri" w:hAnsi="Calibri" w:cs="Calibri"/>
          <w:spacing w:val="-1"/>
          <w:sz w:val="16"/>
          <w:szCs w:val="16"/>
        </w:rPr>
        <w:t>u</w:t>
      </w:r>
      <w:r>
        <w:rPr>
          <w:rFonts w:ascii="Calibri" w:eastAsia="Calibri" w:hAnsi="Calibri" w:cs="Calibri"/>
          <w:sz w:val="16"/>
          <w:szCs w:val="16"/>
        </w:rPr>
        <w:t>se</w:t>
      </w:r>
      <w:r>
        <w:rPr>
          <w:rFonts w:ascii="Calibri" w:eastAsia="Calibri" w:hAnsi="Calibri" w:cs="Calibri"/>
          <w:spacing w:val="-1"/>
          <w:sz w:val="16"/>
          <w:szCs w:val="16"/>
        </w:rPr>
        <w:t xml:space="preserve"> o</w:t>
      </w:r>
      <w:r>
        <w:rPr>
          <w:rFonts w:ascii="Calibri" w:eastAsia="Calibri" w:hAnsi="Calibri" w:cs="Calibri"/>
          <w:sz w:val="16"/>
          <w:szCs w:val="16"/>
        </w:rPr>
        <w:t>f</w:t>
      </w:r>
      <w:r>
        <w:rPr>
          <w:rFonts w:ascii="Calibri" w:eastAsia="Calibri" w:hAnsi="Calibri" w:cs="Calibri"/>
          <w:spacing w:val="-1"/>
          <w:sz w:val="16"/>
          <w:szCs w:val="16"/>
        </w:rPr>
        <w:t xml:space="preserve"> </w:t>
      </w:r>
      <w:r>
        <w:rPr>
          <w:rFonts w:ascii="Calibri" w:eastAsia="Calibri" w:hAnsi="Calibri" w:cs="Calibri"/>
          <w:spacing w:val="1"/>
          <w:sz w:val="16"/>
          <w:szCs w:val="16"/>
        </w:rPr>
        <w:t>de</w:t>
      </w:r>
      <w:r>
        <w:rPr>
          <w:rFonts w:ascii="Calibri" w:eastAsia="Calibri" w:hAnsi="Calibri" w:cs="Calibri"/>
          <w:sz w:val="16"/>
          <w:szCs w:val="16"/>
        </w:rPr>
        <w:t>a</w:t>
      </w:r>
      <w:r>
        <w:rPr>
          <w:rFonts w:ascii="Calibri" w:eastAsia="Calibri" w:hAnsi="Calibri" w:cs="Calibri"/>
          <w:spacing w:val="-1"/>
          <w:sz w:val="16"/>
          <w:szCs w:val="16"/>
        </w:rPr>
        <w:t>t</w:t>
      </w:r>
      <w:r>
        <w:rPr>
          <w:rFonts w:ascii="Calibri" w:eastAsia="Calibri" w:hAnsi="Calibri" w:cs="Calibri"/>
          <w:sz w:val="16"/>
          <w:szCs w:val="16"/>
        </w:rPr>
        <w:t>h</w:t>
      </w:r>
      <w:r>
        <w:rPr>
          <w:rFonts w:ascii="Calibri" w:eastAsia="Calibri" w:hAnsi="Calibri" w:cs="Calibri"/>
          <w:spacing w:val="-1"/>
          <w:sz w:val="16"/>
          <w:szCs w:val="16"/>
        </w:rPr>
        <w:t xml:space="preserve"> fie</w:t>
      </w:r>
      <w:r>
        <w:rPr>
          <w:rFonts w:ascii="Calibri" w:eastAsia="Calibri" w:hAnsi="Calibri" w:cs="Calibri"/>
          <w:spacing w:val="1"/>
          <w:sz w:val="16"/>
          <w:szCs w:val="16"/>
        </w:rPr>
        <w:t>l</w:t>
      </w:r>
      <w:r>
        <w:rPr>
          <w:rFonts w:ascii="Calibri" w:eastAsia="Calibri" w:hAnsi="Calibri" w:cs="Calibri"/>
          <w:sz w:val="16"/>
          <w:szCs w:val="16"/>
        </w:rPr>
        <w:t>ds</w:t>
      </w:r>
      <w:r>
        <w:rPr>
          <w:rFonts w:ascii="Calibri" w:eastAsia="Calibri" w:hAnsi="Calibri" w:cs="Calibri"/>
          <w:spacing w:val="-1"/>
          <w:sz w:val="16"/>
          <w:szCs w:val="16"/>
        </w:rPr>
        <w:t xml:space="preserve"> </w:t>
      </w:r>
      <w:r>
        <w:rPr>
          <w:rFonts w:ascii="Calibri" w:eastAsia="Calibri" w:hAnsi="Calibri" w:cs="Calibri"/>
          <w:sz w:val="16"/>
          <w:szCs w:val="16"/>
        </w:rPr>
        <w:t>w</w:t>
      </w:r>
      <w:r>
        <w:rPr>
          <w:rFonts w:ascii="Calibri" w:eastAsia="Calibri" w:hAnsi="Calibri" w:cs="Calibri"/>
          <w:spacing w:val="-1"/>
          <w:sz w:val="16"/>
          <w:szCs w:val="16"/>
        </w:rPr>
        <w:t>er</w:t>
      </w:r>
      <w:r>
        <w:rPr>
          <w:rFonts w:ascii="Calibri" w:eastAsia="Calibri" w:hAnsi="Calibri" w:cs="Calibri"/>
          <w:sz w:val="16"/>
          <w:szCs w:val="16"/>
        </w:rPr>
        <w:t>e</w:t>
      </w:r>
      <w:r>
        <w:rPr>
          <w:rFonts w:ascii="Calibri" w:eastAsia="Calibri" w:hAnsi="Calibri" w:cs="Calibri"/>
          <w:spacing w:val="-1"/>
          <w:sz w:val="16"/>
          <w:szCs w:val="16"/>
        </w:rPr>
        <w:t xml:space="preserve"> t</w:t>
      </w:r>
      <w:r>
        <w:rPr>
          <w:rFonts w:ascii="Calibri" w:eastAsia="Calibri" w:hAnsi="Calibri" w:cs="Calibri"/>
          <w:spacing w:val="2"/>
          <w:sz w:val="16"/>
          <w:szCs w:val="16"/>
        </w:rPr>
        <w:t>h</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1"/>
          <w:sz w:val="16"/>
          <w:szCs w:val="16"/>
        </w:rPr>
        <w:t xml:space="preserve"> </w:t>
      </w:r>
      <w:r>
        <w:rPr>
          <w:rFonts w:ascii="Calibri" w:eastAsia="Calibri" w:hAnsi="Calibri" w:cs="Calibri"/>
          <w:sz w:val="16"/>
          <w:szCs w:val="16"/>
        </w:rPr>
        <w:t>u</w:t>
      </w:r>
      <w:r>
        <w:rPr>
          <w:rFonts w:ascii="Calibri" w:eastAsia="Calibri" w:hAnsi="Calibri" w:cs="Calibri"/>
          <w:spacing w:val="-1"/>
          <w:sz w:val="16"/>
          <w:szCs w:val="16"/>
        </w:rPr>
        <w:t>se</w:t>
      </w:r>
      <w:r>
        <w:rPr>
          <w:rFonts w:ascii="Calibri" w:eastAsia="Calibri" w:hAnsi="Calibri" w:cs="Calibri"/>
          <w:sz w:val="16"/>
          <w:szCs w:val="16"/>
        </w:rPr>
        <w:t>d</w:t>
      </w:r>
      <w:r>
        <w:rPr>
          <w:rFonts w:ascii="Calibri" w:eastAsia="Calibri" w:hAnsi="Calibri" w:cs="Calibri"/>
          <w:spacing w:val="-1"/>
          <w:sz w:val="16"/>
          <w:szCs w:val="16"/>
        </w:rPr>
        <w:t xml:space="preserve"> t</w:t>
      </w:r>
      <w:r>
        <w:rPr>
          <w:rFonts w:ascii="Calibri" w:eastAsia="Calibri" w:hAnsi="Calibri" w:cs="Calibri"/>
          <w:sz w:val="16"/>
          <w:szCs w:val="16"/>
        </w:rPr>
        <w:t>o</w:t>
      </w:r>
      <w:r>
        <w:rPr>
          <w:rFonts w:ascii="Calibri" w:eastAsia="Calibri" w:hAnsi="Calibri" w:cs="Calibri"/>
          <w:spacing w:val="2"/>
          <w:sz w:val="16"/>
          <w:szCs w:val="16"/>
        </w:rPr>
        <w:t xml:space="preserve"> </w:t>
      </w:r>
      <w:r>
        <w:rPr>
          <w:rFonts w:ascii="Calibri" w:eastAsia="Calibri" w:hAnsi="Calibri" w:cs="Calibri"/>
          <w:spacing w:val="-1"/>
          <w:sz w:val="16"/>
          <w:szCs w:val="16"/>
        </w:rPr>
        <w:t>i</w:t>
      </w:r>
      <w:r>
        <w:rPr>
          <w:rFonts w:ascii="Calibri" w:eastAsia="Calibri" w:hAnsi="Calibri" w:cs="Calibri"/>
          <w:sz w:val="16"/>
          <w:szCs w:val="16"/>
        </w:rPr>
        <w:t>d</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1"/>
          <w:sz w:val="16"/>
          <w:szCs w:val="16"/>
        </w:rPr>
        <w:t>t</w:t>
      </w:r>
      <w:r>
        <w:rPr>
          <w:rFonts w:ascii="Calibri" w:eastAsia="Calibri" w:hAnsi="Calibri" w:cs="Calibri"/>
          <w:spacing w:val="-1"/>
          <w:sz w:val="16"/>
          <w:szCs w:val="16"/>
        </w:rPr>
        <w:t>if</w:t>
      </w:r>
      <w:r>
        <w:rPr>
          <w:rFonts w:ascii="Calibri" w:eastAsia="Calibri" w:hAnsi="Calibri" w:cs="Calibri"/>
          <w:sz w:val="16"/>
          <w:szCs w:val="16"/>
        </w:rPr>
        <w:t>y</w:t>
      </w:r>
      <w:r>
        <w:rPr>
          <w:rFonts w:ascii="Calibri" w:eastAsia="Calibri" w:hAnsi="Calibri" w:cs="Calibri"/>
          <w:spacing w:val="1"/>
          <w:sz w:val="16"/>
          <w:szCs w:val="16"/>
        </w:rPr>
        <w:t xml:space="preserve"> </w:t>
      </w:r>
      <w:r>
        <w:rPr>
          <w:rFonts w:ascii="Calibri" w:eastAsia="Calibri" w:hAnsi="Calibri" w:cs="Calibri"/>
          <w:sz w:val="16"/>
          <w:szCs w:val="16"/>
        </w:rPr>
        <w:t>an</w:t>
      </w:r>
      <w:r>
        <w:rPr>
          <w:rFonts w:ascii="Calibri" w:eastAsia="Calibri" w:hAnsi="Calibri" w:cs="Calibri"/>
          <w:spacing w:val="-1"/>
          <w:sz w:val="16"/>
          <w:szCs w:val="16"/>
        </w:rPr>
        <w:t xml:space="preserve"> o</w:t>
      </w:r>
      <w:r>
        <w:rPr>
          <w:rFonts w:ascii="Calibri" w:eastAsia="Calibri" w:hAnsi="Calibri" w:cs="Calibri"/>
          <w:sz w:val="16"/>
          <w:szCs w:val="16"/>
        </w:rPr>
        <w:t>p</w:t>
      </w:r>
      <w:r>
        <w:rPr>
          <w:rFonts w:ascii="Calibri" w:eastAsia="Calibri" w:hAnsi="Calibri" w:cs="Calibri"/>
          <w:spacing w:val="-1"/>
          <w:sz w:val="16"/>
          <w:szCs w:val="16"/>
        </w:rPr>
        <w:t>ioi</w:t>
      </w:r>
      <w:r>
        <w:rPr>
          <w:rFonts w:ascii="Calibri" w:eastAsia="Calibri" w:hAnsi="Calibri" w:cs="Calibri"/>
          <w:spacing w:val="1"/>
          <w:sz w:val="16"/>
          <w:szCs w:val="16"/>
        </w:rPr>
        <w:t>d-</w:t>
      </w:r>
      <w:r>
        <w:rPr>
          <w:rFonts w:ascii="Calibri" w:eastAsia="Calibri" w:hAnsi="Calibri" w:cs="Calibri"/>
          <w:spacing w:val="-1"/>
          <w:sz w:val="16"/>
          <w:szCs w:val="16"/>
        </w:rPr>
        <w:t>rel</w:t>
      </w:r>
      <w:r>
        <w:rPr>
          <w:rFonts w:ascii="Calibri" w:eastAsia="Calibri" w:hAnsi="Calibri" w:cs="Calibri"/>
          <w:sz w:val="16"/>
          <w:szCs w:val="16"/>
        </w:rPr>
        <w:t>a</w:t>
      </w:r>
      <w:r>
        <w:rPr>
          <w:rFonts w:ascii="Calibri" w:eastAsia="Calibri" w:hAnsi="Calibri" w:cs="Calibri"/>
          <w:spacing w:val="1"/>
          <w:sz w:val="16"/>
          <w:szCs w:val="16"/>
        </w:rPr>
        <w:t>t</w:t>
      </w:r>
      <w:r>
        <w:rPr>
          <w:rFonts w:ascii="Calibri" w:eastAsia="Calibri" w:hAnsi="Calibri" w:cs="Calibri"/>
          <w:spacing w:val="-1"/>
          <w:sz w:val="16"/>
          <w:szCs w:val="16"/>
        </w:rPr>
        <w:t>e</w:t>
      </w:r>
      <w:r>
        <w:rPr>
          <w:rFonts w:ascii="Calibri" w:eastAsia="Calibri" w:hAnsi="Calibri" w:cs="Calibri"/>
          <w:sz w:val="16"/>
          <w:szCs w:val="16"/>
        </w:rPr>
        <w:t>d</w:t>
      </w:r>
      <w:r>
        <w:rPr>
          <w:rFonts w:ascii="Calibri" w:eastAsia="Calibri" w:hAnsi="Calibri" w:cs="Calibri"/>
          <w:spacing w:val="-1"/>
          <w:sz w:val="16"/>
          <w:szCs w:val="16"/>
        </w:rPr>
        <w:t xml:space="preserve"> </w:t>
      </w:r>
      <w:r>
        <w:rPr>
          <w:rFonts w:ascii="Calibri" w:eastAsia="Calibri" w:hAnsi="Calibri" w:cs="Calibri"/>
          <w:sz w:val="16"/>
          <w:szCs w:val="16"/>
        </w:rPr>
        <w:t>d</w:t>
      </w:r>
      <w:r>
        <w:rPr>
          <w:rFonts w:ascii="Calibri" w:eastAsia="Calibri" w:hAnsi="Calibri" w:cs="Calibri"/>
          <w:spacing w:val="-1"/>
          <w:sz w:val="16"/>
          <w:szCs w:val="16"/>
        </w:rPr>
        <w:t>e</w:t>
      </w:r>
      <w:r>
        <w:rPr>
          <w:rFonts w:ascii="Calibri" w:eastAsia="Calibri" w:hAnsi="Calibri" w:cs="Calibri"/>
          <w:sz w:val="16"/>
          <w:szCs w:val="16"/>
        </w:rPr>
        <w:t>a</w:t>
      </w:r>
      <w:r>
        <w:rPr>
          <w:rFonts w:ascii="Calibri" w:eastAsia="Calibri" w:hAnsi="Calibri" w:cs="Calibri"/>
          <w:spacing w:val="-1"/>
          <w:sz w:val="16"/>
          <w:szCs w:val="16"/>
        </w:rPr>
        <w:t>t</w:t>
      </w:r>
      <w:r>
        <w:rPr>
          <w:rFonts w:ascii="Calibri" w:eastAsia="Calibri" w:hAnsi="Calibri" w:cs="Calibri"/>
          <w:sz w:val="16"/>
          <w:szCs w:val="16"/>
        </w:rPr>
        <w:t xml:space="preserve">h: </w:t>
      </w:r>
      <w:r>
        <w:rPr>
          <w:rFonts w:ascii="Calibri" w:eastAsia="Calibri" w:hAnsi="Calibri" w:cs="Calibri"/>
          <w:spacing w:val="1"/>
          <w:sz w:val="16"/>
          <w:szCs w:val="16"/>
        </w:rPr>
        <w:t>T</w:t>
      </w:r>
      <w:r>
        <w:rPr>
          <w:rFonts w:ascii="Calibri" w:eastAsia="Calibri" w:hAnsi="Calibri" w:cs="Calibri"/>
          <w:sz w:val="16"/>
          <w:szCs w:val="16"/>
        </w:rPr>
        <w:t>40.0,</w:t>
      </w:r>
      <w:r>
        <w:rPr>
          <w:rFonts w:ascii="Calibri" w:eastAsia="Calibri" w:hAnsi="Calibri" w:cs="Calibri"/>
          <w:spacing w:val="1"/>
          <w:sz w:val="16"/>
          <w:szCs w:val="16"/>
        </w:rPr>
        <w:t xml:space="preserve"> </w:t>
      </w:r>
      <w:r>
        <w:rPr>
          <w:rFonts w:ascii="Calibri" w:eastAsia="Calibri" w:hAnsi="Calibri" w:cs="Calibri"/>
          <w:sz w:val="16"/>
          <w:szCs w:val="16"/>
        </w:rPr>
        <w:t>T4</w:t>
      </w:r>
      <w:r>
        <w:rPr>
          <w:rFonts w:ascii="Calibri" w:eastAsia="Calibri" w:hAnsi="Calibri" w:cs="Calibri"/>
          <w:spacing w:val="-2"/>
          <w:sz w:val="16"/>
          <w:szCs w:val="16"/>
        </w:rPr>
        <w:t>0</w:t>
      </w:r>
      <w:r>
        <w:rPr>
          <w:rFonts w:ascii="Calibri" w:eastAsia="Calibri" w:hAnsi="Calibri" w:cs="Calibri"/>
          <w:sz w:val="16"/>
          <w:szCs w:val="16"/>
        </w:rPr>
        <w:t>.1,</w:t>
      </w:r>
      <w:r>
        <w:rPr>
          <w:rFonts w:ascii="Calibri" w:eastAsia="Calibri" w:hAnsi="Calibri" w:cs="Calibri"/>
          <w:spacing w:val="-1"/>
          <w:sz w:val="16"/>
          <w:szCs w:val="16"/>
        </w:rPr>
        <w:t xml:space="preserve"> </w:t>
      </w:r>
      <w:r>
        <w:rPr>
          <w:rFonts w:ascii="Calibri" w:eastAsia="Calibri" w:hAnsi="Calibri" w:cs="Calibri"/>
          <w:sz w:val="16"/>
          <w:szCs w:val="16"/>
        </w:rPr>
        <w:t>T40.</w:t>
      </w:r>
      <w:r>
        <w:rPr>
          <w:rFonts w:ascii="Calibri" w:eastAsia="Calibri" w:hAnsi="Calibri" w:cs="Calibri"/>
          <w:spacing w:val="-2"/>
          <w:sz w:val="16"/>
          <w:szCs w:val="16"/>
        </w:rPr>
        <w:t>2</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z w:val="16"/>
          <w:szCs w:val="16"/>
        </w:rPr>
        <w:t>T4</w:t>
      </w:r>
      <w:r>
        <w:rPr>
          <w:rFonts w:ascii="Calibri" w:eastAsia="Calibri" w:hAnsi="Calibri" w:cs="Calibri"/>
          <w:spacing w:val="-2"/>
          <w:sz w:val="16"/>
          <w:szCs w:val="16"/>
        </w:rPr>
        <w:t>0</w:t>
      </w:r>
      <w:r>
        <w:rPr>
          <w:rFonts w:ascii="Calibri" w:eastAsia="Calibri" w:hAnsi="Calibri" w:cs="Calibri"/>
          <w:sz w:val="16"/>
          <w:szCs w:val="16"/>
        </w:rPr>
        <w:t>.3,</w:t>
      </w:r>
      <w:r>
        <w:rPr>
          <w:rFonts w:ascii="Calibri" w:eastAsia="Calibri" w:hAnsi="Calibri" w:cs="Calibri"/>
          <w:spacing w:val="-2"/>
          <w:sz w:val="16"/>
          <w:szCs w:val="16"/>
        </w:rPr>
        <w:t xml:space="preserve"> </w:t>
      </w:r>
      <w:r>
        <w:rPr>
          <w:rFonts w:ascii="Calibri" w:eastAsia="Calibri" w:hAnsi="Calibri" w:cs="Calibri"/>
          <w:spacing w:val="1"/>
          <w:sz w:val="16"/>
          <w:szCs w:val="16"/>
        </w:rPr>
        <w:t>T</w:t>
      </w:r>
      <w:r>
        <w:rPr>
          <w:rFonts w:ascii="Calibri" w:eastAsia="Calibri" w:hAnsi="Calibri" w:cs="Calibri"/>
          <w:sz w:val="16"/>
          <w:szCs w:val="16"/>
        </w:rPr>
        <w:t>40.</w:t>
      </w:r>
      <w:r>
        <w:rPr>
          <w:rFonts w:ascii="Calibri" w:eastAsia="Calibri" w:hAnsi="Calibri" w:cs="Calibri"/>
          <w:spacing w:val="-2"/>
          <w:sz w:val="16"/>
          <w:szCs w:val="16"/>
        </w:rPr>
        <w:t>4</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pacing w:val="-1"/>
          <w:sz w:val="16"/>
          <w:szCs w:val="16"/>
        </w:rPr>
        <w:t>a</w:t>
      </w:r>
      <w:r>
        <w:rPr>
          <w:rFonts w:ascii="Calibri" w:eastAsia="Calibri" w:hAnsi="Calibri" w:cs="Calibri"/>
          <w:sz w:val="16"/>
          <w:szCs w:val="16"/>
        </w:rPr>
        <w:t>nd</w:t>
      </w:r>
      <w:r>
        <w:rPr>
          <w:rFonts w:ascii="Calibri" w:eastAsia="Calibri" w:hAnsi="Calibri" w:cs="Calibri"/>
          <w:spacing w:val="-1"/>
          <w:sz w:val="16"/>
          <w:szCs w:val="16"/>
        </w:rPr>
        <w:t xml:space="preserve"> </w:t>
      </w:r>
      <w:r>
        <w:rPr>
          <w:rFonts w:ascii="Calibri" w:eastAsia="Calibri" w:hAnsi="Calibri" w:cs="Calibri"/>
          <w:sz w:val="16"/>
          <w:szCs w:val="16"/>
        </w:rPr>
        <w:t>T</w:t>
      </w:r>
      <w:r>
        <w:rPr>
          <w:rFonts w:ascii="Calibri" w:eastAsia="Calibri" w:hAnsi="Calibri" w:cs="Calibri"/>
          <w:spacing w:val="-2"/>
          <w:sz w:val="16"/>
          <w:szCs w:val="16"/>
        </w:rPr>
        <w:t>4</w:t>
      </w:r>
      <w:r>
        <w:rPr>
          <w:rFonts w:ascii="Calibri" w:eastAsia="Calibri" w:hAnsi="Calibri" w:cs="Calibri"/>
          <w:sz w:val="16"/>
          <w:szCs w:val="16"/>
        </w:rPr>
        <w:t>0.6.</w:t>
      </w:r>
    </w:p>
    <w:p w:rsidR="00E2392E" w:rsidRDefault="00E2392E" w:rsidP="00E2392E">
      <w:pPr>
        <w:spacing w:line="180" w:lineRule="exact"/>
        <w:ind w:left="226"/>
        <w:rPr>
          <w:rFonts w:ascii="Calibri" w:eastAsia="Calibri" w:hAnsi="Calibri" w:cs="Calibri"/>
          <w:spacing w:val="1"/>
          <w:sz w:val="16"/>
          <w:szCs w:val="16"/>
        </w:rPr>
      </w:pPr>
    </w:p>
    <w:p w:rsidR="00E2392E" w:rsidRDefault="00E2392E" w:rsidP="00E2392E">
      <w:pPr>
        <w:spacing w:line="180" w:lineRule="exact"/>
        <w:ind w:left="226"/>
        <w:rPr>
          <w:rFonts w:ascii="Calibri" w:eastAsia="Calibri" w:hAnsi="Calibri" w:cs="Calibri"/>
          <w:sz w:val="16"/>
          <w:szCs w:val="16"/>
        </w:rPr>
      </w:pPr>
      <w:r>
        <w:rPr>
          <w:rFonts w:ascii="Calibri" w:eastAsia="Calibri" w:hAnsi="Calibri" w:cs="Calibri"/>
          <w:spacing w:val="1"/>
          <w:sz w:val="16"/>
          <w:szCs w:val="16"/>
        </w:rPr>
        <w:t>T</w:t>
      </w:r>
      <w:r>
        <w:rPr>
          <w:rFonts w:ascii="Calibri" w:eastAsia="Calibri" w:hAnsi="Calibri" w:cs="Calibri"/>
          <w:sz w:val="16"/>
          <w:szCs w:val="16"/>
        </w:rPr>
        <w:t>h</w:t>
      </w:r>
      <w:r>
        <w:rPr>
          <w:rFonts w:ascii="Calibri" w:eastAsia="Calibri" w:hAnsi="Calibri" w:cs="Calibri"/>
          <w:spacing w:val="-1"/>
          <w:sz w:val="16"/>
          <w:szCs w:val="16"/>
        </w:rPr>
        <w:t>i</w:t>
      </w:r>
      <w:r>
        <w:rPr>
          <w:rFonts w:ascii="Calibri" w:eastAsia="Calibri" w:hAnsi="Calibri" w:cs="Calibri"/>
          <w:sz w:val="16"/>
          <w:szCs w:val="16"/>
        </w:rPr>
        <w:t>s</w:t>
      </w:r>
      <w:r>
        <w:rPr>
          <w:rFonts w:ascii="Calibri" w:eastAsia="Calibri" w:hAnsi="Calibri" w:cs="Calibri"/>
          <w:spacing w:val="-1"/>
          <w:sz w:val="16"/>
          <w:szCs w:val="16"/>
        </w:rPr>
        <w:t xml:space="preserve"> re</w:t>
      </w:r>
      <w:r>
        <w:rPr>
          <w:rFonts w:ascii="Calibri" w:eastAsia="Calibri" w:hAnsi="Calibri" w:cs="Calibri"/>
          <w:sz w:val="16"/>
          <w:szCs w:val="16"/>
        </w:rPr>
        <w:t>p</w:t>
      </w:r>
      <w:r>
        <w:rPr>
          <w:rFonts w:ascii="Calibri" w:eastAsia="Calibri" w:hAnsi="Calibri" w:cs="Calibri"/>
          <w:spacing w:val="-1"/>
          <w:sz w:val="16"/>
          <w:szCs w:val="16"/>
        </w:rPr>
        <w:t>or</w:t>
      </w:r>
      <w:r>
        <w:rPr>
          <w:rFonts w:ascii="Calibri" w:eastAsia="Calibri" w:hAnsi="Calibri" w:cs="Calibri"/>
          <w:sz w:val="16"/>
          <w:szCs w:val="16"/>
        </w:rPr>
        <w:t>t</w:t>
      </w:r>
      <w:r>
        <w:rPr>
          <w:rFonts w:ascii="Calibri" w:eastAsia="Calibri" w:hAnsi="Calibri" w:cs="Calibri"/>
          <w:spacing w:val="1"/>
          <w:sz w:val="16"/>
          <w:szCs w:val="16"/>
        </w:rPr>
        <w:t xml:space="preserve"> </w:t>
      </w:r>
      <w:r>
        <w:rPr>
          <w:rFonts w:ascii="Calibri" w:eastAsia="Calibri" w:hAnsi="Calibri" w:cs="Calibri"/>
          <w:spacing w:val="-1"/>
          <w:sz w:val="16"/>
          <w:szCs w:val="16"/>
        </w:rPr>
        <w:t>tr</w:t>
      </w:r>
      <w:r>
        <w:rPr>
          <w:rFonts w:ascii="Calibri" w:eastAsia="Calibri" w:hAnsi="Calibri" w:cs="Calibri"/>
          <w:sz w:val="16"/>
          <w:szCs w:val="16"/>
        </w:rPr>
        <w:t>a</w:t>
      </w:r>
      <w:r>
        <w:rPr>
          <w:rFonts w:ascii="Calibri" w:eastAsia="Calibri" w:hAnsi="Calibri" w:cs="Calibri"/>
          <w:spacing w:val="-1"/>
          <w:sz w:val="16"/>
          <w:szCs w:val="16"/>
        </w:rPr>
        <w:t>ck</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pacing w:val="2"/>
          <w:sz w:val="16"/>
          <w:szCs w:val="16"/>
        </w:rPr>
        <w:t>a</w:t>
      </w:r>
      <w:r>
        <w:rPr>
          <w:rFonts w:ascii="Calibri" w:eastAsia="Calibri" w:hAnsi="Calibri" w:cs="Calibri"/>
          <w:spacing w:val="-1"/>
          <w:sz w:val="16"/>
          <w:szCs w:val="16"/>
        </w:rPr>
        <w:t>l</w:t>
      </w:r>
      <w:r>
        <w:rPr>
          <w:rFonts w:ascii="Calibri" w:eastAsia="Calibri" w:hAnsi="Calibri" w:cs="Calibri"/>
          <w:sz w:val="16"/>
          <w:szCs w:val="16"/>
        </w:rPr>
        <w:t>l</w:t>
      </w:r>
      <w:r>
        <w:rPr>
          <w:rFonts w:ascii="Calibri" w:eastAsia="Calibri" w:hAnsi="Calibri" w:cs="Calibri"/>
          <w:spacing w:val="-1"/>
          <w:sz w:val="16"/>
          <w:szCs w:val="16"/>
        </w:rPr>
        <w:t xml:space="preserve"> o</w:t>
      </w:r>
      <w:r>
        <w:rPr>
          <w:rFonts w:ascii="Calibri" w:eastAsia="Calibri" w:hAnsi="Calibri" w:cs="Calibri"/>
          <w:sz w:val="16"/>
          <w:szCs w:val="16"/>
        </w:rPr>
        <w:t>p</w:t>
      </w:r>
      <w:r>
        <w:rPr>
          <w:rFonts w:ascii="Calibri" w:eastAsia="Calibri" w:hAnsi="Calibri" w:cs="Calibri"/>
          <w:spacing w:val="1"/>
          <w:sz w:val="16"/>
          <w:szCs w:val="16"/>
        </w:rPr>
        <w:t>i</w:t>
      </w:r>
      <w:r>
        <w:rPr>
          <w:rFonts w:ascii="Calibri" w:eastAsia="Calibri" w:hAnsi="Calibri" w:cs="Calibri"/>
          <w:spacing w:val="-1"/>
          <w:sz w:val="16"/>
          <w:szCs w:val="16"/>
        </w:rPr>
        <w:t>oi</w:t>
      </w:r>
      <w:r>
        <w:rPr>
          <w:rFonts w:ascii="Calibri" w:eastAsia="Calibri" w:hAnsi="Calibri" w:cs="Calibri"/>
          <w:spacing w:val="1"/>
          <w:sz w:val="16"/>
          <w:szCs w:val="16"/>
        </w:rPr>
        <w:t>d-</w:t>
      </w:r>
      <w:r>
        <w:rPr>
          <w:rFonts w:ascii="Calibri" w:eastAsia="Calibri" w:hAnsi="Calibri" w:cs="Calibri"/>
          <w:spacing w:val="-1"/>
          <w:sz w:val="16"/>
          <w:szCs w:val="16"/>
        </w:rPr>
        <w:t>rel</w:t>
      </w:r>
      <w:r>
        <w:rPr>
          <w:rFonts w:ascii="Calibri" w:eastAsia="Calibri" w:hAnsi="Calibri" w:cs="Calibri"/>
          <w:sz w:val="16"/>
          <w:szCs w:val="16"/>
        </w:rPr>
        <w:t>a</w:t>
      </w:r>
      <w:r>
        <w:rPr>
          <w:rFonts w:ascii="Calibri" w:eastAsia="Calibri" w:hAnsi="Calibri" w:cs="Calibri"/>
          <w:spacing w:val="1"/>
          <w:sz w:val="16"/>
          <w:szCs w:val="16"/>
        </w:rPr>
        <w:t>t</w:t>
      </w:r>
      <w:r>
        <w:rPr>
          <w:rFonts w:ascii="Calibri" w:eastAsia="Calibri" w:hAnsi="Calibri" w:cs="Calibri"/>
          <w:spacing w:val="-1"/>
          <w:sz w:val="16"/>
          <w:szCs w:val="16"/>
        </w:rPr>
        <w:t>e</w:t>
      </w:r>
      <w:r>
        <w:rPr>
          <w:rFonts w:ascii="Calibri" w:eastAsia="Calibri" w:hAnsi="Calibri" w:cs="Calibri"/>
          <w:sz w:val="16"/>
          <w:szCs w:val="16"/>
        </w:rPr>
        <w:t>d</w:t>
      </w:r>
      <w:r>
        <w:rPr>
          <w:rFonts w:ascii="Calibri" w:eastAsia="Calibri" w:hAnsi="Calibri" w:cs="Calibri"/>
          <w:spacing w:val="-1"/>
          <w:sz w:val="16"/>
          <w:szCs w:val="16"/>
        </w:rPr>
        <w:t xml:space="preserve"> </w:t>
      </w:r>
      <w:r>
        <w:rPr>
          <w:rFonts w:ascii="Calibri" w:eastAsia="Calibri" w:hAnsi="Calibri" w:cs="Calibri"/>
          <w:spacing w:val="1"/>
          <w:sz w:val="16"/>
          <w:szCs w:val="16"/>
        </w:rPr>
        <w:t>o</w:t>
      </w:r>
      <w:r>
        <w:rPr>
          <w:rFonts w:ascii="Calibri" w:eastAsia="Calibri" w:hAnsi="Calibri" w:cs="Calibri"/>
          <w:spacing w:val="-1"/>
          <w:sz w:val="16"/>
          <w:szCs w:val="16"/>
        </w:rPr>
        <w:t>ver</w:t>
      </w:r>
      <w:r>
        <w:rPr>
          <w:rFonts w:ascii="Calibri" w:eastAsia="Calibri" w:hAnsi="Calibri" w:cs="Calibri"/>
          <w:sz w:val="16"/>
          <w:szCs w:val="16"/>
        </w:rPr>
        <w:t>d</w:t>
      </w:r>
      <w:r>
        <w:rPr>
          <w:rFonts w:ascii="Calibri" w:eastAsia="Calibri" w:hAnsi="Calibri" w:cs="Calibri"/>
          <w:spacing w:val="-1"/>
          <w:sz w:val="16"/>
          <w:szCs w:val="16"/>
        </w:rPr>
        <w:t>o</w:t>
      </w:r>
      <w:r>
        <w:rPr>
          <w:rFonts w:ascii="Calibri" w:eastAsia="Calibri" w:hAnsi="Calibri" w:cs="Calibri"/>
          <w:sz w:val="16"/>
          <w:szCs w:val="16"/>
        </w:rPr>
        <w:t>s</w:t>
      </w:r>
      <w:r>
        <w:rPr>
          <w:rFonts w:ascii="Calibri" w:eastAsia="Calibri" w:hAnsi="Calibri" w:cs="Calibri"/>
          <w:spacing w:val="-1"/>
          <w:sz w:val="16"/>
          <w:szCs w:val="16"/>
        </w:rPr>
        <w:t>e</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z w:val="16"/>
          <w:szCs w:val="16"/>
        </w:rPr>
        <w:t>d</w:t>
      </w:r>
      <w:r>
        <w:rPr>
          <w:rFonts w:ascii="Calibri" w:eastAsia="Calibri" w:hAnsi="Calibri" w:cs="Calibri"/>
          <w:spacing w:val="-1"/>
          <w:sz w:val="16"/>
          <w:szCs w:val="16"/>
        </w:rPr>
        <w:t>u</w:t>
      </w:r>
      <w:r>
        <w:rPr>
          <w:rFonts w:ascii="Calibri" w:eastAsia="Calibri" w:hAnsi="Calibri" w:cs="Calibri"/>
          <w:sz w:val="16"/>
          <w:szCs w:val="16"/>
        </w:rPr>
        <w:t>e</w:t>
      </w:r>
      <w:r>
        <w:rPr>
          <w:rFonts w:ascii="Calibri" w:eastAsia="Calibri" w:hAnsi="Calibri" w:cs="Calibri"/>
          <w:spacing w:val="1"/>
          <w:sz w:val="16"/>
          <w:szCs w:val="16"/>
        </w:rPr>
        <w:t xml:space="preserve"> </w:t>
      </w:r>
      <w:r>
        <w:rPr>
          <w:rFonts w:ascii="Calibri" w:eastAsia="Calibri" w:hAnsi="Calibri" w:cs="Calibri"/>
          <w:spacing w:val="-1"/>
          <w:sz w:val="16"/>
          <w:szCs w:val="16"/>
        </w:rPr>
        <w:t>t</w:t>
      </w:r>
      <w:r>
        <w:rPr>
          <w:rFonts w:ascii="Calibri" w:eastAsia="Calibri" w:hAnsi="Calibri" w:cs="Calibri"/>
          <w:sz w:val="16"/>
          <w:szCs w:val="16"/>
        </w:rPr>
        <w:t>o</w:t>
      </w:r>
      <w:r>
        <w:rPr>
          <w:rFonts w:ascii="Calibri" w:eastAsia="Calibri" w:hAnsi="Calibri" w:cs="Calibri"/>
          <w:spacing w:val="-1"/>
          <w:sz w:val="16"/>
          <w:szCs w:val="16"/>
        </w:rPr>
        <w:t xml:space="preserve"> d</w:t>
      </w:r>
      <w:r>
        <w:rPr>
          <w:rFonts w:ascii="Calibri" w:eastAsia="Calibri" w:hAnsi="Calibri" w:cs="Calibri"/>
          <w:spacing w:val="1"/>
          <w:sz w:val="16"/>
          <w:szCs w:val="16"/>
        </w:rPr>
        <w:t>i</w:t>
      </w:r>
      <w:r>
        <w:rPr>
          <w:rFonts w:ascii="Calibri" w:eastAsia="Calibri" w:hAnsi="Calibri" w:cs="Calibri"/>
          <w:spacing w:val="-1"/>
          <w:sz w:val="16"/>
          <w:szCs w:val="16"/>
        </w:rPr>
        <w:t>ffi</w:t>
      </w:r>
      <w:r>
        <w:rPr>
          <w:rFonts w:ascii="Calibri" w:eastAsia="Calibri" w:hAnsi="Calibri" w:cs="Calibri"/>
          <w:spacing w:val="1"/>
          <w:sz w:val="16"/>
          <w:szCs w:val="16"/>
        </w:rPr>
        <w:t>c</w:t>
      </w:r>
      <w:r>
        <w:rPr>
          <w:rFonts w:ascii="Calibri" w:eastAsia="Calibri" w:hAnsi="Calibri" w:cs="Calibri"/>
          <w:sz w:val="16"/>
          <w:szCs w:val="16"/>
        </w:rPr>
        <w:t>u</w:t>
      </w:r>
      <w:r>
        <w:rPr>
          <w:rFonts w:ascii="Calibri" w:eastAsia="Calibri" w:hAnsi="Calibri" w:cs="Calibri"/>
          <w:spacing w:val="-1"/>
          <w:sz w:val="16"/>
          <w:szCs w:val="16"/>
        </w:rPr>
        <w:t>lt</w:t>
      </w:r>
      <w:r>
        <w:rPr>
          <w:rFonts w:ascii="Calibri" w:eastAsia="Calibri" w:hAnsi="Calibri" w:cs="Calibri"/>
          <w:spacing w:val="1"/>
          <w:sz w:val="16"/>
          <w:szCs w:val="16"/>
        </w:rPr>
        <w:t>i</w:t>
      </w:r>
      <w:r>
        <w:rPr>
          <w:rFonts w:ascii="Calibri" w:eastAsia="Calibri" w:hAnsi="Calibri" w:cs="Calibri"/>
          <w:spacing w:val="-1"/>
          <w:sz w:val="16"/>
          <w:szCs w:val="16"/>
        </w:rPr>
        <w:t>e</w:t>
      </w:r>
      <w:r>
        <w:rPr>
          <w:rFonts w:ascii="Calibri" w:eastAsia="Calibri" w:hAnsi="Calibri" w:cs="Calibri"/>
          <w:sz w:val="16"/>
          <w:szCs w:val="16"/>
        </w:rPr>
        <w:t>s</w:t>
      </w:r>
      <w:r>
        <w:rPr>
          <w:rFonts w:ascii="Calibri" w:eastAsia="Calibri" w:hAnsi="Calibri" w:cs="Calibri"/>
          <w:spacing w:val="-1"/>
          <w:sz w:val="16"/>
          <w:szCs w:val="16"/>
        </w:rPr>
        <w:t xml:space="preserve"> i</w:t>
      </w:r>
      <w:r>
        <w:rPr>
          <w:rFonts w:ascii="Calibri" w:eastAsia="Calibri" w:hAnsi="Calibri" w:cs="Calibri"/>
          <w:sz w:val="16"/>
          <w:szCs w:val="16"/>
        </w:rPr>
        <w:t>n</w:t>
      </w:r>
      <w:r>
        <w:rPr>
          <w:rFonts w:ascii="Calibri" w:eastAsia="Calibri" w:hAnsi="Calibri" w:cs="Calibri"/>
          <w:spacing w:val="-1"/>
          <w:sz w:val="16"/>
          <w:szCs w:val="16"/>
        </w:rPr>
        <w:t xml:space="preserve"> </w:t>
      </w:r>
      <w:r>
        <w:rPr>
          <w:rFonts w:ascii="Calibri" w:eastAsia="Calibri" w:hAnsi="Calibri" w:cs="Calibri"/>
          <w:spacing w:val="1"/>
          <w:sz w:val="16"/>
          <w:szCs w:val="16"/>
        </w:rPr>
        <w:t>r</w:t>
      </w:r>
      <w:r>
        <w:rPr>
          <w:rFonts w:ascii="Calibri" w:eastAsia="Calibri" w:hAnsi="Calibri" w:cs="Calibri"/>
          <w:spacing w:val="-1"/>
          <w:sz w:val="16"/>
          <w:szCs w:val="16"/>
        </w:rPr>
        <w:t>e</w:t>
      </w:r>
      <w:r>
        <w:rPr>
          <w:rFonts w:ascii="Calibri" w:eastAsia="Calibri" w:hAnsi="Calibri" w:cs="Calibri"/>
          <w:sz w:val="16"/>
          <w:szCs w:val="16"/>
        </w:rPr>
        <w:t>p</w:t>
      </w:r>
      <w:r>
        <w:rPr>
          <w:rFonts w:ascii="Calibri" w:eastAsia="Calibri" w:hAnsi="Calibri" w:cs="Calibri"/>
          <w:spacing w:val="-1"/>
          <w:sz w:val="16"/>
          <w:szCs w:val="16"/>
        </w:rPr>
        <w:t>or</w:t>
      </w:r>
      <w:r>
        <w:rPr>
          <w:rFonts w:ascii="Calibri" w:eastAsia="Calibri" w:hAnsi="Calibri" w:cs="Calibri"/>
          <w:spacing w:val="1"/>
          <w:sz w:val="16"/>
          <w:szCs w:val="16"/>
        </w:rPr>
        <w:t>ti</w:t>
      </w:r>
      <w:r>
        <w:rPr>
          <w:rFonts w:ascii="Calibri" w:eastAsia="Calibri" w:hAnsi="Calibri" w:cs="Calibri"/>
          <w:sz w:val="16"/>
          <w:szCs w:val="16"/>
        </w:rPr>
        <w:t>ng</w:t>
      </w:r>
      <w:r>
        <w:rPr>
          <w:rFonts w:ascii="Calibri" w:eastAsia="Calibri" w:hAnsi="Calibri" w:cs="Calibri"/>
          <w:spacing w:val="1"/>
          <w:sz w:val="16"/>
          <w:szCs w:val="16"/>
        </w:rPr>
        <w:t xml:space="preserve"> </w:t>
      </w:r>
      <w:r w:rsidR="001A017E">
        <w:rPr>
          <w:rFonts w:ascii="Calibri" w:eastAsia="Calibri" w:hAnsi="Calibri" w:cs="Calibri"/>
          <w:spacing w:val="-1"/>
          <w:sz w:val="16"/>
          <w:szCs w:val="16"/>
        </w:rPr>
        <w:t>Heroin</w:t>
      </w:r>
      <w:r>
        <w:rPr>
          <w:rFonts w:ascii="Calibri" w:eastAsia="Calibri" w:hAnsi="Calibri" w:cs="Calibri"/>
          <w:spacing w:val="1"/>
          <w:sz w:val="16"/>
          <w:szCs w:val="16"/>
        </w:rPr>
        <w:t>-</w:t>
      </w:r>
      <w:r>
        <w:rPr>
          <w:rFonts w:ascii="Calibri" w:eastAsia="Calibri" w:hAnsi="Calibri" w:cs="Calibri"/>
          <w:sz w:val="16"/>
          <w:szCs w:val="16"/>
        </w:rPr>
        <w:t>a</w:t>
      </w:r>
      <w:r>
        <w:rPr>
          <w:rFonts w:ascii="Calibri" w:eastAsia="Calibri" w:hAnsi="Calibri" w:cs="Calibri"/>
          <w:spacing w:val="-1"/>
          <w:sz w:val="16"/>
          <w:szCs w:val="16"/>
        </w:rPr>
        <w:t>s</w:t>
      </w:r>
      <w:r>
        <w:rPr>
          <w:rFonts w:ascii="Calibri" w:eastAsia="Calibri" w:hAnsi="Calibri" w:cs="Calibri"/>
          <w:sz w:val="16"/>
          <w:szCs w:val="16"/>
        </w:rPr>
        <w:t>s</w:t>
      </w:r>
      <w:r>
        <w:rPr>
          <w:rFonts w:ascii="Calibri" w:eastAsia="Calibri" w:hAnsi="Calibri" w:cs="Calibri"/>
          <w:spacing w:val="-1"/>
          <w:sz w:val="16"/>
          <w:szCs w:val="16"/>
        </w:rPr>
        <w:t>oci</w:t>
      </w:r>
      <w:r>
        <w:rPr>
          <w:rFonts w:ascii="Calibri" w:eastAsia="Calibri" w:hAnsi="Calibri" w:cs="Calibri"/>
          <w:sz w:val="16"/>
          <w:szCs w:val="16"/>
        </w:rPr>
        <w:t>a</w:t>
      </w:r>
      <w:r>
        <w:rPr>
          <w:rFonts w:ascii="Calibri" w:eastAsia="Calibri" w:hAnsi="Calibri" w:cs="Calibri"/>
          <w:spacing w:val="-1"/>
          <w:sz w:val="16"/>
          <w:szCs w:val="16"/>
        </w:rPr>
        <w:t>te</w:t>
      </w:r>
      <w:r>
        <w:rPr>
          <w:rFonts w:ascii="Calibri" w:eastAsia="Calibri" w:hAnsi="Calibri" w:cs="Calibri"/>
          <w:sz w:val="16"/>
          <w:szCs w:val="16"/>
        </w:rPr>
        <w:t>d</w:t>
      </w:r>
      <w:r>
        <w:rPr>
          <w:rFonts w:ascii="Calibri" w:eastAsia="Calibri" w:hAnsi="Calibri" w:cs="Calibri"/>
          <w:spacing w:val="-1"/>
          <w:sz w:val="16"/>
          <w:szCs w:val="16"/>
        </w:rPr>
        <w:t xml:space="preserve"> o</w:t>
      </w:r>
      <w:r>
        <w:rPr>
          <w:rFonts w:ascii="Calibri" w:eastAsia="Calibri" w:hAnsi="Calibri" w:cs="Calibri"/>
          <w:spacing w:val="2"/>
          <w:sz w:val="16"/>
          <w:szCs w:val="16"/>
        </w:rPr>
        <w:t>v</w:t>
      </w:r>
      <w:r>
        <w:rPr>
          <w:rFonts w:ascii="Calibri" w:eastAsia="Calibri" w:hAnsi="Calibri" w:cs="Calibri"/>
          <w:spacing w:val="-1"/>
          <w:sz w:val="16"/>
          <w:szCs w:val="16"/>
        </w:rPr>
        <w:t>er</w:t>
      </w:r>
      <w:r>
        <w:rPr>
          <w:rFonts w:ascii="Calibri" w:eastAsia="Calibri" w:hAnsi="Calibri" w:cs="Calibri"/>
          <w:sz w:val="16"/>
          <w:szCs w:val="16"/>
        </w:rPr>
        <w:t>d</w:t>
      </w:r>
      <w:r>
        <w:rPr>
          <w:rFonts w:ascii="Calibri" w:eastAsia="Calibri" w:hAnsi="Calibri" w:cs="Calibri"/>
          <w:spacing w:val="-1"/>
          <w:sz w:val="16"/>
          <w:szCs w:val="16"/>
        </w:rPr>
        <w:t>o</w:t>
      </w:r>
      <w:r>
        <w:rPr>
          <w:rFonts w:ascii="Calibri" w:eastAsia="Calibri" w:hAnsi="Calibri" w:cs="Calibri"/>
          <w:sz w:val="16"/>
          <w:szCs w:val="16"/>
        </w:rPr>
        <w:t>s</w:t>
      </w:r>
      <w:r>
        <w:rPr>
          <w:rFonts w:ascii="Calibri" w:eastAsia="Calibri" w:hAnsi="Calibri" w:cs="Calibri"/>
          <w:spacing w:val="-1"/>
          <w:sz w:val="16"/>
          <w:szCs w:val="16"/>
        </w:rPr>
        <w:t>e</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pacing w:val="2"/>
          <w:sz w:val="16"/>
          <w:szCs w:val="16"/>
        </w:rPr>
        <w:t>s</w:t>
      </w:r>
      <w:r>
        <w:rPr>
          <w:rFonts w:ascii="Calibri" w:eastAsia="Calibri" w:hAnsi="Calibri" w:cs="Calibri"/>
          <w:spacing w:val="-1"/>
          <w:sz w:val="16"/>
          <w:szCs w:val="16"/>
        </w:rPr>
        <w:t>e</w:t>
      </w:r>
      <w:r>
        <w:rPr>
          <w:rFonts w:ascii="Calibri" w:eastAsia="Calibri" w:hAnsi="Calibri" w:cs="Calibri"/>
          <w:sz w:val="16"/>
          <w:szCs w:val="16"/>
        </w:rPr>
        <w:t>p</w:t>
      </w:r>
      <w:r>
        <w:rPr>
          <w:rFonts w:ascii="Calibri" w:eastAsia="Calibri" w:hAnsi="Calibri" w:cs="Calibri"/>
          <w:spacing w:val="-1"/>
          <w:sz w:val="16"/>
          <w:szCs w:val="16"/>
        </w:rPr>
        <w:t>a</w:t>
      </w:r>
      <w:r>
        <w:rPr>
          <w:rFonts w:ascii="Calibri" w:eastAsia="Calibri" w:hAnsi="Calibri" w:cs="Calibri"/>
          <w:spacing w:val="1"/>
          <w:sz w:val="16"/>
          <w:szCs w:val="16"/>
        </w:rPr>
        <w:t>r</w:t>
      </w:r>
      <w:r>
        <w:rPr>
          <w:rFonts w:ascii="Calibri" w:eastAsia="Calibri" w:hAnsi="Calibri" w:cs="Calibri"/>
          <w:sz w:val="16"/>
          <w:szCs w:val="16"/>
        </w:rPr>
        <w:t>a</w:t>
      </w:r>
      <w:r>
        <w:rPr>
          <w:rFonts w:ascii="Calibri" w:eastAsia="Calibri" w:hAnsi="Calibri" w:cs="Calibri"/>
          <w:spacing w:val="-1"/>
          <w:sz w:val="16"/>
          <w:szCs w:val="16"/>
        </w:rPr>
        <w:t>tely</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pacing w:val="-1"/>
          <w:sz w:val="16"/>
          <w:szCs w:val="16"/>
        </w:rPr>
        <w:t>M</w:t>
      </w:r>
      <w:r>
        <w:rPr>
          <w:rFonts w:ascii="Calibri" w:eastAsia="Calibri" w:hAnsi="Calibri" w:cs="Calibri"/>
          <w:sz w:val="16"/>
          <w:szCs w:val="16"/>
        </w:rPr>
        <w:t>a</w:t>
      </w:r>
      <w:r>
        <w:rPr>
          <w:rFonts w:ascii="Calibri" w:eastAsia="Calibri" w:hAnsi="Calibri" w:cs="Calibri"/>
          <w:spacing w:val="-1"/>
          <w:sz w:val="16"/>
          <w:szCs w:val="16"/>
        </w:rPr>
        <w:t>n</w:t>
      </w:r>
      <w:r>
        <w:rPr>
          <w:rFonts w:ascii="Calibri" w:eastAsia="Calibri" w:hAnsi="Calibri" w:cs="Calibri"/>
          <w:sz w:val="16"/>
          <w:szCs w:val="16"/>
        </w:rPr>
        <w:t>y</w:t>
      </w:r>
      <w:r>
        <w:rPr>
          <w:rFonts w:ascii="Calibri" w:eastAsia="Calibri" w:hAnsi="Calibri" w:cs="Calibri"/>
          <w:spacing w:val="-1"/>
          <w:sz w:val="16"/>
          <w:szCs w:val="16"/>
        </w:rPr>
        <w:t xml:space="preserve"> de</w:t>
      </w:r>
      <w:r>
        <w:rPr>
          <w:rFonts w:ascii="Calibri" w:eastAsia="Calibri" w:hAnsi="Calibri" w:cs="Calibri"/>
          <w:spacing w:val="2"/>
          <w:sz w:val="16"/>
          <w:szCs w:val="16"/>
        </w:rPr>
        <w:t>a</w:t>
      </w:r>
      <w:r>
        <w:rPr>
          <w:rFonts w:ascii="Calibri" w:eastAsia="Calibri" w:hAnsi="Calibri" w:cs="Calibri"/>
          <w:spacing w:val="-1"/>
          <w:sz w:val="16"/>
          <w:szCs w:val="16"/>
        </w:rPr>
        <w:t>t</w:t>
      </w:r>
      <w:r>
        <w:rPr>
          <w:rFonts w:ascii="Calibri" w:eastAsia="Calibri" w:hAnsi="Calibri" w:cs="Calibri"/>
          <w:sz w:val="16"/>
          <w:szCs w:val="16"/>
        </w:rPr>
        <w:t>hs</w:t>
      </w:r>
      <w:r>
        <w:rPr>
          <w:rFonts w:ascii="Calibri" w:eastAsia="Calibri" w:hAnsi="Calibri" w:cs="Calibri"/>
          <w:spacing w:val="-1"/>
          <w:sz w:val="16"/>
          <w:szCs w:val="16"/>
        </w:rPr>
        <w:t xml:space="preserve"> rel</w:t>
      </w:r>
      <w:r>
        <w:rPr>
          <w:rFonts w:ascii="Calibri" w:eastAsia="Calibri" w:hAnsi="Calibri" w:cs="Calibri"/>
          <w:spacing w:val="2"/>
          <w:sz w:val="16"/>
          <w:szCs w:val="16"/>
        </w:rPr>
        <w:t>a</w:t>
      </w:r>
      <w:r>
        <w:rPr>
          <w:rFonts w:ascii="Calibri" w:eastAsia="Calibri" w:hAnsi="Calibri" w:cs="Calibri"/>
          <w:spacing w:val="-1"/>
          <w:sz w:val="16"/>
          <w:szCs w:val="16"/>
        </w:rPr>
        <w:t>te</w:t>
      </w:r>
      <w:r>
        <w:rPr>
          <w:rFonts w:ascii="Calibri" w:eastAsia="Calibri" w:hAnsi="Calibri" w:cs="Calibri"/>
          <w:sz w:val="16"/>
          <w:szCs w:val="16"/>
        </w:rPr>
        <w:t>d</w:t>
      </w:r>
      <w:r>
        <w:rPr>
          <w:rFonts w:ascii="Calibri" w:eastAsia="Calibri" w:hAnsi="Calibri" w:cs="Calibri"/>
          <w:spacing w:val="-1"/>
          <w:sz w:val="16"/>
          <w:szCs w:val="16"/>
        </w:rPr>
        <w:t xml:space="preserve"> t</w:t>
      </w:r>
      <w:r>
        <w:rPr>
          <w:rFonts w:ascii="Calibri" w:eastAsia="Calibri" w:hAnsi="Calibri" w:cs="Calibri"/>
          <w:sz w:val="16"/>
          <w:szCs w:val="16"/>
        </w:rPr>
        <w:t>o</w:t>
      </w:r>
      <w:r>
        <w:rPr>
          <w:rFonts w:ascii="Calibri" w:eastAsia="Calibri" w:hAnsi="Calibri" w:cs="Calibri"/>
          <w:spacing w:val="2"/>
          <w:sz w:val="16"/>
          <w:szCs w:val="16"/>
        </w:rPr>
        <w:t xml:space="preserve"> </w:t>
      </w:r>
      <w:r w:rsidR="001A017E">
        <w:rPr>
          <w:rFonts w:ascii="Calibri" w:eastAsia="Calibri" w:hAnsi="Calibri" w:cs="Calibri"/>
          <w:spacing w:val="-1"/>
          <w:sz w:val="16"/>
          <w:szCs w:val="16"/>
        </w:rPr>
        <w:t>Heroin</w:t>
      </w:r>
      <w:r>
        <w:rPr>
          <w:rFonts w:ascii="Calibri" w:eastAsia="Calibri" w:hAnsi="Calibri" w:cs="Calibri"/>
          <w:spacing w:val="4"/>
          <w:sz w:val="16"/>
          <w:szCs w:val="16"/>
        </w:rPr>
        <w:t xml:space="preserve"> </w:t>
      </w:r>
      <w:r>
        <w:rPr>
          <w:rFonts w:ascii="Calibri" w:eastAsia="Calibri" w:hAnsi="Calibri" w:cs="Calibri"/>
          <w:sz w:val="16"/>
          <w:szCs w:val="16"/>
        </w:rPr>
        <w:t>a</w:t>
      </w:r>
      <w:r>
        <w:rPr>
          <w:rFonts w:ascii="Calibri" w:eastAsia="Calibri" w:hAnsi="Calibri" w:cs="Calibri"/>
          <w:spacing w:val="-1"/>
          <w:sz w:val="16"/>
          <w:szCs w:val="16"/>
        </w:rPr>
        <w:t>r</w:t>
      </w:r>
      <w:r>
        <w:rPr>
          <w:rFonts w:ascii="Calibri" w:eastAsia="Calibri" w:hAnsi="Calibri" w:cs="Calibri"/>
          <w:sz w:val="16"/>
          <w:szCs w:val="16"/>
        </w:rPr>
        <w:t>e</w:t>
      </w:r>
      <w:r>
        <w:rPr>
          <w:rFonts w:ascii="Calibri" w:eastAsia="Calibri" w:hAnsi="Calibri" w:cs="Calibri"/>
          <w:spacing w:val="-1"/>
          <w:sz w:val="16"/>
          <w:szCs w:val="16"/>
        </w:rPr>
        <w:t xml:space="preserve"> no</w:t>
      </w:r>
      <w:r>
        <w:rPr>
          <w:rFonts w:ascii="Calibri" w:eastAsia="Calibri" w:hAnsi="Calibri" w:cs="Calibri"/>
          <w:sz w:val="16"/>
          <w:szCs w:val="16"/>
        </w:rPr>
        <w:t>t</w:t>
      </w:r>
      <w:r>
        <w:rPr>
          <w:rFonts w:ascii="Calibri" w:eastAsia="Calibri" w:hAnsi="Calibri" w:cs="Calibri"/>
          <w:spacing w:val="-1"/>
          <w:sz w:val="16"/>
          <w:szCs w:val="16"/>
        </w:rPr>
        <w:t xml:space="preserve"> s</w:t>
      </w:r>
      <w:r>
        <w:rPr>
          <w:rFonts w:ascii="Calibri" w:eastAsia="Calibri" w:hAnsi="Calibri" w:cs="Calibri"/>
          <w:sz w:val="16"/>
          <w:szCs w:val="16"/>
        </w:rPr>
        <w:t>p</w:t>
      </w:r>
      <w:r>
        <w:rPr>
          <w:rFonts w:ascii="Calibri" w:eastAsia="Calibri" w:hAnsi="Calibri" w:cs="Calibri"/>
          <w:spacing w:val="-1"/>
          <w:sz w:val="16"/>
          <w:szCs w:val="16"/>
        </w:rPr>
        <w:t>e</w:t>
      </w:r>
      <w:r>
        <w:rPr>
          <w:rFonts w:ascii="Calibri" w:eastAsia="Calibri" w:hAnsi="Calibri" w:cs="Calibri"/>
          <w:spacing w:val="1"/>
          <w:sz w:val="16"/>
          <w:szCs w:val="16"/>
        </w:rPr>
        <w:t>c</w:t>
      </w:r>
      <w:r>
        <w:rPr>
          <w:rFonts w:ascii="Calibri" w:eastAsia="Calibri" w:hAnsi="Calibri" w:cs="Calibri"/>
          <w:spacing w:val="-1"/>
          <w:sz w:val="16"/>
          <w:szCs w:val="16"/>
        </w:rPr>
        <w:t>if</w:t>
      </w:r>
      <w:r>
        <w:rPr>
          <w:rFonts w:ascii="Calibri" w:eastAsia="Calibri" w:hAnsi="Calibri" w:cs="Calibri"/>
          <w:spacing w:val="1"/>
          <w:sz w:val="16"/>
          <w:szCs w:val="16"/>
        </w:rPr>
        <w:t>i</w:t>
      </w:r>
      <w:r>
        <w:rPr>
          <w:rFonts w:ascii="Calibri" w:eastAsia="Calibri" w:hAnsi="Calibri" w:cs="Calibri"/>
          <w:spacing w:val="-1"/>
          <w:sz w:val="16"/>
          <w:szCs w:val="16"/>
        </w:rPr>
        <w:t>c</w:t>
      </w:r>
      <w:r>
        <w:rPr>
          <w:rFonts w:ascii="Calibri" w:eastAsia="Calibri" w:hAnsi="Calibri" w:cs="Calibri"/>
          <w:sz w:val="16"/>
          <w:szCs w:val="16"/>
        </w:rPr>
        <w:t>a</w:t>
      </w:r>
      <w:r>
        <w:rPr>
          <w:rFonts w:ascii="Calibri" w:eastAsia="Calibri" w:hAnsi="Calibri" w:cs="Calibri"/>
          <w:spacing w:val="-1"/>
          <w:sz w:val="16"/>
          <w:szCs w:val="16"/>
        </w:rPr>
        <w:t>ll</w:t>
      </w:r>
      <w:r>
        <w:rPr>
          <w:rFonts w:ascii="Calibri" w:eastAsia="Calibri" w:hAnsi="Calibri" w:cs="Calibri"/>
          <w:sz w:val="16"/>
          <w:szCs w:val="16"/>
        </w:rPr>
        <w:t>y</w:t>
      </w:r>
      <w:r>
        <w:rPr>
          <w:rFonts w:ascii="Calibri" w:eastAsia="Calibri" w:hAnsi="Calibri" w:cs="Calibri"/>
          <w:spacing w:val="1"/>
          <w:sz w:val="16"/>
          <w:szCs w:val="16"/>
        </w:rPr>
        <w:t xml:space="preserve"> </w:t>
      </w:r>
      <w:r>
        <w:rPr>
          <w:rFonts w:ascii="Calibri" w:eastAsia="Calibri" w:hAnsi="Calibri" w:cs="Calibri"/>
          <w:spacing w:val="-1"/>
          <w:sz w:val="16"/>
          <w:szCs w:val="16"/>
        </w:rPr>
        <w:t>co</w:t>
      </w:r>
      <w:r>
        <w:rPr>
          <w:rFonts w:ascii="Calibri" w:eastAsia="Calibri" w:hAnsi="Calibri" w:cs="Calibri"/>
          <w:sz w:val="16"/>
          <w:szCs w:val="16"/>
        </w:rPr>
        <w:t>d</w:t>
      </w:r>
      <w:r>
        <w:rPr>
          <w:rFonts w:ascii="Calibri" w:eastAsia="Calibri" w:hAnsi="Calibri" w:cs="Calibri"/>
          <w:spacing w:val="-1"/>
          <w:sz w:val="16"/>
          <w:szCs w:val="16"/>
        </w:rPr>
        <w:t>e</w:t>
      </w:r>
      <w:r>
        <w:rPr>
          <w:rFonts w:ascii="Calibri" w:eastAsia="Calibri" w:hAnsi="Calibri" w:cs="Calibri"/>
          <w:sz w:val="16"/>
          <w:szCs w:val="16"/>
        </w:rPr>
        <w:t>d</w:t>
      </w:r>
      <w:r>
        <w:rPr>
          <w:rFonts w:ascii="Calibri" w:eastAsia="Calibri" w:hAnsi="Calibri" w:cs="Calibri"/>
          <w:spacing w:val="-1"/>
          <w:sz w:val="16"/>
          <w:szCs w:val="16"/>
        </w:rPr>
        <w:t xml:space="preserve"> </w:t>
      </w:r>
      <w:r>
        <w:rPr>
          <w:rFonts w:ascii="Calibri" w:eastAsia="Calibri" w:hAnsi="Calibri" w:cs="Calibri"/>
          <w:sz w:val="16"/>
          <w:szCs w:val="16"/>
        </w:rPr>
        <w:t xml:space="preserve">as </w:t>
      </w:r>
      <w:r>
        <w:rPr>
          <w:rFonts w:ascii="Calibri" w:eastAsia="Calibri" w:hAnsi="Calibri" w:cs="Calibri"/>
          <w:spacing w:val="-1"/>
          <w:sz w:val="16"/>
          <w:szCs w:val="16"/>
        </w:rPr>
        <w:t>s</w:t>
      </w:r>
      <w:r>
        <w:rPr>
          <w:rFonts w:ascii="Calibri" w:eastAsia="Calibri" w:hAnsi="Calibri" w:cs="Calibri"/>
          <w:sz w:val="16"/>
          <w:szCs w:val="16"/>
        </w:rPr>
        <w:t>u</w:t>
      </w:r>
      <w:r>
        <w:rPr>
          <w:rFonts w:ascii="Calibri" w:eastAsia="Calibri" w:hAnsi="Calibri" w:cs="Calibri"/>
          <w:spacing w:val="-1"/>
          <w:sz w:val="16"/>
          <w:szCs w:val="16"/>
        </w:rPr>
        <w:t>c</w:t>
      </w:r>
      <w:r>
        <w:rPr>
          <w:rFonts w:ascii="Calibri" w:eastAsia="Calibri" w:hAnsi="Calibri" w:cs="Calibri"/>
          <w:sz w:val="16"/>
          <w:szCs w:val="16"/>
        </w:rPr>
        <w:t>h</w:t>
      </w:r>
      <w:r>
        <w:rPr>
          <w:rFonts w:ascii="Calibri" w:eastAsia="Calibri" w:hAnsi="Calibri" w:cs="Calibri"/>
          <w:spacing w:val="2"/>
          <w:sz w:val="16"/>
          <w:szCs w:val="16"/>
        </w:rPr>
        <w:t xml:space="preserve"> </w:t>
      </w:r>
      <w:r>
        <w:rPr>
          <w:rFonts w:ascii="Calibri" w:eastAsia="Calibri" w:hAnsi="Calibri" w:cs="Calibri"/>
          <w:spacing w:val="-1"/>
          <w:sz w:val="16"/>
          <w:szCs w:val="16"/>
        </w:rPr>
        <w:t>d</w:t>
      </w:r>
      <w:r>
        <w:rPr>
          <w:rFonts w:ascii="Calibri" w:eastAsia="Calibri" w:hAnsi="Calibri" w:cs="Calibri"/>
          <w:sz w:val="16"/>
          <w:szCs w:val="16"/>
        </w:rPr>
        <w:t>ue</w:t>
      </w:r>
      <w:r>
        <w:rPr>
          <w:rFonts w:ascii="Calibri" w:eastAsia="Calibri" w:hAnsi="Calibri" w:cs="Calibri"/>
          <w:spacing w:val="1"/>
          <w:sz w:val="16"/>
          <w:szCs w:val="16"/>
        </w:rPr>
        <w:t xml:space="preserve"> </w:t>
      </w:r>
      <w:r>
        <w:rPr>
          <w:rFonts w:ascii="Calibri" w:eastAsia="Calibri" w:hAnsi="Calibri" w:cs="Calibri"/>
          <w:spacing w:val="-1"/>
          <w:sz w:val="16"/>
          <w:szCs w:val="16"/>
        </w:rPr>
        <w:t>t</w:t>
      </w:r>
      <w:r>
        <w:rPr>
          <w:rFonts w:ascii="Calibri" w:eastAsia="Calibri" w:hAnsi="Calibri" w:cs="Calibri"/>
          <w:sz w:val="16"/>
          <w:szCs w:val="16"/>
        </w:rPr>
        <w:t>o</w:t>
      </w:r>
      <w:r>
        <w:rPr>
          <w:rFonts w:ascii="Calibri" w:eastAsia="Calibri" w:hAnsi="Calibri" w:cs="Calibri"/>
          <w:spacing w:val="-1"/>
          <w:sz w:val="16"/>
          <w:szCs w:val="16"/>
        </w:rPr>
        <w:t xml:space="preserve"> t</w:t>
      </w:r>
      <w:r>
        <w:rPr>
          <w:rFonts w:ascii="Calibri" w:eastAsia="Calibri" w:hAnsi="Calibri" w:cs="Calibri"/>
          <w:sz w:val="16"/>
          <w:szCs w:val="16"/>
        </w:rPr>
        <w:t>he</w:t>
      </w:r>
      <w:r>
        <w:rPr>
          <w:rFonts w:ascii="Calibri" w:eastAsia="Calibri" w:hAnsi="Calibri" w:cs="Calibri"/>
          <w:spacing w:val="1"/>
          <w:sz w:val="16"/>
          <w:szCs w:val="16"/>
        </w:rPr>
        <w:t xml:space="preserve"> </w:t>
      </w:r>
      <w:r>
        <w:rPr>
          <w:rFonts w:ascii="Calibri" w:eastAsia="Calibri" w:hAnsi="Calibri" w:cs="Calibri"/>
          <w:spacing w:val="-1"/>
          <w:sz w:val="16"/>
          <w:szCs w:val="16"/>
        </w:rPr>
        <w:t>f</w:t>
      </w:r>
      <w:r>
        <w:rPr>
          <w:rFonts w:ascii="Calibri" w:eastAsia="Calibri" w:hAnsi="Calibri" w:cs="Calibri"/>
          <w:sz w:val="16"/>
          <w:szCs w:val="16"/>
        </w:rPr>
        <w:t>a</w:t>
      </w:r>
      <w:r>
        <w:rPr>
          <w:rFonts w:ascii="Calibri" w:eastAsia="Calibri" w:hAnsi="Calibri" w:cs="Calibri"/>
          <w:spacing w:val="-1"/>
          <w:sz w:val="16"/>
          <w:szCs w:val="16"/>
        </w:rPr>
        <w:t>s</w:t>
      </w:r>
      <w:r>
        <w:rPr>
          <w:rFonts w:ascii="Calibri" w:eastAsia="Calibri" w:hAnsi="Calibri" w:cs="Calibri"/>
          <w:sz w:val="16"/>
          <w:szCs w:val="16"/>
        </w:rPr>
        <w:t>t</w:t>
      </w:r>
      <w:r>
        <w:rPr>
          <w:rFonts w:ascii="Calibri" w:eastAsia="Calibri" w:hAnsi="Calibri" w:cs="Calibri"/>
          <w:spacing w:val="-1"/>
          <w:sz w:val="16"/>
          <w:szCs w:val="16"/>
        </w:rPr>
        <w:t xml:space="preserve"> </w:t>
      </w:r>
      <w:r>
        <w:rPr>
          <w:rFonts w:ascii="Calibri" w:eastAsia="Calibri" w:hAnsi="Calibri" w:cs="Calibri"/>
          <w:spacing w:val="1"/>
          <w:sz w:val="16"/>
          <w:szCs w:val="16"/>
        </w:rPr>
        <w:t>m</w:t>
      </w:r>
      <w:r>
        <w:rPr>
          <w:rFonts w:ascii="Calibri" w:eastAsia="Calibri" w:hAnsi="Calibri" w:cs="Calibri"/>
          <w:spacing w:val="-1"/>
          <w:sz w:val="16"/>
          <w:szCs w:val="16"/>
        </w:rPr>
        <w:t>et</w:t>
      </w:r>
      <w:r>
        <w:rPr>
          <w:rFonts w:ascii="Calibri" w:eastAsia="Calibri" w:hAnsi="Calibri" w:cs="Calibri"/>
          <w:sz w:val="16"/>
          <w:szCs w:val="16"/>
        </w:rPr>
        <w:t>a</w:t>
      </w:r>
      <w:r>
        <w:rPr>
          <w:rFonts w:ascii="Calibri" w:eastAsia="Calibri" w:hAnsi="Calibri" w:cs="Calibri"/>
          <w:spacing w:val="-1"/>
          <w:sz w:val="16"/>
          <w:szCs w:val="16"/>
        </w:rPr>
        <w:t>bol</w:t>
      </w:r>
      <w:r>
        <w:rPr>
          <w:rFonts w:ascii="Calibri" w:eastAsia="Calibri" w:hAnsi="Calibri" w:cs="Calibri"/>
          <w:spacing w:val="1"/>
          <w:sz w:val="16"/>
          <w:szCs w:val="16"/>
        </w:rPr>
        <w:t>i</w:t>
      </w:r>
      <w:r>
        <w:rPr>
          <w:rFonts w:ascii="Calibri" w:eastAsia="Calibri" w:hAnsi="Calibri" w:cs="Calibri"/>
          <w:sz w:val="16"/>
          <w:szCs w:val="16"/>
        </w:rPr>
        <w:t>sm</w:t>
      </w:r>
      <w:r>
        <w:rPr>
          <w:rFonts w:ascii="Calibri" w:eastAsia="Calibri" w:hAnsi="Calibri" w:cs="Calibri"/>
          <w:spacing w:val="1"/>
          <w:sz w:val="16"/>
          <w:szCs w:val="16"/>
        </w:rPr>
        <w:t xml:space="preserve"> </w:t>
      </w:r>
      <w:r>
        <w:rPr>
          <w:rFonts w:ascii="Calibri" w:eastAsia="Calibri" w:hAnsi="Calibri" w:cs="Calibri"/>
          <w:spacing w:val="-1"/>
          <w:sz w:val="16"/>
          <w:szCs w:val="16"/>
        </w:rPr>
        <w:t>o</w:t>
      </w:r>
      <w:r>
        <w:rPr>
          <w:rFonts w:ascii="Calibri" w:eastAsia="Calibri" w:hAnsi="Calibri" w:cs="Calibri"/>
          <w:sz w:val="16"/>
          <w:szCs w:val="16"/>
        </w:rPr>
        <w:t>f</w:t>
      </w:r>
    </w:p>
    <w:p w:rsidR="00E2392E" w:rsidRDefault="001A017E" w:rsidP="00E2392E">
      <w:pPr>
        <w:spacing w:before="1"/>
        <w:ind w:left="498"/>
        <w:rPr>
          <w:rFonts w:ascii="Calibri" w:eastAsia="Calibri" w:hAnsi="Calibri" w:cs="Calibri"/>
          <w:sz w:val="16"/>
          <w:szCs w:val="16"/>
        </w:rPr>
      </w:pPr>
      <w:r>
        <w:rPr>
          <w:rFonts w:ascii="Calibri" w:eastAsia="Calibri" w:hAnsi="Calibri" w:cs="Calibri"/>
          <w:sz w:val="16"/>
          <w:szCs w:val="16"/>
        </w:rPr>
        <w:t>Heroin</w:t>
      </w:r>
      <w:r w:rsidR="00E2392E">
        <w:rPr>
          <w:rFonts w:ascii="Calibri" w:eastAsia="Calibri" w:hAnsi="Calibri" w:cs="Calibri"/>
          <w:spacing w:val="-1"/>
          <w:sz w:val="16"/>
          <w:szCs w:val="16"/>
        </w:rPr>
        <w:t xml:space="preserve"> i</w:t>
      </w:r>
      <w:r w:rsidR="00E2392E">
        <w:rPr>
          <w:rFonts w:ascii="Calibri" w:eastAsia="Calibri" w:hAnsi="Calibri" w:cs="Calibri"/>
          <w:spacing w:val="2"/>
          <w:sz w:val="16"/>
          <w:szCs w:val="16"/>
        </w:rPr>
        <w:t>n</w:t>
      </w:r>
      <w:r w:rsidR="00E2392E">
        <w:rPr>
          <w:rFonts w:ascii="Calibri" w:eastAsia="Calibri" w:hAnsi="Calibri" w:cs="Calibri"/>
          <w:spacing w:val="-1"/>
          <w:sz w:val="16"/>
          <w:szCs w:val="16"/>
        </w:rPr>
        <w:t>t</w:t>
      </w:r>
      <w:r w:rsidR="00E2392E">
        <w:rPr>
          <w:rFonts w:ascii="Calibri" w:eastAsia="Calibri" w:hAnsi="Calibri" w:cs="Calibri"/>
          <w:sz w:val="16"/>
          <w:szCs w:val="16"/>
        </w:rPr>
        <w:t>o</w:t>
      </w:r>
      <w:r w:rsidR="00E2392E">
        <w:rPr>
          <w:rFonts w:ascii="Calibri" w:eastAsia="Calibri" w:hAnsi="Calibri" w:cs="Calibri"/>
          <w:spacing w:val="-1"/>
          <w:sz w:val="16"/>
          <w:szCs w:val="16"/>
        </w:rPr>
        <w:t xml:space="preserve"> </w:t>
      </w:r>
      <w:r w:rsidR="00E2392E">
        <w:rPr>
          <w:rFonts w:ascii="Calibri" w:eastAsia="Calibri" w:hAnsi="Calibri" w:cs="Calibri"/>
          <w:spacing w:val="1"/>
          <w:sz w:val="16"/>
          <w:szCs w:val="16"/>
        </w:rPr>
        <w:t>m</w:t>
      </w:r>
      <w:r w:rsidR="00E2392E">
        <w:rPr>
          <w:rFonts w:ascii="Calibri" w:eastAsia="Calibri" w:hAnsi="Calibri" w:cs="Calibri"/>
          <w:spacing w:val="-1"/>
          <w:sz w:val="16"/>
          <w:szCs w:val="16"/>
        </w:rPr>
        <w:t>or</w:t>
      </w:r>
      <w:r w:rsidR="00E2392E">
        <w:rPr>
          <w:rFonts w:ascii="Calibri" w:eastAsia="Calibri" w:hAnsi="Calibri" w:cs="Calibri"/>
          <w:sz w:val="16"/>
          <w:szCs w:val="16"/>
        </w:rPr>
        <w:t>p</w:t>
      </w:r>
      <w:r w:rsidR="00E2392E">
        <w:rPr>
          <w:rFonts w:ascii="Calibri" w:eastAsia="Calibri" w:hAnsi="Calibri" w:cs="Calibri"/>
          <w:spacing w:val="-1"/>
          <w:sz w:val="16"/>
          <w:szCs w:val="16"/>
        </w:rPr>
        <w:t>hi</w:t>
      </w:r>
      <w:r w:rsidR="00E2392E">
        <w:rPr>
          <w:rFonts w:ascii="Calibri" w:eastAsia="Calibri" w:hAnsi="Calibri" w:cs="Calibri"/>
          <w:sz w:val="16"/>
          <w:szCs w:val="16"/>
        </w:rPr>
        <w:t>ne.</w:t>
      </w:r>
    </w:p>
    <w:p w:rsidR="00E2392E" w:rsidRDefault="00E2392E" w:rsidP="00E2392E">
      <w:pPr>
        <w:spacing w:line="180" w:lineRule="exact"/>
        <w:ind w:left="226"/>
        <w:rPr>
          <w:rFonts w:ascii="Calibri" w:eastAsia="Calibri" w:hAnsi="Calibri" w:cs="Calibri"/>
          <w:spacing w:val="1"/>
          <w:sz w:val="16"/>
          <w:szCs w:val="16"/>
        </w:rPr>
      </w:pPr>
    </w:p>
    <w:p w:rsidR="00E2392E" w:rsidRDefault="00E2392E" w:rsidP="00E2392E">
      <w:pPr>
        <w:spacing w:line="180" w:lineRule="exact"/>
        <w:ind w:left="226"/>
        <w:rPr>
          <w:rFonts w:ascii="Calibri" w:eastAsia="Calibri" w:hAnsi="Calibri" w:cs="Calibri"/>
          <w:sz w:val="16"/>
          <w:szCs w:val="16"/>
        </w:rPr>
      </w:pPr>
      <w:r>
        <w:rPr>
          <w:rFonts w:ascii="Calibri" w:eastAsia="Calibri" w:hAnsi="Calibri" w:cs="Calibri"/>
          <w:spacing w:val="1"/>
          <w:sz w:val="16"/>
          <w:szCs w:val="16"/>
        </w:rPr>
        <w:t>T</w:t>
      </w:r>
      <w:r>
        <w:rPr>
          <w:rFonts w:ascii="Calibri" w:eastAsia="Calibri" w:hAnsi="Calibri" w:cs="Calibri"/>
          <w:sz w:val="16"/>
          <w:szCs w:val="16"/>
        </w:rPr>
        <w:t>o</w:t>
      </w:r>
      <w:r>
        <w:rPr>
          <w:rFonts w:ascii="Calibri" w:eastAsia="Calibri" w:hAnsi="Calibri" w:cs="Calibri"/>
          <w:spacing w:val="-1"/>
          <w:sz w:val="16"/>
          <w:szCs w:val="16"/>
        </w:rPr>
        <w:t xml:space="preserve"> </w:t>
      </w:r>
      <w:r>
        <w:rPr>
          <w:rFonts w:ascii="Calibri" w:eastAsia="Calibri" w:hAnsi="Calibri" w:cs="Calibri"/>
          <w:spacing w:val="1"/>
          <w:sz w:val="16"/>
          <w:szCs w:val="16"/>
        </w:rPr>
        <w:t>m</w:t>
      </w:r>
      <w:r>
        <w:rPr>
          <w:rFonts w:ascii="Calibri" w:eastAsia="Calibri" w:hAnsi="Calibri" w:cs="Calibri"/>
          <w:sz w:val="16"/>
          <w:szCs w:val="16"/>
        </w:rPr>
        <w:t>a</w:t>
      </w:r>
      <w:r>
        <w:rPr>
          <w:rFonts w:ascii="Calibri" w:eastAsia="Calibri" w:hAnsi="Calibri" w:cs="Calibri"/>
          <w:spacing w:val="-1"/>
          <w:sz w:val="16"/>
          <w:szCs w:val="16"/>
        </w:rPr>
        <w:t>i</w:t>
      </w:r>
      <w:r>
        <w:rPr>
          <w:rFonts w:ascii="Calibri" w:eastAsia="Calibri" w:hAnsi="Calibri" w:cs="Calibri"/>
          <w:sz w:val="16"/>
          <w:szCs w:val="16"/>
        </w:rPr>
        <w:t>n</w:t>
      </w:r>
      <w:r>
        <w:rPr>
          <w:rFonts w:ascii="Calibri" w:eastAsia="Calibri" w:hAnsi="Calibri" w:cs="Calibri"/>
          <w:spacing w:val="-2"/>
          <w:sz w:val="16"/>
          <w:szCs w:val="16"/>
        </w:rPr>
        <w:t>t</w:t>
      </w:r>
      <w:r>
        <w:rPr>
          <w:rFonts w:ascii="Calibri" w:eastAsia="Calibri" w:hAnsi="Calibri" w:cs="Calibri"/>
          <w:sz w:val="16"/>
          <w:szCs w:val="16"/>
        </w:rPr>
        <w:t>a</w:t>
      </w:r>
      <w:r>
        <w:rPr>
          <w:rFonts w:ascii="Calibri" w:eastAsia="Calibri" w:hAnsi="Calibri" w:cs="Calibri"/>
          <w:spacing w:val="-1"/>
          <w:sz w:val="16"/>
          <w:szCs w:val="16"/>
        </w:rPr>
        <w:t>i</w:t>
      </w:r>
      <w:r>
        <w:rPr>
          <w:rFonts w:ascii="Calibri" w:eastAsia="Calibri" w:hAnsi="Calibri" w:cs="Calibri"/>
          <w:sz w:val="16"/>
          <w:szCs w:val="16"/>
        </w:rPr>
        <w:t>n</w:t>
      </w:r>
      <w:r>
        <w:rPr>
          <w:rFonts w:ascii="Calibri" w:eastAsia="Calibri" w:hAnsi="Calibri" w:cs="Calibri"/>
          <w:spacing w:val="-1"/>
          <w:sz w:val="16"/>
          <w:szCs w:val="16"/>
        </w:rPr>
        <w:t xml:space="preserve"> co</w:t>
      </w:r>
      <w:r>
        <w:rPr>
          <w:rFonts w:ascii="Calibri" w:eastAsia="Calibri" w:hAnsi="Calibri" w:cs="Calibri"/>
          <w:sz w:val="16"/>
          <w:szCs w:val="16"/>
        </w:rPr>
        <w:t>n</w:t>
      </w:r>
      <w:r>
        <w:rPr>
          <w:rFonts w:ascii="Calibri" w:eastAsia="Calibri" w:hAnsi="Calibri" w:cs="Calibri"/>
          <w:spacing w:val="-1"/>
          <w:sz w:val="16"/>
          <w:szCs w:val="16"/>
        </w:rPr>
        <w:t>si</w:t>
      </w:r>
      <w:r>
        <w:rPr>
          <w:rFonts w:ascii="Calibri" w:eastAsia="Calibri" w:hAnsi="Calibri" w:cs="Calibri"/>
          <w:sz w:val="16"/>
          <w:szCs w:val="16"/>
        </w:rPr>
        <w:t>s</w:t>
      </w:r>
      <w:r>
        <w:rPr>
          <w:rFonts w:ascii="Calibri" w:eastAsia="Calibri" w:hAnsi="Calibri" w:cs="Calibri"/>
          <w:spacing w:val="-2"/>
          <w:sz w:val="16"/>
          <w:szCs w:val="16"/>
        </w:rPr>
        <w:t>t</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1"/>
          <w:sz w:val="16"/>
          <w:szCs w:val="16"/>
        </w:rPr>
        <w:t>c</w:t>
      </w:r>
      <w:r>
        <w:rPr>
          <w:rFonts w:ascii="Calibri" w:eastAsia="Calibri" w:hAnsi="Calibri" w:cs="Calibri"/>
          <w:sz w:val="16"/>
          <w:szCs w:val="16"/>
        </w:rPr>
        <w:t>y</w:t>
      </w:r>
      <w:r>
        <w:rPr>
          <w:rFonts w:ascii="Calibri" w:eastAsia="Calibri" w:hAnsi="Calibri" w:cs="Calibri"/>
          <w:spacing w:val="-1"/>
          <w:sz w:val="16"/>
          <w:szCs w:val="16"/>
        </w:rPr>
        <w:t xml:space="preserve"> </w:t>
      </w:r>
      <w:r>
        <w:rPr>
          <w:rFonts w:ascii="Calibri" w:eastAsia="Calibri" w:hAnsi="Calibri" w:cs="Calibri"/>
          <w:sz w:val="16"/>
          <w:szCs w:val="16"/>
        </w:rPr>
        <w:t>w</w:t>
      </w:r>
      <w:r>
        <w:rPr>
          <w:rFonts w:ascii="Calibri" w:eastAsia="Calibri" w:hAnsi="Calibri" w:cs="Calibri"/>
          <w:spacing w:val="-1"/>
          <w:sz w:val="16"/>
          <w:szCs w:val="16"/>
        </w:rPr>
        <w:t>it</w:t>
      </w:r>
      <w:r>
        <w:rPr>
          <w:rFonts w:ascii="Calibri" w:eastAsia="Calibri" w:hAnsi="Calibri" w:cs="Calibri"/>
          <w:sz w:val="16"/>
          <w:szCs w:val="16"/>
        </w:rPr>
        <w:t>h</w:t>
      </w:r>
      <w:r>
        <w:rPr>
          <w:rFonts w:ascii="Calibri" w:eastAsia="Calibri" w:hAnsi="Calibri" w:cs="Calibri"/>
          <w:spacing w:val="-1"/>
          <w:sz w:val="16"/>
          <w:szCs w:val="16"/>
        </w:rPr>
        <w:t xml:space="preserve"> N</w:t>
      </w:r>
      <w:r>
        <w:rPr>
          <w:rFonts w:ascii="Calibri" w:eastAsia="Calibri" w:hAnsi="Calibri" w:cs="Calibri"/>
          <w:sz w:val="16"/>
          <w:szCs w:val="16"/>
        </w:rPr>
        <w:t>CHS</w:t>
      </w:r>
      <w:r>
        <w:rPr>
          <w:rFonts w:ascii="Calibri" w:eastAsia="Calibri" w:hAnsi="Calibri" w:cs="Calibri"/>
          <w:spacing w:val="1"/>
          <w:sz w:val="16"/>
          <w:szCs w:val="16"/>
        </w:rPr>
        <w:t xml:space="preserve"> </w:t>
      </w:r>
      <w:r>
        <w:rPr>
          <w:rFonts w:ascii="Calibri" w:eastAsia="Calibri" w:hAnsi="Calibri" w:cs="Calibri"/>
          <w:spacing w:val="-1"/>
          <w:sz w:val="16"/>
          <w:szCs w:val="16"/>
        </w:rPr>
        <w:t>re</w:t>
      </w:r>
      <w:r>
        <w:rPr>
          <w:rFonts w:ascii="Calibri" w:eastAsia="Calibri" w:hAnsi="Calibri" w:cs="Calibri"/>
          <w:sz w:val="16"/>
          <w:szCs w:val="16"/>
        </w:rPr>
        <w:t>p</w:t>
      </w:r>
      <w:r>
        <w:rPr>
          <w:rFonts w:ascii="Calibri" w:eastAsia="Calibri" w:hAnsi="Calibri" w:cs="Calibri"/>
          <w:spacing w:val="-1"/>
          <w:sz w:val="16"/>
          <w:szCs w:val="16"/>
        </w:rPr>
        <w:t>orti</w:t>
      </w:r>
      <w:r>
        <w:rPr>
          <w:rFonts w:ascii="Calibri" w:eastAsia="Calibri" w:hAnsi="Calibri" w:cs="Calibri"/>
          <w:sz w:val="16"/>
          <w:szCs w:val="16"/>
        </w:rPr>
        <w:t>ng,</w:t>
      </w:r>
      <w:r>
        <w:rPr>
          <w:rFonts w:ascii="Calibri" w:eastAsia="Calibri" w:hAnsi="Calibri" w:cs="Calibri"/>
          <w:spacing w:val="2"/>
          <w:sz w:val="16"/>
          <w:szCs w:val="16"/>
        </w:rPr>
        <w:t xml:space="preserve"> </w:t>
      </w:r>
      <w:r>
        <w:rPr>
          <w:rFonts w:ascii="Calibri" w:eastAsia="Calibri" w:hAnsi="Calibri" w:cs="Calibri"/>
          <w:spacing w:val="-1"/>
          <w:sz w:val="16"/>
          <w:szCs w:val="16"/>
        </w:rPr>
        <w:t>t</w:t>
      </w:r>
      <w:r>
        <w:rPr>
          <w:rFonts w:ascii="Calibri" w:eastAsia="Calibri" w:hAnsi="Calibri" w:cs="Calibri"/>
          <w:sz w:val="16"/>
          <w:szCs w:val="16"/>
        </w:rPr>
        <w:t>he</w:t>
      </w:r>
      <w:r>
        <w:rPr>
          <w:rFonts w:ascii="Calibri" w:eastAsia="Calibri" w:hAnsi="Calibri" w:cs="Calibri"/>
          <w:spacing w:val="-1"/>
          <w:sz w:val="16"/>
          <w:szCs w:val="16"/>
        </w:rPr>
        <w:t xml:space="preserve"> </w:t>
      </w:r>
      <w:r>
        <w:rPr>
          <w:rFonts w:ascii="Calibri" w:eastAsia="Calibri" w:hAnsi="Calibri" w:cs="Calibri"/>
          <w:sz w:val="16"/>
          <w:szCs w:val="16"/>
        </w:rPr>
        <w:t>ICD</w:t>
      </w:r>
      <w:r>
        <w:rPr>
          <w:rFonts w:ascii="Calibri" w:eastAsia="Calibri" w:hAnsi="Calibri" w:cs="Calibri"/>
          <w:spacing w:val="1"/>
          <w:sz w:val="16"/>
          <w:szCs w:val="16"/>
        </w:rPr>
        <w:t>-</w:t>
      </w:r>
      <w:r>
        <w:rPr>
          <w:rFonts w:ascii="Calibri" w:eastAsia="Calibri" w:hAnsi="Calibri" w:cs="Calibri"/>
          <w:sz w:val="16"/>
          <w:szCs w:val="16"/>
        </w:rPr>
        <w:t xml:space="preserve">10 </w:t>
      </w:r>
      <w:r>
        <w:rPr>
          <w:rFonts w:ascii="Calibri" w:eastAsia="Calibri" w:hAnsi="Calibri" w:cs="Calibri"/>
          <w:spacing w:val="-1"/>
          <w:sz w:val="16"/>
          <w:szCs w:val="16"/>
        </w:rPr>
        <w:t>co</w:t>
      </w:r>
      <w:r>
        <w:rPr>
          <w:rFonts w:ascii="Calibri" w:eastAsia="Calibri" w:hAnsi="Calibri" w:cs="Calibri"/>
          <w:sz w:val="16"/>
          <w:szCs w:val="16"/>
        </w:rPr>
        <w:t>de</w:t>
      </w:r>
      <w:r>
        <w:rPr>
          <w:rFonts w:ascii="Calibri" w:eastAsia="Calibri" w:hAnsi="Calibri" w:cs="Calibri"/>
          <w:spacing w:val="-1"/>
          <w:sz w:val="16"/>
          <w:szCs w:val="16"/>
        </w:rPr>
        <w:t xml:space="preserve"> </w:t>
      </w:r>
      <w:r>
        <w:rPr>
          <w:rFonts w:ascii="Calibri" w:eastAsia="Calibri" w:hAnsi="Calibri" w:cs="Calibri"/>
          <w:sz w:val="16"/>
          <w:szCs w:val="16"/>
        </w:rPr>
        <w:t>F11.1</w:t>
      </w:r>
      <w:r>
        <w:rPr>
          <w:rFonts w:ascii="Calibri" w:eastAsia="Calibri" w:hAnsi="Calibri" w:cs="Calibri"/>
          <w:spacing w:val="1"/>
          <w:sz w:val="16"/>
          <w:szCs w:val="16"/>
        </w:rPr>
        <w:t xml:space="preserve"> </w:t>
      </w:r>
      <w:r>
        <w:rPr>
          <w:rFonts w:ascii="Calibri" w:eastAsia="Calibri" w:hAnsi="Calibri" w:cs="Calibri"/>
          <w:spacing w:val="-1"/>
          <w:sz w:val="16"/>
          <w:szCs w:val="16"/>
        </w:rPr>
        <w:t>i</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z w:val="16"/>
          <w:szCs w:val="16"/>
        </w:rPr>
        <w:t>n</w:t>
      </w:r>
      <w:r>
        <w:rPr>
          <w:rFonts w:ascii="Calibri" w:eastAsia="Calibri" w:hAnsi="Calibri" w:cs="Calibri"/>
          <w:spacing w:val="-1"/>
          <w:sz w:val="16"/>
          <w:szCs w:val="16"/>
        </w:rPr>
        <w:t>o</w:t>
      </w:r>
      <w:r>
        <w:rPr>
          <w:rFonts w:ascii="Calibri" w:eastAsia="Calibri" w:hAnsi="Calibri" w:cs="Calibri"/>
          <w:sz w:val="16"/>
          <w:szCs w:val="16"/>
        </w:rPr>
        <w:t>t</w:t>
      </w:r>
      <w:r>
        <w:rPr>
          <w:rFonts w:ascii="Calibri" w:eastAsia="Calibri" w:hAnsi="Calibri" w:cs="Calibri"/>
          <w:spacing w:val="-1"/>
          <w:sz w:val="16"/>
          <w:szCs w:val="16"/>
        </w:rPr>
        <w:t xml:space="preserve"> i</w:t>
      </w:r>
      <w:r>
        <w:rPr>
          <w:rFonts w:ascii="Calibri" w:eastAsia="Calibri" w:hAnsi="Calibri" w:cs="Calibri"/>
          <w:sz w:val="16"/>
          <w:szCs w:val="16"/>
        </w:rPr>
        <w:t>n</w:t>
      </w:r>
      <w:r>
        <w:rPr>
          <w:rFonts w:ascii="Calibri" w:eastAsia="Calibri" w:hAnsi="Calibri" w:cs="Calibri"/>
          <w:spacing w:val="-1"/>
          <w:sz w:val="16"/>
          <w:szCs w:val="16"/>
        </w:rPr>
        <w:t>cl</w:t>
      </w:r>
      <w:r>
        <w:rPr>
          <w:rFonts w:ascii="Calibri" w:eastAsia="Calibri" w:hAnsi="Calibri" w:cs="Calibri"/>
          <w:sz w:val="16"/>
          <w:szCs w:val="16"/>
        </w:rPr>
        <w:t>u</w:t>
      </w:r>
      <w:r>
        <w:rPr>
          <w:rFonts w:ascii="Calibri" w:eastAsia="Calibri" w:hAnsi="Calibri" w:cs="Calibri"/>
          <w:spacing w:val="-1"/>
          <w:sz w:val="16"/>
          <w:szCs w:val="16"/>
        </w:rPr>
        <w:t>ded</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z w:val="16"/>
          <w:szCs w:val="16"/>
        </w:rPr>
        <w:t>wh</w:t>
      </w:r>
      <w:r>
        <w:rPr>
          <w:rFonts w:ascii="Calibri" w:eastAsia="Calibri" w:hAnsi="Calibri" w:cs="Calibri"/>
          <w:spacing w:val="-1"/>
          <w:sz w:val="16"/>
          <w:szCs w:val="16"/>
        </w:rPr>
        <w:t>ic</w:t>
      </w:r>
      <w:r>
        <w:rPr>
          <w:rFonts w:ascii="Calibri" w:eastAsia="Calibri" w:hAnsi="Calibri" w:cs="Calibri"/>
          <w:sz w:val="16"/>
          <w:szCs w:val="16"/>
        </w:rPr>
        <w:t>h</w:t>
      </w:r>
      <w:r>
        <w:rPr>
          <w:rFonts w:ascii="Calibri" w:eastAsia="Calibri" w:hAnsi="Calibri" w:cs="Calibri"/>
          <w:spacing w:val="-1"/>
          <w:sz w:val="16"/>
          <w:szCs w:val="16"/>
        </w:rPr>
        <w:t xml:space="preserve"> </w:t>
      </w:r>
      <w:r>
        <w:rPr>
          <w:rFonts w:ascii="Calibri" w:eastAsia="Calibri" w:hAnsi="Calibri" w:cs="Calibri"/>
          <w:spacing w:val="1"/>
          <w:sz w:val="16"/>
          <w:szCs w:val="16"/>
        </w:rPr>
        <w:t>m</w:t>
      </w:r>
      <w:r>
        <w:rPr>
          <w:rFonts w:ascii="Calibri" w:eastAsia="Calibri" w:hAnsi="Calibri" w:cs="Calibri"/>
          <w:sz w:val="16"/>
          <w:szCs w:val="16"/>
        </w:rPr>
        <w:t>ay</w:t>
      </w:r>
      <w:r>
        <w:rPr>
          <w:rFonts w:ascii="Calibri" w:eastAsia="Calibri" w:hAnsi="Calibri" w:cs="Calibri"/>
          <w:spacing w:val="-1"/>
          <w:sz w:val="16"/>
          <w:szCs w:val="16"/>
        </w:rPr>
        <w:t xml:space="preserve"> i</w:t>
      </w:r>
      <w:r>
        <w:rPr>
          <w:rFonts w:ascii="Calibri" w:eastAsia="Calibri" w:hAnsi="Calibri" w:cs="Calibri"/>
          <w:sz w:val="16"/>
          <w:szCs w:val="16"/>
        </w:rPr>
        <w:t>n</w:t>
      </w:r>
      <w:r>
        <w:rPr>
          <w:rFonts w:ascii="Calibri" w:eastAsia="Calibri" w:hAnsi="Calibri" w:cs="Calibri"/>
          <w:spacing w:val="1"/>
          <w:sz w:val="16"/>
          <w:szCs w:val="16"/>
        </w:rPr>
        <w:t>c</w:t>
      </w:r>
      <w:r>
        <w:rPr>
          <w:rFonts w:ascii="Calibri" w:eastAsia="Calibri" w:hAnsi="Calibri" w:cs="Calibri"/>
          <w:spacing w:val="-1"/>
          <w:sz w:val="16"/>
          <w:szCs w:val="16"/>
        </w:rPr>
        <w:t>l</w:t>
      </w:r>
      <w:r>
        <w:rPr>
          <w:rFonts w:ascii="Calibri" w:eastAsia="Calibri" w:hAnsi="Calibri" w:cs="Calibri"/>
          <w:sz w:val="16"/>
          <w:szCs w:val="16"/>
        </w:rPr>
        <w:t>u</w:t>
      </w:r>
      <w:r>
        <w:rPr>
          <w:rFonts w:ascii="Calibri" w:eastAsia="Calibri" w:hAnsi="Calibri" w:cs="Calibri"/>
          <w:spacing w:val="-1"/>
          <w:sz w:val="16"/>
          <w:szCs w:val="16"/>
        </w:rPr>
        <w:t>d</w:t>
      </w:r>
      <w:r>
        <w:rPr>
          <w:rFonts w:ascii="Calibri" w:eastAsia="Calibri" w:hAnsi="Calibri" w:cs="Calibri"/>
          <w:sz w:val="16"/>
          <w:szCs w:val="16"/>
        </w:rPr>
        <w:t>e</w:t>
      </w:r>
      <w:r>
        <w:rPr>
          <w:rFonts w:ascii="Calibri" w:eastAsia="Calibri" w:hAnsi="Calibri" w:cs="Calibri"/>
          <w:spacing w:val="-1"/>
          <w:sz w:val="16"/>
          <w:szCs w:val="16"/>
        </w:rPr>
        <w:t xml:space="preserve"> o</w:t>
      </w:r>
      <w:r>
        <w:rPr>
          <w:rFonts w:ascii="Calibri" w:eastAsia="Calibri" w:hAnsi="Calibri" w:cs="Calibri"/>
          <w:spacing w:val="2"/>
          <w:sz w:val="16"/>
          <w:szCs w:val="16"/>
        </w:rPr>
        <w:t>p</w:t>
      </w:r>
      <w:r>
        <w:rPr>
          <w:rFonts w:ascii="Calibri" w:eastAsia="Calibri" w:hAnsi="Calibri" w:cs="Calibri"/>
          <w:spacing w:val="-1"/>
          <w:sz w:val="16"/>
          <w:szCs w:val="16"/>
        </w:rPr>
        <w:t>ioi</w:t>
      </w:r>
      <w:r>
        <w:rPr>
          <w:rFonts w:ascii="Calibri" w:eastAsia="Calibri" w:hAnsi="Calibri" w:cs="Calibri"/>
          <w:sz w:val="16"/>
          <w:szCs w:val="16"/>
        </w:rPr>
        <w:t>d</w:t>
      </w:r>
      <w:r>
        <w:rPr>
          <w:rFonts w:ascii="Calibri" w:eastAsia="Calibri" w:hAnsi="Calibri" w:cs="Calibri"/>
          <w:spacing w:val="1"/>
          <w:sz w:val="16"/>
          <w:szCs w:val="16"/>
        </w:rPr>
        <w:t>-</w:t>
      </w:r>
      <w:r>
        <w:rPr>
          <w:rFonts w:ascii="Calibri" w:eastAsia="Calibri" w:hAnsi="Calibri" w:cs="Calibri"/>
          <w:spacing w:val="-1"/>
          <w:sz w:val="16"/>
          <w:szCs w:val="16"/>
        </w:rPr>
        <w:t>rel</w:t>
      </w:r>
      <w:r>
        <w:rPr>
          <w:rFonts w:ascii="Calibri" w:eastAsia="Calibri" w:hAnsi="Calibri" w:cs="Calibri"/>
          <w:sz w:val="16"/>
          <w:szCs w:val="16"/>
        </w:rPr>
        <w:t>a</w:t>
      </w:r>
      <w:r>
        <w:rPr>
          <w:rFonts w:ascii="Calibri" w:eastAsia="Calibri" w:hAnsi="Calibri" w:cs="Calibri"/>
          <w:spacing w:val="-1"/>
          <w:sz w:val="16"/>
          <w:szCs w:val="16"/>
        </w:rPr>
        <w:t>te</w:t>
      </w:r>
      <w:r>
        <w:rPr>
          <w:rFonts w:ascii="Calibri" w:eastAsia="Calibri" w:hAnsi="Calibri" w:cs="Calibri"/>
          <w:sz w:val="16"/>
          <w:szCs w:val="16"/>
        </w:rPr>
        <w:t>d</w:t>
      </w:r>
      <w:r>
        <w:rPr>
          <w:rFonts w:ascii="Calibri" w:eastAsia="Calibri" w:hAnsi="Calibri" w:cs="Calibri"/>
          <w:spacing w:val="-1"/>
          <w:sz w:val="16"/>
          <w:szCs w:val="16"/>
        </w:rPr>
        <w:t xml:space="preserve"> </w:t>
      </w:r>
      <w:r>
        <w:rPr>
          <w:rFonts w:ascii="Calibri" w:eastAsia="Calibri" w:hAnsi="Calibri" w:cs="Calibri"/>
          <w:spacing w:val="1"/>
          <w:sz w:val="16"/>
          <w:szCs w:val="16"/>
        </w:rPr>
        <w:t>o</w:t>
      </w:r>
      <w:r>
        <w:rPr>
          <w:rFonts w:ascii="Calibri" w:eastAsia="Calibri" w:hAnsi="Calibri" w:cs="Calibri"/>
          <w:spacing w:val="-1"/>
          <w:sz w:val="16"/>
          <w:szCs w:val="16"/>
        </w:rPr>
        <w:t>ver</w:t>
      </w:r>
      <w:r>
        <w:rPr>
          <w:rFonts w:ascii="Calibri" w:eastAsia="Calibri" w:hAnsi="Calibri" w:cs="Calibri"/>
          <w:sz w:val="16"/>
          <w:szCs w:val="16"/>
        </w:rPr>
        <w:t>d</w:t>
      </w:r>
      <w:r>
        <w:rPr>
          <w:rFonts w:ascii="Calibri" w:eastAsia="Calibri" w:hAnsi="Calibri" w:cs="Calibri"/>
          <w:spacing w:val="-1"/>
          <w:sz w:val="16"/>
          <w:szCs w:val="16"/>
        </w:rPr>
        <w:t>o</w:t>
      </w:r>
      <w:r>
        <w:rPr>
          <w:rFonts w:ascii="Calibri" w:eastAsia="Calibri" w:hAnsi="Calibri" w:cs="Calibri"/>
          <w:sz w:val="16"/>
          <w:szCs w:val="16"/>
        </w:rPr>
        <w:t>se</w:t>
      </w:r>
      <w:r>
        <w:rPr>
          <w:rFonts w:ascii="Calibri" w:eastAsia="Calibri" w:hAnsi="Calibri" w:cs="Calibri"/>
          <w:spacing w:val="-1"/>
          <w:sz w:val="16"/>
          <w:szCs w:val="16"/>
        </w:rPr>
        <w:t xml:space="preserve"> </w:t>
      </w:r>
      <w:r>
        <w:rPr>
          <w:rFonts w:ascii="Calibri" w:eastAsia="Calibri" w:hAnsi="Calibri" w:cs="Calibri"/>
          <w:spacing w:val="1"/>
          <w:sz w:val="16"/>
          <w:szCs w:val="16"/>
        </w:rPr>
        <w:t>d</w:t>
      </w:r>
      <w:r>
        <w:rPr>
          <w:rFonts w:ascii="Calibri" w:eastAsia="Calibri" w:hAnsi="Calibri" w:cs="Calibri"/>
          <w:spacing w:val="-1"/>
          <w:sz w:val="16"/>
          <w:szCs w:val="16"/>
        </w:rPr>
        <w:t>e</w:t>
      </w:r>
      <w:r>
        <w:rPr>
          <w:rFonts w:ascii="Calibri" w:eastAsia="Calibri" w:hAnsi="Calibri" w:cs="Calibri"/>
          <w:sz w:val="16"/>
          <w:szCs w:val="16"/>
        </w:rPr>
        <w:t>a</w:t>
      </w:r>
      <w:r>
        <w:rPr>
          <w:rFonts w:ascii="Calibri" w:eastAsia="Calibri" w:hAnsi="Calibri" w:cs="Calibri"/>
          <w:spacing w:val="-1"/>
          <w:sz w:val="16"/>
          <w:szCs w:val="16"/>
        </w:rPr>
        <w:t>t</w:t>
      </w:r>
      <w:r>
        <w:rPr>
          <w:rFonts w:ascii="Calibri" w:eastAsia="Calibri" w:hAnsi="Calibri" w:cs="Calibri"/>
          <w:sz w:val="16"/>
          <w:szCs w:val="16"/>
        </w:rPr>
        <w:t>h.</w:t>
      </w:r>
    </w:p>
    <w:p w:rsidR="00E2392E" w:rsidRDefault="00E2392E" w:rsidP="00E2392E">
      <w:pPr>
        <w:spacing w:line="180" w:lineRule="exact"/>
        <w:ind w:left="100"/>
        <w:rPr>
          <w:rFonts w:ascii="Calibri" w:eastAsia="Calibri" w:hAnsi="Calibri" w:cs="Calibri"/>
          <w:sz w:val="16"/>
          <w:szCs w:val="16"/>
        </w:rPr>
      </w:pPr>
    </w:p>
    <w:p w:rsidR="00400E42" w:rsidRPr="00A30B77" w:rsidRDefault="00400E42" w:rsidP="00400E42">
      <w:pPr>
        <w:ind w:left="720" w:firstLine="720"/>
        <w:rPr>
          <w:rFonts w:ascii="Calibri" w:hAnsi="Calibri"/>
          <w:sz w:val="16"/>
          <w:szCs w:val="16"/>
        </w:rPr>
      </w:pPr>
    </w:p>
    <w:p w:rsidR="00400E42" w:rsidRDefault="00400E42" w:rsidP="00400E42">
      <w:pPr>
        <w:spacing w:line="480" w:lineRule="auto"/>
        <w:rPr>
          <w:rFonts w:ascii="Calibri" w:hAnsi="Calibri"/>
          <w:sz w:val="22"/>
          <w:szCs w:val="22"/>
        </w:rPr>
      </w:pPr>
    </w:p>
    <w:p w:rsidR="00400E42" w:rsidRDefault="00400E42" w:rsidP="00400E42">
      <w:pPr>
        <w:spacing w:line="480" w:lineRule="auto"/>
        <w:rPr>
          <w:rFonts w:ascii="Calibri" w:hAnsi="Calibri"/>
          <w:sz w:val="22"/>
          <w:szCs w:val="22"/>
        </w:rPr>
      </w:pPr>
    </w:p>
    <w:p w:rsidR="00400E42" w:rsidRDefault="00400E42" w:rsidP="00400E42">
      <w:pPr>
        <w:spacing w:line="480" w:lineRule="auto"/>
        <w:rPr>
          <w:rFonts w:ascii="Calibri" w:hAnsi="Calibri"/>
          <w:sz w:val="22"/>
          <w:szCs w:val="22"/>
        </w:rPr>
      </w:pPr>
    </w:p>
    <w:p w:rsidR="00400E42" w:rsidRDefault="00400E42" w:rsidP="00400E42">
      <w:pPr>
        <w:spacing w:line="480" w:lineRule="auto"/>
        <w:rPr>
          <w:rFonts w:ascii="Calibri" w:hAnsi="Calibri"/>
          <w:sz w:val="22"/>
          <w:szCs w:val="22"/>
        </w:rPr>
      </w:pPr>
    </w:p>
    <w:p w:rsidR="00400E42" w:rsidRDefault="00400E42" w:rsidP="00400E42">
      <w:pPr>
        <w:spacing w:line="480" w:lineRule="auto"/>
        <w:rPr>
          <w:rFonts w:ascii="Calibri" w:hAnsi="Calibri"/>
          <w:sz w:val="22"/>
          <w:szCs w:val="22"/>
        </w:rPr>
        <w:sectPr w:rsidR="00400E42" w:rsidSect="001D2DAF">
          <w:pgSz w:w="15840" w:h="12240" w:orient="landscape"/>
          <w:pgMar w:top="720" w:right="720" w:bottom="720" w:left="720" w:header="720" w:footer="720" w:gutter="0"/>
          <w:cols w:space="720"/>
          <w:titlePg/>
          <w:docGrid w:linePitch="360"/>
        </w:sectPr>
      </w:pPr>
    </w:p>
    <w:p w:rsidR="00400E42" w:rsidRDefault="00400E42" w:rsidP="002D6E20">
      <w:pPr>
        <w:pStyle w:val="PBody"/>
      </w:pPr>
      <w:r w:rsidRPr="007A7D49">
        <w:rPr>
          <w:rFonts w:cs="Calibri"/>
          <w:color w:val="000000"/>
        </w:rPr>
        <w:lastRenderedPageBreak/>
        <w:t xml:space="preserve">Just as communities are differentially affected by the opioid crisis, population groups are also affected differentially.  </w:t>
      </w:r>
      <w:r w:rsidRPr="007A7D49">
        <w:t>While death rates have increased for virtually every population group, the rates are highest among younger males – a fact that is similar in all states</w:t>
      </w:r>
      <w:r w:rsidRPr="007A7D49">
        <w:rPr>
          <w:rFonts w:cs="Calibri"/>
          <w:color w:val="000000"/>
        </w:rPr>
        <w:t>.</w:t>
      </w:r>
      <w:r w:rsidRPr="005E2F2A">
        <w:rPr>
          <w:rStyle w:val="FootnoteReference"/>
          <w:rFonts w:asciiTheme="minorHAnsi" w:hAnsiTheme="minorHAnsi"/>
          <w:color w:val="000000"/>
        </w:rPr>
        <w:footnoteReference w:id="14"/>
      </w:r>
      <w:r w:rsidRPr="007A7D49">
        <w:rPr>
          <w:rFonts w:cs="Calibri"/>
          <w:color w:val="000000"/>
        </w:rPr>
        <w:t xml:space="preserve">  In 201</w:t>
      </w:r>
      <w:r w:rsidR="00E2392E">
        <w:rPr>
          <w:rFonts w:cs="Calibri"/>
          <w:color w:val="000000"/>
        </w:rPr>
        <w:t>3-2014</w:t>
      </w:r>
      <w:r w:rsidRPr="007A7D49">
        <w:rPr>
          <w:rFonts w:cs="Calibri"/>
          <w:color w:val="000000"/>
        </w:rPr>
        <w:t xml:space="preserve">, </w:t>
      </w:r>
      <w:r w:rsidR="00E2392E">
        <w:rPr>
          <w:rFonts w:cs="Calibri"/>
          <w:color w:val="000000"/>
        </w:rPr>
        <w:t>76</w:t>
      </w:r>
      <w:r w:rsidRPr="007A7D49">
        <w:rPr>
          <w:rFonts w:cs="Calibri"/>
          <w:color w:val="000000"/>
        </w:rPr>
        <w:t xml:space="preserve">% of opioid overdose deaths occurred in people under the age of </w:t>
      </w:r>
      <w:r w:rsidR="00E2392E">
        <w:rPr>
          <w:rFonts w:cs="Calibri"/>
          <w:color w:val="000000"/>
        </w:rPr>
        <w:t>50</w:t>
      </w:r>
      <w:r w:rsidRPr="007A7D49">
        <w:rPr>
          <w:rFonts w:cs="Calibri"/>
          <w:color w:val="000000"/>
        </w:rPr>
        <w:t>.  Furthermore, m</w:t>
      </w:r>
      <w:r w:rsidRPr="007A7D49">
        <w:t>en of age 18 to 34 had opioid</w:t>
      </w:r>
      <w:r w:rsidR="00677CFE">
        <w:t xml:space="preserve">-related </w:t>
      </w:r>
      <w:r w:rsidRPr="007A7D49">
        <w:t xml:space="preserve">death rates nearly three times </w:t>
      </w:r>
      <w:r w:rsidR="00677CFE">
        <w:t>higher than</w:t>
      </w:r>
      <w:r w:rsidRPr="007A7D49">
        <w:t xml:space="preserve"> women of the same age.  For addi</w:t>
      </w:r>
      <w:r>
        <w:t xml:space="preserve">tional detail, see Table INTR.1.  </w:t>
      </w:r>
    </w:p>
    <w:p w:rsidR="00400E42" w:rsidRDefault="00400E42" w:rsidP="00400E42">
      <w:pPr>
        <w:spacing w:after="120" w:line="276" w:lineRule="auto"/>
        <w:rPr>
          <w:rFonts w:asciiTheme="minorHAnsi" w:hAnsiTheme="minorHAnsi"/>
          <w:sz w:val="22"/>
          <w:szCs w:val="22"/>
        </w:rPr>
      </w:pPr>
    </w:p>
    <w:tbl>
      <w:tblPr>
        <w:tblW w:w="8790" w:type="dxa"/>
        <w:jc w:val="center"/>
        <w:tblLook w:val="00A0" w:firstRow="1" w:lastRow="0" w:firstColumn="1" w:lastColumn="0" w:noHBand="0" w:noVBand="0"/>
      </w:tblPr>
      <w:tblGrid>
        <w:gridCol w:w="1750"/>
        <w:gridCol w:w="965"/>
        <w:gridCol w:w="997"/>
        <w:gridCol w:w="1026"/>
        <w:gridCol w:w="1042"/>
        <w:gridCol w:w="1064"/>
        <w:gridCol w:w="968"/>
        <w:gridCol w:w="978"/>
      </w:tblGrid>
      <w:tr w:rsidR="00400E42" w:rsidRPr="00F240EB" w:rsidTr="00A92FFC">
        <w:trPr>
          <w:trHeight w:val="300"/>
          <w:jc w:val="center"/>
        </w:trPr>
        <w:tc>
          <w:tcPr>
            <w:tcW w:w="8790" w:type="dxa"/>
            <w:gridSpan w:val="8"/>
            <w:tcBorders>
              <w:top w:val="single" w:sz="8" w:space="0" w:color="auto"/>
              <w:left w:val="single" w:sz="8" w:space="0" w:color="auto"/>
              <w:bottom w:val="single" w:sz="4" w:space="0" w:color="000000"/>
              <w:right w:val="single" w:sz="8" w:space="0" w:color="auto"/>
            </w:tcBorders>
            <w:shd w:val="clear" w:color="000000" w:fill="FFFFFF"/>
            <w:vAlign w:val="bottom"/>
          </w:tcPr>
          <w:p w:rsidR="00400E42" w:rsidRPr="00F240EB" w:rsidRDefault="00400E42" w:rsidP="001178AC">
            <w:pPr>
              <w:pStyle w:val="Tableheader"/>
              <w:rPr>
                <w:lang w:eastAsia="zh-CN"/>
              </w:rPr>
            </w:pPr>
            <w:r w:rsidRPr="00F240EB">
              <w:rPr>
                <w:lang w:eastAsia="zh-CN"/>
              </w:rPr>
              <w:t xml:space="preserve">Table INTR.1: </w:t>
            </w:r>
            <w:r>
              <w:rPr>
                <w:lang w:eastAsia="zh-CN"/>
              </w:rPr>
              <w:t xml:space="preserve">Massachusetts </w:t>
            </w:r>
            <w:r w:rsidRPr="00F240EB">
              <w:rPr>
                <w:lang w:eastAsia="zh-CN"/>
              </w:rPr>
              <w:t>Opioid Annual Death Rate (2013-2014 average)</w:t>
            </w:r>
          </w:p>
        </w:tc>
      </w:tr>
      <w:tr w:rsidR="00400E42" w:rsidRPr="00F240EB" w:rsidTr="00A92FFC">
        <w:trPr>
          <w:trHeight w:val="300"/>
          <w:jc w:val="center"/>
        </w:trPr>
        <w:tc>
          <w:tcPr>
            <w:tcW w:w="1750" w:type="dxa"/>
            <w:vMerge w:val="restart"/>
            <w:tcBorders>
              <w:top w:val="single" w:sz="8" w:space="0" w:color="auto"/>
              <w:left w:val="single" w:sz="8" w:space="0" w:color="auto"/>
              <w:bottom w:val="single" w:sz="4" w:space="0" w:color="000000"/>
              <w:right w:val="single" w:sz="4" w:space="0" w:color="auto"/>
            </w:tcBorders>
            <w:shd w:val="clear" w:color="000000" w:fill="FFFFFF"/>
            <w:vAlign w:val="bottom"/>
          </w:tcPr>
          <w:p w:rsidR="00400E42" w:rsidRPr="005044BE" w:rsidRDefault="00400E42" w:rsidP="00A92FFC">
            <w:pPr>
              <w:rPr>
                <w:rFonts w:ascii="Calibri" w:hAnsi="Calibri"/>
                <w:b/>
                <w:color w:val="000000"/>
                <w:szCs w:val="22"/>
                <w:lang w:eastAsia="zh-CN"/>
              </w:rPr>
            </w:pPr>
            <w:r w:rsidRPr="005044BE">
              <w:rPr>
                <w:rFonts w:ascii="Calibri" w:hAnsi="Calibri"/>
                <w:b/>
                <w:color w:val="000000"/>
                <w:sz w:val="22"/>
                <w:szCs w:val="22"/>
                <w:lang w:eastAsia="zh-CN"/>
              </w:rPr>
              <w:t>Age group</w:t>
            </w:r>
          </w:p>
        </w:tc>
        <w:tc>
          <w:tcPr>
            <w:tcW w:w="2988" w:type="dxa"/>
            <w:gridSpan w:val="3"/>
            <w:tcBorders>
              <w:top w:val="single" w:sz="8" w:space="0" w:color="auto"/>
              <w:left w:val="single" w:sz="4" w:space="0" w:color="auto"/>
              <w:bottom w:val="single" w:sz="4" w:space="0" w:color="auto"/>
              <w:right w:val="single" w:sz="8" w:space="0" w:color="000000"/>
            </w:tcBorders>
            <w:shd w:val="clear" w:color="000000" w:fill="FFFFFF"/>
            <w:noWrap/>
            <w:vAlign w:val="bottom"/>
          </w:tcPr>
          <w:p w:rsidR="00400E42" w:rsidRPr="005044BE" w:rsidRDefault="00400E42" w:rsidP="00A92FFC">
            <w:pPr>
              <w:jc w:val="center"/>
              <w:rPr>
                <w:rFonts w:ascii="Calibri" w:hAnsi="Calibri"/>
                <w:b/>
                <w:color w:val="000000"/>
                <w:szCs w:val="22"/>
                <w:lang w:eastAsia="zh-CN"/>
              </w:rPr>
            </w:pPr>
            <w:r w:rsidRPr="005044BE">
              <w:rPr>
                <w:rFonts w:ascii="Calibri" w:hAnsi="Calibri"/>
                <w:b/>
                <w:color w:val="000000"/>
                <w:sz w:val="22"/>
                <w:szCs w:val="22"/>
                <w:lang w:eastAsia="zh-CN"/>
              </w:rPr>
              <w:t>Female</w:t>
            </w:r>
          </w:p>
        </w:tc>
        <w:tc>
          <w:tcPr>
            <w:tcW w:w="3074" w:type="dxa"/>
            <w:gridSpan w:val="3"/>
            <w:tcBorders>
              <w:top w:val="single" w:sz="8" w:space="0" w:color="auto"/>
              <w:left w:val="nil"/>
              <w:bottom w:val="single" w:sz="4" w:space="0" w:color="auto"/>
              <w:right w:val="single" w:sz="8" w:space="0" w:color="000000"/>
            </w:tcBorders>
            <w:shd w:val="clear" w:color="000000" w:fill="FFFFFF"/>
            <w:vAlign w:val="bottom"/>
          </w:tcPr>
          <w:p w:rsidR="00400E42" w:rsidRPr="005044BE" w:rsidRDefault="00400E42" w:rsidP="00A92FFC">
            <w:pPr>
              <w:jc w:val="center"/>
              <w:rPr>
                <w:rFonts w:ascii="Calibri" w:hAnsi="Calibri"/>
                <w:b/>
                <w:color w:val="000000"/>
                <w:szCs w:val="22"/>
                <w:lang w:eastAsia="zh-CN"/>
              </w:rPr>
            </w:pPr>
            <w:r w:rsidRPr="005044BE">
              <w:rPr>
                <w:rFonts w:ascii="Calibri" w:hAnsi="Calibri"/>
                <w:b/>
                <w:color w:val="000000"/>
                <w:sz w:val="22"/>
                <w:szCs w:val="22"/>
                <w:lang w:eastAsia="zh-CN"/>
              </w:rPr>
              <w:t>Male</w:t>
            </w:r>
          </w:p>
        </w:tc>
        <w:tc>
          <w:tcPr>
            <w:tcW w:w="978" w:type="dxa"/>
            <w:tcBorders>
              <w:top w:val="single" w:sz="8" w:space="0" w:color="auto"/>
              <w:left w:val="nil"/>
              <w:bottom w:val="single" w:sz="4" w:space="0" w:color="auto"/>
              <w:right w:val="single" w:sz="8" w:space="0" w:color="auto"/>
            </w:tcBorders>
            <w:noWrap/>
            <w:vAlign w:val="bottom"/>
          </w:tcPr>
          <w:p w:rsidR="00400E42" w:rsidRPr="00F240EB" w:rsidRDefault="00400E42" w:rsidP="00A92FFC">
            <w:pPr>
              <w:rPr>
                <w:rFonts w:ascii="Calibri" w:hAnsi="Calibri"/>
                <w:color w:val="000000"/>
                <w:szCs w:val="22"/>
                <w:lang w:eastAsia="zh-CN"/>
              </w:rPr>
            </w:pPr>
            <w:r w:rsidRPr="00F240EB">
              <w:rPr>
                <w:rFonts w:ascii="Calibri" w:hAnsi="Calibri"/>
                <w:color w:val="000000"/>
                <w:sz w:val="22"/>
                <w:szCs w:val="22"/>
                <w:lang w:eastAsia="zh-CN"/>
              </w:rPr>
              <w:t> </w:t>
            </w:r>
          </w:p>
        </w:tc>
      </w:tr>
      <w:tr w:rsidR="00400E42" w:rsidRPr="00F240EB" w:rsidTr="00A92FFC">
        <w:trPr>
          <w:trHeight w:val="1275"/>
          <w:jc w:val="center"/>
        </w:trPr>
        <w:tc>
          <w:tcPr>
            <w:tcW w:w="1750" w:type="dxa"/>
            <w:vMerge/>
            <w:tcBorders>
              <w:top w:val="single" w:sz="8" w:space="0" w:color="auto"/>
              <w:left w:val="single" w:sz="8" w:space="0" w:color="auto"/>
              <w:bottom w:val="single" w:sz="4" w:space="0" w:color="000000"/>
              <w:right w:val="single" w:sz="4" w:space="0" w:color="auto"/>
            </w:tcBorders>
            <w:vAlign w:val="center"/>
          </w:tcPr>
          <w:p w:rsidR="00400E42" w:rsidRPr="00F240EB" w:rsidRDefault="00400E42" w:rsidP="00A92FFC">
            <w:pPr>
              <w:rPr>
                <w:rFonts w:ascii="Calibri" w:hAnsi="Calibri"/>
                <w:color w:val="000000"/>
                <w:szCs w:val="22"/>
                <w:lang w:eastAsia="zh-CN"/>
              </w:rPr>
            </w:pPr>
          </w:p>
        </w:tc>
        <w:tc>
          <w:tcPr>
            <w:tcW w:w="965" w:type="dxa"/>
            <w:tcBorders>
              <w:top w:val="nil"/>
              <w:left w:val="single" w:sz="4" w:space="0" w:color="auto"/>
              <w:bottom w:val="single" w:sz="4" w:space="0" w:color="auto"/>
              <w:right w:val="single" w:sz="4" w:space="0" w:color="auto"/>
            </w:tcBorders>
            <w:shd w:val="clear" w:color="000000" w:fill="FFFFFF"/>
            <w:vAlign w:val="bottom"/>
          </w:tcPr>
          <w:p w:rsidR="00400E42" w:rsidRPr="005044BE" w:rsidRDefault="00400E42" w:rsidP="00A92FFC">
            <w:pPr>
              <w:rPr>
                <w:rFonts w:ascii="Calibri" w:hAnsi="Calibri"/>
                <w:b/>
                <w:color w:val="000000"/>
                <w:szCs w:val="22"/>
                <w:lang w:eastAsia="zh-CN"/>
              </w:rPr>
            </w:pPr>
            <w:r w:rsidRPr="005044BE">
              <w:rPr>
                <w:rFonts w:ascii="Calibri" w:hAnsi="Calibri"/>
                <w:b/>
                <w:color w:val="000000"/>
                <w:sz w:val="22"/>
                <w:szCs w:val="22"/>
                <w:lang w:eastAsia="zh-CN"/>
              </w:rPr>
              <w:t>Number of opioid death</w:t>
            </w:r>
          </w:p>
        </w:tc>
        <w:tc>
          <w:tcPr>
            <w:tcW w:w="997" w:type="dxa"/>
            <w:tcBorders>
              <w:top w:val="nil"/>
              <w:left w:val="nil"/>
              <w:bottom w:val="single" w:sz="4" w:space="0" w:color="auto"/>
              <w:right w:val="single" w:sz="4" w:space="0" w:color="auto"/>
            </w:tcBorders>
            <w:shd w:val="clear" w:color="000000" w:fill="FFFFFF"/>
            <w:vAlign w:val="bottom"/>
          </w:tcPr>
          <w:p w:rsidR="00400E42" w:rsidRPr="005044BE" w:rsidRDefault="00400E42" w:rsidP="00A92FFC">
            <w:pPr>
              <w:rPr>
                <w:rFonts w:ascii="Calibri" w:hAnsi="Calibri"/>
                <w:b/>
                <w:color w:val="000000"/>
                <w:szCs w:val="22"/>
                <w:lang w:eastAsia="zh-CN"/>
              </w:rPr>
            </w:pPr>
            <w:r w:rsidRPr="005044BE">
              <w:rPr>
                <w:rFonts w:ascii="Calibri" w:hAnsi="Calibri"/>
                <w:b/>
                <w:color w:val="000000"/>
                <w:sz w:val="22"/>
                <w:szCs w:val="22"/>
                <w:lang w:eastAsia="zh-CN"/>
              </w:rPr>
              <w:t>Percent opioid death among all deaths</w:t>
            </w:r>
          </w:p>
        </w:tc>
        <w:tc>
          <w:tcPr>
            <w:tcW w:w="1026" w:type="dxa"/>
            <w:tcBorders>
              <w:top w:val="nil"/>
              <w:left w:val="nil"/>
              <w:bottom w:val="single" w:sz="4" w:space="0" w:color="auto"/>
              <w:right w:val="single" w:sz="8" w:space="0" w:color="auto"/>
            </w:tcBorders>
            <w:shd w:val="clear" w:color="000000" w:fill="FFFFFF"/>
            <w:vAlign w:val="bottom"/>
          </w:tcPr>
          <w:p w:rsidR="00400E42" w:rsidRPr="005044BE" w:rsidRDefault="00400E42" w:rsidP="00A92FFC">
            <w:pPr>
              <w:rPr>
                <w:rFonts w:ascii="Calibri" w:hAnsi="Calibri"/>
                <w:b/>
                <w:color w:val="000000"/>
                <w:szCs w:val="22"/>
                <w:lang w:eastAsia="zh-CN"/>
              </w:rPr>
            </w:pPr>
            <w:r w:rsidRPr="005044BE">
              <w:rPr>
                <w:rFonts w:ascii="Calibri" w:hAnsi="Calibri"/>
                <w:b/>
                <w:color w:val="000000"/>
                <w:sz w:val="22"/>
                <w:szCs w:val="22"/>
                <w:lang w:eastAsia="zh-CN"/>
              </w:rPr>
              <w:t>Death Rate (10,000)</w:t>
            </w:r>
          </w:p>
        </w:tc>
        <w:tc>
          <w:tcPr>
            <w:tcW w:w="1042" w:type="dxa"/>
            <w:tcBorders>
              <w:top w:val="nil"/>
              <w:left w:val="nil"/>
              <w:bottom w:val="single" w:sz="4" w:space="0" w:color="auto"/>
              <w:right w:val="single" w:sz="4" w:space="0" w:color="auto"/>
            </w:tcBorders>
            <w:shd w:val="clear" w:color="000000" w:fill="FFFFFF"/>
            <w:vAlign w:val="bottom"/>
          </w:tcPr>
          <w:p w:rsidR="00400E42" w:rsidRPr="005044BE" w:rsidRDefault="00400E42" w:rsidP="00A92FFC">
            <w:pPr>
              <w:rPr>
                <w:rFonts w:ascii="Calibri" w:hAnsi="Calibri"/>
                <w:b/>
                <w:color w:val="000000"/>
                <w:szCs w:val="22"/>
                <w:lang w:eastAsia="zh-CN"/>
              </w:rPr>
            </w:pPr>
            <w:r w:rsidRPr="005044BE">
              <w:rPr>
                <w:rFonts w:ascii="Calibri" w:hAnsi="Calibri"/>
                <w:b/>
                <w:color w:val="000000"/>
                <w:sz w:val="22"/>
                <w:szCs w:val="22"/>
                <w:lang w:eastAsia="zh-CN"/>
              </w:rPr>
              <w:t>Number of opioid death</w:t>
            </w:r>
          </w:p>
        </w:tc>
        <w:tc>
          <w:tcPr>
            <w:tcW w:w="1064" w:type="dxa"/>
            <w:tcBorders>
              <w:top w:val="nil"/>
              <w:left w:val="nil"/>
              <w:bottom w:val="single" w:sz="4" w:space="0" w:color="auto"/>
              <w:right w:val="single" w:sz="4" w:space="0" w:color="auto"/>
            </w:tcBorders>
            <w:shd w:val="clear" w:color="000000" w:fill="FFFFFF"/>
            <w:vAlign w:val="bottom"/>
          </w:tcPr>
          <w:p w:rsidR="00400E42" w:rsidRPr="005044BE" w:rsidRDefault="00400E42" w:rsidP="00A92FFC">
            <w:pPr>
              <w:rPr>
                <w:rFonts w:ascii="Calibri" w:hAnsi="Calibri"/>
                <w:b/>
                <w:color w:val="000000"/>
                <w:szCs w:val="22"/>
                <w:lang w:eastAsia="zh-CN"/>
              </w:rPr>
            </w:pPr>
            <w:r w:rsidRPr="005044BE">
              <w:rPr>
                <w:rFonts w:ascii="Calibri" w:hAnsi="Calibri"/>
                <w:b/>
                <w:color w:val="000000"/>
                <w:sz w:val="22"/>
                <w:szCs w:val="22"/>
                <w:lang w:eastAsia="zh-CN"/>
              </w:rPr>
              <w:t>Percent opioid death among all deaths</w:t>
            </w:r>
          </w:p>
        </w:tc>
        <w:tc>
          <w:tcPr>
            <w:tcW w:w="968" w:type="dxa"/>
            <w:tcBorders>
              <w:top w:val="nil"/>
              <w:left w:val="nil"/>
              <w:bottom w:val="single" w:sz="4" w:space="0" w:color="auto"/>
              <w:right w:val="single" w:sz="8" w:space="0" w:color="auto"/>
            </w:tcBorders>
            <w:shd w:val="clear" w:color="000000" w:fill="FFFFFF"/>
            <w:vAlign w:val="bottom"/>
          </w:tcPr>
          <w:p w:rsidR="00400E42" w:rsidRPr="005044BE" w:rsidRDefault="00400E42" w:rsidP="00A92FFC">
            <w:pPr>
              <w:rPr>
                <w:rFonts w:ascii="Calibri" w:hAnsi="Calibri"/>
                <w:b/>
                <w:color w:val="000000"/>
                <w:szCs w:val="22"/>
                <w:lang w:eastAsia="zh-CN"/>
              </w:rPr>
            </w:pPr>
            <w:r w:rsidRPr="005044BE">
              <w:rPr>
                <w:rFonts w:ascii="Calibri" w:hAnsi="Calibri"/>
                <w:b/>
                <w:color w:val="000000"/>
                <w:sz w:val="22"/>
                <w:szCs w:val="22"/>
                <w:lang w:eastAsia="zh-CN"/>
              </w:rPr>
              <w:t>Death Rate (10,000)</w:t>
            </w:r>
          </w:p>
        </w:tc>
        <w:tc>
          <w:tcPr>
            <w:tcW w:w="978" w:type="dxa"/>
            <w:tcBorders>
              <w:top w:val="nil"/>
              <w:left w:val="nil"/>
              <w:bottom w:val="single" w:sz="4" w:space="0" w:color="auto"/>
              <w:right w:val="single" w:sz="8" w:space="0" w:color="auto"/>
            </w:tcBorders>
            <w:shd w:val="clear" w:color="000000" w:fill="FFFFFF"/>
            <w:vAlign w:val="bottom"/>
          </w:tcPr>
          <w:p w:rsidR="00400E42" w:rsidRPr="005044BE" w:rsidRDefault="00400E42" w:rsidP="00A92FFC">
            <w:pPr>
              <w:rPr>
                <w:rFonts w:ascii="Calibri" w:hAnsi="Calibri"/>
                <w:b/>
                <w:bCs/>
                <w:color w:val="000000"/>
                <w:szCs w:val="22"/>
                <w:lang w:eastAsia="zh-CN"/>
              </w:rPr>
            </w:pPr>
            <w:r w:rsidRPr="005044BE">
              <w:rPr>
                <w:rFonts w:ascii="Calibri" w:hAnsi="Calibri"/>
                <w:b/>
                <w:bCs/>
                <w:color w:val="000000"/>
                <w:sz w:val="22"/>
                <w:szCs w:val="22"/>
                <w:lang w:eastAsia="zh-CN"/>
              </w:rPr>
              <w:t>Male to Female Rate Ratio</w:t>
            </w:r>
          </w:p>
        </w:tc>
      </w:tr>
      <w:tr w:rsidR="00400E42" w:rsidRPr="00F240EB" w:rsidTr="00A92FFC">
        <w:trPr>
          <w:trHeight w:val="300"/>
          <w:jc w:val="center"/>
        </w:trPr>
        <w:tc>
          <w:tcPr>
            <w:tcW w:w="1750" w:type="dxa"/>
            <w:tcBorders>
              <w:top w:val="nil"/>
              <w:left w:val="single" w:sz="8" w:space="0" w:color="auto"/>
              <w:bottom w:val="single" w:sz="4" w:space="0" w:color="auto"/>
              <w:right w:val="single" w:sz="4" w:space="0" w:color="auto"/>
            </w:tcBorders>
            <w:shd w:val="clear" w:color="000000" w:fill="FFFFFF"/>
            <w:noWrap/>
            <w:vAlign w:val="bottom"/>
          </w:tcPr>
          <w:p w:rsidR="00400E42" w:rsidRPr="005044BE" w:rsidRDefault="00400E42" w:rsidP="00A92FFC">
            <w:pPr>
              <w:rPr>
                <w:rFonts w:ascii="Calibri" w:hAnsi="Calibri"/>
                <w:b/>
                <w:color w:val="000000"/>
                <w:szCs w:val="22"/>
                <w:lang w:eastAsia="zh-CN"/>
              </w:rPr>
            </w:pPr>
            <w:r w:rsidRPr="005044BE">
              <w:rPr>
                <w:rFonts w:ascii="Calibri" w:hAnsi="Calibri"/>
                <w:b/>
                <w:color w:val="000000"/>
                <w:sz w:val="22"/>
                <w:szCs w:val="22"/>
                <w:lang w:eastAsia="zh-CN"/>
              </w:rPr>
              <w:t>18-24</w:t>
            </w:r>
          </w:p>
        </w:tc>
        <w:tc>
          <w:tcPr>
            <w:tcW w:w="965" w:type="dxa"/>
            <w:tcBorders>
              <w:top w:val="nil"/>
              <w:left w:val="single" w:sz="4" w:space="0" w:color="auto"/>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49</w:t>
            </w:r>
          </w:p>
        </w:tc>
        <w:tc>
          <w:tcPr>
            <w:tcW w:w="997"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28.5%</w:t>
            </w:r>
          </w:p>
        </w:tc>
        <w:tc>
          <w:tcPr>
            <w:tcW w:w="1026" w:type="dxa"/>
            <w:tcBorders>
              <w:top w:val="nil"/>
              <w:left w:val="nil"/>
              <w:bottom w:val="single" w:sz="4" w:space="0" w:color="auto"/>
              <w:right w:val="single" w:sz="8"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0.71</w:t>
            </w:r>
          </w:p>
        </w:tc>
        <w:tc>
          <w:tcPr>
            <w:tcW w:w="1042"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145</w:t>
            </w:r>
          </w:p>
        </w:tc>
        <w:tc>
          <w:tcPr>
            <w:tcW w:w="1064"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25.6%</w:t>
            </w:r>
          </w:p>
        </w:tc>
        <w:tc>
          <w:tcPr>
            <w:tcW w:w="968" w:type="dxa"/>
            <w:tcBorders>
              <w:top w:val="nil"/>
              <w:left w:val="nil"/>
              <w:bottom w:val="single" w:sz="4" w:space="0" w:color="auto"/>
              <w:right w:val="single" w:sz="8"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2.12</w:t>
            </w:r>
          </w:p>
        </w:tc>
        <w:tc>
          <w:tcPr>
            <w:tcW w:w="978" w:type="dxa"/>
            <w:tcBorders>
              <w:top w:val="nil"/>
              <w:left w:val="nil"/>
              <w:bottom w:val="single" w:sz="4" w:space="0" w:color="auto"/>
              <w:right w:val="single" w:sz="8" w:space="0" w:color="auto"/>
            </w:tcBorders>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2.98</w:t>
            </w:r>
          </w:p>
        </w:tc>
      </w:tr>
      <w:tr w:rsidR="00400E42" w:rsidRPr="00F240EB" w:rsidTr="00A92FFC">
        <w:trPr>
          <w:trHeight w:val="300"/>
          <w:jc w:val="center"/>
        </w:trPr>
        <w:tc>
          <w:tcPr>
            <w:tcW w:w="1750" w:type="dxa"/>
            <w:tcBorders>
              <w:top w:val="nil"/>
              <w:left w:val="single" w:sz="8" w:space="0" w:color="auto"/>
              <w:bottom w:val="single" w:sz="4" w:space="0" w:color="auto"/>
              <w:right w:val="single" w:sz="4" w:space="0" w:color="auto"/>
            </w:tcBorders>
            <w:shd w:val="clear" w:color="000000" w:fill="FFFFFF"/>
            <w:noWrap/>
            <w:vAlign w:val="bottom"/>
          </w:tcPr>
          <w:p w:rsidR="00400E42" w:rsidRPr="005044BE" w:rsidRDefault="00400E42" w:rsidP="00A92FFC">
            <w:pPr>
              <w:rPr>
                <w:rFonts w:ascii="Calibri" w:hAnsi="Calibri"/>
                <w:b/>
                <w:color w:val="000000"/>
                <w:szCs w:val="22"/>
                <w:lang w:eastAsia="zh-CN"/>
              </w:rPr>
            </w:pPr>
            <w:r w:rsidRPr="005044BE">
              <w:rPr>
                <w:rFonts w:ascii="Calibri" w:hAnsi="Calibri"/>
                <w:b/>
                <w:color w:val="000000"/>
                <w:sz w:val="22"/>
                <w:szCs w:val="22"/>
                <w:lang w:eastAsia="zh-CN"/>
              </w:rPr>
              <w:t>25-34</w:t>
            </w:r>
          </w:p>
        </w:tc>
        <w:tc>
          <w:tcPr>
            <w:tcW w:w="965" w:type="dxa"/>
            <w:tcBorders>
              <w:top w:val="nil"/>
              <w:left w:val="single" w:sz="4" w:space="0" w:color="auto"/>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158</w:t>
            </w:r>
          </w:p>
        </w:tc>
        <w:tc>
          <w:tcPr>
            <w:tcW w:w="997"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32.4%</w:t>
            </w:r>
          </w:p>
        </w:tc>
        <w:tc>
          <w:tcPr>
            <w:tcW w:w="1026" w:type="dxa"/>
            <w:tcBorders>
              <w:top w:val="nil"/>
              <w:left w:val="nil"/>
              <w:bottom w:val="single" w:sz="4" w:space="0" w:color="auto"/>
              <w:right w:val="single" w:sz="8"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1.79</w:t>
            </w:r>
          </w:p>
        </w:tc>
        <w:tc>
          <w:tcPr>
            <w:tcW w:w="1042"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493</w:t>
            </w:r>
          </w:p>
        </w:tc>
        <w:tc>
          <w:tcPr>
            <w:tcW w:w="1064"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40.6%</w:t>
            </w:r>
          </w:p>
        </w:tc>
        <w:tc>
          <w:tcPr>
            <w:tcW w:w="968" w:type="dxa"/>
            <w:tcBorders>
              <w:top w:val="nil"/>
              <w:left w:val="nil"/>
              <w:bottom w:val="single" w:sz="4" w:space="0" w:color="auto"/>
              <w:right w:val="single" w:sz="8"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5.72</w:t>
            </w:r>
          </w:p>
        </w:tc>
        <w:tc>
          <w:tcPr>
            <w:tcW w:w="978" w:type="dxa"/>
            <w:tcBorders>
              <w:top w:val="nil"/>
              <w:left w:val="nil"/>
              <w:bottom w:val="single" w:sz="4" w:space="0" w:color="auto"/>
              <w:right w:val="single" w:sz="8" w:space="0" w:color="auto"/>
            </w:tcBorders>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3.20</w:t>
            </w:r>
          </w:p>
        </w:tc>
      </w:tr>
      <w:tr w:rsidR="00400E42" w:rsidRPr="00F240EB" w:rsidTr="00A92FFC">
        <w:trPr>
          <w:trHeight w:val="300"/>
          <w:jc w:val="center"/>
        </w:trPr>
        <w:tc>
          <w:tcPr>
            <w:tcW w:w="1750" w:type="dxa"/>
            <w:tcBorders>
              <w:top w:val="nil"/>
              <w:left w:val="single" w:sz="8" w:space="0" w:color="auto"/>
              <w:bottom w:val="single" w:sz="4" w:space="0" w:color="auto"/>
              <w:right w:val="single" w:sz="4" w:space="0" w:color="auto"/>
            </w:tcBorders>
            <w:shd w:val="clear" w:color="000000" w:fill="FFFFFF"/>
            <w:noWrap/>
            <w:vAlign w:val="bottom"/>
          </w:tcPr>
          <w:p w:rsidR="00400E42" w:rsidRPr="005044BE" w:rsidRDefault="00400E42" w:rsidP="00A92FFC">
            <w:pPr>
              <w:rPr>
                <w:rFonts w:ascii="Calibri" w:hAnsi="Calibri"/>
                <w:b/>
                <w:color w:val="000000"/>
                <w:szCs w:val="22"/>
                <w:lang w:eastAsia="zh-CN"/>
              </w:rPr>
            </w:pPr>
            <w:r w:rsidRPr="005044BE">
              <w:rPr>
                <w:rFonts w:ascii="Calibri" w:hAnsi="Calibri"/>
                <w:b/>
                <w:color w:val="000000"/>
                <w:sz w:val="22"/>
                <w:szCs w:val="22"/>
                <w:lang w:eastAsia="zh-CN"/>
              </w:rPr>
              <w:t>35-49</w:t>
            </w:r>
          </w:p>
        </w:tc>
        <w:tc>
          <w:tcPr>
            <w:tcW w:w="965" w:type="dxa"/>
            <w:tcBorders>
              <w:top w:val="nil"/>
              <w:left w:val="single" w:sz="4" w:space="0" w:color="auto"/>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253</w:t>
            </w:r>
          </w:p>
        </w:tc>
        <w:tc>
          <w:tcPr>
            <w:tcW w:w="997"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14.5%</w:t>
            </w:r>
          </w:p>
        </w:tc>
        <w:tc>
          <w:tcPr>
            <w:tcW w:w="1026" w:type="dxa"/>
            <w:tcBorders>
              <w:top w:val="nil"/>
              <w:left w:val="nil"/>
              <w:bottom w:val="single" w:sz="4" w:space="0" w:color="auto"/>
              <w:right w:val="single" w:sz="8"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1.80</w:t>
            </w:r>
          </w:p>
        </w:tc>
        <w:tc>
          <w:tcPr>
            <w:tcW w:w="1042"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566</w:t>
            </w:r>
          </w:p>
        </w:tc>
        <w:tc>
          <w:tcPr>
            <w:tcW w:w="1064"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19.4%</w:t>
            </w:r>
          </w:p>
        </w:tc>
        <w:tc>
          <w:tcPr>
            <w:tcW w:w="968" w:type="dxa"/>
            <w:tcBorders>
              <w:top w:val="nil"/>
              <w:left w:val="nil"/>
              <w:bottom w:val="single" w:sz="4" w:space="0" w:color="auto"/>
              <w:right w:val="single" w:sz="8"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4.22</w:t>
            </w:r>
          </w:p>
        </w:tc>
        <w:tc>
          <w:tcPr>
            <w:tcW w:w="978" w:type="dxa"/>
            <w:tcBorders>
              <w:top w:val="nil"/>
              <w:left w:val="nil"/>
              <w:bottom w:val="single" w:sz="4" w:space="0" w:color="auto"/>
              <w:right w:val="single" w:sz="8" w:space="0" w:color="auto"/>
            </w:tcBorders>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2.34</w:t>
            </w:r>
          </w:p>
        </w:tc>
      </w:tr>
      <w:tr w:rsidR="00400E42" w:rsidRPr="00F240EB" w:rsidTr="00A92FFC">
        <w:trPr>
          <w:trHeight w:val="300"/>
          <w:jc w:val="center"/>
        </w:trPr>
        <w:tc>
          <w:tcPr>
            <w:tcW w:w="1750" w:type="dxa"/>
            <w:tcBorders>
              <w:top w:val="nil"/>
              <w:left w:val="single" w:sz="8" w:space="0" w:color="auto"/>
              <w:bottom w:val="single" w:sz="4" w:space="0" w:color="auto"/>
              <w:right w:val="single" w:sz="4" w:space="0" w:color="auto"/>
            </w:tcBorders>
            <w:shd w:val="clear" w:color="000000" w:fill="FFFFFF"/>
            <w:noWrap/>
            <w:vAlign w:val="bottom"/>
          </w:tcPr>
          <w:p w:rsidR="00400E42" w:rsidRPr="005044BE" w:rsidRDefault="00400E42" w:rsidP="00A92FFC">
            <w:pPr>
              <w:rPr>
                <w:rFonts w:ascii="Calibri" w:hAnsi="Calibri"/>
                <w:b/>
                <w:color w:val="000000"/>
                <w:szCs w:val="22"/>
                <w:lang w:eastAsia="zh-CN"/>
              </w:rPr>
            </w:pPr>
            <w:r w:rsidRPr="005044BE">
              <w:rPr>
                <w:rFonts w:ascii="Calibri" w:hAnsi="Calibri"/>
                <w:b/>
                <w:color w:val="000000"/>
                <w:sz w:val="22"/>
                <w:szCs w:val="22"/>
                <w:lang w:eastAsia="zh-CN"/>
              </w:rPr>
              <w:t>50-64</w:t>
            </w:r>
          </w:p>
        </w:tc>
        <w:tc>
          <w:tcPr>
            <w:tcW w:w="965" w:type="dxa"/>
            <w:tcBorders>
              <w:top w:val="nil"/>
              <w:left w:val="single" w:sz="4" w:space="0" w:color="auto"/>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178</w:t>
            </w:r>
          </w:p>
        </w:tc>
        <w:tc>
          <w:tcPr>
            <w:tcW w:w="997"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3.0%</w:t>
            </w:r>
          </w:p>
        </w:tc>
        <w:tc>
          <w:tcPr>
            <w:tcW w:w="1026" w:type="dxa"/>
            <w:tcBorders>
              <w:top w:val="nil"/>
              <w:left w:val="nil"/>
              <w:bottom w:val="single" w:sz="4" w:space="0" w:color="auto"/>
              <w:right w:val="single" w:sz="8"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1.29</w:t>
            </w:r>
          </w:p>
        </w:tc>
        <w:tc>
          <w:tcPr>
            <w:tcW w:w="1042"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313</w:t>
            </w:r>
          </w:p>
        </w:tc>
        <w:tc>
          <w:tcPr>
            <w:tcW w:w="1064"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3.4%</w:t>
            </w:r>
          </w:p>
        </w:tc>
        <w:tc>
          <w:tcPr>
            <w:tcW w:w="968" w:type="dxa"/>
            <w:tcBorders>
              <w:top w:val="nil"/>
              <w:left w:val="nil"/>
              <w:bottom w:val="single" w:sz="4" w:space="0" w:color="auto"/>
              <w:right w:val="single" w:sz="8"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2.44</w:t>
            </w:r>
          </w:p>
        </w:tc>
        <w:tc>
          <w:tcPr>
            <w:tcW w:w="978" w:type="dxa"/>
            <w:tcBorders>
              <w:top w:val="nil"/>
              <w:left w:val="nil"/>
              <w:bottom w:val="single" w:sz="4" w:space="0" w:color="auto"/>
              <w:right w:val="single" w:sz="8" w:space="0" w:color="auto"/>
            </w:tcBorders>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1.89</w:t>
            </w:r>
          </w:p>
        </w:tc>
      </w:tr>
      <w:tr w:rsidR="00400E42" w:rsidRPr="00F240EB" w:rsidTr="00A92FFC">
        <w:trPr>
          <w:trHeight w:val="300"/>
          <w:jc w:val="center"/>
        </w:trPr>
        <w:tc>
          <w:tcPr>
            <w:tcW w:w="1750" w:type="dxa"/>
            <w:tcBorders>
              <w:top w:val="nil"/>
              <w:left w:val="single" w:sz="8" w:space="0" w:color="auto"/>
              <w:bottom w:val="single" w:sz="4" w:space="0" w:color="auto"/>
              <w:right w:val="single" w:sz="4" w:space="0" w:color="auto"/>
            </w:tcBorders>
            <w:shd w:val="clear" w:color="000000" w:fill="FFFFFF"/>
            <w:noWrap/>
            <w:vAlign w:val="bottom"/>
          </w:tcPr>
          <w:p w:rsidR="00400E42" w:rsidRPr="005044BE" w:rsidRDefault="00400E42" w:rsidP="00A92FFC">
            <w:pPr>
              <w:rPr>
                <w:rFonts w:ascii="Calibri" w:hAnsi="Calibri"/>
                <w:b/>
                <w:color w:val="000000"/>
                <w:szCs w:val="22"/>
                <w:lang w:eastAsia="zh-CN"/>
              </w:rPr>
            </w:pPr>
            <w:r w:rsidRPr="005044BE">
              <w:rPr>
                <w:rFonts w:ascii="Calibri" w:hAnsi="Calibri"/>
                <w:b/>
                <w:color w:val="000000"/>
                <w:sz w:val="22"/>
                <w:szCs w:val="22"/>
                <w:lang w:eastAsia="zh-CN"/>
              </w:rPr>
              <w:t>65+</w:t>
            </w:r>
          </w:p>
        </w:tc>
        <w:tc>
          <w:tcPr>
            <w:tcW w:w="965" w:type="dxa"/>
            <w:tcBorders>
              <w:top w:val="nil"/>
              <w:left w:val="single" w:sz="4" w:space="0" w:color="auto"/>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20</w:t>
            </w:r>
          </w:p>
        </w:tc>
        <w:tc>
          <w:tcPr>
            <w:tcW w:w="997"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0.04%</w:t>
            </w:r>
          </w:p>
        </w:tc>
        <w:tc>
          <w:tcPr>
            <w:tcW w:w="1026" w:type="dxa"/>
            <w:tcBorders>
              <w:top w:val="nil"/>
              <w:left w:val="nil"/>
              <w:bottom w:val="single" w:sz="4" w:space="0" w:color="auto"/>
              <w:right w:val="single" w:sz="8"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0.18</w:t>
            </w:r>
          </w:p>
        </w:tc>
        <w:tc>
          <w:tcPr>
            <w:tcW w:w="1042"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15</w:t>
            </w:r>
          </w:p>
        </w:tc>
        <w:tc>
          <w:tcPr>
            <w:tcW w:w="1064" w:type="dxa"/>
            <w:tcBorders>
              <w:top w:val="nil"/>
              <w:left w:val="nil"/>
              <w:bottom w:val="single" w:sz="4" w:space="0" w:color="auto"/>
              <w:right w:val="single" w:sz="4"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0.04%</w:t>
            </w:r>
          </w:p>
        </w:tc>
        <w:tc>
          <w:tcPr>
            <w:tcW w:w="968" w:type="dxa"/>
            <w:tcBorders>
              <w:top w:val="nil"/>
              <w:left w:val="nil"/>
              <w:bottom w:val="single" w:sz="4" w:space="0" w:color="auto"/>
              <w:right w:val="single" w:sz="8" w:space="0" w:color="auto"/>
            </w:tcBorders>
            <w:shd w:val="clear" w:color="000000" w:fill="FFFFFF"/>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0.19</w:t>
            </w:r>
          </w:p>
        </w:tc>
        <w:tc>
          <w:tcPr>
            <w:tcW w:w="978" w:type="dxa"/>
            <w:tcBorders>
              <w:top w:val="nil"/>
              <w:left w:val="nil"/>
              <w:bottom w:val="single" w:sz="4" w:space="0" w:color="auto"/>
              <w:right w:val="single" w:sz="8" w:space="0" w:color="auto"/>
            </w:tcBorders>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1.03</w:t>
            </w:r>
          </w:p>
        </w:tc>
      </w:tr>
      <w:tr w:rsidR="00400E42" w:rsidRPr="00F240EB" w:rsidTr="00A92FFC">
        <w:trPr>
          <w:trHeight w:val="315"/>
          <w:jc w:val="center"/>
        </w:trPr>
        <w:tc>
          <w:tcPr>
            <w:tcW w:w="1750" w:type="dxa"/>
            <w:tcBorders>
              <w:top w:val="single" w:sz="4" w:space="0" w:color="auto"/>
              <w:left w:val="single" w:sz="8" w:space="0" w:color="auto"/>
              <w:bottom w:val="single" w:sz="8" w:space="0" w:color="auto"/>
              <w:right w:val="single" w:sz="4" w:space="0" w:color="auto"/>
            </w:tcBorders>
            <w:noWrap/>
            <w:vAlign w:val="bottom"/>
          </w:tcPr>
          <w:p w:rsidR="00400E42" w:rsidRPr="005044BE" w:rsidRDefault="00A643C6" w:rsidP="00A92FFC">
            <w:pPr>
              <w:rPr>
                <w:rFonts w:ascii="Calibri" w:hAnsi="Calibri"/>
                <w:b/>
                <w:color w:val="000000"/>
                <w:szCs w:val="22"/>
                <w:lang w:eastAsia="zh-CN"/>
              </w:rPr>
            </w:pPr>
            <w:r>
              <w:rPr>
                <w:rFonts w:ascii="Calibri" w:hAnsi="Calibri"/>
                <w:b/>
                <w:color w:val="000000"/>
                <w:sz w:val="22"/>
                <w:szCs w:val="22"/>
                <w:lang w:eastAsia="zh-CN"/>
              </w:rPr>
              <w:t>Total</w:t>
            </w:r>
          </w:p>
        </w:tc>
        <w:tc>
          <w:tcPr>
            <w:tcW w:w="965" w:type="dxa"/>
            <w:tcBorders>
              <w:top w:val="single" w:sz="4" w:space="0" w:color="auto"/>
              <w:left w:val="single" w:sz="4" w:space="0" w:color="auto"/>
              <w:bottom w:val="single" w:sz="8" w:space="0" w:color="auto"/>
              <w:right w:val="single" w:sz="4" w:space="0" w:color="auto"/>
            </w:tcBorders>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658</w:t>
            </w:r>
          </w:p>
        </w:tc>
        <w:tc>
          <w:tcPr>
            <w:tcW w:w="997" w:type="dxa"/>
            <w:tcBorders>
              <w:top w:val="single" w:sz="4" w:space="0" w:color="auto"/>
              <w:left w:val="nil"/>
              <w:bottom w:val="single" w:sz="8" w:space="0" w:color="auto"/>
              <w:right w:val="single" w:sz="4" w:space="0" w:color="auto"/>
            </w:tcBorders>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1.2%</w:t>
            </w:r>
          </w:p>
        </w:tc>
        <w:tc>
          <w:tcPr>
            <w:tcW w:w="1026" w:type="dxa"/>
            <w:tcBorders>
              <w:top w:val="single" w:sz="4" w:space="0" w:color="auto"/>
              <w:left w:val="nil"/>
              <w:bottom w:val="single" w:sz="8" w:space="0" w:color="auto"/>
              <w:right w:val="single" w:sz="8" w:space="0" w:color="auto"/>
            </w:tcBorders>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1.21</w:t>
            </w:r>
          </w:p>
        </w:tc>
        <w:tc>
          <w:tcPr>
            <w:tcW w:w="1042" w:type="dxa"/>
            <w:tcBorders>
              <w:top w:val="single" w:sz="4" w:space="0" w:color="auto"/>
              <w:left w:val="nil"/>
              <w:bottom w:val="single" w:sz="8" w:space="0" w:color="auto"/>
              <w:right w:val="single" w:sz="4" w:space="0" w:color="auto"/>
            </w:tcBorders>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1532</w:t>
            </w:r>
          </w:p>
        </w:tc>
        <w:tc>
          <w:tcPr>
            <w:tcW w:w="1064" w:type="dxa"/>
            <w:tcBorders>
              <w:top w:val="single" w:sz="4" w:space="0" w:color="auto"/>
              <w:left w:val="nil"/>
              <w:bottom w:val="single" w:sz="8" w:space="0" w:color="auto"/>
              <w:right w:val="single" w:sz="4" w:space="0" w:color="auto"/>
            </w:tcBorders>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3.1%</w:t>
            </w:r>
          </w:p>
        </w:tc>
        <w:tc>
          <w:tcPr>
            <w:tcW w:w="968" w:type="dxa"/>
            <w:tcBorders>
              <w:top w:val="single" w:sz="4" w:space="0" w:color="auto"/>
              <w:left w:val="nil"/>
              <w:bottom w:val="single" w:sz="8" w:space="0" w:color="auto"/>
              <w:right w:val="single" w:sz="8" w:space="0" w:color="auto"/>
            </w:tcBorders>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3.09</w:t>
            </w:r>
          </w:p>
        </w:tc>
        <w:tc>
          <w:tcPr>
            <w:tcW w:w="978" w:type="dxa"/>
            <w:tcBorders>
              <w:top w:val="single" w:sz="4" w:space="0" w:color="auto"/>
              <w:left w:val="nil"/>
              <w:bottom w:val="single" w:sz="8" w:space="0" w:color="auto"/>
              <w:right w:val="single" w:sz="8" w:space="0" w:color="auto"/>
            </w:tcBorders>
            <w:noWrap/>
            <w:vAlign w:val="bottom"/>
          </w:tcPr>
          <w:p w:rsidR="00400E42" w:rsidRPr="00F240EB" w:rsidRDefault="00400E42" w:rsidP="00A92FFC">
            <w:pPr>
              <w:jc w:val="right"/>
              <w:rPr>
                <w:rFonts w:ascii="Calibri" w:hAnsi="Calibri"/>
                <w:color w:val="000000"/>
                <w:szCs w:val="22"/>
                <w:lang w:eastAsia="zh-CN"/>
              </w:rPr>
            </w:pPr>
            <w:r w:rsidRPr="00F240EB">
              <w:rPr>
                <w:rFonts w:ascii="Calibri" w:hAnsi="Calibri"/>
                <w:color w:val="000000"/>
                <w:sz w:val="22"/>
                <w:szCs w:val="22"/>
                <w:lang w:eastAsia="zh-CN"/>
              </w:rPr>
              <w:t>2.56</w:t>
            </w:r>
          </w:p>
        </w:tc>
      </w:tr>
    </w:tbl>
    <w:p w:rsidR="00400E42" w:rsidRPr="00F240EB" w:rsidRDefault="00400E42" w:rsidP="00400E42">
      <w:pPr>
        <w:spacing w:line="480" w:lineRule="auto"/>
        <w:rPr>
          <w:rFonts w:ascii="Calibri" w:hAnsi="Calibri" w:cs="Calibri"/>
          <w:color w:val="000000"/>
          <w:sz w:val="22"/>
          <w:szCs w:val="22"/>
        </w:rPr>
      </w:pPr>
    </w:p>
    <w:p w:rsidR="00400E42" w:rsidRPr="00F240EB" w:rsidRDefault="00400E42" w:rsidP="002D6E20">
      <w:pPr>
        <w:pStyle w:val="PBody"/>
      </w:pPr>
      <w:r w:rsidRPr="00F240EB">
        <w:t xml:space="preserve">Potentially masked by familiar trends are other embedded trends about age and gender that this unique collection of data has allowed </w:t>
      </w:r>
      <w:r>
        <w:t>us</w:t>
      </w:r>
      <w:r w:rsidRPr="00F240EB">
        <w:t xml:space="preserve"> to examine.  Those trends are reported in subsequent sections of this report.</w:t>
      </w:r>
    </w:p>
    <w:p w:rsidR="00400E42" w:rsidRPr="00F240EB" w:rsidRDefault="00400E42" w:rsidP="002D6E20">
      <w:pPr>
        <w:pStyle w:val="PBody"/>
      </w:pPr>
      <w:r w:rsidRPr="00F240EB">
        <w:t>As state</w:t>
      </w:r>
      <w:r w:rsidR="00E2392E">
        <w:t>d</w:t>
      </w:r>
      <w:r w:rsidRPr="00F240EB">
        <w:t xml:space="preserve"> above, opioid-related deaths began increasing very sharply in 2012.</w:t>
      </w:r>
      <w:r w:rsidRPr="005E2F2A">
        <w:rPr>
          <w:rStyle w:val="FootnoteReference"/>
        </w:rPr>
        <w:footnoteReference w:id="15"/>
      </w:r>
      <w:r w:rsidRPr="00F240EB">
        <w:t xml:space="preserve"> While this report will not make causal statements about </w:t>
      </w:r>
      <w:r w:rsidR="000F760E">
        <w:t>this</w:t>
      </w:r>
      <w:r w:rsidR="000F760E" w:rsidRPr="00F240EB">
        <w:t xml:space="preserve"> </w:t>
      </w:r>
      <w:r w:rsidRPr="00F240EB">
        <w:t xml:space="preserve">increase, </w:t>
      </w:r>
      <w:r w:rsidR="00A643C6">
        <w:t>it will compare and contrast related trends within the same period</w:t>
      </w:r>
      <w:r w:rsidR="00301E0D">
        <w:t>.  T</w:t>
      </w:r>
      <w:r w:rsidRPr="00F240EB">
        <w:t xml:space="preserve">wo </w:t>
      </w:r>
      <w:r w:rsidR="00BB5850">
        <w:t xml:space="preserve">such trends </w:t>
      </w:r>
      <w:r w:rsidR="00A643C6">
        <w:t>are</w:t>
      </w:r>
      <w:r w:rsidRPr="00F240EB">
        <w:t xml:space="preserve"> cited here.  First, the number of </w:t>
      </w:r>
      <w:r>
        <w:t xml:space="preserve">opioids </w:t>
      </w:r>
      <w:r w:rsidRPr="00F240EB">
        <w:t>prescribed to residents</w:t>
      </w:r>
      <w:r w:rsidR="00BB5850">
        <w:t xml:space="preserve"> of Massachusetts</w:t>
      </w:r>
      <w:r w:rsidRPr="00F240EB">
        <w:t xml:space="preserve"> increased roughly 7% per year since 2000.</w:t>
      </w:r>
      <w:r w:rsidRPr="005E2F2A">
        <w:rPr>
          <w:rStyle w:val="FootnoteReference"/>
          <w:color w:val="000000"/>
        </w:rPr>
        <w:footnoteReference w:id="16"/>
      </w:r>
      <w:r w:rsidR="00BB5850">
        <w:t xml:space="preserve"> </w:t>
      </w:r>
      <w:r w:rsidRPr="00F240EB">
        <w:t xml:space="preserve"> There was, however, no sharp increase in prescribed opioids beginning in 2012</w:t>
      </w:r>
      <w:r w:rsidR="00301E0D">
        <w:t>.  I</w:t>
      </w:r>
      <w:r w:rsidRPr="00F240EB">
        <w:t xml:space="preserve">n contrast, recent toxicology data suggest that the increased </w:t>
      </w:r>
      <w:r w:rsidRPr="00F240EB">
        <w:lastRenderedPageBreak/>
        <w:t xml:space="preserve">presence of </w:t>
      </w:r>
      <w:r>
        <w:t>Fentanyl</w:t>
      </w:r>
      <w:r w:rsidRPr="00F240EB">
        <w:t xml:space="preserve"> in post-mortem cases roughly matches the increase in opioid-related deaths.  Fentanyl is </w:t>
      </w:r>
      <w:r w:rsidR="000F760E">
        <w:t>a powerful</w:t>
      </w:r>
      <w:r w:rsidR="000F760E" w:rsidRPr="00F240EB">
        <w:t xml:space="preserve"> </w:t>
      </w:r>
      <w:r w:rsidRPr="00F240EB">
        <w:t xml:space="preserve">opioid that can be prescribed for pain management, but it can also be </w:t>
      </w:r>
      <w:r>
        <w:t xml:space="preserve">illicitly </w:t>
      </w:r>
      <w:r w:rsidRPr="00F240EB">
        <w:t xml:space="preserve">obtained either on its own, or </w:t>
      </w:r>
      <w:r w:rsidR="000F760E">
        <w:t>mixed</w:t>
      </w:r>
      <w:r w:rsidRPr="00F240EB">
        <w:t xml:space="preserve"> with </w:t>
      </w:r>
      <w:r>
        <w:t>Heroin</w:t>
      </w:r>
      <w:r w:rsidRPr="00F240EB">
        <w:t>.</w:t>
      </w:r>
      <w:r w:rsidRPr="005E2F2A">
        <w:rPr>
          <w:rStyle w:val="FootnoteReference"/>
          <w:color w:val="000000"/>
        </w:rPr>
        <w:footnoteReference w:id="17"/>
      </w:r>
      <w:r w:rsidRPr="00CA6DF5">
        <w:rPr>
          <w:vertAlign w:val="superscript"/>
        </w:rPr>
        <w:t>,</w:t>
      </w:r>
      <w:r w:rsidRPr="005E2F2A">
        <w:rPr>
          <w:rStyle w:val="FootnoteReference"/>
          <w:color w:val="000000"/>
        </w:rPr>
        <w:footnoteReference w:id="18"/>
      </w:r>
      <w:r w:rsidRPr="00F240EB">
        <w:t xml:space="preserve"> </w:t>
      </w:r>
      <w:r>
        <w:t xml:space="preserve"> </w:t>
      </w:r>
      <w:r w:rsidRPr="001B1BE7">
        <w:t xml:space="preserve">Fentanyl, produced and sold illicitly as part of the </w:t>
      </w:r>
      <w:r>
        <w:t>H</w:t>
      </w:r>
      <w:r w:rsidRPr="001B1BE7">
        <w:t>eroin supply</w:t>
      </w:r>
      <w:r w:rsidR="000F760E">
        <w:t>,</w:t>
      </w:r>
      <w:r w:rsidRPr="001B1BE7">
        <w:t xml:space="preserve"> has </w:t>
      </w:r>
      <w:r w:rsidR="005859B1">
        <w:t>become i</w:t>
      </w:r>
      <w:r w:rsidRPr="001B1BE7">
        <w:t xml:space="preserve">ncreasingly </w:t>
      </w:r>
      <w:r w:rsidR="005859B1">
        <w:t xml:space="preserve">incorporated into </w:t>
      </w:r>
      <w:r w:rsidR="002D6E20">
        <w:t>H</w:t>
      </w:r>
      <w:r w:rsidR="005859B1">
        <w:t>eroin supplies</w:t>
      </w:r>
      <w:r w:rsidRPr="001B1BE7">
        <w:t xml:space="preserve"> throughout the United States, but particularly in Massachusetts</w:t>
      </w:r>
      <w:r>
        <w:t>.</w:t>
      </w:r>
      <w:r w:rsidRPr="005E2F2A">
        <w:rPr>
          <w:rStyle w:val="FootnoteReference"/>
          <w:color w:val="000000"/>
        </w:rPr>
        <w:footnoteReference w:id="19"/>
      </w:r>
      <w:r w:rsidRPr="00764E3C">
        <w:rPr>
          <w:vertAlign w:val="superscript"/>
        </w:rPr>
        <w:t>,</w:t>
      </w:r>
      <w:r w:rsidRPr="005E2F2A">
        <w:rPr>
          <w:rStyle w:val="FootnoteReference"/>
          <w:color w:val="000000"/>
        </w:rPr>
        <w:footnoteReference w:id="20"/>
      </w:r>
      <w:r>
        <w:t xml:space="preserve"> </w:t>
      </w:r>
      <w:r w:rsidRPr="00F240EB">
        <w:t>Toxicology data from post-mortem cases indicates that Fentanyl was present in blood, urine, and tissue samples in increasing numbers from 2013 through 2015.  In 2015, 57% of toxicology samples tested positive for Fentanyl while the number was less than half that in 2013.</w:t>
      </w:r>
      <w:r w:rsidRPr="005E2F2A">
        <w:rPr>
          <w:rStyle w:val="FootnoteReference"/>
          <w:color w:val="000000"/>
        </w:rPr>
        <w:footnoteReference w:id="21"/>
      </w:r>
    </w:p>
    <w:p w:rsidR="0092313F" w:rsidRDefault="00400E42" w:rsidP="002D6E20">
      <w:pPr>
        <w:pStyle w:val="PBody"/>
      </w:pPr>
      <w:r>
        <w:rPr>
          <w:noProof/>
        </w:rPr>
        <mc:AlternateContent>
          <mc:Choice Requires="wps">
            <w:drawing>
              <wp:anchor distT="91440" distB="91440" distL="114300" distR="114300" simplePos="0" relativeHeight="251671552" behindDoc="1" locked="0" layoutInCell="0" allowOverlap="1" wp14:anchorId="36B7E3DD" wp14:editId="47AD593F">
                <wp:simplePos x="0" y="0"/>
                <wp:positionH relativeFrom="margin">
                  <wp:posOffset>76200</wp:posOffset>
                </wp:positionH>
                <wp:positionV relativeFrom="paragraph">
                  <wp:posOffset>1116965</wp:posOffset>
                </wp:positionV>
                <wp:extent cx="2932430" cy="2200275"/>
                <wp:effectExtent l="0" t="0" r="64770" b="85725"/>
                <wp:wrapTight wrapText="bothSides">
                  <wp:wrapPolygon edited="0">
                    <wp:start x="0" y="0"/>
                    <wp:lineTo x="0" y="22192"/>
                    <wp:lineTo x="21890" y="22192"/>
                    <wp:lineTo x="21890" y="0"/>
                    <wp:lineTo x="0" y="0"/>
                  </wp:wrapPolygon>
                </wp:wrapTight>
                <wp:docPr id="2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932430" cy="2200275"/>
                        </a:xfrm>
                        <a:prstGeom prst="rect">
                          <a:avLst/>
                        </a:prstGeom>
                        <a:solidFill>
                          <a:srgbClr val="D99594"/>
                        </a:solidFill>
                        <a:ln w="19050">
                          <a:solidFill>
                            <a:srgbClr val="000000"/>
                          </a:solidFill>
                          <a:miter lim="800000"/>
                          <a:headEnd/>
                          <a:tailEnd/>
                        </a:ln>
                        <a:effectLst>
                          <a:outerShdw dist="38100" dir="2700000" algn="tl" rotWithShape="0">
                            <a:srgbClr val="000000">
                              <a:alpha val="39999"/>
                            </a:srgbClr>
                          </a:outerShdw>
                        </a:effectLst>
                      </wps:spPr>
                      <wps:txbx>
                        <w:txbxContent>
                          <w:p w:rsidR="002666A8" w:rsidRDefault="002666A8" w:rsidP="00400E42">
                            <w:pPr>
                              <w:ind w:right="-3"/>
                              <w:jc w:val="center"/>
                              <w:rPr>
                                <w:rFonts w:ascii="Calibri" w:hAnsi="Calibri" w:cs="Arial"/>
                                <w:b/>
                                <w:sz w:val="22"/>
                                <w:szCs w:val="22"/>
                              </w:rPr>
                            </w:pPr>
                            <w:r w:rsidRPr="00910856">
                              <w:rPr>
                                <w:rFonts w:ascii="Calibri" w:hAnsi="Calibri" w:cs="Arial"/>
                                <w:b/>
                                <w:sz w:val="22"/>
                                <w:szCs w:val="22"/>
                              </w:rPr>
                              <w:t>Key Take</w:t>
                            </w:r>
                            <w:r>
                              <w:rPr>
                                <w:rFonts w:ascii="Calibri" w:hAnsi="Calibri" w:cs="Arial"/>
                                <w:b/>
                                <w:sz w:val="22"/>
                                <w:szCs w:val="22"/>
                              </w:rPr>
                              <w:t>aways</w:t>
                            </w:r>
                          </w:p>
                          <w:p w:rsidR="002666A8" w:rsidRPr="00910856" w:rsidRDefault="002666A8" w:rsidP="00400E42">
                            <w:pPr>
                              <w:ind w:right="-3"/>
                              <w:jc w:val="center"/>
                              <w:rPr>
                                <w:rFonts w:ascii="Calibri" w:hAnsi="Calibri" w:cs="Arial"/>
                                <w:b/>
                                <w:sz w:val="22"/>
                                <w:szCs w:val="22"/>
                              </w:rPr>
                            </w:pPr>
                          </w:p>
                          <w:p w:rsidR="002666A8" w:rsidRDefault="002666A8" w:rsidP="00400E42">
                            <w:pPr>
                              <w:pStyle w:val="FreeForm"/>
                              <w:numPr>
                                <w:ilvl w:val="0"/>
                                <w:numId w:val="19"/>
                              </w:numPr>
                              <w:rPr>
                                <w:rFonts w:ascii="Calibri" w:hAnsi="Calibri" w:cs="Arial"/>
                                <w:sz w:val="22"/>
                                <w:szCs w:val="22"/>
                              </w:rPr>
                            </w:pPr>
                            <w:r>
                              <w:rPr>
                                <w:rFonts w:ascii="Calibri" w:hAnsi="Calibri" w:cs="Arial"/>
                                <w:sz w:val="22"/>
                                <w:szCs w:val="22"/>
                              </w:rPr>
                              <w:t>The number of opioid-related deaths has increased 350% in 15 years</w:t>
                            </w:r>
                          </w:p>
                          <w:p w:rsidR="002666A8" w:rsidRDefault="002666A8" w:rsidP="00400E42">
                            <w:pPr>
                              <w:pStyle w:val="FreeForm"/>
                              <w:numPr>
                                <w:ilvl w:val="0"/>
                                <w:numId w:val="19"/>
                              </w:numPr>
                              <w:rPr>
                                <w:rFonts w:ascii="Calibri" w:hAnsi="Calibri" w:cs="Arial"/>
                                <w:sz w:val="22"/>
                                <w:szCs w:val="22"/>
                              </w:rPr>
                            </w:pPr>
                            <w:r>
                              <w:rPr>
                                <w:rFonts w:ascii="Calibri" w:hAnsi="Calibri" w:cs="Arial"/>
                                <w:sz w:val="22"/>
                                <w:szCs w:val="22"/>
                              </w:rPr>
                              <w:t xml:space="preserve">The rate of opioid-related overdose deaths has risen sharply since 2011 </w:t>
                            </w:r>
                          </w:p>
                          <w:p w:rsidR="002666A8" w:rsidRDefault="002666A8" w:rsidP="00400E42">
                            <w:pPr>
                              <w:pStyle w:val="FreeForm"/>
                              <w:numPr>
                                <w:ilvl w:val="0"/>
                                <w:numId w:val="19"/>
                              </w:numPr>
                              <w:rPr>
                                <w:rFonts w:ascii="Calibri" w:hAnsi="Calibri" w:cs="Arial"/>
                                <w:sz w:val="22"/>
                                <w:szCs w:val="22"/>
                              </w:rPr>
                            </w:pPr>
                            <w:r w:rsidRPr="00570FB0">
                              <w:rPr>
                                <w:rFonts w:ascii="Calibri" w:hAnsi="Calibri" w:cs="Arial"/>
                                <w:sz w:val="22"/>
                                <w:szCs w:val="22"/>
                              </w:rPr>
                              <w:t>Solutions will require collaboration across stakeholders</w:t>
                            </w:r>
                          </w:p>
                          <w:p w:rsidR="002666A8" w:rsidRPr="00570FB0" w:rsidRDefault="002666A8" w:rsidP="00400E42">
                            <w:pPr>
                              <w:pStyle w:val="FreeForm"/>
                              <w:numPr>
                                <w:ilvl w:val="0"/>
                                <w:numId w:val="19"/>
                              </w:numPr>
                              <w:rPr>
                                <w:rFonts w:ascii="Calibri" w:hAnsi="Calibri" w:cs="Arial"/>
                                <w:sz w:val="22"/>
                                <w:szCs w:val="22"/>
                              </w:rPr>
                            </w:pPr>
                            <w:r>
                              <w:rPr>
                                <w:rFonts w:ascii="Calibri" w:hAnsi="Calibri" w:cs="Arial"/>
                                <w:sz w:val="22"/>
                                <w:szCs w:val="22"/>
                              </w:rPr>
                              <w:t>Analyzing linked datasets is the best way to understand the factors underlying the crisis</w:t>
                            </w:r>
                          </w:p>
                          <w:p w:rsidR="002666A8" w:rsidRPr="00005A3D" w:rsidRDefault="002666A8" w:rsidP="00400E42">
                            <w:pPr>
                              <w:ind w:right="-3"/>
                              <w:jc w:val="center"/>
                              <w:rPr>
                                <w:rFonts w:ascii="Calibri" w:hAnsi="Calibri" w:cs="Arial"/>
                                <w:sz w:val="22"/>
                                <w:szCs w:val="22"/>
                              </w:rPr>
                            </w:pPr>
                          </w:p>
                          <w:p w:rsidR="002666A8" w:rsidRPr="00005A3D" w:rsidRDefault="002666A8" w:rsidP="00400E42">
                            <w:pPr>
                              <w:ind w:right="-3"/>
                              <w:jc w:val="both"/>
                              <w:rPr>
                                <w:rFonts w:ascii="Calibri" w:hAnsi="Calibri" w:cs="Arial"/>
                                <w:sz w:val="22"/>
                                <w:szCs w:val="22"/>
                              </w:rPr>
                            </w:pPr>
                          </w:p>
                          <w:p w:rsidR="002666A8" w:rsidRPr="00005A3D" w:rsidRDefault="002666A8" w:rsidP="00400E42">
                            <w:pPr>
                              <w:ind w:right="-3"/>
                              <w:jc w:val="both"/>
                              <w:rPr>
                                <w:rFonts w:ascii="Calibri" w:hAnsi="Calibri" w:cs="Arial"/>
                                <w:sz w:val="22"/>
                                <w:szCs w:val="22"/>
                              </w:rPr>
                            </w:pPr>
                          </w:p>
                          <w:p w:rsidR="002666A8" w:rsidRPr="00005A3D" w:rsidRDefault="002666A8" w:rsidP="00400E42">
                            <w:pPr>
                              <w:ind w:right="-3"/>
                              <w:jc w:val="both"/>
                              <w:rPr>
                                <w:rFonts w:ascii="Calibri" w:hAnsi="Calibri" w:cs="Arial"/>
                                <w:sz w:val="22"/>
                                <w:szCs w:val="22"/>
                              </w:rPr>
                            </w:pPr>
                          </w:p>
                          <w:p w:rsidR="002666A8" w:rsidRPr="00005A3D" w:rsidRDefault="002666A8" w:rsidP="00400E42">
                            <w:pPr>
                              <w:ind w:left="-180" w:right="-120"/>
                              <w:jc w:val="right"/>
                              <w:rPr>
                                <w:rFonts w:ascii="Calibri" w:hAnsi="Calibri"/>
                                <w:i/>
                                <w:color w:val="000000"/>
                                <w:sz w:val="22"/>
                                <w:szCs w:val="22"/>
                              </w:rPr>
                            </w:pPr>
                            <w:r w:rsidRPr="00005A3D">
                              <w:rPr>
                                <w:rFonts w:ascii="Calibri" w:hAnsi="Calibri"/>
                                <w:i/>
                                <w:color w:val="000000"/>
                                <w:sz w:val="22"/>
                                <w:szCs w:val="22"/>
                              </w:rPr>
                              <w:t xml:space="preserve"> </w:t>
                            </w:r>
                          </w:p>
                        </w:txbxContent>
                      </wps:txbx>
                      <wps:bodyPr rot="0" vert="horz" wrap="square" lIns="182880" tIns="137160" rIns="182880" bIns="13716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2" style="position:absolute;left:0;text-align:left;margin-left:6pt;margin-top:87.95pt;width:230.9pt;height:173.25pt;flip:x;z-index:-2516449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" o:allowincell="f" fillcolor="#d99594" strokeweight="1.5pt">
                <v:shadow on="t" color="black" opacity="26213f" origin="-.5,-.5" offset=".74836mm,.74836mm"/>
                <v:textbox inset="14.4pt,10.8pt,14.4pt,10.8pt">
                  <w:txbxContent>
                    <w:p w:rsidR="002666A8" w:rsidRDefault="002666A8" w:rsidP="00400E42">
                      <w:pPr>
                        <w:ind w:right="-3"/>
                        <w:jc w:val="center"/>
                        <w:rPr>
                          <w:rFonts w:ascii="Calibri" w:hAnsi="Calibri" w:cs="Arial"/>
                          <w:b/>
                          <w:sz w:val="22"/>
                          <w:szCs w:val="22"/>
                        </w:rPr>
                      </w:pPr>
                      <w:r w:rsidRPr="00910856">
                        <w:rPr>
                          <w:rFonts w:ascii="Calibri" w:hAnsi="Calibri" w:cs="Arial"/>
                          <w:b/>
                          <w:sz w:val="22"/>
                          <w:szCs w:val="22"/>
                        </w:rPr>
                        <w:t>Key Take</w:t>
                      </w:r>
                      <w:r>
                        <w:rPr>
                          <w:rFonts w:ascii="Calibri" w:hAnsi="Calibri" w:cs="Arial"/>
                          <w:b/>
                          <w:sz w:val="22"/>
                          <w:szCs w:val="22"/>
                        </w:rPr>
                        <w:t>aways</w:t>
                      </w:r>
                    </w:p>
                    <w:p w:rsidR="002666A8" w:rsidRPr="00910856" w:rsidRDefault="002666A8" w:rsidP="00400E42">
                      <w:pPr>
                        <w:ind w:right="-3"/>
                        <w:jc w:val="center"/>
                        <w:rPr>
                          <w:rFonts w:ascii="Calibri" w:hAnsi="Calibri" w:cs="Arial"/>
                          <w:b/>
                          <w:sz w:val="22"/>
                          <w:szCs w:val="22"/>
                        </w:rPr>
                      </w:pPr>
                    </w:p>
                    <w:p w:rsidR="002666A8" w:rsidRDefault="002666A8" w:rsidP="00400E42">
                      <w:pPr>
                        <w:pStyle w:val="FreeForm"/>
                        <w:numPr>
                          <w:ilvl w:val="0"/>
                          <w:numId w:val="19"/>
                        </w:numPr>
                        <w:rPr>
                          <w:rFonts w:ascii="Calibri" w:hAnsi="Calibri" w:cs="Arial"/>
                          <w:sz w:val="22"/>
                          <w:szCs w:val="22"/>
                        </w:rPr>
                      </w:pPr>
                      <w:r>
                        <w:rPr>
                          <w:rFonts w:ascii="Calibri" w:hAnsi="Calibri" w:cs="Arial"/>
                          <w:sz w:val="22"/>
                          <w:szCs w:val="22"/>
                        </w:rPr>
                        <w:t>The number of opioid-related deaths has increased 350% in 15 years</w:t>
                      </w:r>
                    </w:p>
                    <w:p w:rsidR="002666A8" w:rsidRDefault="002666A8" w:rsidP="00400E42">
                      <w:pPr>
                        <w:pStyle w:val="FreeForm"/>
                        <w:numPr>
                          <w:ilvl w:val="0"/>
                          <w:numId w:val="19"/>
                        </w:numPr>
                        <w:rPr>
                          <w:rFonts w:ascii="Calibri" w:hAnsi="Calibri" w:cs="Arial"/>
                          <w:sz w:val="22"/>
                          <w:szCs w:val="22"/>
                        </w:rPr>
                      </w:pPr>
                      <w:r>
                        <w:rPr>
                          <w:rFonts w:ascii="Calibri" w:hAnsi="Calibri" w:cs="Arial"/>
                          <w:sz w:val="22"/>
                          <w:szCs w:val="22"/>
                        </w:rPr>
                        <w:t xml:space="preserve">The rate of opioid-related overdose deaths has risen sharply since 2011 </w:t>
                      </w:r>
                    </w:p>
                    <w:p w:rsidR="002666A8" w:rsidRDefault="002666A8" w:rsidP="00400E42">
                      <w:pPr>
                        <w:pStyle w:val="FreeForm"/>
                        <w:numPr>
                          <w:ilvl w:val="0"/>
                          <w:numId w:val="19"/>
                        </w:numPr>
                        <w:rPr>
                          <w:rFonts w:ascii="Calibri" w:hAnsi="Calibri" w:cs="Arial"/>
                          <w:sz w:val="22"/>
                          <w:szCs w:val="22"/>
                        </w:rPr>
                      </w:pPr>
                      <w:r w:rsidRPr="00570FB0">
                        <w:rPr>
                          <w:rFonts w:ascii="Calibri" w:hAnsi="Calibri" w:cs="Arial"/>
                          <w:sz w:val="22"/>
                          <w:szCs w:val="22"/>
                        </w:rPr>
                        <w:t>Solutions will require collaboration across stakeholders</w:t>
                      </w:r>
                    </w:p>
                    <w:p w:rsidR="002666A8" w:rsidRPr="00570FB0" w:rsidRDefault="002666A8" w:rsidP="00400E42">
                      <w:pPr>
                        <w:pStyle w:val="FreeForm"/>
                        <w:numPr>
                          <w:ilvl w:val="0"/>
                          <w:numId w:val="19"/>
                        </w:numPr>
                        <w:rPr>
                          <w:rFonts w:ascii="Calibri" w:hAnsi="Calibri" w:cs="Arial"/>
                          <w:sz w:val="22"/>
                          <w:szCs w:val="22"/>
                        </w:rPr>
                      </w:pPr>
                      <w:r>
                        <w:rPr>
                          <w:rFonts w:ascii="Calibri" w:hAnsi="Calibri" w:cs="Arial"/>
                          <w:sz w:val="22"/>
                          <w:szCs w:val="22"/>
                        </w:rPr>
                        <w:t>Analyzing linked datasets is the best way to understand the factors underlying the crisis</w:t>
                      </w:r>
                    </w:p>
                    <w:p w:rsidR="002666A8" w:rsidRPr="00005A3D" w:rsidRDefault="002666A8" w:rsidP="00400E42">
                      <w:pPr>
                        <w:ind w:right="-3"/>
                        <w:jc w:val="center"/>
                        <w:rPr>
                          <w:rFonts w:ascii="Calibri" w:hAnsi="Calibri" w:cs="Arial"/>
                          <w:sz w:val="22"/>
                          <w:szCs w:val="22"/>
                        </w:rPr>
                      </w:pPr>
                    </w:p>
                    <w:p w:rsidR="002666A8" w:rsidRPr="00005A3D" w:rsidRDefault="002666A8" w:rsidP="00400E42">
                      <w:pPr>
                        <w:ind w:right="-3"/>
                        <w:jc w:val="both"/>
                        <w:rPr>
                          <w:rFonts w:ascii="Calibri" w:hAnsi="Calibri" w:cs="Arial"/>
                          <w:sz w:val="22"/>
                          <w:szCs w:val="22"/>
                        </w:rPr>
                      </w:pPr>
                    </w:p>
                    <w:p w:rsidR="002666A8" w:rsidRPr="00005A3D" w:rsidRDefault="002666A8" w:rsidP="00400E42">
                      <w:pPr>
                        <w:ind w:right="-3"/>
                        <w:jc w:val="both"/>
                        <w:rPr>
                          <w:rFonts w:ascii="Calibri" w:hAnsi="Calibri" w:cs="Arial"/>
                          <w:sz w:val="22"/>
                          <w:szCs w:val="22"/>
                        </w:rPr>
                      </w:pPr>
                    </w:p>
                    <w:p w:rsidR="002666A8" w:rsidRPr="00005A3D" w:rsidRDefault="002666A8" w:rsidP="00400E42">
                      <w:pPr>
                        <w:ind w:right="-3"/>
                        <w:jc w:val="both"/>
                        <w:rPr>
                          <w:rFonts w:ascii="Calibri" w:hAnsi="Calibri" w:cs="Arial"/>
                          <w:sz w:val="22"/>
                          <w:szCs w:val="22"/>
                        </w:rPr>
                      </w:pPr>
                    </w:p>
                    <w:p w:rsidR="002666A8" w:rsidRPr="00005A3D" w:rsidRDefault="002666A8" w:rsidP="00400E42">
                      <w:pPr>
                        <w:ind w:left="-180" w:right="-120"/>
                        <w:jc w:val="right"/>
                        <w:rPr>
                          <w:rFonts w:ascii="Calibri" w:hAnsi="Calibri"/>
                          <w:i/>
                          <w:color w:val="000000"/>
                          <w:sz w:val="22"/>
                          <w:szCs w:val="22"/>
                        </w:rPr>
                      </w:pPr>
                      <w:r w:rsidRPr="00005A3D">
                        <w:rPr>
                          <w:rFonts w:ascii="Calibri" w:hAnsi="Calibri"/>
                          <w:i/>
                          <w:color w:val="000000"/>
                          <w:sz w:val="22"/>
                          <w:szCs w:val="22"/>
                        </w:rPr>
                        <w:t xml:space="preserve"> </w:t>
                      </w:r>
                    </w:p>
                  </w:txbxContent>
                </v:textbox>
                <w10:wrap type="tight" anchorx="margin"/>
              </v:rect>
            </w:pict>
          </mc:Fallback>
        </mc:AlternateContent>
      </w:r>
      <w:r w:rsidR="001C4A9C">
        <w:t>These findings</w:t>
      </w:r>
      <w:r w:rsidRPr="00F240EB">
        <w:t xml:space="preserve"> hint at underlying causes to the increasing </w:t>
      </w:r>
      <w:r w:rsidR="001C4A9C">
        <w:t xml:space="preserve">opioid-related </w:t>
      </w:r>
      <w:r w:rsidRPr="00F240EB">
        <w:t xml:space="preserve">death rate, but more complex analyses are required to more firmly establish the links between numerous factors that might play important roles.  The Chapter 55 effort has brought together a unique collection of </w:t>
      </w:r>
      <w:r>
        <w:t>dataset</w:t>
      </w:r>
      <w:r w:rsidRPr="00F240EB">
        <w:t xml:space="preserve">s to gain a deeper understanding of the factors driving the crisis.  To our knowledge, no state has captured as much data in one place to examine what is a national crisis.  </w:t>
      </w:r>
      <w:r>
        <w:t>Four</w:t>
      </w:r>
      <w:r w:rsidRPr="00F240EB">
        <w:t xml:space="preserve"> </w:t>
      </w:r>
      <w:r>
        <w:t xml:space="preserve">initial, </w:t>
      </w:r>
      <w:r w:rsidRPr="00F240EB">
        <w:t xml:space="preserve">cutting edge analyses are reported in the sections that follow.  </w:t>
      </w:r>
      <w:r>
        <w:t>Further analysis is underway</w:t>
      </w:r>
      <w:r w:rsidR="00301E0D">
        <w:t>.  W</w:t>
      </w:r>
      <w:r w:rsidRPr="00F240EB">
        <w:t xml:space="preserve">hile these findings are important, it is equally important to acknowledge that the sharp increase in opioid-related deaths has also </w:t>
      </w:r>
      <w:r>
        <w:t>motivated</w:t>
      </w:r>
      <w:r w:rsidRPr="00F240EB">
        <w:t xml:space="preserve"> stakeholders across the </w:t>
      </w:r>
      <w:r w:rsidR="00FE7228">
        <w:t>C</w:t>
      </w:r>
      <w:r w:rsidRPr="00F240EB">
        <w:t xml:space="preserve">ommonwealth to </w:t>
      </w:r>
      <w:r w:rsidR="00FE7228">
        <w:t>collaborate</w:t>
      </w:r>
      <w:r w:rsidRPr="00F240EB">
        <w:t xml:space="preserve"> in an effort to better understand </w:t>
      </w:r>
      <w:r w:rsidR="00FE7228">
        <w:t xml:space="preserve">the </w:t>
      </w:r>
      <w:r w:rsidRPr="00F240EB">
        <w:t>risk factors that contribute to the increase in deaths, and how to collectively identify public health strate</w:t>
      </w:r>
      <w:r>
        <w:t>gies</w:t>
      </w:r>
      <w:r w:rsidR="00FE7228">
        <w:t xml:space="preserve"> to</w:t>
      </w:r>
      <w:r>
        <w:t xml:space="preserve"> help reduce opioid-related </w:t>
      </w:r>
      <w:r w:rsidRPr="00F240EB">
        <w:t xml:space="preserve">death rates </w:t>
      </w:r>
      <w:r w:rsidR="00FE7228">
        <w:t>moving</w:t>
      </w:r>
      <w:r w:rsidR="00FE7228" w:rsidRPr="00F240EB">
        <w:t xml:space="preserve"> </w:t>
      </w:r>
      <w:r w:rsidRPr="00F240EB">
        <w:t xml:space="preserve">forward. </w:t>
      </w:r>
      <w:r w:rsidR="0092313F">
        <w:br w:type="page"/>
      </w:r>
    </w:p>
    <w:p w:rsidR="00400E42" w:rsidRPr="00400E42" w:rsidRDefault="00400E42" w:rsidP="0092313F">
      <w:pPr>
        <w:pStyle w:val="Heading1"/>
      </w:pPr>
      <w:bookmarkStart w:id="7" w:name="_Toc454724765"/>
      <w:r w:rsidRPr="00400E42">
        <w:lastRenderedPageBreak/>
        <w:t>Report Organization</w:t>
      </w:r>
      <w:bookmarkEnd w:id="7"/>
    </w:p>
    <w:p w:rsidR="00400E42" w:rsidRDefault="00400E42" w:rsidP="002D6E20">
      <w:pPr>
        <w:pStyle w:val="PBody"/>
      </w:pPr>
      <w:r w:rsidRPr="00F240EB">
        <w:t>Chapter 55</w:t>
      </w:r>
      <w:r w:rsidR="00E308BF">
        <w:t xml:space="preserve"> of the Acts of 2015</w:t>
      </w:r>
      <w:r w:rsidRPr="00F240EB">
        <w:t xml:space="preserve"> specifically lists seven questions pertaining to fatal opioid overdoses.  Detailed examinations of these questions are included.  This exercise in data linking across relevant and available </w:t>
      </w:r>
      <w:r>
        <w:t>dataset</w:t>
      </w:r>
      <w:r w:rsidRPr="00F240EB">
        <w:t>s in Massachusetts allow</w:t>
      </w:r>
      <w:r>
        <w:t>s</w:t>
      </w:r>
      <w:r w:rsidRPr="00F240EB">
        <w:t xml:space="preserve"> us to identify systems that served individuals who died of a</w:t>
      </w:r>
      <w:r w:rsidRPr="00FC0FBD">
        <w:t xml:space="preserve"> fatal opioid overdose prior to their death</w:t>
      </w:r>
      <w:r w:rsidR="00E76E25">
        <w:t xml:space="preserve"> </w:t>
      </w:r>
      <w:r w:rsidRPr="00FC0FBD">
        <w:t>(e.g. health care settings, or criminal justice system)</w:t>
      </w:r>
      <w:r w:rsidR="00301E0D">
        <w:t>.  B</w:t>
      </w:r>
      <w:r w:rsidRPr="00FC0FBD">
        <w:t xml:space="preserve">y identifying these points of contact, this information may shed light on future interventions to prevent </w:t>
      </w:r>
      <w:r>
        <w:t>opioid</w:t>
      </w:r>
      <w:r w:rsidRPr="00FC0FBD">
        <w:t xml:space="preserve"> overdoses. </w:t>
      </w:r>
      <w:r>
        <w:t xml:space="preserve"> </w:t>
      </w:r>
      <w:r w:rsidRPr="00FC0FBD">
        <w:t>The toxicology reports from the decedents may shed some light on some details of the death; however, looking back at the systems</w:t>
      </w:r>
      <w:r>
        <w:t xml:space="preserve"> that served these</w:t>
      </w:r>
      <w:r w:rsidRPr="00FC0FBD">
        <w:t xml:space="preserve"> individuals prior to overdose is </w:t>
      </w:r>
      <w:r>
        <w:t xml:space="preserve">also </w:t>
      </w:r>
      <w:r w:rsidRPr="00FC0FBD">
        <w:t>critical</w:t>
      </w:r>
      <w:r w:rsidR="00301E0D">
        <w:t>.  B</w:t>
      </w:r>
      <w:r w:rsidRPr="00FC0FBD">
        <w:t>y linking across systems</w:t>
      </w:r>
      <w:r>
        <w:t xml:space="preserve">, it is possible to know </w:t>
      </w:r>
      <w:r w:rsidRPr="00FC0FBD">
        <w:t xml:space="preserve">whether </w:t>
      </w:r>
      <w:r>
        <w:t>an individual had</w:t>
      </w:r>
      <w:r w:rsidRPr="00FC0FBD">
        <w:t xml:space="preserve"> an ambulance</w:t>
      </w:r>
      <w:r>
        <w:t>-</w:t>
      </w:r>
      <w:r w:rsidRPr="00FC0FBD">
        <w:t xml:space="preserve">related event </w:t>
      </w:r>
      <w:r>
        <w:t xml:space="preserve">reported to the Massachusetts Ambulance Trip Record Information System </w:t>
      </w:r>
      <w:r w:rsidRPr="00FC0FBD">
        <w:t>(M</w:t>
      </w:r>
      <w:r>
        <w:t>ATRIS</w:t>
      </w:r>
      <w:r w:rsidRPr="00FC0FBD">
        <w:t xml:space="preserve">), </w:t>
      </w:r>
      <w:r>
        <w:t xml:space="preserve">any </w:t>
      </w:r>
      <w:r w:rsidRPr="00FC0FBD">
        <w:t>prescription</w:t>
      </w:r>
      <w:r>
        <w:t>s for</w:t>
      </w:r>
      <w:r w:rsidRPr="00FC0FBD">
        <w:t xml:space="preserve"> </w:t>
      </w:r>
      <w:r>
        <w:t>opioid</w:t>
      </w:r>
      <w:r w:rsidRPr="00FC0FBD">
        <w:t xml:space="preserve"> medication</w:t>
      </w:r>
      <w:r>
        <w:t>s recorded in the Prescription Drug Monitoring Program</w:t>
      </w:r>
      <w:r w:rsidRPr="00FC0FBD">
        <w:t xml:space="preserve"> (</w:t>
      </w:r>
      <w:r>
        <w:t>PDMP</w:t>
      </w:r>
      <w:r w:rsidRPr="00FC0FBD">
        <w:t xml:space="preserve">), contact with the healthcare system </w:t>
      </w:r>
      <w:r>
        <w:t xml:space="preserve">via </w:t>
      </w:r>
      <w:r w:rsidRPr="00FC0FBD">
        <w:t xml:space="preserve">BSAS </w:t>
      </w:r>
      <w:r>
        <w:t>or in the hospitalization</w:t>
      </w:r>
      <w:r w:rsidR="00883000">
        <w:t xml:space="preserve"> database</w:t>
      </w:r>
      <w:r>
        <w:t xml:space="preserve"> (Case Mix) or All Payer Claims Database (APCD), </w:t>
      </w:r>
      <w:r w:rsidRPr="00FC0FBD">
        <w:t>or criminal justice involvement</w:t>
      </w:r>
      <w:r>
        <w:t xml:space="preserve"> through the Department of Correction </w:t>
      </w:r>
      <w:r w:rsidRPr="00FC0FBD">
        <w:t>(D</w:t>
      </w:r>
      <w:r>
        <w:t>o</w:t>
      </w:r>
      <w:r w:rsidRPr="00FC0FBD">
        <w:t>C)</w:t>
      </w:r>
      <w:r>
        <w:t xml:space="preserve">.  The body of this report describes four analyses </w:t>
      </w:r>
      <w:r w:rsidR="00883000">
        <w:t>performed with data from</w:t>
      </w:r>
      <w:r>
        <w:t xml:space="preserve"> the ten datasets.  Those analyses can be found in the section that immediately follows.</w:t>
      </w:r>
    </w:p>
    <w:p w:rsidR="00400E42" w:rsidRDefault="00910C98" w:rsidP="002D6E20">
      <w:pPr>
        <w:pStyle w:val="PBody"/>
      </w:pPr>
      <w:r w:rsidRPr="00F240EB">
        <w:t xml:space="preserve">The reader is encouraged to examine the appendices as well.  </w:t>
      </w:r>
      <w:r w:rsidR="00400E42" w:rsidRPr="00F240EB">
        <w:t xml:space="preserve">Please refer to Appendix A for detailed answers to </w:t>
      </w:r>
      <w:r w:rsidR="00400E42">
        <w:t>the</w:t>
      </w:r>
      <w:r w:rsidR="00400E42" w:rsidRPr="00F240EB">
        <w:t xml:space="preserve"> seven </w:t>
      </w:r>
      <w:r>
        <w:t xml:space="preserve">questions specified in </w:t>
      </w:r>
      <w:r w:rsidR="00400E42">
        <w:t>Chapter 55</w:t>
      </w:r>
      <w:r w:rsidR="005859B1">
        <w:t xml:space="preserve">.  </w:t>
      </w:r>
      <w:r w:rsidR="00400E42">
        <w:t xml:space="preserve">Among the questions were requests for information about the use of multiple prescribers, poly-prescription use, voluntary and involuntary treatment, and post-incarceration risk of overdose death. </w:t>
      </w:r>
      <w:r w:rsidR="00400E42" w:rsidRPr="00F240EB">
        <w:t xml:space="preserve"> To gain a better understanding of the </w:t>
      </w:r>
      <w:r w:rsidR="00400E42">
        <w:t>dataset</w:t>
      </w:r>
      <w:r w:rsidR="00400E42" w:rsidRPr="00F240EB">
        <w:t>s used for analysis in this report, refer to Appendix B</w:t>
      </w:r>
      <w:r w:rsidR="00301E0D">
        <w:t>.  A</w:t>
      </w:r>
      <w:r w:rsidR="00400E42" w:rsidRPr="00F240EB">
        <w:t xml:space="preserve">dditional findings beyond the seven questions from individual </w:t>
      </w:r>
      <w:r w:rsidR="00400E42">
        <w:t>dataset</w:t>
      </w:r>
      <w:r w:rsidR="00400E42" w:rsidRPr="00F240EB">
        <w:t>s can be found in Appendix C.  The data linkage process and a summary of how well the linkage plan worked can be found in Appendix D.  In Appendix E, the reader can find the approach used to assess data quality and the strategies used to handle missing data</w:t>
      </w:r>
      <w:r w:rsidR="00301E0D">
        <w:t>.  T</w:t>
      </w:r>
      <w:r w:rsidR="00400E42" w:rsidRPr="00F240EB">
        <w:t xml:space="preserve">o understand the approach to data privacy followed by this work as well as the system architecture that allows for simultaneous examination of these 10 </w:t>
      </w:r>
      <w:r w:rsidR="00400E42">
        <w:t>dataset</w:t>
      </w:r>
      <w:r w:rsidR="00400E42" w:rsidRPr="00F240EB">
        <w:t>s, the reader is referred to Appendix F</w:t>
      </w:r>
      <w:r w:rsidR="00301E0D">
        <w:t>.  A</w:t>
      </w:r>
      <w:r w:rsidR="00400E42" w:rsidRPr="00F240EB">
        <w:t>ppendix G briefly summarizes the legal agreements that allowed data partners and other agencies to share data and utilize necessary resources</w:t>
      </w:r>
      <w:r w:rsidR="00301E0D">
        <w:t>.  A</w:t>
      </w:r>
      <w:r w:rsidR="00400E42" w:rsidRPr="00F240EB">
        <w:t xml:space="preserve"> full set of cross tabulations of each of the 10 Chapter 55 </w:t>
      </w:r>
      <w:r w:rsidR="00400E42">
        <w:t>dataset</w:t>
      </w:r>
      <w:r w:rsidR="00400E42" w:rsidRPr="00F240EB">
        <w:t xml:space="preserve">s compared to opioid deaths in 2013 and 2014 </w:t>
      </w:r>
      <w:r w:rsidR="00400E42">
        <w:t>is</w:t>
      </w:r>
      <w:r w:rsidR="00400E42" w:rsidRPr="00F240EB">
        <w:t xml:space="preserve"> presented in Appendix H</w:t>
      </w:r>
      <w:r w:rsidR="00301E0D">
        <w:t>.  S</w:t>
      </w:r>
      <w:r w:rsidR="00400E42">
        <w:t>ee Appendix I for additional information about Addiction and the Bureau of Substance Abuse Services</w:t>
      </w:r>
      <w:r w:rsidR="00301E0D">
        <w:t>.  F</w:t>
      </w:r>
      <w:r w:rsidR="00400E42" w:rsidRPr="00F240EB">
        <w:t xml:space="preserve">inally, the partners who generously offered their time to make this report possible are listed in Appendix </w:t>
      </w:r>
      <w:r w:rsidR="00400E42">
        <w:t>J</w:t>
      </w:r>
      <w:r w:rsidR="00400E42" w:rsidRPr="00F240EB">
        <w:t>.</w:t>
      </w:r>
      <w:r w:rsidR="00400E42">
        <w:br w:type="page"/>
      </w:r>
    </w:p>
    <w:p w:rsidR="00400E42" w:rsidRPr="00030FA0" w:rsidRDefault="00400E42" w:rsidP="0092313F">
      <w:pPr>
        <w:pStyle w:val="Heading1"/>
      </w:pPr>
      <w:bookmarkStart w:id="8" w:name="_Toc454724766"/>
      <w:r>
        <w:lastRenderedPageBreak/>
        <w:t>Key Finding</w:t>
      </w:r>
      <w:r w:rsidRPr="00030FA0">
        <w:t xml:space="preserve">s from the Across Chapter 55 </w:t>
      </w:r>
      <w:r>
        <w:t>Dataset</w:t>
      </w:r>
      <w:r w:rsidRPr="00030FA0">
        <w:t>s</w:t>
      </w:r>
      <w:bookmarkEnd w:id="8"/>
    </w:p>
    <w:p w:rsidR="00400E42" w:rsidRDefault="00400E42" w:rsidP="002D6E20">
      <w:pPr>
        <w:pStyle w:val="PBody"/>
      </w:pPr>
      <w:r w:rsidRPr="00F240EB">
        <w:t xml:space="preserve">Linking large and complex opioid-related </w:t>
      </w:r>
      <w:r>
        <w:t>dataset</w:t>
      </w:r>
      <w:r w:rsidRPr="00F240EB">
        <w:t>s has made it possible to take an unprecedented look at the opio</w:t>
      </w:r>
      <w:r>
        <w:t>i</w:t>
      </w:r>
      <w:r w:rsidRPr="00F240EB">
        <w:t xml:space="preserve">d crisis in Massachusetts.  In the section that follows, </w:t>
      </w:r>
      <w:r>
        <w:t>four</w:t>
      </w:r>
      <w:r w:rsidRPr="00F240EB">
        <w:t xml:space="preserve"> analyses are presented that demonstrate the importance of looking across </w:t>
      </w:r>
      <w:r>
        <w:t>dataset</w:t>
      </w:r>
      <w:r w:rsidRPr="00F240EB">
        <w:t xml:space="preserve">s to understand what drives the crisis and what </w:t>
      </w:r>
      <w:r>
        <w:t>may be done to reduce the rate of death from legal and illegal opioids</w:t>
      </w:r>
      <w:r w:rsidRPr="00F240EB">
        <w:t>.</w:t>
      </w:r>
      <w:r>
        <w:t xml:space="preserve">  In order to support the findings and recommendations, significant technical detail has been added to each of the sections below.  This may be more detail than is helpful to some readers, so a summary of the findings and the recommendations has been inserted at the beginning of each section. </w:t>
      </w:r>
    </w:p>
    <w:p w:rsidR="00400E42" w:rsidRDefault="00400E42" w:rsidP="002D6E20">
      <w:pPr>
        <w:pStyle w:val="PBody"/>
      </w:pPr>
      <w:r w:rsidRPr="00F529EF">
        <w:rPr>
          <w:b/>
          <w:u w:val="single"/>
        </w:rPr>
        <w:t>Technical Note</w:t>
      </w:r>
      <w:r>
        <w:rPr>
          <w:b/>
          <w:u w:val="single"/>
        </w:rPr>
        <w:t>s</w:t>
      </w:r>
      <w:r w:rsidRPr="00F529EF">
        <w:rPr>
          <w:b/>
          <w:u w:val="single"/>
        </w:rPr>
        <w:t>:</w:t>
      </w:r>
      <w:r>
        <w:t xml:space="preserve"> The linked dataset includes males and females in Massachusetts aged 11 and older.  All four analyses used this starting population and filter the data according to the hypothesis of specific interest</w:t>
      </w:r>
      <w:r w:rsidR="00301E0D">
        <w:t>.  T</w:t>
      </w:r>
      <w:r>
        <w:t xml:space="preserve">his report uses standard conventions for naming drugs, drug classes, and chemical compounds.  Specific drugs like Heroin and Fentanyl are capitalized.  Drug classes and chemical compounds like </w:t>
      </w:r>
      <w:r w:rsidRPr="00F240EB">
        <w:rPr>
          <w:rFonts w:cs="Calibri"/>
        </w:rPr>
        <w:t>benzodiazepines</w:t>
      </w:r>
      <w:r>
        <w:t xml:space="preserve"> and 6-mono acetyl morphine are not capitalized.</w:t>
      </w:r>
      <w:bookmarkStart w:id="9" w:name="_Toc453664355"/>
    </w:p>
    <w:p w:rsidR="00400E42" w:rsidRDefault="00400E42" w:rsidP="00400E42">
      <w:pPr>
        <w:spacing w:after="120" w:line="276" w:lineRule="auto"/>
        <w:rPr>
          <w:rFonts w:ascii="Calibri" w:hAnsi="Calibri"/>
          <w:sz w:val="22"/>
          <w:szCs w:val="22"/>
        </w:rPr>
      </w:pPr>
    </w:p>
    <w:p w:rsidR="0092313F" w:rsidRDefault="0092313F" w:rsidP="0092313F">
      <w:pPr>
        <w:spacing w:after="120" w:line="276" w:lineRule="auto"/>
        <w:jc w:val="center"/>
        <w:rPr>
          <w:rFonts w:ascii="Calibri" w:hAnsi="Calibri" w:cs="Arial"/>
          <w:b/>
          <w:sz w:val="28"/>
          <w:szCs w:val="28"/>
        </w:rPr>
      </w:pPr>
      <w:r>
        <w:rPr>
          <w:rFonts w:ascii="Calibri" w:hAnsi="Calibri" w:cs="Arial"/>
          <w:b/>
          <w:sz w:val="28"/>
          <w:szCs w:val="28"/>
        </w:rPr>
        <w:br w:type="page"/>
      </w:r>
    </w:p>
    <w:bookmarkStart w:id="10" w:name="_Toc454724767"/>
    <w:p w:rsidR="00400E42" w:rsidRDefault="0092313F" w:rsidP="0092313F">
      <w:pPr>
        <w:pStyle w:val="Heading1"/>
      </w:pPr>
      <w:r w:rsidRPr="00400E42">
        <w:rPr>
          <w:noProof/>
        </w:rPr>
        <w:lastRenderedPageBreak/>
        <mc:AlternateContent>
          <mc:Choice Requires="wps">
            <w:drawing>
              <wp:anchor distT="91440" distB="91440" distL="114300" distR="114300" simplePos="0" relativeHeight="251672576" behindDoc="1" locked="0" layoutInCell="1" allowOverlap="1" wp14:anchorId="6045960F" wp14:editId="689AA4EC">
                <wp:simplePos x="0" y="0"/>
                <wp:positionH relativeFrom="margin">
                  <wp:align>center</wp:align>
                </wp:positionH>
                <wp:positionV relativeFrom="paragraph">
                  <wp:posOffset>574040</wp:posOffset>
                </wp:positionV>
                <wp:extent cx="6243320" cy="3403600"/>
                <wp:effectExtent l="0" t="0" r="62230" b="63500"/>
                <wp:wrapSquare wrapText="bothSides"/>
                <wp:docPr id="20"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6577082" cy="3403600"/>
                        </a:xfrm>
                        <a:prstGeom prst="rect">
                          <a:avLst/>
                        </a:prstGeom>
                        <a:solidFill>
                          <a:srgbClr val="D99594"/>
                        </a:solidFill>
                        <a:ln w="19050">
                          <a:solidFill>
                            <a:srgbClr val="000000"/>
                          </a:solidFill>
                          <a:miter lim="800000"/>
                          <a:headEnd/>
                          <a:tailEnd/>
                        </a:ln>
                        <a:effectLst>
                          <a:outerShdw dist="38100" dir="2700000" algn="tl" rotWithShape="0">
                            <a:srgbClr val="000000">
                              <a:alpha val="39999"/>
                            </a:srgbClr>
                          </a:outerShdw>
                        </a:effectLst>
                      </wps:spPr>
                      <wps:txbx>
                        <w:txbxContent>
                          <w:p w:rsidR="002666A8" w:rsidRDefault="002666A8" w:rsidP="00400E42">
                            <w:pPr>
                              <w:ind w:right="-3"/>
                              <w:jc w:val="center"/>
                              <w:rPr>
                                <w:rFonts w:ascii="Calibri" w:hAnsi="Calibri" w:cs="Arial"/>
                                <w:b/>
                                <w:sz w:val="22"/>
                                <w:szCs w:val="22"/>
                              </w:rPr>
                            </w:pPr>
                            <w:r>
                              <w:rPr>
                                <w:rFonts w:ascii="Calibri" w:hAnsi="Calibri" w:cs="Arial"/>
                                <w:b/>
                                <w:sz w:val="22"/>
                                <w:szCs w:val="22"/>
                              </w:rPr>
                              <w:t>Analysis #1 - Toxicology &amp; PDMP</w:t>
                            </w:r>
                          </w:p>
                          <w:p w:rsidR="002666A8" w:rsidRDefault="002666A8" w:rsidP="00400E42">
                            <w:pPr>
                              <w:ind w:right="-3"/>
                              <w:jc w:val="center"/>
                              <w:rPr>
                                <w:rFonts w:ascii="Calibri" w:hAnsi="Calibri" w:cs="Arial"/>
                                <w:b/>
                                <w:sz w:val="22"/>
                                <w:szCs w:val="22"/>
                              </w:rPr>
                            </w:pPr>
                          </w:p>
                          <w:p w:rsidR="002666A8" w:rsidRPr="00910856" w:rsidRDefault="002666A8" w:rsidP="00400E42">
                            <w:pPr>
                              <w:ind w:right="-3"/>
                              <w:rPr>
                                <w:rFonts w:ascii="Calibri" w:hAnsi="Calibri" w:cs="Arial"/>
                                <w:b/>
                                <w:sz w:val="22"/>
                                <w:szCs w:val="22"/>
                              </w:rPr>
                            </w:pPr>
                            <w:r>
                              <w:rPr>
                                <w:rFonts w:ascii="Calibri" w:hAnsi="Calibri" w:cs="Arial"/>
                                <w:b/>
                                <w:sz w:val="22"/>
                                <w:szCs w:val="22"/>
                                <w:u w:val="single"/>
                              </w:rPr>
                              <w:t xml:space="preserve">Key </w:t>
                            </w:r>
                            <w:r w:rsidRPr="00F529EF">
                              <w:rPr>
                                <w:rFonts w:ascii="Calibri" w:hAnsi="Calibri" w:cs="Arial"/>
                                <w:b/>
                                <w:sz w:val="22"/>
                                <w:szCs w:val="22"/>
                                <w:u w:val="single"/>
                              </w:rPr>
                              <w:t>Findings</w:t>
                            </w:r>
                            <w:r>
                              <w:rPr>
                                <w:rFonts w:ascii="Calibri" w:hAnsi="Calibri" w:cs="Arial"/>
                                <w:b/>
                                <w:sz w:val="22"/>
                                <w:szCs w:val="22"/>
                                <w:u w:val="single"/>
                              </w:rPr>
                              <w:t>:</w:t>
                            </w:r>
                          </w:p>
                          <w:p w:rsidR="002666A8" w:rsidRPr="00C43C7D" w:rsidRDefault="002666A8" w:rsidP="00400E42">
                            <w:pPr>
                              <w:pStyle w:val="FreeForm"/>
                              <w:numPr>
                                <w:ilvl w:val="0"/>
                                <w:numId w:val="19"/>
                              </w:numPr>
                              <w:rPr>
                                <w:rFonts w:ascii="Calibri" w:hAnsi="Calibri" w:cs="Arial"/>
                                <w:sz w:val="22"/>
                                <w:szCs w:val="22"/>
                              </w:rPr>
                            </w:pPr>
                            <w:r w:rsidRPr="00570FB0">
                              <w:rPr>
                                <w:rFonts w:ascii="Calibri" w:hAnsi="Calibri" w:cs="Arial"/>
                                <w:sz w:val="22"/>
                                <w:szCs w:val="22"/>
                              </w:rPr>
                              <w:t>Individuals who died from opi</w:t>
                            </w:r>
                            <w:r>
                              <w:rPr>
                                <w:rFonts w:ascii="Calibri" w:hAnsi="Calibri" w:cs="Arial"/>
                                <w:sz w:val="22"/>
                                <w:szCs w:val="22"/>
                              </w:rPr>
                              <w:t>oid</w:t>
                            </w:r>
                            <w:r w:rsidRPr="00570FB0">
                              <w:rPr>
                                <w:rFonts w:ascii="Calibri" w:hAnsi="Calibri" w:cs="Arial"/>
                                <w:sz w:val="22"/>
                                <w:szCs w:val="22"/>
                              </w:rPr>
                              <w:t xml:space="preserve">-related overdoses are much more likely to have </w:t>
                            </w:r>
                            <w:r>
                              <w:rPr>
                                <w:rFonts w:ascii="Calibri" w:hAnsi="Calibri" w:cs="Arial"/>
                                <w:sz w:val="22"/>
                                <w:szCs w:val="22"/>
                              </w:rPr>
                              <w:t xml:space="preserve">illegally-obtained </w:t>
                            </w:r>
                            <w:r w:rsidRPr="00251FDE">
                              <w:rPr>
                                <w:rFonts w:ascii="Calibri" w:hAnsi="Calibri" w:cs="Arial"/>
                                <w:sz w:val="22"/>
                                <w:szCs w:val="22"/>
                              </w:rPr>
                              <w:t xml:space="preserve">substances (i.e., not </w:t>
                            </w:r>
                            <w:r w:rsidRPr="001178AC">
                              <w:rPr>
                                <w:rFonts w:asciiTheme="minorHAnsi" w:hAnsiTheme="minorHAnsi" w:cs="Arial"/>
                                <w:sz w:val="22"/>
                                <w:szCs w:val="22"/>
                              </w:rPr>
                              <w:t>Schedule II-III</w:t>
                            </w:r>
                            <w:r>
                              <w:rPr>
                                <w:rFonts w:asciiTheme="minorHAnsi" w:hAnsiTheme="minorHAnsi" w:cs="Arial"/>
                                <w:sz w:val="22"/>
                                <w:szCs w:val="22"/>
                              </w:rPr>
                              <w:t xml:space="preserve"> substances</w:t>
                            </w:r>
                            <w:r w:rsidRPr="001178AC">
                              <w:rPr>
                                <w:rFonts w:asciiTheme="minorHAnsi" w:hAnsiTheme="minorHAnsi" w:cs="Arial"/>
                                <w:sz w:val="22"/>
                                <w:szCs w:val="22"/>
                              </w:rPr>
                              <w:t>)</w:t>
                            </w:r>
                            <w:r w:rsidRPr="00251FDE">
                              <w:rPr>
                                <w:rFonts w:ascii="Calibri" w:hAnsi="Calibri" w:cs="Arial"/>
                                <w:sz w:val="22"/>
                                <w:szCs w:val="22"/>
                              </w:rPr>
                              <w:t xml:space="preserve"> </w:t>
                            </w:r>
                            <w:r w:rsidRPr="00C43C7D">
                              <w:rPr>
                                <w:rFonts w:ascii="Calibri" w:hAnsi="Calibri" w:cs="Arial"/>
                                <w:sz w:val="22"/>
                                <w:szCs w:val="22"/>
                              </w:rPr>
                              <w:t>present in post-mortem toxicology.</w:t>
                            </w:r>
                          </w:p>
                          <w:p w:rsidR="002666A8" w:rsidRPr="00C43C7D" w:rsidRDefault="002666A8" w:rsidP="00400E42">
                            <w:pPr>
                              <w:pStyle w:val="FreeForm"/>
                              <w:numPr>
                                <w:ilvl w:val="0"/>
                                <w:numId w:val="19"/>
                              </w:numPr>
                              <w:rPr>
                                <w:rFonts w:ascii="Calibri" w:hAnsi="Calibri" w:cs="Arial"/>
                                <w:sz w:val="22"/>
                                <w:szCs w:val="22"/>
                              </w:rPr>
                            </w:pPr>
                            <w:r w:rsidRPr="00C43C7D">
                              <w:rPr>
                                <w:rFonts w:ascii="Calibri" w:hAnsi="Calibri" w:cs="Arial"/>
                                <w:sz w:val="22"/>
                                <w:szCs w:val="22"/>
                              </w:rPr>
                              <w:t xml:space="preserve">Heroin was present in two-thirds of deaths.  </w:t>
                            </w:r>
                            <w:r w:rsidRPr="00C43C7D">
                              <w:rPr>
                                <w:rFonts w:ascii="Calibri" w:hAnsi="Calibri" w:cs="Calibri"/>
                                <w:sz w:val="22"/>
                                <w:szCs w:val="22"/>
                              </w:rPr>
                              <w:t>Benzodiazepines</w:t>
                            </w:r>
                            <w:r w:rsidRPr="00C43C7D">
                              <w:rPr>
                                <w:rFonts w:ascii="Calibri" w:hAnsi="Calibri" w:cs="Arial"/>
                                <w:sz w:val="22"/>
                                <w:szCs w:val="22"/>
                              </w:rPr>
                              <w:t xml:space="preserve"> in over half.  Fentanyl and cocaine were each found in roughly one-third.  </w:t>
                            </w:r>
                          </w:p>
                          <w:p w:rsidR="002666A8" w:rsidRPr="00C43C7D" w:rsidRDefault="002666A8" w:rsidP="00400E42">
                            <w:pPr>
                              <w:pStyle w:val="FreeForm"/>
                              <w:numPr>
                                <w:ilvl w:val="0"/>
                                <w:numId w:val="19"/>
                              </w:numPr>
                              <w:rPr>
                                <w:rFonts w:ascii="Calibri" w:hAnsi="Calibri" w:cs="Arial"/>
                                <w:sz w:val="22"/>
                                <w:szCs w:val="22"/>
                              </w:rPr>
                            </w:pPr>
                            <w:r w:rsidRPr="00C43C7D">
                              <w:rPr>
                                <w:rFonts w:ascii="Calibri" w:hAnsi="Calibri" w:cs="Arial"/>
                                <w:sz w:val="22"/>
                                <w:szCs w:val="22"/>
                              </w:rPr>
                              <w:t xml:space="preserve">Among descendants, 22% had a positive toxicology report for a </w:t>
                            </w:r>
                            <w:r w:rsidRPr="001178AC">
                              <w:rPr>
                                <w:rFonts w:asciiTheme="minorHAnsi" w:hAnsiTheme="minorHAnsi" w:cs="Arial"/>
                                <w:sz w:val="22"/>
                                <w:szCs w:val="22"/>
                              </w:rPr>
                              <w:t>Schedule II-III opioid</w:t>
                            </w:r>
                            <w:r w:rsidRPr="00C43C7D">
                              <w:rPr>
                                <w:rFonts w:ascii="Calibri" w:hAnsi="Calibri" w:cs="Arial"/>
                                <w:sz w:val="22"/>
                                <w:szCs w:val="22"/>
                              </w:rPr>
                              <w:t xml:space="preserve">, but only 9.1% had a prescription for that drug in PDMP. </w:t>
                            </w:r>
                          </w:p>
                          <w:p w:rsidR="002666A8" w:rsidRDefault="002666A8" w:rsidP="00400E42">
                            <w:pPr>
                              <w:pStyle w:val="FreeForm"/>
                              <w:numPr>
                                <w:ilvl w:val="0"/>
                                <w:numId w:val="19"/>
                              </w:numPr>
                              <w:rPr>
                                <w:rFonts w:ascii="Calibri" w:hAnsi="Calibri" w:cs="Arial"/>
                                <w:sz w:val="22"/>
                                <w:szCs w:val="22"/>
                              </w:rPr>
                            </w:pPr>
                            <w:r>
                              <w:rPr>
                                <w:rFonts w:ascii="Calibri" w:hAnsi="Calibri" w:cs="Arial"/>
                                <w:sz w:val="22"/>
                                <w:szCs w:val="22"/>
                              </w:rPr>
                              <w:t>Most toxicology reports had positive tests for more than one substance.</w:t>
                            </w:r>
                          </w:p>
                          <w:p w:rsidR="002666A8" w:rsidRPr="00005A3D" w:rsidRDefault="002666A8" w:rsidP="00400E42">
                            <w:pPr>
                              <w:ind w:right="-3"/>
                              <w:jc w:val="center"/>
                              <w:rPr>
                                <w:rFonts w:ascii="Calibri" w:hAnsi="Calibri" w:cs="Arial"/>
                                <w:sz w:val="22"/>
                                <w:szCs w:val="22"/>
                              </w:rPr>
                            </w:pPr>
                          </w:p>
                          <w:p w:rsidR="002666A8" w:rsidRPr="00F529EF" w:rsidRDefault="002666A8" w:rsidP="00400E42">
                            <w:pPr>
                              <w:ind w:right="-3"/>
                              <w:jc w:val="both"/>
                              <w:rPr>
                                <w:rFonts w:ascii="Calibri" w:hAnsi="Calibri" w:cs="Arial"/>
                                <w:b/>
                                <w:sz w:val="22"/>
                                <w:szCs w:val="22"/>
                                <w:u w:val="single"/>
                              </w:rPr>
                            </w:pPr>
                            <w:r w:rsidRPr="00F529EF">
                              <w:rPr>
                                <w:rFonts w:ascii="Calibri" w:hAnsi="Calibri" w:cs="Arial"/>
                                <w:b/>
                                <w:sz w:val="22"/>
                                <w:szCs w:val="22"/>
                                <w:u w:val="single"/>
                              </w:rPr>
                              <w:t>Recommendations:</w:t>
                            </w:r>
                          </w:p>
                          <w:p w:rsidR="002666A8" w:rsidRDefault="002666A8" w:rsidP="00400E42">
                            <w:pPr>
                              <w:pStyle w:val="FreeForm"/>
                              <w:numPr>
                                <w:ilvl w:val="0"/>
                                <w:numId w:val="19"/>
                              </w:numPr>
                              <w:rPr>
                                <w:rFonts w:ascii="Calibri" w:hAnsi="Calibri" w:cs="Arial"/>
                                <w:sz w:val="22"/>
                                <w:szCs w:val="22"/>
                              </w:rPr>
                            </w:pPr>
                            <w:r>
                              <w:rPr>
                                <w:rFonts w:ascii="Calibri" w:hAnsi="Calibri" w:cs="Calibri"/>
                                <w:sz w:val="22"/>
                                <w:szCs w:val="22"/>
                              </w:rPr>
                              <w:t>Harm reduction strategies and i</w:t>
                            </w:r>
                            <w:r w:rsidRPr="00570FB0">
                              <w:rPr>
                                <w:rFonts w:ascii="Calibri" w:hAnsi="Calibri" w:cs="Calibri"/>
                                <w:sz w:val="22"/>
                                <w:szCs w:val="22"/>
                              </w:rPr>
                              <w:t xml:space="preserve">nterventions that address </w:t>
                            </w:r>
                            <w:r>
                              <w:rPr>
                                <w:rFonts w:ascii="Calibri" w:hAnsi="Calibri" w:cs="Calibri"/>
                                <w:sz w:val="22"/>
                                <w:szCs w:val="22"/>
                              </w:rPr>
                              <w:t>Heroin</w:t>
                            </w:r>
                            <w:r w:rsidRPr="00570FB0">
                              <w:rPr>
                                <w:rFonts w:ascii="Calibri" w:hAnsi="Calibri" w:cs="Calibri"/>
                                <w:sz w:val="22"/>
                                <w:szCs w:val="22"/>
                              </w:rPr>
                              <w:t xml:space="preserve">, </w:t>
                            </w:r>
                            <w:r>
                              <w:rPr>
                                <w:rFonts w:ascii="Calibri" w:hAnsi="Calibri" w:cs="Calibri"/>
                                <w:sz w:val="22"/>
                                <w:szCs w:val="22"/>
                              </w:rPr>
                              <w:t>F</w:t>
                            </w:r>
                            <w:r w:rsidRPr="00570FB0">
                              <w:rPr>
                                <w:rFonts w:ascii="Calibri" w:hAnsi="Calibri" w:cs="Calibri"/>
                                <w:sz w:val="22"/>
                                <w:szCs w:val="22"/>
                              </w:rPr>
                              <w:t>entanyl</w:t>
                            </w:r>
                            <w:r>
                              <w:rPr>
                                <w:rFonts w:ascii="Calibri" w:hAnsi="Calibri" w:cs="Calibri"/>
                                <w:sz w:val="22"/>
                                <w:szCs w:val="22"/>
                              </w:rPr>
                              <w:t>,</w:t>
                            </w:r>
                            <w:r w:rsidRPr="00570FB0">
                              <w:rPr>
                                <w:rFonts w:ascii="Calibri" w:hAnsi="Calibri" w:cs="Calibri"/>
                                <w:sz w:val="22"/>
                                <w:szCs w:val="22"/>
                              </w:rPr>
                              <w:t xml:space="preserve"> and polysubstance use should be increased, expanded</w:t>
                            </w:r>
                            <w:r>
                              <w:rPr>
                                <w:rFonts w:ascii="Calibri" w:hAnsi="Calibri" w:cs="Calibri"/>
                                <w:sz w:val="22"/>
                                <w:szCs w:val="22"/>
                              </w:rPr>
                              <w:t>,</w:t>
                            </w:r>
                            <w:r w:rsidRPr="00570FB0">
                              <w:rPr>
                                <w:rFonts w:ascii="Calibri" w:hAnsi="Calibri" w:cs="Calibri"/>
                                <w:sz w:val="22"/>
                                <w:szCs w:val="22"/>
                              </w:rPr>
                              <w:t xml:space="preserve"> and enhanced</w:t>
                            </w:r>
                            <w:r>
                              <w:rPr>
                                <w:rFonts w:ascii="Calibri" w:hAnsi="Calibri" w:cs="Arial"/>
                                <w:sz w:val="22"/>
                                <w:szCs w:val="22"/>
                              </w:rPr>
                              <w:t>.</w:t>
                            </w:r>
                          </w:p>
                          <w:p w:rsidR="002666A8" w:rsidRDefault="002666A8" w:rsidP="00400E42">
                            <w:pPr>
                              <w:pStyle w:val="FreeForm"/>
                              <w:numPr>
                                <w:ilvl w:val="0"/>
                                <w:numId w:val="19"/>
                              </w:numPr>
                              <w:rPr>
                                <w:rFonts w:ascii="Calibri" w:hAnsi="Calibri" w:cs="Arial"/>
                                <w:sz w:val="22"/>
                                <w:szCs w:val="22"/>
                              </w:rPr>
                            </w:pPr>
                            <w:r w:rsidRPr="003A3936">
                              <w:rPr>
                                <w:rFonts w:ascii="Calibri" w:hAnsi="Calibri" w:cs="Arial"/>
                                <w:sz w:val="22"/>
                                <w:szCs w:val="22"/>
                              </w:rPr>
                              <w:t xml:space="preserve">Increase in real-time </w:t>
                            </w:r>
                            <w:r>
                              <w:rPr>
                                <w:rFonts w:ascii="Calibri" w:hAnsi="Calibri" w:cs="Arial"/>
                                <w:sz w:val="22"/>
                                <w:szCs w:val="22"/>
                              </w:rPr>
                              <w:t xml:space="preserve">disease </w:t>
                            </w:r>
                            <w:r w:rsidRPr="003A3936">
                              <w:rPr>
                                <w:rFonts w:ascii="Calibri" w:hAnsi="Calibri" w:cs="Arial"/>
                                <w:sz w:val="22"/>
                                <w:szCs w:val="22"/>
                              </w:rPr>
                              <w:t xml:space="preserve">surveillance can be used as a public health tool </w:t>
                            </w:r>
                            <w:r>
                              <w:rPr>
                                <w:rFonts w:ascii="Calibri" w:hAnsi="Calibri" w:cs="Arial"/>
                                <w:sz w:val="22"/>
                                <w:szCs w:val="22"/>
                              </w:rPr>
                              <w:t>to better understand</w:t>
                            </w:r>
                            <w:r w:rsidRPr="003A3936">
                              <w:rPr>
                                <w:rFonts w:ascii="Calibri" w:hAnsi="Calibri" w:cs="Arial"/>
                                <w:sz w:val="22"/>
                                <w:szCs w:val="22"/>
                              </w:rPr>
                              <w:t xml:space="preserve"> overdose deaths</w:t>
                            </w:r>
                            <w:r>
                              <w:rPr>
                                <w:rFonts w:ascii="Calibri" w:hAnsi="Calibri" w:cs="Arial"/>
                                <w:sz w:val="22"/>
                                <w:szCs w:val="22"/>
                              </w:rPr>
                              <w:t>.</w:t>
                            </w:r>
                          </w:p>
                          <w:p w:rsidR="002666A8" w:rsidRDefault="002666A8" w:rsidP="00400E42">
                            <w:pPr>
                              <w:pStyle w:val="FreeForm"/>
                              <w:numPr>
                                <w:ilvl w:val="0"/>
                                <w:numId w:val="19"/>
                              </w:numPr>
                              <w:rPr>
                                <w:rFonts w:ascii="Calibri" w:hAnsi="Calibri" w:cs="Arial"/>
                                <w:sz w:val="22"/>
                                <w:szCs w:val="22"/>
                              </w:rPr>
                            </w:pPr>
                            <w:r>
                              <w:rPr>
                                <w:rFonts w:ascii="Calibri" w:hAnsi="Calibri" w:cs="Arial"/>
                                <w:sz w:val="22"/>
                                <w:szCs w:val="22"/>
                              </w:rPr>
                              <w:t>Data should be reported and collected in a more timely manner, allowing earlier identification of new and emerging trends.</w:t>
                            </w:r>
                          </w:p>
                        </w:txbxContent>
                      </wps:txbx>
                      <wps:bodyPr rot="0" vert="horz" wrap="square" lIns="182880" tIns="137160" rIns="182880" bIns="13716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0;margin-top:45.2pt;width:491.6pt;height:268pt;flip:x;z-index:-251643904;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" fillcolor="#d99594" strokeweight="1.5pt">
                <v:shadow on="t" color="black" opacity="26213f" origin="-.5,-.5" offset=".74836mm,.74836mm"/>
                <o:lock v:ext="edit" aspectratio="t"/>
                <v:textbox inset="14.4pt,10.8pt,14.4pt,10.8pt">
                  <w:txbxContent>
                    <w:p w:rsidR="002666A8" w:rsidRDefault="002666A8" w:rsidP="00400E42">
                      <w:pPr>
                        <w:ind w:right="-3"/>
                        <w:jc w:val="center"/>
                        <w:rPr>
                          <w:rFonts w:ascii="Calibri" w:hAnsi="Calibri" w:cs="Arial"/>
                          <w:b/>
                          <w:sz w:val="22"/>
                          <w:szCs w:val="22"/>
                        </w:rPr>
                      </w:pPr>
                      <w:r>
                        <w:rPr>
                          <w:rFonts w:ascii="Calibri" w:hAnsi="Calibri" w:cs="Arial"/>
                          <w:b/>
                          <w:sz w:val="22"/>
                          <w:szCs w:val="22"/>
                        </w:rPr>
                        <w:t>Analysis #1 - Toxicology &amp; PDMP</w:t>
                      </w:r>
                    </w:p>
                    <w:p w:rsidR="002666A8" w:rsidRDefault="002666A8" w:rsidP="00400E42">
                      <w:pPr>
                        <w:ind w:right="-3"/>
                        <w:jc w:val="center"/>
                        <w:rPr>
                          <w:rFonts w:ascii="Calibri" w:hAnsi="Calibri" w:cs="Arial"/>
                          <w:b/>
                          <w:sz w:val="22"/>
                          <w:szCs w:val="22"/>
                        </w:rPr>
                      </w:pPr>
                    </w:p>
                    <w:p w:rsidR="002666A8" w:rsidRPr="00910856" w:rsidRDefault="002666A8" w:rsidP="00400E42">
                      <w:pPr>
                        <w:ind w:right="-3"/>
                        <w:rPr>
                          <w:rFonts w:ascii="Calibri" w:hAnsi="Calibri" w:cs="Arial"/>
                          <w:b/>
                          <w:sz w:val="22"/>
                          <w:szCs w:val="22"/>
                        </w:rPr>
                      </w:pPr>
                      <w:r>
                        <w:rPr>
                          <w:rFonts w:ascii="Calibri" w:hAnsi="Calibri" w:cs="Arial"/>
                          <w:b/>
                          <w:sz w:val="22"/>
                          <w:szCs w:val="22"/>
                          <w:u w:val="single"/>
                        </w:rPr>
                        <w:t xml:space="preserve">Key </w:t>
                      </w:r>
                      <w:r w:rsidRPr="00F529EF">
                        <w:rPr>
                          <w:rFonts w:ascii="Calibri" w:hAnsi="Calibri" w:cs="Arial"/>
                          <w:b/>
                          <w:sz w:val="22"/>
                          <w:szCs w:val="22"/>
                          <w:u w:val="single"/>
                        </w:rPr>
                        <w:t>Findings</w:t>
                      </w:r>
                      <w:r>
                        <w:rPr>
                          <w:rFonts w:ascii="Calibri" w:hAnsi="Calibri" w:cs="Arial"/>
                          <w:b/>
                          <w:sz w:val="22"/>
                          <w:szCs w:val="22"/>
                          <w:u w:val="single"/>
                        </w:rPr>
                        <w:t>:</w:t>
                      </w:r>
                    </w:p>
                    <w:p w:rsidR="002666A8" w:rsidRPr="00C43C7D" w:rsidRDefault="002666A8" w:rsidP="00400E42">
                      <w:pPr>
                        <w:pStyle w:val="FreeForm"/>
                        <w:numPr>
                          <w:ilvl w:val="0"/>
                          <w:numId w:val="19"/>
                        </w:numPr>
                        <w:rPr>
                          <w:rFonts w:ascii="Calibri" w:hAnsi="Calibri" w:cs="Arial"/>
                          <w:sz w:val="22"/>
                          <w:szCs w:val="22"/>
                        </w:rPr>
                      </w:pPr>
                      <w:r w:rsidRPr="00570FB0">
                        <w:rPr>
                          <w:rFonts w:ascii="Calibri" w:hAnsi="Calibri" w:cs="Arial"/>
                          <w:sz w:val="22"/>
                          <w:szCs w:val="22"/>
                        </w:rPr>
                        <w:t>Individuals who died from opi</w:t>
                      </w:r>
                      <w:r>
                        <w:rPr>
                          <w:rFonts w:ascii="Calibri" w:hAnsi="Calibri" w:cs="Arial"/>
                          <w:sz w:val="22"/>
                          <w:szCs w:val="22"/>
                        </w:rPr>
                        <w:t>oid</w:t>
                      </w:r>
                      <w:r w:rsidRPr="00570FB0">
                        <w:rPr>
                          <w:rFonts w:ascii="Calibri" w:hAnsi="Calibri" w:cs="Arial"/>
                          <w:sz w:val="22"/>
                          <w:szCs w:val="22"/>
                        </w:rPr>
                        <w:t xml:space="preserve">-related overdoses are much more likely to have </w:t>
                      </w:r>
                      <w:r>
                        <w:rPr>
                          <w:rFonts w:ascii="Calibri" w:hAnsi="Calibri" w:cs="Arial"/>
                          <w:sz w:val="22"/>
                          <w:szCs w:val="22"/>
                        </w:rPr>
                        <w:t xml:space="preserve">illegally-obtained </w:t>
                      </w:r>
                      <w:r w:rsidRPr="00251FDE">
                        <w:rPr>
                          <w:rFonts w:ascii="Calibri" w:hAnsi="Calibri" w:cs="Arial"/>
                          <w:sz w:val="22"/>
                          <w:szCs w:val="22"/>
                        </w:rPr>
                        <w:t xml:space="preserve">substances (i.e., not </w:t>
                      </w:r>
                      <w:r w:rsidRPr="001178AC">
                        <w:rPr>
                          <w:rFonts w:asciiTheme="minorHAnsi" w:hAnsiTheme="minorHAnsi" w:cs="Arial"/>
                          <w:sz w:val="22"/>
                          <w:szCs w:val="22"/>
                        </w:rPr>
                        <w:t>Schedule II-III</w:t>
                      </w:r>
                      <w:r>
                        <w:rPr>
                          <w:rFonts w:asciiTheme="minorHAnsi" w:hAnsiTheme="minorHAnsi" w:cs="Arial"/>
                          <w:sz w:val="22"/>
                          <w:szCs w:val="22"/>
                        </w:rPr>
                        <w:t xml:space="preserve"> substances</w:t>
                      </w:r>
                      <w:r w:rsidRPr="001178AC">
                        <w:rPr>
                          <w:rFonts w:asciiTheme="minorHAnsi" w:hAnsiTheme="minorHAnsi" w:cs="Arial"/>
                          <w:sz w:val="22"/>
                          <w:szCs w:val="22"/>
                        </w:rPr>
                        <w:t>)</w:t>
                      </w:r>
                      <w:r w:rsidRPr="00251FDE">
                        <w:rPr>
                          <w:rFonts w:ascii="Calibri" w:hAnsi="Calibri" w:cs="Arial"/>
                          <w:sz w:val="22"/>
                          <w:szCs w:val="22"/>
                        </w:rPr>
                        <w:t xml:space="preserve"> </w:t>
                      </w:r>
                      <w:r w:rsidRPr="00C43C7D">
                        <w:rPr>
                          <w:rFonts w:ascii="Calibri" w:hAnsi="Calibri" w:cs="Arial"/>
                          <w:sz w:val="22"/>
                          <w:szCs w:val="22"/>
                        </w:rPr>
                        <w:t>present in post-mortem toxicology.</w:t>
                      </w:r>
                    </w:p>
                    <w:p w:rsidR="002666A8" w:rsidRPr="00C43C7D" w:rsidRDefault="002666A8" w:rsidP="00400E42">
                      <w:pPr>
                        <w:pStyle w:val="FreeForm"/>
                        <w:numPr>
                          <w:ilvl w:val="0"/>
                          <w:numId w:val="19"/>
                        </w:numPr>
                        <w:rPr>
                          <w:rFonts w:ascii="Calibri" w:hAnsi="Calibri" w:cs="Arial"/>
                          <w:sz w:val="22"/>
                          <w:szCs w:val="22"/>
                        </w:rPr>
                      </w:pPr>
                      <w:r w:rsidRPr="00C43C7D">
                        <w:rPr>
                          <w:rFonts w:ascii="Calibri" w:hAnsi="Calibri" w:cs="Arial"/>
                          <w:sz w:val="22"/>
                          <w:szCs w:val="22"/>
                        </w:rPr>
                        <w:t xml:space="preserve">Heroin was present in two-thirds of deaths.  </w:t>
                      </w:r>
                      <w:r w:rsidRPr="00C43C7D">
                        <w:rPr>
                          <w:rFonts w:ascii="Calibri" w:hAnsi="Calibri" w:cs="Calibri"/>
                          <w:sz w:val="22"/>
                          <w:szCs w:val="22"/>
                        </w:rPr>
                        <w:t>Benzodiazepines</w:t>
                      </w:r>
                      <w:r w:rsidRPr="00C43C7D">
                        <w:rPr>
                          <w:rFonts w:ascii="Calibri" w:hAnsi="Calibri" w:cs="Arial"/>
                          <w:sz w:val="22"/>
                          <w:szCs w:val="22"/>
                        </w:rPr>
                        <w:t xml:space="preserve"> in over half.  Fentanyl and cocaine were each found in roughly one-third.  </w:t>
                      </w:r>
                    </w:p>
                    <w:p w:rsidR="002666A8" w:rsidRPr="00C43C7D" w:rsidRDefault="002666A8" w:rsidP="00400E42">
                      <w:pPr>
                        <w:pStyle w:val="FreeForm"/>
                        <w:numPr>
                          <w:ilvl w:val="0"/>
                          <w:numId w:val="19"/>
                        </w:numPr>
                        <w:rPr>
                          <w:rFonts w:ascii="Calibri" w:hAnsi="Calibri" w:cs="Arial"/>
                          <w:sz w:val="22"/>
                          <w:szCs w:val="22"/>
                        </w:rPr>
                      </w:pPr>
                      <w:r w:rsidRPr="00C43C7D">
                        <w:rPr>
                          <w:rFonts w:ascii="Calibri" w:hAnsi="Calibri" w:cs="Arial"/>
                          <w:sz w:val="22"/>
                          <w:szCs w:val="22"/>
                        </w:rPr>
                        <w:t xml:space="preserve">Among descendants, 22% had a positive toxicology report for a </w:t>
                      </w:r>
                      <w:r w:rsidRPr="001178AC">
                        <w:rPr>
                          <w:rFonts w:asciiTheme="minorHAnsi" w:hAnsiTheme="minorHAnsi" w:cs="Arial"/>
                          <w:sz w:val="22"/>
                          <w:szCs w:val="22"/>
                        </w:rPr>
                        <w:t>Schedule II-III opioid</w:t>
                      </w:r>
                      <w:r w:rsidRPr="00C43C7D">
                        <w:rPr>
                          <w:rFonts w:ascii="Calibri" w:hAnsi="Calibri" w:cs="Arial"/>
                          <w:sz w:val="22"/>
                          <w:szCs w:val="22"/>
                        </w:rPr>
                        <w:t xml:space="preserve">, but only 9.1% had a prescription for that drug in PDMP. </w:t>
                      </w:r>
                    </w:p>
                    <w:p w:rsidR="002666A8" w:rsidRDefault="002666A8" w:rsidP="00400E42">
                      <w:pPr>
                        <w:pStyle w:val="FreeForm"/>
                        <w:numPr>
                          <w:ilvl w:val="0"/>
                          <w:numId w:val="19"/>
                        </w:numPr>
                        <w:rPr>
                          <w:rFonts w:ascii="Calibri" w:hAnsi="Calibri" w:cs="Arial"/>
                          <w:sz w:val="22"/>
                          <w:szCs w:val="22"/>
                        </w:rPr>
                      </w:pPr>
                      <w:r>
                        <w:rPr>
                          <w:rFonts w:ascii="Calibri" w:hAnsi="Calibri" w:cs="Arial"/>
                          <w:sz w:val="22"/>
                          <w:szCs w:val="22"/>
                        </w:rPr>
                        <w:t>Most toxicology reports had positive tests for more than one substance.</w:t>
                      </w:r>
                    </w:p>
                    <w:p w:rsidR="002666A8" w:rsidRPr="00005A3D" w:rsidRDefault="002666A8" w:rsidP="00400E42">
                      <w:pPr>
                        <w:ind w:right="-3"/>
                        <w:jc w:val="center"/>
                        <w:rPr>
                          <w:rFonts w:ascii="Calibri" w:hAnsi="Calibri" w:cs="Arial"/>
                          <w:sz w:val="22"/>
                          <w:szCs w:val="22"/>
                        </w:rPr>
                      </w:pPr>
                    </w:p>
                    <w:p w:rsidR="002666A8" w:rsidRPr="00F529EF" w:rsidRDefault="002666A8" w:rsidP="00400E42">
                      <w:pPr>
                        <w:ind w:right="-3"/>
                        <w:jc w:val="both"/>
                        <w:rPr>
                          <w:rFonts w:ascii="Calibri" w:hAnsi="Calibri" w:cs="Arial"/>
                          <w:b/>
                          <w:sz w:val="22"/>
                          <w:szCs w:val="22"/>
                          <w:u w:val="single"/>
                        </w:rPr>
                      </w:pPr>
                      <w:r w:rsidRPr="00F529EF">
                        <w:rPr>
                          <w:rFonts w:ascii="Calibri" w:hAnsi="Calibri" w:cs="Arial"/>
                          <w:b/>
                          <w:sz w:val="22"/>
                          <w:szCs w:val="22"/>
                          <w:u w:val="single"/>
                        </w:rPr>
                        <w:t>Recommendations:</w:t>
                      </w:r>
                    </w:p>
                    <w:p w:rsidR="002666A8" w:rsidRDefault="002666A8" w:rsidP="00400E42">
                      <w:pPr>
                        <w:pStyle w:val="FreeForm"/>
                        <w:numPr>
                          <w:ilvl w:val="0"/>
                          <w:numId w:val="19"/>
                        </w:numPr>
                        <w:rPr>
                          <w:rFonts w:ascii="Calibri" w:hAnsi="Calibri" w:cs="Arial"/>
                          <w:sz w:val="22"/>
                          <w:szCs w:val="22"/>
                        </w:rPr>
                      </w:pPr>
                      <w:r>
                        <w:rPr>
                          <w:rFonts w:ascii="Calibri" w:hAnsi="Calibri" w:cs="Calibri"/>
                          <w:sz w:val="22"/>
                          <w:szCs w:val="22"/>
                        </w:rPr>
                        <w:t>Harm reduction strategies and i</w:t>
                      </w:r>
                      <w:r w:rsidRPr="00570FB0">
                        <w:rPr>
                          <w:rFonts w:ascii="Calibri" w:hAnsi="Calibri" w:cs="Calibri"/>
                          <w:sz w:val="22"/>
                          <w:szCs w:val="22"/>
                        </w:rPr>
                        <w:t xml:space="preserve">nterventions that address </w:t>
                      </w:r>
                      <w:r>
                        <w:rPr>
                          <w:rFonts w:ascii="Calibri" w:hAnsi="Calibri" w:cs="Calibri"/>
                          <w:sz w:val="22"/>
                          <w:szCs w:val="22"/>
                        </w:rPr>
                        <w:t>Heroin</w:t>
                      </w:r>
                      <w:r w:rsidRPr="00570FB0">
                        <w:rPr>
                          <w:rFonts w:ascii="Calibri" w:hAnsi="Calibri" w:cs="Calibri"/>
                          <w:sz w:val="22"/>
                          <w:szCs w:val="22"/>
                        </w:rPr>
                        <w:t xml:space="preserve">, </w:t>
                      </w:r>
                      <w:r>
                        <w:rPr>
                          <w:rFonts w:ascii="Calibri" w:hAnsi="Calibri" w:cs="Calibri"/>
                          <w:sz w:val="22"/>
                          <w:szCs w:val="22"/>
                        </w:rPr>
                        <w:t>F</w:t>
                      </w:r>
                      <w:r w:rsidRPr="00570FB0">
                        <w:rPr>
                          <w:rFonts w:ascii="Calibri" w:hAnsi="Calibri" w:cs="Calibri"/>
                          <w:sz w:val="22"/>
                          <w:szCs w:val="22"/>
                        </w:rPr>
                        <w:t>entanyl</w:t>
                      </w:r>
                      <w:r>
                        <w:rPr>
                          <w:rFonts w:ascii="Calibri" w:hAnsi="Calibri" w:cs="Calibri"/>
                          <w:sz w:val="22"/>
                          <w:szCs w:val="22"/>
                        </w:rPr>
                        <w:t>,</w:t>
                      </w:r>
                      <w:r w:rsidRPr="00570FB0">
                        <w:rPr>
                          <w:rFonts w:ascii="Calibri" w:hAnsi="Calibri" w:cs="Calibri"/>
                          <w:sz w:val="22"/>
                          <w:szCs w:val="22"/>
                        </w:rPr>
                        <w:t xml:space="preserve"> and polysubstance use should be increased, expanded</w:t>
                      </w:r>
                      <w:r>
                        <w:rPr>
                          <w:rFonts w:ascii="Calibri" w:hAnsi="Calibri" w:cs="Calibri"/>
                          <w:sz w:val="22"/>
                          <w:szCs w:val="22"/>
                        </w:rPr>
                        <w:t>,</w:t>
                      </w:r>
                      <w:r w:rsidRPr="00570FB0">
                        <w:rPr>
                          <w:rFonts w:ascii="Calibri" w:hAnsi="Calibri" w:cs="Calibri"/>
                          <w:sz w:val="22"/>
                          <w:szCs w:val="22"/>
                        </w:rPr>
                        <w:t xml:space="preserve"> and enhanced</w:t>
                      </w:r>
                      <w:r>
                        <w:rPr>
                          <w:rFonts w:ascii="Calibri" w:hAnsi="Calibri" w:cs="Arial"/>
                          <w:sz w:val="22"/>
                          <w:szCs w:val="22"/>
                        </w:rPr>
                        <w:t>.</w:t>
                      </w:r>
                    </w:p>
                    <w:p w:rsidR="002666A8" w:rsidRDefault="002666A8" w:rsidP="00400E42">
                      <w:pPr>
                        <w:pStyle w:val="FreeForm"/>
                        <w:numPr>
                          <w:ilvl w:val="0"/>
                          <w:numId w:val="19"/>
                        </w:numPr>
                        <w:rPr>
                          <w:rFonts w:ascii="Calibri" w:hAnsi="Calibri" w:cs="Arial"/>
                          <w:sz w:val="22"/>
                          <w:szCs w:val="22"/>
                        </w:rPr>
                      </w:pPr>
                      <w:r w:rsidRPr="003A3936">
                        <w:rPr>
                          <w:rFonts w:ascii="Calibri" w:hAnsi="Calibri" w:cs="Arial"/>
                          <w:sz w:val="22"/>
                          <w:szCs w:val="22"/>
                        </w:rPr>
                        <w:t xml:space="preserve">Increase in real-time </w:t>
                      </w:r>
                      <w:r>
                        <w:rPr>
                          <w:rFonts w:ascii="Calibri" w:hAnsi="Calibri" w:cs="Arial"/>
                          <w:sz w:val="22"/>
                          <w:szCs w:val="22"/>
                        </w:rPr>
                        <w:t xml:space="preserve">disease </w:t>
                      </w:r>
                      <w:r w:rsidRPr="003A3936">
                        <w:rPr>
                          <w:rFonts w:ascii="Calibri" w:hAnsi="Calibri" w:cs="Arial"/>
                          <w:sz w:val="22"/>
                          <w:szCs w:val="22"/>
                        </w:rPr>
                        <w:t xml:space="preserve">surveillance can be used as a public health tool </w:t>
                      </w:r>
                      <w:r>
                        <w:rPr>
                          <w:rFonts w:ascii="Calibri" w:hAnsi="Calibri" w:cs="Arial"/>
                          <w:sz w:val="22"/>
                          <w:szCs w:val="22"/>
                        </w:rPr>
                        <w:t>to better understand</w:t>
                      </w:r>
                      <w:r w:rsidRPr="003A3936">
                        <w:rPr>
                          <w:rFonts w:ascii="Calibri" w:hAnsi="Calibri" w:cs="Arial"/>
                          <w:sz w:val="22"/>
                          <w:szCs w:val="22"/>
                        </w:rPr>
                        <w:t xml:space="preserve"> overdose deaths</w:t>
                      </w:r>
                      <w:r>
                        <w:rPr>
                          <w:rFonts w:ascii="Calibri" w:hAnsi="Calibri" w:cs="Arial"/>
                          <w:sz w:val="22"/>
                          <w:szCs w:val="22"/>
                        </w:rPr>
                        <w:t>.</w:t>
                      </w:r>
                    </w:p>
                    <w:p w:rsidR="002666A8" w:rsidRDefault="002666A8" w:rsidP="00400E42">
                      <w:pPr>
                        <w:pStyle w:val="FreeForm"/>
                        <w:numPr>
                          <w:ilvl w:val="0"/>
                          <w:numId w:val="19"/>
                        </w:numPr>
                        <w:rPr>
                          <w:rFonts w:ascii="Calibri" w:hAnsi="Calibri" w:cs="Arial"/>
                          <w:sz w:val="22"/>
                          <w:szCs w:val="22"/>
                        </w:rPr>
                      </w:pPr>
                      <w:r>
                        <w:rPr>
                          <w:rFonts w:ascii="Calibri" w:hAnsi="Calibri" w:cs="Arial"/>
                          <w:sz w:val="22"/>
                          <w:szCs w:val="22"/>
                        </w:rPr>
                        <w:t xml:space="preserve">Data should be reported and collected in a </w:t>
                      </w:r>
                      <w:proofErr w:type="gramStart"/>
                      <w:r>
                        <w:rPr>
                          <w:rFonts w:ascii="Calibri" w:hAnsi="Calibri" w:cs="Arial"/>
                          <w:sz w:val="22"/>
                          <w:szCs w:val="22"/>
                        </w:rPr>
                        <w:t>more timely</w:t>
                      </w:r>
                      <w:proofErr w:type="gramEnd"/>
                      <w:r>
                        <w:rPr>
                          <w:rFonts w:ascii="Calibri" w:hAnsi="Calibri" w:cs="Arial"/>
                          <w:sz w:val="22"/>
                          <w:szCs w:val="22"/>
                        </w:rPr>
                        <w:t xml:space="preserve"> manner, allowing earlier identification of new and emerging trends.</w:t>
                      </w:r>
                    </w:p>
                  </w:txbxContent>
                </v:textbox>
                <w10:wrap type="square" anchorx="margin"/>
              </v:rect>
            </w:pict>
          </mc:Fallback>
        </mc:AlternateContent>
      </w:r>
      <w:r w:rsidR="00400E42" w:rsidRPr="00400E42">
        <w:t>Analysis #1 (Toxicology &amp; PDMP): Key Findings and Recommendations</w:t>
      </w:r>
      <w:bookmarkEnd w:id="9"/>
      <w:bookmarkEnd w:id="10"/>
    </w:p>
    <w:p w:rsidR="00400E42" w:rsidRPr="00F240EB" w:rsidRDefault="00400E42" w:rsidP="002D6E20">
      <w:pPr>
        <w:pStyle w:val="PBody"/>
      </w:pPr>
      <w:r>
        <w:rPr>
          <w:b/>
        </w:rPr>
        <w:t xml:space="preserve">Basic </w:t>
      </w:r>
      <w:r w:rsidRPr="00163D74">
        <w:rPr>
          <w:b/>
        </w:rPr>
        <w:t xml:space="preserve">Methods: </w:t>
      </w:r>
      <w:r>
        <w:t>T</w:t>
      </w:r>
      <w:r w:rsidRPr="00F240EB">
        <w:t xml:space="preserve">oxicology at death </w:t>
      </w:r>
      <w:r>
        <w:t xml:space="preserve">was linked </w:t>
      </w:r>
      <w:r w:rsidRPr="00F240EB">
        <w:t xml:space="preserve">with </w:t>
      </w:r>
      <w:r>
        <w:t>PDMP</w:t>
      </w:r>
      <w:r w:rsidRPr="00F240EB">
        <w:t xml:space="preserve"> records among people who died of an opioid-related overdose of unintentional or undetermined intent.  </w:t>
      </w:r>
      <w:r>
        <w:t>Males and females age 11 and above were included</w:t>
      </w:r>
      <w:r w:rsidR="00301E0D">
        <w:t>.  I</w:t>
      </w:r>
      <w:r w:rsidRPr="00F240EB">
        <w:t>n 2013 and 2014 there were 2,19</w:t>
      </w:r>
      <w:r>
        <w:t>2</w:t>
      </w:r>
      <w:r w:rsidRPr="00F240EB">
        <w:t xml:space="preserve"> Massachusetts residents in our analytic file who died of an opioid-related overdose</w:t>
      </w:r>
      <w:r w:rsidR="00301E0D">
        <w:t>.  T</w:t>
      </w:r>
      <w:r w:rsidRPr="00F240EB">
        <w:t xml:space="preserve">oxicology reports including detailed information </w:t>
      </w:r>
      <w:r>
        <w:t>regarding</w:t>
      </w:r>
      <w:r w:rsidRPr="00F240EB">
        <w:t xml:space="preserve"> specific opioids and other drugs present w</w:t>
      </w:r>
      <w:r>
        <w:t>ere</w:t>
      </w:r>
      <w:r w:rsidRPr="00F240EB">
        <w:t xml:space="preserve"> available for 77% of these deaths (1,6</w:t>
      </w:r>
      <w:r>
        <w:t>92</w:t>
      </w:r>
      <w:r w:rsidRPr="00F240EB">
        <w:t>/2,19</w:t>
      </w:r>
      <w:r>
        <w:t>2</w:t>
      </w:r>
      <w:r w:rsidRPr="00F240EB">
        <w:t>)</w:t>
      </w:r>
      <w:r w:rsidR="00301E0D">
        <w:t>.  A</w:t>
      </w:r>
      <w:r w:rsidRPr="00F240EB">
        <w:t>ll data below represents these 1,6</w:t>
      </w:r>
      <w:r>
        <w:t>92</w:t>
      </w:r>
      <w:r w:rsidRPr="00F240EB">
        <w:t xml:space="preserve"> people</w:t>
      </w:r>
      <w:r w:rsidR="00301E0D">
        <w:t>.  A</w:t>
      </w:r>
      <w:r w:rsidRPr="00F240EB">
        <w:t xml:space="preserve"> breakdown of specific substances present in the toxicology reports</w:t>
      </w:r>
      <w:r>
        <w:t xml:space="preserve"> was also determined.</w:t>
      </w:r>
    </w:p>
    <w:p w:rsidR="00400E42" w:rsidRPr="00F240EB" w:rsidRDefault="00400E42" w:rsidP="002D6E20">
      <w:pPr>
        <w:pStyle w:val="PBody"/>
        <w:rPr>
          <w:rFonts w:cs="Calibri"/>
        </w:rPr>
      </w:pPr>
      <w:r w:rsidRPr="00F240EB">
        <w:rPr>
          <w:b/>
        </w:rPr>
        <w:t>Summary of toxicology findings</w:t>
      </w:r>
      <w:r w:rsidRPr="00F240EB">
        <w:t xml:space="preserve">: Overall, 66% of the deaths had Heroin or likely Heroin present.  Fentanyl was present in 32% of opioid overdose deaths.  More recent data from DPH indicates that </w:t>
      </w:r>
      <w:r>
        <w:t>F</w:t>
      </w:r>
      <w:r w:rsidRPr="00F240EB">
        <w:t>entanyl presence rose</w:t>
      </w:r>
      <w:r>
        <w:t xml:space="preserve"> further</w:t>
      </w:r>
      <w:r w:rsidRPr="00F240EB">
        <w:t xml:space="preserve"> to 57% in 2015</w:t>
      </w:r>
      <w:r w:rsidRPr="005E2F2A">
        <w:rPr>
          <w:rStyle w:val="FootnoteReference"/>
        </w:rPr>
        <w:footnoteReference w:id="22"/>
      </w:r>
      <w:r w:rsidR="00301E0D">
        <w:t>.  H</w:t>
      </w:r>
      <w:r w:rsidRPr="00F240EB">
        <w:rPr>
          <w:rFonts w:cs="Calibri"/>
        </w:rPr>
        <w:t xml:space="preserve">eroin </w:t>
      </w:r>
      <w:r>
        <w:rPr>
          <w:rFonts w:cs="Calibri"/>
        </w:rPr>
        <w:t>or</w:t>
      </w:r>
      <w:r w:rsidRPr="00F240EB">
        <w:rPr>
          <w:rFonts w:cs="Calibri"/>
        </w:rPr>
        <w:t xml:space="preserve"> Fentanyl, which is typically sold as </w:t>
      </w:r>
      <w:r>
        <w:rPr>
          <w:rFonts w:cs="Calibri"/>
        </w:rPr>
        <w:t>H</w:t>
      </w:r>
      <w:r w:rsidRPr="00F240EB">
        <w:rPr>
          <w:rFonts w:cs="Calibri"/>
        </w:rPr>
        <w:t xml:space="preserve">eroin, </w:t>
      </w:r>
      <w:r>
        <w:rPr>
          <w:rFonts w:cs="Calibri"/>
        </w:rPr>
        <w:t>was</w:t>
      </w:r>
      <w:r w:rsidRPr="00F240EB">
        <w:rPr>
          <w:rFonts w:cs="Calibri"/>
        </w:rPr>
        <w:t xml:space="preserve"> present in 85% of the opioid deaths</w:t>
      </w:r>
      <w:r w:rsidR="00466500">
        <w:rPr>
          <w:rFonts w:cs="Calibri"/>
        </w:rPr>
        <w:t>.  Schedule II and III p</w:t>
      </w:r>
      <w:r w:rsidRPr="00F240EB">
        <w:rPr>
          <w:rFonts w:cs="Calibri"/>
        </w:rPr>
        <w:t xml:space="preserve">rescription opioids were present in 22% of opioid deaths and </w:t>
      </w:r>
      <w:r>
        <w:rPr>
          <w:rFonts w:cs="Calibri"/>
        </w:rPr>
        <w:t>O</w:t>
      </w:r>
      <w:r w:rsidRPr="00F240EB">
        <w:rPr>
          <w:rFonts w:cs="Calibri"/>
        </w:rPr>
        <w:t>xycodone, the most commonly prescribed opioid, was present in 15% of the opioid deaths</w:t>
      </w:r>
      <w:r w:rsidR="00301E0D">
        <w:rPr>
          <w:rFonts w:cs="Calibri"/>
        </w:rPr>
        <w:t>.  I</w:t>
      </w:r>
      <w:r>
        <w:rPr>
          <w:rFonts w:cs="Calibri"/>
        </w:rPr>
        <w:t>n</w:t>
      </w:r>
      <w:r w:rsidRPr="00F240EB">
        <w:rPr>
          <w:rFonts w:cs="Calibri"/>
        </w:rPr>
        <w:t xml:space="preserve"> 9.1% of overdose deaths only</w:t>
      </w:r>
      <w:r w:rsidR="00466500">
        <w:rPr>
          <w:rFonts w:cs="Calibri"/>
        </w:rPr>
        <w:t>, Schedule II and III</w:t>
      </w:r>
      <w:r w:rsidRPr="00F240EB">
        <w:rPr>
          <w:rFonts w:cs="Calibri"/>
        </w:rPr>
        <w:t xml:space="preserve"> prescription opioids </w:t>
      </w:r>
      <w:r>
        <w:rPr>
          <w:rFonts w:cs="Calibri"/>
        </w:rPr>
        <w:t xml:space="preserve">used only for pain </w:t>
      </w:r>
      <w:r w:rsidRPr="00F240EB">
        <w:rPr>
          <w:rFonts w:cs="Calibri"/>
        </w:rPr>
        <w:t>were present, (Heroin, Fentanyl, Methadone</w:t>
      </w:r>
      <w:r>
        <w:rPr>
          <w:rFonts w:cs="Calibri"/>
        </w:rPr>
        <w:t>,</w:t>
      </w:r>
      <w:r w:rsidRPr="00F240EB">
        <w:rPr>
          <w:rFonts w:cs="Calibri"/>
        </w:rPr>
        <w:t xml:space="preserve"> or </w:t>
      </w:r>
      <w:r w:rsidR="00667C4C">
        <w:rPr>
          <w:rFonts w:cs="Calibri"/>
        </w:rPr>
        <w:t>bup</w:t>
      </w:r>
      <w:r w:rsidRPr="00F240EB">
        <w:rPr>
          <w:rFonts w:cs="Calibri"/>
        </w:rPr>
        <w:t xml:space="preserve">renorphine were not present).  Benzodiazepines and </w:t>
      </w:r>
      <w:r>
        <w:rPr>
          <w:rFonts w:cs="Calibri"/>
        </w:rPr>
        <w:t>Cocaine</w:t>
      </w:r>
      <w:r w:rsidRPr="00F240EB">
        <w:rPr>
          <w:rFonts w:cs="Calibri"/>
        </w:rPr>
        <w:t xml:space="preserve"> were present in </w:t>
      </w:r>
      <w:r w:rsidRPr="00F240EB">
        <w:t>58% and 30% of opioid deaths, respectively.</w:t>
      </w:r>
      <w:r w:rsidRPr="00F240EB">
        <w:rPr>
          <w:rFonts w:cs="Calibri"/>
        </w:rPr>
        <w:t xml:space="preserve"> </w:t>
      </w:r>
      <w:r w:rsidRPr="00F240EB">
        <w:tab/>
      </w:r>
    </w:p>
    <w:p w:rsidR="00400E42" w:rsidRDefault="00400E42" w:rsidP="002D6E20">
      <w:pPr>
        <w:pStyle w:val="PBody"/>
      </w:pPr>
      <w:r w:rsidRPr="00F240EB">
        <w:rPr>
          <w:b/>
        </w:rPr>
        <w:lastRenderedPageBreak/>
        <w:t>Categorizing toxicology data:</w:t>
      </w:r>
      <w:r w:rsidRPr="00F240EB">
        <w:t xml:space="preserve"> The toxicology tests for </w:t>
      </w:r>
      <w:r>
        <w:t>F</w:t>
      </w:r>
      <w:r w:rsidRPr="00F240EB">
        <w:t xml:space="preserve">entanyl, </w:t>
      </w:r>
      <w:r>
        <w:t>M</w:t>
      </w:r>
      <w:r w:rsidRPr="00F240EB">
        <w:t xml:space="preserve">ethadone, </w:t>
      </w:r>
      <w:r w:rsidR="00667C4C">
        <w:t>bup</w:t>
      </w:r>
      <w:r w:rsidRPr="00F240EB">
        <w:t>renorphine</w:t>
      </w:r>
      <w:r>
        <w:t>,</w:t>
      </w:r>
      <w:r w:rsidRPr="00F240EB">
        <w:t xml:space="preserve"> and </w:t>
      </w:r>
      <w:r>
        <w:t>Cocaine</w:t>
      </w:r>
      <w:r w:rsidRPr="00F240EB">
        <w:t xml:space="preserve"> are specific to those particular substances and therefore when they were present it was clear that the decedent had taken those substances prior to death</w:t>
      </w:r>
      <w:r w:rsidR="00301E0D">
        <w:t>.  F</w:t>
      </w:r>
      <w:r w:rsidRPr="00F240EB">
        <w:t xml:space="preserve">or this report, individual benzodiazepines </w:t>
      </w:r>
      <w:r>
        <w:t xml:space="preserve">were not distinguished </w:t>
      </w:r>
      <w:r w:rsidRPr="00F240EB">
        <w:t>on toxicology testing, but reported them as a class</w:t>
      </w:r>
      <w:r w:rsidR="00301E0D">
        <w:t>.  O</w:t>
      </w:r>
      <w:r w:rsidRPr="00F240EB">
        <w:t>xycodone, Hydrocodone, Hydromorphone, Oxymorphone</w:t>
      </w:r>
      <w:r>
        <w:t xml:space="preserve"> (</w:t>
      </w:r>
      <w:r w:rsidRPr="00F240EB">
        <w:t>as a metabolite of Oxycodone or from prescription Oxymorphone</w:t>
      </w:r>
      <w:r>
        <w:t>)</w:t>
      </w:r>
      <w:r w:rsidRPr="00F240EB">
        <w:t xml:space="preserve">, Codeine, and Tramadol are all specific toxicology results for substances where the main source is either prescribed or diverted </w:t>
      </w:r>
      <w:r w:rsidR="00466500">
        <w:rPr>
          <w:rFonts w:cs="Calibri"/>
        </w:rPr>
        <w:t>Schedule II and III</w:t>
      </w:r>
      <w:r w:rsidR="00466500" w:rsidRPr="00F240EB">
        <w:t xml:space="preserve"> </w:t>
      </w:r>
      <w:r w:rsidRPr="00F240EB">
        <w:t>prescription opioids</w:t>
      </w:r>
      <w:r>
        <w:t xml:space="preserve"> intended to treat pain</w:t>
      </w:r>
      <w:r w:rsidR="00301E0D">
        <w:t>.  T</w:t>
      </w:r>
      <w:r w:rsidRPr="00F240EB">
        <w:t xml:space="preserve">herefore, these toxicology results </w:t>
      </w:r>
      <w:r>
        <w:t xml:space="preserve">were grouped together </w:t>
      </w:r>
      <w:r w:rsidRPr="00F240EB">
        <w:t>as “</w:t>
      </w:r>
      <w:r>
        <w:t>p</w:t>
      </w:r>
      <w:r w:rsidRPr="00F240EB">
        <w:t xml:space="preserve">rescription opioids.” </w:t>
      </w:r>
    </w:p>
    <w:p w:rsidR="00400E42" w:rsidRPr="00F240EB" w:rsidRDefault="00400E42" w:rsidP="002D6E20">
      <w:pPr>
        <w:pStyle w:val="PBody"/>
      </w:pPr>
      <w:r w:rsidRPr="00F240EB">
        <w:t>Categorizing Heroin and Morphine presence on toxicology is more complicated</w:t>
      </w:r>
      <w:r w:rsidR="00301E0D">
        <w:t>.  O</w:t>
      </w:r>
      <w:r w:rsidRPr="00F240EB">
        <w:t>ne toxicology result specific for Heroin is 6-monoacetyl</w:t>
      </w:r>
      <w:r>
        <w:t>Morphine</w:t>
      </w:r>
      <w:r w:rsidRPr="00F240EB">
        <w:t xml:space="preserve"> (6-mam).  However, 6-mam is rapidly metabolized to Morphine and therefore</w:t>
      </w:r>
      <w:r>
        <w:t>,</w:t>
      </w:r>
      <w:r w:rsidRPr="00F240EB">
        <w:t xml:space="preserve"> commonly</w:t>
      </w:r>
      <w:r>
        <w:t>, is not</w:t>
      </w:r>
      <w:r w:rsidRPr="00F240EB">
        <w:t xml:space="preserve"> present on toxicology</w:t>
      </w:r>
      <w:r w:rsidR="00301E0D">
        <w:t>.  W</w:t>
      </w:r>
      <w:r w:rsidRPr="00F240EB">
        <w:t xml:space="preserve">hen Morphine and Codeine are both present, especially where the quantitative level of Morphine is greater than Codeine, this indicates </w:t>
      </w:r>
      <w:r>
        <w:t>H</w:t>
      </w:r>
      <w:r w:rsidRPr="00F240EB">
        <w:t>eroin use due to impurities retained during Heroin refining from Opium</w:t>
      </w:r>
      <w:r>
        <w:t>.</w:t>
      </w:r>
      <w:r w:rsidRPr="005E2F2A">
        <w:rPr>
          <w:rStyle w:val="FootnoteReference"/>
          <w:rFonts w:cs="Calibri"/>
        </w:rPr>
        <w:footnoteReference w:id="23"/>
      </w:r>
      <w:r w:rsidRPr="00F240EB">
        <w:rPr>
          <w:vertAlign w:val="superscript"/>
        </w:rPr>
        <w:t>,</w:t>
      </w:r>
      <w:r w:rsidRPr="005E2F2A">
        <w:rPr>
          <w:rStyle w:val="FootnoteReference"/>
          <w:rFonts w:cs="Calibri"/>
        </w:rPr>
        <w:footnoteReference w:id="24"/>
      </w:r>
      <w:r w:rsidRPr="00F240EB">
        <w:t xml:space="preserve"> For this analysis, quantitative levels of Morphine and Codeine </w:t>
      </w:r>
      <w:r>
        <w:t xml:space="preserve">were not </w:t>
      </w:r>
      <w:r w:rsidRPr="00F240EB">
        <w:t>available</w:t>
      </w:r>
      <w:r w:rsidR="00301E0D">
        <w:t>.  T</w:t>
      </w:r>
      <w:r w:rsidRPr="00F240EB">
        <w:t xml:space="preserve">he presence of Morphine without Codeine in toxicology occurs due to either 1) prescription Morphine or 2) as a metabolite of Heroin.  In order to determine whether to attribute deaths with </w:t>
      </w:r>
      <w:r>
        <w:t>M</w:t>
      </w:r>
      <w:r w:rsidRPr="00F240EB">
        <w:t xml:space="preserve">orphine present to prescription Morphine or to Heroin, the presence of Morphine prescriptions within the </w:t>
      </w:r>
      <w:r>
        <w:t>PDMP was reviewed</w:t>
      </w:r>
      <w:r w:rsidRPr="00F240EB">
        <w:t xml:space="preserve">. </w:t>
      </w:r>
    </w:p>
    <w:p w:rsidR="00400E42" w:rsidRPr="00F240EB" w:rsidRDefault="00400E42" w:rsidP="00400E42">
      <w:pPr>
        <w:widowControl w:val="0"/>
        <w:autoSpaceDE w:val="0"/>
        <w:autoSpaceDN w:val="0"/>
        <w:adjustRightInd w:val="0"/>
        <w:rPr>
          <w:rFonts w:ascii="Calibri" w:hAnsi="Calibri" w:cs="Calibri"/>
          <w:sz w:val="22"/>
          <w:szCs w:val="22"/>
        </w:rPr>
      </w:pPr>
      <w:r>
        <w:rPr>
          <w:rFonts w:ascii="Calibri" w:hAnsi="Calibri" w:cs="Calibri"/>
          <w:noProof/>
          <w:sz w:val="22"/>
          <w:szCs w:val="22"/>
        </w:rPr>
        <w:drawing>
          <wp:inline distT="0" distB="0" distL="0" distR="0" wp14:anchorId="08A8E3C4" wp14:editId="52369E95">
            <wp:extent cx="5962650" cy="3115310"/>
            <wp:effectExtent l="0" t="0" r="19050" b="27940"/>
            <wp:docPr id="4"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00E42" w:rsidRPr="00F240EB" w:rsidRDefault="00400E42" w:rsidP="00400E42">
      <w:pPr>
        <w:pStyle w:val="PlainText"/>
        <w:rPr>
          <w:szCs w:val="22"/>
        </w:rPr>
      </w:pPr>
      <w:r w:rsidRPr="00400E42">
        <w:rPr>
          <w:sz w:val="18"/>
          <w:szCs w:val="22"/>
        </w:rPr>
        <w:lastRenderedPageBreak/>
        <w:t>Notes: Prescription opioids include Hydrocodone, Hydromorphone, Oxycodone, Oxymorphone, Codeine, and Tramadol</w:t>
      </w:r>
      <w:r w:rsidR="00301E0D">
        <w:rPr>
          <w:sz w:val="18"/>
          <w:szCs w:val="22"/>
        </w:rPr>
        <w:t>.  P</w:t>
      </w:r>
      <w:r w:rsidRPr="00400E42">
        <w:rPr>
          <w:sz w:val="18"/>
          <w:szCs w:val="22"/>
        </w:rPr>
        <w:t xml:space="preserve">resence in PDMP includes any prescription for the particular drug between 2011 and 2014. </w:t>
      </w:r>
      <w:r w:rsidRPr="00F240EB">
        <w:rPr>
          <w:szCs w:val="22"/>
        </w:rPr>
        <w:tab/>
      </w:r>
    </w:p>
    <w:p w:rsidR="00400E42" w:rsidRDefault="00400E42" w:rsidP="00400E42">
      <w:pPr>
        <w:spacing w:after="120" w:line="276" w:lineRule="auto"/>
        <w:ind w:firstLine="720"/>
        <w:rPr>
          <w:rFonts w:ascii="Calibri" w:hAnsi="Calibri"/>
          <w:sz w:val="22"/>
          <w:szCs w:val="22"/>
        </w:rPr>
      </w:pPr>
    </w:p>
    <w:p w:rsidR="00400E42" w:rsidRDefault="00400E42" w:rsidP="002D6E20">
      <w:pPr>
        <w:pStyle w:val="PBody"/>
      </w:pPr>
      <w:r w:rsidRPr="00F240EB">
        <w:t xml:space="preserve">Figures KEY1.1 and KEY1.2 present the proportion of decedents with a specific drug (or </w:t>
      </w:r>
      <w:r w:rsidR="00466500">
        <w:rPr>
          <w:rFonts w:cs="Calibri"/>
        </w:rPr>
        <w:t>Schedule II and III</w:t>
      </w:r>
      <w:r w:rsidR="00466500" w:rsidRPr="00F240EB">
        <w:t xml:space="preserve"> </w:t>
      </w:r>
      <w:r w:rsidRPr="00F240EB">
        <w:t xml:space="preserve">prescription opioid) in their toxicology results and the contribution of opioid prescriptions reported to the PDMP to these proportions.  </w:t>
      </w:r>
      <w:r w:rsidRPr="00764E3C">
        <w:t xml:space="preserve">Breaking down the prescription </w:t>
      </w:r>
      <w:r>
        <w:t>o</w:t>
      </w:r>
      <w:r w:rsidRPr="00764E3C">
        <w:t>pioid group into its components, substantial f</w:t>
      </w:r>
      <w:r>
        <w:t>ractions of the decedents with Oxycodone, H</w:t>
      </w:r>
      <w:r w:rsidRPr="00764E3C">
        <w:t xml:space="preserve">ydromorphone, </w:t>
      </w:r>
      <w:r>
        <w:t>Hydrocodone, and T</w:t>
      </w:r>
      <w:r w:rsidRPr="00764E3C">
        <w:t>ramadol, present in toxicology had matching prescriptions for those drugs in the PDMP</w:t>
      </w:r>
      <w:r w:rsidR="00301E0D">
        <w:t>.  A</w:t>
      </w:r>
      <w:r w:rsidRPr="00764E3C">
        <w:t xml:space="preserve">lmost none </w:t>
      </w:r>
      <w:r>
        <w:t>had matching prescriptions for O</w:t>
      </w:r>
      <w:r w:rsidRPr="00764E3C">
        <w:t xml:space="preserve">xymorphone, </w:t>
      </w:r>
      <w:r>
        <w:t>though this is a metabolite of O</w:t>
      </w:r>
      <w:r w:rsidRPr="00764E3C">
        <w:t>xycodone</w:t>
      </w:r>
      <w:r w:rsidRPr="00F240EB">
        <w:t xml:space="preserve">. </w:t>
      </w:r>
    </w:p>
    <w:p w:rsidR="00400E42" w:rsidRPr="00F240EB" w:rsidRDefault="00400E42" w:rsidP="00400E42">
      <w:pPr>
        <w:spacing w:after="120" w:line="276" w:lineRule="auto"/>
        <w:ind w:firstLine="720"/>
        <w:rPr>
          <w:rFonts w:ascii="Calibri" w:hAnsi="Calibri"/>
          <w:sz w:val="22"/>
          <w:szCs w:val="22"/>
        </w:rPr>
      </w:pPr>
    </w:p>
    <w:p w:rsidR="00400E42" w:rsidRPr="00F240EB" w:rsidRDefault="00400E42" w:rsidP="00400E42">
      <w:pPr>
        <w:rPr>
          <w:rFonts w:ascii="Calibri" w:hAnsi="Calibri"/>
          <w:sz w:val="22"/>
          <w:szCs w:val="22"/>
        </w:rPr>
      </w:pPr>
      <w:r>
        <w:rPr>
          <w:rFonts w:ascii="Calibri" w:hAnsi="Calibri" w:cs="Calibri"/>
          <w:noProof/>
          <w:sz w:val="22"/>
          <w:szCs w:val="22"/>
        </w:rPr>
        <w:drawing>
          <wp:inline distT="0" distB="0" distL="0" distR="0" wp14:anchorId="146EA5CE" wp14:editId="73DB83FC">
            <wp:extent cx="5821680" cy="3261360"/>
            <wp:effectExtent l="0" t="0" r="26670" b="15240"/>
            <wp:docPr id="5"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00E42" w:rsidRDefault="00400E42" w:rsidP="00400E42">
      <w:pPr>
        <w:rPr>
          <w:rFonts w:ascii="Calibri" w:hAnsi="Calibri"/>
          <w:sz w:val="18"/>
          <w:szCs w:val="22"/>
        </w:rPr>
      </w:pPr>
    </w:p>
    <w:p w:rsidR="00400E42" w:rsidRPr="005044BE" w:rsidRDefault="00400E42" w:rsidP="00400E42">
      <w:pPr>
        <w:rPr>
          <w:rFonts w:ascii="Calibri" w:hAnsi="Calibri"/>
          <w:sz w:val="18"/>
          <w:szCs w:val="22"/>
        </w:rPr>
      </w:pPr>
      <w:r w:rsidRPr="005044BE">
        <w:rPr>
          <w:rFonts w:ascii="Calibri" w:hAnsi="Calibri"/>
          <w:sz w:val="18"/>
          <w:szCs w:val="22"/>
        </w:rPr>
        <w:t>Notes: Presence in PDMP includes any prescription for the particular drug between 2011 and 2014</w:t>
      </w:r>
      <w:r>
        <w:rPr>
          <w:rFonts w:ascii="Calibri" w:hAnsi="Calibri"/>
          <w:sz w:val="18"/>
          <w:szCs w:val="22"/>
        </w:rPr>
        <w:t>.</w:t>
      </w:r>
    </w:p>
    <w:p w:rsidR="00400E42" w:rsidRPr="005044BE" w:rsidRDefault="00400E42" w:rsidP="00400E42">
      <w:pPr>
        <w:rPr>
          <w:rFonts w:ascii="Calibri" w:hAnsi="Calibri"/>
          <w:sz w:val="18"/>
          <w:szCs w:val="22"/>
        </w:rPr>
      </w:pPr>
      <w:r w:rsidRPr="005044BE">
        <w:rPr>
          <w:rFonts w:ascii="Calibri" w:hAnsi="Calibri"/>
          <w:sz w:val="18"/>
          <w:szCs w:val="22"/>
        </w:rPr>
        <w:t xml:space="preserve">             Codeine is not included in the chart because &lt;5 prescriptions were filled by this study population</w:t>
      </w:r>
      <w:r>
        <w:rPr>
          <w:rFonts w:ascii="Calibri" w:hAnsi="Calibri"/>
          <w:sz w:val="18"/>
          <w:szCs w:val="22"/>
        </w:rPr>
        <w:t>.</w:t>
      </w:r>
      <w:r w:rsidRPr="005044BE">
        <w:rPr>
          <w:rFonts w:ascii="Calibri" w:hAnsi="Calibri"/>
          <w:sz w:val="18"/>
          <w:szCs w:val="22"/>
        </w:rPr>
        <w:t xml:space="preserve"> </w:t>
      </w:r>
    </w:p>
    <w:p w:rsidR="00400E42" w:rsidRPr="00F240EB" w:rsidRDefault="00400E42" w:rsidP="007D21BB">
      <w:pPr>
        <w:rPr>
          <w:rFonts w:ascii="Calibri" w:hAnsi="Calibri"/>
          <w:sz w:val="22"/>
          <w:szCs w:val="22"/>
        </w:rPr>
      </w:pPr>
      <w:r w:rsidRPr="00F240EB">
        <w:rPr>
          <w:rFonts w:ascii="Calibri" w:hAnsi="Calibri"/>
          <w:sz w:val="22"/>
          <w:szCs w:val="22"/>
        </w:rPr>
        <w:tab/>
      </w:r>
    </w:p>
    <w:p w:rsidR="00400E42" w:rsidRPr="00F240EB" w:rsidRDefault="00400E42" w:rsidP="002D6E20">
      <w:pPr>
        <w:pStyle w:val="PBody"/>
      </w:pPr>
      <w:r w:rsidRPr="00F240EB">
        <w:t xml:space="preserve">Based on these results, </w:t>
      </w:r>
      <w:r>
        <w:t>M</w:t>
      </w:r>
      <w:r w:rsidRPr="00F240EB">
        <w:t xml:space="preserve">orphine toxicology </w:t>
      </w:r>
      <w:r>
        <w:t xml:space="preserve">was further categorized </w:t>
      </w:r>
      <w:r w:rsidRPr="00F240EB">
        <w:t>as “</w:t>
      </w:r>
      <w:r>
        <w:t>l</w:t>
      </w:r>
      <w:r w:rsidRPr="00F240EB">
        <w:t xml:space="preserve">ikely Heroin.” When crossed with the PDMP, people who had </w:t>
      </w:r>
      <w:r>
        <w:t>M</w:t>
      </w:r>
      <w:r w:rsidRPr="00F240EB">
        <w:t xml:space="preserve">orphine present at death had very low rates of Morphine prescription histories.  </w:t>
      </w:r>
      <w:r>
        <w:t>A</w:t>
      </w:r>
      <w:r w:rsidRPr="00F240EB">
        <w:t xml:space="preserve"> similar pattern for Fentanyl</w:t>
      </w:r>
      <w:r>
        <w:t xml:space="preserve"> was observed</w:t>
      </w:r>
      <w:r w:rsidRPr="00F240EB">
        <w:t>.  For Fentanyl, there is a rapidly expanding distribution of illicitly produced Fentanyl sold as Heroin,</w:t>
      </w:r>
      <w:r w:rsidRPr="005E2F2A">
        <w:rPr>
          <w:rStyle w:val="FootnoteReference"/>
          <w:rFonts w:cs="Calibri"/>
        </w:rPr>
        <w:footnoteReference w:id="25"/>
      </w:r>
      <w:r w:rsidRPr="00CA6DF5">
        <w:rPr>
          <w:vertAlign w:val="superscript"/>
        </w:rPr>
        <w:t>,</w:t>
      </w:r>
      <w:r w:rsidRPr="005E2F2A">
        <w:rPr>
          <w:rStyle w:val="FootnoteReference"/>
        </w:rPr>
        <w:footnoteReference w:id="26"/>
      </w:r>
      <w:r w:rsidRPr="00CA6DF5">
        <w:rPr>
          <w:vertAlign w:val="superscript"/>
        </w:rPr>
        <w:t>,</w:t>
      </w:r>
      <w:r w:rsidRPr="005E2F2A">
        <w:rPr>
          <w:rStyle w:val="FootnoteReference"/>
        </w:rPr>
        <w:footnoteReference w:id="27"/>
      </w:r>
      <w:r w:rsidRPr="00F240EB">
        <w:t xml:space="preserve"> which explains the low rate of Fentanyl prescriptions</w:t>
      </w:r>
      <w:r w:rsidR="00301E0D">
        <w:t>.  I</w:t>
      </w:r>
      <w:r>
        <w:t>n contrast,</w:t>
      </w:r>
      <w:r w:rsidRPr="00F240EB">
        <w:t xml:space="preserve"> people with other prescription opioids such as Oxycodone in their </w:t>
      </w:r>
      <w:r w:rsidRPr="00F240EB">
        <w:lastRenderedPageBreak/>
        <w:t>toxicology screen, were much more likely to have prescriptions for that opioid</w:t>
      </w:r>
      <w:r w:rsidR="00301E0D">
        <w:t>.  A</w:t>
      </w:r>
      <w:r w:rsidRPr="00F240EB">
        <w:t xml:space="preserve"> similar pattern with benzodiazepines and prescription opioids</w:t>
      </w:r>
      <w:r>
        <w:t xml:space="preserve"> was observed</w:t>
      </w:r>
      <w:r w:rsidR="00301E0D">
        <w:t>.  M</w:t>
      </w:r>
      <w:r w:rsidRPr="00F240EB">
        <w:t xml:space="preserve">orphine is uncommonly prescribed to people who die of overdose, relative to other opioids, yet it is prevalent in toxicology.  Thus, most </w:t>
      </w:r>
      <w:r>
        <w:t>M</w:t>
      </w:r>
      <w:r w:rsidRPr="00F240EB">
        <w:t>orphine positive toxicology results are likely due to Heroin.  This is supported by the presence of Codeine, but not always</w:t>
      </w:r>
      <w:r w:rsidR="00301E0D">
        <w:t>.  I</w:t>
      </w:r>
      <w:r w:rsidRPr="00F240EB">
        <w:t xml:space="preserve">n our linked data, Codeine is present in 48% of definite Heroin screens and </w:t>
      </w:r>
      <w:r>
        <w:t>Morphine</w:t>
      </w:r>
      <w:r w:rsidRPr="00F240EB">
        <w:t xml:space="preserve"> is present &gt;99% of the time</w:t>
      </w:r>
      <w:r w:rsidR="00301E0D">
        <w:t>.  F</w:t>
      </w:r>
      <w:r w:rsidRPr="00F240EB">
        <w:t xml:space="preserve">urther examination of the full medical examiner records of these deaths where Morphine is present would be warranted to </w:t>
      </w:r>
      <w:r>
        <w:t>confirm</w:t>
      </w:r>
      <w:r w:rsidRPr="00F240EB">
        <w:t xml:space="preserve"> this assumption. </w:t>
      </w:r>
    </w:p>
    <w:p w:rsidR="00400E42" w:rsidRPr="00F240EB" w:rsidRDefault="00400E42" w:rsidP="002D6E20">
      <w:pPr>
        <w:pStyle w:val="PBody"/>
        <w:rPr>
          <w:rFonts w:ascii="Wingdings 2" w:hAnsi="Wingdings 2"/>
        </w:rPr>
      </w:pPr>
      <w:r>
        <w:rPr>
          <w:rFonts w:cs="Calibri"/>
        </w:rPr>
        <w:t>O</w:t>
      </w:r>
      <w:r w:rsidRPr="00F240EB">
        <w:rPr>
          <w:rFonts w:cs="Calibri"/>
        </w:rPr>
        <w:t xml:space="preserve">pioid-related overdose deaths in mutually exclusive categories </w:t>
      </w:r>
      <w:r>
        <w:rPr>
          <w:rFonts w:cs="Calibri"/>
        </w:rPr>
        <w:t xml:space="preserve">were categorized </w:t>
      </w:r>
      <w:r w:rsidRPr="00F240EB">
        <w:rPr>
          <w:rFonts w:cs="Calibri"/>
        </w:rPr>
        <w:t>based on</w:t>
      </w:r>
      <w:r w:rsidRPr="00F240EB">
        <w:t xml:space="preserve"> decreasing order of deadliness</w:t>
      </w:r>
      <w:r w:rsidR="00585B6E">
        <w:rPr>
          <w:rStyle w:val="FootnoteReference"/>
        </w:rPr>
        <w:footnoteReference w:id="28"/>
      </w:r>
      <w:r w:rsidRPr="00F240EB">
        <w:t xml:space="preserve"> of the specific drugs (</w:t>
      </w:r>
      <w:r w:rsidRPr="00F240EB">
        <w:rPr>
          <w:i/>
        </w:rPr>
        <w:t>Fentanyl and/or Heroin</w:t>
      </w:r>
      <w:r w:rsidRPr="00F240EB">
        <w:t xml:space="preserve"> </w:t>
      </w:r>
      <w:r w:rsidRPr="00F240EB">
        <w:sym w:font="Wingdings" w:char="F0E0"/>
      </w:r>
      <w:r w:rsidRPr="00F240EB">
        <w:t xml:space="preserve"> </w:t>
      </w:r>
      <w:r w:rsidRPr="00F240EB">
        <w:rPr>
          <w:i/>
        </w:rPr>
        <w:t>Methadone</w:t>
      </w:r>
      <w:r w:rsidRPr="00F240EB">
        <w:t xml:space="preserve"> </w:t>
      </w:r>
      <w:r w:rsidRPr="00F240EB">
        <w:sym w:font="Wingdings" w:char="F0E0"/>
      </w:r>
      <w:r w:rsidRPr="00F240EB">
        <w:t xml:space="preserve"> </w:t>
      </w:r>
      <w:r w:rsidR="005859B1">
        <w:rPr>
          <w:i/>
        </w:rPr>
        <w:t>o</w:t>
      </w:r>
      <w:r w:rsidRPr="00F240EB">
        <w:rPr>
          <w:i/>
        </w:rPr>
        <w:t xml:space="preserve">ther </w:t>
      </w:r>
      <w:r w:rsidR="00BA3381">
        <w:rPr>
          <w:i/>
        </w:rPr>
        <w:t>Rx</w:t>
      </w:r>
      <w:r w:rsidRPr="00F240EB">
        <w:t xml:space="preserve"> </w:t>
      </w:r>
      <w:r w:rsidRPr="00F240EB">
        <w:rPr>
          <w:b/>
        </w:rPr>
        <w:t xml:space="preserve"> </w:t>
      </w:r>
      <w:r w:rsidRPr="00F240EB">
        <w:sym w:font="Wingdings" w:char="F0E0"/>
      </w:r>
      <w:r w:rsidRPr="00F240EB">
        <w:t xml:space="preserve"> </w:t>
      </w:r>
      <w:r w:rsidR="00667C4C">
        <w:rPr>
          <w:i/>
        </w:rPr>
        <w:t>bup</w:t>
      </w:r>
      <w:r w:rsidRPr="00F240EB">
        <w:rPr>
          <w:i/>
        </w:rPr>
        <w:t>renorphine</w:t>
      </w:r>
      <w:r w:rsidRPr="00F240EB">
        <w:t xml:space="preserve">) present in the results.  A person was put into a category based on the </w:t>
      </w:r>
      <w:r w:rsidR="00BA3381" w:rsidRPr="00F240EB">
        <w:t>deadliest</w:t>
      </w:r>
      <w:r w:rsidRPr="00F240EB">
        <w:t xml:space="preserve"> drug present in the results, regardless of the presence of other drugs</w:t>
      </w:r>
      <w:r w:rsidR="00301E0D">
        <w:t>.  F</w:t>
      </w:r>
      <w:r w:rsidRPr="00F240EB">
        <w:t>or example, if someone had Fentanyl and Methadone present, they would be in the “Fentanyl” group.  (See Figure K</w:t>
      </w:r>
      <w:r>
        <w:t>EY</w:t>
      </w:r>
      <w:r w:rsidRPr="00F240EB">
        <w:t>1.3)</w:t>
      </w:r>
    </w:p>
    <w:p w:rsidR="00400E42" w:rsidRPr="00F240EB" w:rsidRDefault="00400E42" w:rsidP="00400E42">
      <w:pPr>
        <w:widowControl w:val="0"/>
        <w:autoSpaceDE w:val="0"/>
        <w:autoSpaceDN w:val="0"/>
        <w:adjustRightInd w:val="0"/>
        <w:spacing w:line="480" w:lineRule="auto"/>
        <w:rPr>
          <w:rFonts w:ascii="Calibri" w:hAnsi="Calibri"/>
          <w:sz w:val="22"/>
          <w:szCs w:val="22"/>
        </w:rPr>
      </w:pPr>
    </w:p>
    <w:p w:rsidR="00400E42" w:rsidRPr="00F240EB" w:rsidRDefault="00400E42" w:rsidP="00400E42">
      <w:pPr>
        <w:widowControl w:val="0"/>
        <w:autoSpaceDE w:val="0"/>
        <w:autoSpaceDN w:val="0"/>
        <w:adjustRightInd w:val="0"/>
        <w:rPr>
          <w:rFonts w:ascii="Calibri" w:hAnsi="Calibri"/>
          <w:sz w:val="22"/>
          <w:szCs w:val="22"/>
        </w:rPr>
      </w:pPr>
      <w:r>
        <w:rPr>
          <w:rFonts w:ascii="Calibri" w:hAnsi="Calibri"/>
          <w:noProof/>
          <w:sz w:val="22"/>
          <w:szCs w:val="22"/>
        </w:rPr>
        <w:drawing>
          <wp:inline distT="0" distB="0" distL="0" distR="0" wp14:anchorId="47634492" wp14:editId="464A6FC7">
            <wp:extent cx="5962650" cy="2761615"/>
            <wp:effectExtent l="0" t="0" r="19050" b="19685"/>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00E42" w:rsidRPr="005044BE" w:rsidRDefault="00400E42" w:rsidP="00400E42">
      <w:pPr>
        <w:widowControl w:val="0"/>
        <w:autoSpaceDE w:val="0"/>
        <w:autoSpaceDN w:val="0"/>
        <w:adjustRightInd w:val="0"/>
        <w:rPr>
          <w:rFonts w:ascii="Calibri" w:hAnsi="Calibri"/>
          <w:sz w:val="18"/>
          <w:szCs w:val="22"/>
        </w:rPr>
      </w:pPr>
      <w:r w:rsidRPr="005044BE">
        <w:rPr>
          <w:rFonts w:ascii="Calibri" w:hAnsi="Calibri"/>
          <w:sz w:val="18"/>
          <w:szCs w:val="22"/>
        </w:rPr>
        <w:t xml:space="preserve">Notes: Fentanyl and/or Heroin includes: Fentanyl, Heroin, and Morphine (likely </w:t>
      </w:r>
      <w:r>
        <w:rPr>
          <w:rFonts w:ascii="Calibri" w:hAnsi="Calibri"/>
          <w:sz w:val="18"/>
          <w:szCs w:val="22"/>
        </w:rPr>
        <w:t>Heroin</w:t>
      </w:r>
      <w:r w:rsidRPr="005044BE">
        <w:rPr>
          <w:rFonts w:ascii="Calibri" w:hAnsi="Calibri"/>
          <w:sz w:val="18"/>
          <w:szCs w:val="22"/>
        </w:rPr>
        <w:t xml:space="preserve">). </w:t>
      </w:r>
    </w:p>
    <w:p w:rsidR="00400E42" w:rsidRPr="005044BE" w:rsidRDefault="00400E42" w:rsidP="00400E42">
      <w:pPr>
        <w:widowControl w:val="0"/>
        <w:autoSpaceDE w:val="0"/>
        <w:autoSpaceDN w:val="0"/>
        <w:adjustRightInd w:val="0"/>
        <w:rPr>
          <w:rFonts w:ascii="Calibri" w:hAnsi="Calibri"/>
          <w:sz w:val="18"/>
          <w:szCs w:val="22"/>
        </w:rPr>
      </w:pPr>
      <w:r w:rsidRPr="005044BE">
        <w:rPr>
          <w:rFonts w:ascii="Calibri" w:hAnsi="Calibri"/>
          <w:sz w:val="18"/>
          <w:szCs w:val="22"/>
        </w:rPr>
        <w:t xml:space="preserve">             Prescription opioids include Hydrocodone, Hydromorphone, Oxycodone, Oxymorphone, Codeine, and Tramadol</w:t>
      </w:r>
      <w:r>
        <w:rPr>
          <w:rFonts w:ascii="Calibri" w:hAnsi="Calibri"/>
          <w:sz w:val="18"/>
          <w:szCs w:val="22"/>
        </w:rPr>
        <w:t>.</w:t>
      </w:r>
    </w:p>
    <w:p w:rsidR="00400E42" w:rsidRPr="00F240EB" w:rsidRDefault="00400E42" w:rsidP="00400E42">
      <w:pPr>
        <w:widowControl w:val="0"/>
        <w:autoSpaceDE w:val="0"/>
        <w:autoSpaceDN w:val="0"/>
        <w:adjustRightInd w:val="0"/>
        <w:rPr>
          <w:rFonts w:ascii="Calibri" w:hAnsi="Calibri" w:cs="Calibri"/>
          <w:sz w:val="22"/>
          <w:szCs w:val="22"/>
        </w:rPr>
      </w:pPr>
    </w:p>
    <w:p w:rsidR="00400E42" w:rsidRDefault="00400E42" w:rsidP="00400E42">
      <w:pPr>
        <w:widowControl w:val="0"/>
        <w:autoSpaceDE w:val="0"/>
        <w:autoSpaceDN w:val="0"/>
        <w:adjustRightInd w:val="0"/>
        <w:spacing w:after="120" w:line="276" w:lineRule="auto"/>
        <w:rPr>
          <w:rFonts w:ascii="Calibri" w:hAnsi="Calibri" w:cs="Calibri"/>
          <w:b/>
          <w:sz w:val="22"/>
          <w:szCs w:val="22"/>
        </w:rPr>
      </w:pPr>
    </w:p>
    <w:p w:rsidR="00400E42" w:rsidRDefault="00400E42" w:rsidP="002D6E20">
      <w:pPr>
        <w:pStyle w:val="PBody"/>
      </w:pPr>
      <w:r w:rsidRPr="00F240EB">
        <w:rPr>
          <w:b/>
        </w:rPr>
        <w:t xml:space="preserve">Prescription filling by opioid decedents: </w:t>
      </w:r>
      <w:r w:rsidRPr="00F240EB">
        <w:t xml:space="preserve">The timing of </w:t>
      </w:r>
      <w:r w:rsidR="00466500">
        <w:rPr>
          <w:rFonts w:cs="Calibri"/>
        </w:rPr>
        <w:t>Schedule II and III</w:t>
      </w:r>
      <w:r w:rsidR="00466500" w:rsidRPr="00F240EB">
        <w:t xml:space="preserve"> </w:t>
      </w:r>
      <w:r w:rsidRPr="00F240EB">
        <w:t>opioid prescriptions and their presence or absence in toxicology screens based on the above mutually exclusive categories of toxicology results demonstrates that decedents, regardless of toxicology at death, were commonly prescribed opioids during the</w:t>
      </w:r>
      <w:r>
        <w:t xml:space="preserve"> entire</w:t>
      </w:r>
      <w:r w:rsidRPr="00F240EB">
        <w:t xml:space="preserve"> study period</w:t>
      </w:r>
      <w:r w:rsidR="005859B1">
        <w:t xml:space="preserve"> </w:t>
      </w:r>
      <w:r>
        <w:t>(2011-2014)</w:t>
      </w:r>
      <w:r w:rsidR="00301E0D">
        <w:t>.  T</w:t>
      </w:r>
      <w:r>
        <w:t xml:space="preserve">he rate of filled prescriptions for </w:t>
      </w:r>
      <w:r>
        <w:lastRenderedPageBreak/>
        <w:t>opioids during this period</w:t>
      </w:r>
      <w:r w:rsidRPr="00F240EB">
        <w:t xml:space="preserve"> </w:t>
      </w:r>
      <w:r>
        <w:t xml:space="preserve">ranged from </w:t>
      </w:r>
      <w:r w:rsidRPr="00F240EB">
        <w:t>60</w:t>
      </w:r>
      <w:r>
        <w:t xml:space="preserve">% to </w:t>
      </w:r>
      <w:r w:rsidRPr="00F240EB">
        <w:t>82%</w:t>
      </w:r>
      <w:r>
        <w:t xml:space="preserve"> depending on the drug</w:t>
      </w:r>
      <w:r w:rsidRPr="00F240EB">
        <w:t>.  (See Table K</w:t>
      </w:r>
      <w:r>
        <w:t>EY</w:t>
      </w:r>
      <w:r w:rsidRPr="00F240EB">
        <w:t xml:space="preserve">1.1) </w:t>
      </w:r>
      <w:r>
        <w:t xml:space="preserve">Looking only at prescriptions filled within </w:t>
      </w:r>
      <w:r w:rsidRPr="00F240EB">
        <w:t>1 month of overdose death, the rate dropped in each category to a range of 8.4% to 36%.  Opioid</w:t>
      </w:r>
      <w:r>
        <w:t>-</w:t>
      </w:r>
      <w:r w:rsidRPr="00F240EB">
        <w:t xml:space="preserve">involved decedents who died with only prescription opioids on board (representing under ten percent of opioid overdose deaths) were the most likely </w:t>
      </w:r>
      <w:r>
        <w:t xml:space="preserve">group </w:t>
      </w:r>
      <w:r w:rsidRPr="00F240EB">
        <w:t>to have had a prescription filled in the same month</w:t>
      </w:r>
      <w:r>
        <w:t xml:space="preserve"> </w:t>
      </w:r>
      <w:r w:rsidRPr="00F240EB">
        <w:t>(36%) or in months proximal to their death. (See Table KEY1.1)</w:t>
      </w:r>
      <w:r w:rsidR="00AC51C2">
        <w:t xml:space="preserve">  </w:t>
      </w:r>
      <w:r w:rsidR="00AC51C2" w:rsidRPr="00AC51C2">
        <w:t>While the majority of people filled an opioid prescription during the study period, relatively few filled a prescription for an opioid within one month of their death.</w:t>
      </w:r>
    </w:p>
    <w:p w:rsidR="00400E42" w:rsidRPr="00F240EB" w:rsidRDefault="00400E42" w:rsidP="00400E42">
      <w:pPr>
        <w:widowControl w:val="0"/>
        <w:autoSpaceDE w:val="0"/>
        <w:autoSpaceDN w:val="0"/>
        <w:adjustRightInd w:val="0"/>
        <w:rPr>
          <w:rFonts w:ascii="Calibri" w:hAnsi="Calibri" w:cs="Calibri"/>
          <w:sz w:val="22"/>
          <w:szCs w:val="22"/>
        </w:rPr>
      </w:pPr>
    </w:p>
    <w:tbl>
      <w:tblPr>
        <w:tblW w:w="0" w:type="auto"/>
        <w:tblLook w:val="00A0" w:firstRow="1" w:lastRow="0" w:firstColumn="1" w:lastColumn="0" w:noHBand="0" w:noVBand="0"/>
      </w:tblPr>
      <w:tblGrid>
        <w:gridCol w:w="3641"/>
        <w:gridCol w:w="885"/>
        <w:gridCol w:w="431"/>
        <w:gridCol w:w="734"/>
        <w:gridCol w:w="534"/>
        <w:gridCol w:w="732"/>
        <w:gridCol w:w="534"/>
        <w:gridCol w:w="732"/>
        <w:gridCol w:w="630"/>
        <w:gridCol w:w="723"/>
      </w:tblGrid>
      <w:tr w:rsidR="00400E42" w:rsidRPr="00F240EB" w:rsidTr="00A92FFC">
        <w:trPr>
          <w:trHeight w:val="581"/>
        </w:trPr>
        <w:tc>
          <w:tcPr>
            <w:tcW w:w="0" w:type="auto"/>
            <w:gridSpan w:val="10"/>
            <w:tcBorders>
              <w:top w:val="single" w:sz="8" w:space="0" w:color="auto"/>
              <w:left w:val="single" w:sz="8" w:space="0" w:color="auto"/>
              <w:bottom w:val="single" w:sz="4" w:space="0" w:color="auto"/>
              <w:right w:val="single" w:sz="8" w:space="0" w:color="000000"/>
            </w:tcBorders>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Table KEY1.1: Proportion of Decedents</w:t>
            </w:r>
            <w:r w:rsidR="00D91469">
              <w:rPr>
                <w:rFonts w:ascii="Calibri" w:hAnsi="Calibri"/>
                <w:b/>
                <w:bCs/>
                <w:color w:val="000000"/>
                <w:sz w:val="22"/>
                <w:szCs w:val="22"/>
              </w:rPr>
              <w:t xml:space="preserve"> (2013-2014)</w:t>
            </w:r>
            <w:r w:rsidRPr="00F240EB">
              <w:rPr>
                <w:rFonts w:ascii="Calibri" w:hAnsi="Calibri"/>
                <w:b/>
                <w:bCs/>
                <w:color w:val="000000"/>
                <w:sz w:val="22"/>
                <w:szCs w:val="22"/>
              </w:rPr>
              <w:t xml:space="preserve"> with any Prescription</w:t>
            </w:r>
            <w:r w:rsidRPr="00F240EB">
              <w:rPr>
                <w:rFonts w:ascii="Calibri" w:hAnsi="Calibri"/>
                <w:b/>
                <w:bCs/>
                <w:color w:val="000000"/>
                <w:sz w:val="22"/>
                <w:szCs w:val="22"/>
                <w:vertAlign w:val="superscript"/>
              </w:rPr>
              <w:t>1</w:t>
            </w:r>
            <w:r w:rsidRPr="00F240EB">
              <w:rPr>
                <w:rFonts w:ascii="Calibri" w:hAnsi="Calibri"/>
                <w:b/>
                <w:bCs/>
                <w:color w:val="000000"/>
                <w:sz w:val="22"/>
                <w:szCs w:val="22"/>
              </w:rPr>
              <w:t xml:space="preserve"> Opioid History</w:t>
            </w:r>
            <w:r w:rsidR="00D91469">
              <w:rPr>
                <w:rFonts w:ascii="Calibri" w:hAnsi="Calibri"/>
                <w:b/>
                <w:bCs/>
                <w:color w:val="000000"/>
                <w:sz w:val="22"/>
                <w:szCs w:val="22"/>
              </w:rPr>
              <w:t xml:space="preserve"> (2011-2014)</w:t>
            </w:r>
            <w:r w:rsidRPr="00F240EB">
              <w:rPr>
                <w:rFonts w:ascii="Calibri" w:hAnsi="Calibri"/>
                <w:b/>
                <w:bCs/>
                <w:color w:val="000000"/>
                <w:sz w:val="22"/>
                <w:szCs w:val="22"/>
              </w:rPr>
              <w:t xml:space="preserve"> by Category of Opioid Present in Toxicology Screen</w:t>
            </w:r>
          </w:p>
        </w:tc>
      </w:tr>
      <w:tr w:rsidR="00400E42" w:rsidRPr="00F240EB" w:rsidTr="00A92FFC">
        <w:trPr>
          <w:trHeight w:val="602"/>
        </w:trPr>
        <w:tc>
          <w:tcPr>
            <w:tcW w:w="0" w:type="auto"/>
            <w:tcBorders>
              <w:top w:val="single" w:sz="4" w:space="0" w:color="auto"/>
              <w:left w:val="single" w:sz="8" w:space="0" w:color="auto"/>
              <w:bottom w:val="nil"/>
              <w:right w:val="nil"/>
            </w:tcBorders>
            <w:vAlign w:val="bottom"/>
          </w:tcPr>
          <w:p w:rsidR="00400E42" w:rsidRPr="00F240EB" w:rsidRDefault="00400E42" w:rsidP="00A92FFC">
            <w:pPr>
              <w:jc w:val="center"/>
              <w:rPr>
                <w:rFonts w:ascii="Calibri" w:hAnsi="Calibri"/>
                <w:color w:val="000000"/>
                <w:szCs w:val="22"/>
              </w:rPr>
            </w:pPr>
          </w:p>
        </w:tc>
        <w:tc>
          <w:tcPr>
            <w:tcW w:w="0" w:type="auto"/>
            <w:tcBorders>
              <w:top w:val="single" w:sz="4" w:space="0" w:color="auto"/>
              <w:left w:val="nil"/>
              <w:bottom w:val="double" w:sz="6" w:space="0" w:color="auto"/>
              <w:right w:val="nil"/>
            </w:tcBorders>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Overall</w:t>
            </w:r>
          </w:p>
          <w:p w:rsidR="00400E42" w:rsidRPr="00F240EB" w:rsidRDefault="00400E42" w:rsidP="00A92FFC">
            <w:pPr>
              <w:jc w:val="center"/>
              <w:rPr>
                <w:rFonts w:ascii="Calibri" w:hAnsi="Calibri"/>
                <w:b/>
                <w:bCs/>
                <w:color w:val="000000"/>
                <w:szCs w:val="22"/>
              </w:rPr>
            </w:pPr>
          </w:p>
        </w:tc>
        <w:tc>
          <w:tcPr>
            <w:tcW w:w="0" w:type="auto"/>
            <w:gridSpan w:val="2"/>
            <w:tcBorders>
              <w:top w:val="single" w:sz="4" w:space="0" w:color="auto"/>
              <w:left w:val="nil"/>
              <w:bottom w:val="double" w:sz="6" w:space="0" w:color="auto"/>
              <w:right w:val="nil"/>
            </w:tcBorders>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Within 1 Month of Death</w:t>
            </w:r>
          </w:p>
        </w:tc>
        <w:tc>
          <w:tcPr>
            <w:tcW w:w="0" w:type="auto"/>
            <w:gridSpan w:val="2"/>
            <w:tcBorders>
              <w:top w:val="single" w:sz="4" w:space="0" w:color="auto"/>
              <w:left w:val="nil"/>
              <w:bottom w:val="double" w:sz="6" w:space="0" w:color="auto"/>
              <w:right w:val="nil"/>
            </w:tcBorders>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Within 3 Months of Death</w:t>
            </w:r>
          </w:p>
        </w:tc>
        <w:tc>
          <w:tcPr>
            <w:tcW w:w="0" w:type="auto"/>
            <w:gridSpan w:val="2"/>
            <w:tcBorders>
              <w:top w:val="single" w:sz="4" w:space="0" w:color="auto"/>
              <w:left w:val="nil"/>
              <w:bottom w:val="double" w:sz="6" w:space="0" w:color="auto"/>
              <w:right w:val="nil"/>
            </w:tcBorders>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Within 6 Months of Death</w:t>
            </w:r>
          </w:p>
        </w:tc>
        <w:tc>
          <w:tcPr>
            <w:tcW w:w="0" w:type="auto"/>
            <w:gridSpan w:val="2"/>
            <w:tcBorders>
              <w:top w:val="single" w:sz="4" w:space="0" w:color="auto"/>
              <w:left w:val="nil"/>
              <w:bottom w:val="double" w:sz="6" w:space="0" w:color="auto"/>
              <w:right w:val="single" w:sz="8" w:space="0" w:color="000000"/>
            </w:tcBorders>
            <w:vAlign w:val="center"/>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Within Study Period</w:t>
            </w:r>
          </w:p>
        </w:tc>
      </w:tr>
      <w:tr w:rsidR="00400E42" w:rsidRPr="00F240EB" w:rsidTr="00A92FFC">
        <w:trPr>
          <w:trHeight w:val="277"/>
        </w:trPr>
        <w:tc>
          <w:tcPr>
            <w:tcW w:w="0" w:type="auto"/>
            <w:tcBorders>
              <w:top w:val="nil"/>
              <w:left w:val="single" w:sz="8" w:space="0" w:color="auto"/>
              <w:bottom w:val="single" w:sz="4" w:space="0" w:color="auto"/>
              <w:right w:val="nil"/>
            </w:tcBorders>
            <w:noWrap/>
            <w:vAlign w:val="bottom"/>
          </w:tcPr>
          <w:p w:rsidR="00400E42" w:rsidRPr="00CA6DF5" w:rsidRDefault="00400E42" w:rsidP="00A92FFC">
            <w:pPr>
              <w:rPr>
                <w:rFonts w:ascii="Calibri" w:hAnsi="Calibri"/>
                <w:b/>
                <w:color w:val="000000"/>
                <w:szCs w:val="22"/>
              </w:rPr>
            </w:pPr>
            <w:r w:rsidRPr="00CA6DF5">
              <w:rPr>
                <w:rFonts w:ascii="Calibri" w:hAnsi="Calibri"/>
                <w:b/>
                <w:color w:val="000000"/>
                <w:sz w:val="22"/>
                <w:szCs w:val="22"/>
              </w:rPr>
              <w:t> </w:t>
            </w:r>
            <w:r>
              <w:rPr>
                <w:rFonts w:ascii="Calibri" w:hAnsi="Calibri"/>
                <w:b/>
                <w:color w:val="000000"/>
                <w:sz w:val="22"/>
                <w:szCs w:val="22"/>
              </w:rPr>
              <w:t xml:space="preserve">    </w:t>
            </w:r>
            <w:r w:rsidRPr="00CA6DF5">
              <w:rPr>
                <w:rFonts w:ascii="Calibri" w:hAnsi="Calibri"/>
                <w:b/>
                <w:color w:val="000000"/>
                <w:sz w:val="22"/>
                <w:szCs w:val="22"/>
              </w:rPr>
              <w:t>Toxicology Result</w:t>
            </w:r>
          </w:p>
        </w:tc>
        <w:tc>
          <w:tcPr>
            <w:tcW w:w="0" w:type="auto"/>
            <w:tcBorders>
              <w:top w:val="nil"/>
              <w:left w:val="nil"/>
              <w:bottom w:val="single" w:sz="4" w:space="0" w:color="auto"/>
              <w:right w:val="nil"/>
            </w:tcBorders>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t>
            </w:r>
          </w:p>
        </w:tc>
        <w:tc>
          <w:tcPr>
            <w:tcW w:w="0" w:type="auto"/>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t>
            </w:r>
          </w:p>
        </w:tc>
        <w:tc>
          <w:tcPr>
            <w:tcW w:w="0" w:type="auto"/>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t>
            </w:r>
          </w:p>
        </w:tc>
        <w:tc>
          <w:tcPr>
            <w:tcW w:w="0" w:type="auto"/>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single" w:sz="8" w:space="0" w:color="auto"/>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t>
            </w:r>
          </w:p>
        </w:tc>
      </w:tr>
      <w:tr w:rsidR="00400E42" w:rsidRPr="00F240EB" w:rsidTr="00A92FFC">
        <w:trPr>
          <w:trHeight w:val="264"/>
        </w:trPr>
        <w:tc>
          <w:tcPr>
            <w:tcW w:w="0" w:type="auto"/>
            <w:tcBorders>
              <w:top w:val="single" w:sz="4" w:space="0" w:color="auto"/>
              <w:left w:val="single" w:sz="4" w:space="0" w:color="auto"/>
              <w:bottom w:val="single" w:sz="4" w:space="0" w:color="auto"/>
              <w:right w:val="single" w:sz="4" w:space="0" w:color="auto"/>
            </w:tcBorders>
            <w:noWrap/>
            <w:vAlign w:val="bottom"/>
          </w:tcPr>
          <w:p w:rsidR="00400E42" w:rsidRPr="00F240EB" w:rsidRDefault="00400E42" w:rsidP="00A92FFC">
            <w:pPr>
              <w:rPr>
                <w:rFonts w:ascii="Calibri" w:hAnsi="Calibri"/>
                <w:b/>
                <w:bCs/>
                <w:color w:val="000000"/>
                <w:szCs w:val="22"/>
              </w:rPr>
            </w:pPr>
            <w:r w:rsidRPr="00F240EB">
              <w:rPr>
                <w:rFonts w:ascii="Calibri" w:hAnsi="Calibri"/>
                <w:b/>
                <w:bCs/>
                <w:color w:val="000000"/>
                <w:sz w:val="22"/>
                <w:szCs w:val="22"/>
              </w:rPr>
              <w:t>Fentanyl and Definite Heroin Present</w:t>
            </w:r>
          </w:p>
        </w:tc>
        <w:tc>
          <w:tcPr>
            <w:tcW w:w="0" w:type="auto"/>
            <w:tcBorders>
              <w:top w:val="single" w:sz="4" w:space="0" w:color="auto"/>
              <w:left w:val="single" w:sz="4" w:space="0" w:color="auto"/>
              <w:bottom w:val="single" w:sz="4" w:space="0" w:color="auto"/>
              <w:right w:val="single" w:sz="4" w:space="0" w:color="auto"/>
            </w:tcBorders>
            <w:vAlign w:val="center"/>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166</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16</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9.6%</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22</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13.35</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38</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22.9%</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104</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62.7%</w:t>
            </w:r>
          </w:p>
        </w:tc>
      </w:tr>
      <w:tr w:rsidR="00400E42" w:rsidRPr="00F240EB" w:rsidTr="00A92FFC">
        <w:trPr>
          <w:trHeight w:val="264"/>
        </w:trPr>
        <w:tc>
          <w:tcPr>
            <w:tcW w:w="0" w:type="auto"/>
            <w:tcBorders>
              <w:top w:val="single" w:sz="4" w:space="0" w:color="auto"/>
              <w:left w:val="single" w:sz="4" w:space="0" w:color="auto"/>
              <w:bottom w:val="single" w:sz="4" w:space="0" w:color="auto"/>
              <w:right w:val="single" w:sz="4" w:space="0" w:color="auto"/>
            </w:tcBorders>
            <w:noWrap/>
            <w:vAlign w:val="bottom"/>
          </w:tcPr>
          <w:p w:rsidR="00400E42" w:rsidRPr="00F240EB" w:rsidRDefault="00400E42" w:rsidP="00A92FFC">
            <w:pPr>
              <w:rPr>
                <w:rFonts w:ascii="Calibri" w:hAnsi="Calibri"/>
                <w:b/>
                <w:bCs/>
                <w:color w:val="000000"/>
                <w:szCs w:val="22"/>
              </w:rPr>
            </w:pPr>
            <w:r w:rsidRPr="00F240EB">
              <w:rPr>
                <w:rFonts w:ascii="Calibri" w:hAnsi="Calibri"/>
                <w:b/>
                <w:bCs/>
                <w:color w:val="000000"/>
                <w:sz w:val="22"/>
                <w:szCs w:val="22"/>
              </w:rPr>
              <w:t>Fentanyl and Likely Heroin Present</w:t>
            </w:r>
          </w:p>
        </w:tc>
        <w:tc>
          <w:tcPr>
            <w:tcW w:w="0" w:type="auto"/>
            <w:tcBorders>
              <w:top w:val="single" w:sz="4" w:space="0" w:color="auto"/>
              <w:left w:val="single" w:sz="4" w:space="0" w:color="auto"/>
              <w:bottom w:val="single" w:sz="4" w:space="0" w:color="auto"/>
              <w:right w:val="single" w:sz="4" w:space="0" w:color="auto"/>
            </w:tcBorders>
            <w:vAlign w:val="center"/>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83</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7</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8.4%</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16</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19.3%</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21</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25.3%</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54</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65.1%</w:t>
            </w:r>
          </w:p>
        </w:tc>
      </w:tr>
      <w:tr w:rsidR="00400E42" w:rsidRPr="00F240EB" w:rsidTr="00A92FFC">
        <w:trPr>
          <w:trHeight w:val="264"/>
        </w:trPr>
        <w:tc>
          <w:tcPr>
            <w:tcW w:w="0" w:type="auto"/>
            <w:tcBorders>
              <w:top w:val="single" w:sz="4" w:space="0" w:color="auto"/>
              <w:left w:val="single" w:sz="4" w:space="0" w:color="auto"/>
              <w:bottom w:val="single" w:sz="4" w:space="0" w:color="auto"/>
              <w:right w:val="single" w:sz="4" w:space="0" w:color="auto"/>
            </w:tcBorders>
            <w:noWrap/>
            <w:vAlign w:val="bottom"/>
          </w:tcPr>
          <w:p w:rsidR="00400E42" w:rsidRPr="00F240EB" w:rsidRDefault="00400E42" w:rsidP="00A92FFC">
            <w:pPr>
              <w:rPr>
                <w:rFonts w:ascii="Calibri" w:hAnsi="Calibri"/>
                <w:b/>
                <w:bCs/>
                <w:color w:val="000000"/>
                <w:szCs w:val="22"/>
              </w:rPr>
            </w:pPr>
            <w:r w:rsidRPr="00F240EB">
              <w:rPr>
                <w:rFonts w:ascii="Calibri" w:hAnsi="Calibri"/>
                <w:b/>
                <w:bCs/>
                <w:color w:val="000000"/>
                <w:sz w:val="22"/>
                <w:szCs w:val="22"/>
              </w:rPr>
              <w:t>Fentanyl Present</w:t>
            </w:r>
          </w:p>
        </w:tc>
        <w:tc>
          <w:tcPr>
            <w:tcW w:w="0" w:type="auto"/>
            <w:tcBorders>
              <w:top w:val="single" w:sz="4" w:space="0" w:color="auto"/>
              <w:left w:val="single" w:sz="4" w:space="0" w:color="auto"/>
              <w:bottom w:val="single" w:sz="4" w:space="0" w:color="auto"/>
              <w:right w:val="single" w:sz="4" w:space="0" w:color="auto"/>
            </w:tcBorders>
            <w:vAlign w:val="center"/>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288</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50</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17.4%</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64</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22.2%</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87</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30.2%</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195</w:t>
            </w:r>
          </w:p>
        </w:tc>
        <w:tc>
          <w:tcPr>
            <w:tcW w:w="0" w:type="auto"/>
            <w:tcBorders>
              <w:top w:val="single" w:sz="4" w:space="0" w:color="auto"/>
              <w:left w:val="single" w:sz="4" w:space="0" w:color="auto"/>
              <w:bottom w:val="single" w:sz="4" w:space="0" w:color="auto"/>
              <w:right w:val="single" w:sz="4" w:space="0" w:color="auto"/>
            </w:tcBorders>
            <w:noWrap/>
            <w:vAlign w:val="bottom"/>
          </w:tcPr>
          <w:p w:rsidR="00400E42" w:rsidRPr="00E11012" w:rsidRDefault="00400E42" w:rsidP="00A92FFC">
            <w:pPr>
              <w:jc w:val="center"/>
              <w:rPr>
                <w:rFonts w:ascii="Calibri" w:hAnsi="Calibri"/>
                <w:color w:val="000000"/>
                <w:sz w:val="20"/>
                <w:szCs w:val="22"/>
              </w:rPr>
            </w:pPr>
            <w:r w:rsidRPr="00E11012">
              <w:rPr>
                <w:rFonts w:ascii="Calibri" w:hAnsi="Calibri"/>
                <w:color w:val="000000"/>
                <w:sz w:val="20"/>
                <w:szCs w:val="22"/>
              </w:rPr>
              <w:t>67.7%</w:t>
            </w:r>
          </w:p>
        </w:tc>
      </w:tr>
      <w:tr w:rsidR="00E11012" w:rsidRPr="00F240EB" w:rsidTr="00A92FFC">
        <w:trPr>
          <w:trHeight w:val="264"/>
        </w:trPr>
        <w:tc>
          <w:tcPr>
            <w:tcW w:w="0" w:type="auto"/>
            <w:tcBorders>
              <w:top w:val="single" w:sz="4" w:space="0" w:color="auto"/>
              <w:left w:val="single" w:sz="4" w:space="0" w:color="auto"/>
              <w:bottom w:val="single" w:sz="4" w:space="0" w:color="auto"/>
              <w:right w:val="single" w:sz="4" w:space="0" w:color="auto"/>
            </w:tcBorders>
            <w:noWrap/>
            <w:vAlign w:val="bottom"/>
          </w:tcPr>
          <w:p w:rsidR="00E11012" w:rsidRPr="00F240EB" w:rsidRDefault="00E11012" w:rsidP="00A92FFC">
            <w:pPr>
              <w:rPr>
                <w:rFonts w:ascii="Calibri" w:hAnsi="Calibri"/>
                <w:b/>
                <w:bCs/>
                <w:color w:val="000000"/>
                <w:szCs w:val="22"/>
              </w:rPr>
            </w:pPr>
            <w:r w:rsidRPr="00F240EB">
              <w:rPr>
                <w:rFonts w:ascii="Calibri" w:hAnsi="Calibri"/>
                <w:b/>
                <w:bCs/>
                <w:color w:val="000000"/>
                <w:sz w:val="22"/>
                <w:szCs w:val="22"/>
              </w:rPr>
              <w:t>Definite Heroin Present</w:t>
            </w:r>
          </w:p>
        </w:tc>
        <w:tc>
          <w:tcPr>
            <w:tcW w:w="0" w:type="auto"/>
            <w:tcBorders>
              <w:top w:val="single" w:sz="4" w:space="0" w:color="auto"/>
              <w:left w:val="single" w:sz="4" w:space="0" w:color="auto"/>
              <w:bottom w:val="single" w:sz="4" w:space="0" w:color="auto"/>
              <w:right w:val="single" w:sz="4" w:space="0" w:color="auto"/>
            </w:tcBorders>
            <w:vAlign w:val="center"/>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547</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71</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13.0%</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104</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19.0%</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150</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27.4%</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353</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64.5%</w:t>
            </w:r>
          </w:p>
        </w:tc>
      </w:tr>
      <w:tr w:rsidR="00E11012" w:rsidRPr="00F240EB" w:rsidTr="00A92FFC">
        <w:trPr>
          <w:trHeight w:val="264"/>
        </w:trPr>
        <w:tc>
          <w:tcPr>
            <w:tcW w:w="0" w:type="auto"/>
            <w:tcBorders>
              <w:top w:val="single" w:sz="4" w:space="0" w:color="auto"/>
              <w:left w:val="single" w:sz="4" w:space="0" w:color="auto"/>
              <w:bottom w:val="single" w:sz="4" w:space="0" w:color="auto"/>
              <w:right w:val="single" w:sz="4" w:space="0" w:color="auto"/>
            </w:tcBorders>
            <w:noWrap/>
            <w:vAlign w:val="bottom"/>
          </w:tcPr>
          <w:p w:rsidR="00E11012" w:rsidRPr="00F240EB" w:rsidRDefault="00E11012" w:rsidP="00A92FFC">
            <w:pPr>
              <w:rPr>
                <w:rFonts w:ascii="Calibri" w:hAnsi="Calibri"/>
                <w:b/>
                <w:bCs/>
                <w:color w:val="000000"/>
                <w:szCs w:val="22"/>
              </w:rPr>
            </w:pPr>
            <w:r w:rsidRPr="00F240EB">
              <w:rPr>
                <w:rFonts w:ascii="Calibri" w:hAnsi="Calibri"/>
                <w:b/>
                <w:bCs/>
                <w:color w:val="000000"/>
                <w:sz w:val="22"/>
                <w:szCs w:val="22"/>
              </w:rPr>
              <w:t>Likely Heroin Present</w:t>
            </w:r>
          </w:p>
        </w:tc>
        <w:tc>
          <w:tcPr>
            <w:tcW w:w="0" w:type="auto"/>
            <w:tcBorders>
              <w:top w:val="single" w:sz="4" w:space="0" w:color="auto"/>
              <w:left w:val="single" w:sz="4" w:space="0" w:color="auto"/>
              <w:bottom w:val="single" w:sz="4" w:space="0" w:color="auto"/>
              <w:right w:val="single" w:sz="4" w:space="0" w:color="auto"/>
            </w:tcBorders>
            <w:vAlign w:val="center"/>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320</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39</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12.2&amp;</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68</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21.3%</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92</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28.8%</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207</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64.7%</w:t>
            </w:r>
          </w:p>
        </w:tc>
      </w:tr>
      <w:tr w:rsidR="00E11012" w:rsidRPr="00F240EB" w:rsidTr="00A92FFC">
        <w:trPr>
          <w:trHeight w:val="264"/>
        </w:trPr>
        <w:tc>
          <w:tcPr>
            <w:tcW w:w="0" w:type="auto"/>
            <w:tcBorders>
              <w:top w:val="single" w:sz="4" w:space="0" w:color="auto"/>
              <w:left w:val="single" w:sz="4" w:space="0" w:color="auto"/>
              <w:bottom w:val="single" w:sz="4" w:space="0" w:color="auto"/>
              <w:right w:val="single" w:sz="4" w:space="0" w:color="auto"/>
            </w:tcBorders>
            <w:noWrap/>
            <w:vAlign w:val="bottom"/>
          </w:tcPr>
          <w:p w:rsidR="00E11012" w:rsidRPr="00F240EB" w:rsidRDefault="00E11012" w:rsidP="00A92FFC">
            <w:pPr>
              <w:rPr>
                <w:rFonts w:ascii="Calibri" w:hAnsi="Calibri"/>
                <w:b/>
                <w:bCs/>
                <w:color w:val="000000"/>
                <w:szCs w:val="22"/>
              </w:rPr>
            </w:pPr>
            <w:r w:rsidRPr="00F240EB">
              <w:rPr>
                <w:rFonts w:ascii="Calibri" w:hAnsi="Calibri"/>
                <w:b/>
                <w:bCs/>
                <w:color w:val="000000"/>
                <w:sz w:val="22"/>
                <w:szCs w:val="22"/>
              </w:rPr>
              <w:t>Methadone Present</w:t>
            </w:r>
          </w:p>
        </w:tc>
        <w:tc>
          <w:tcPr>
            <w:tcW w:w="0" w:type="auto"/>
            <w:tcBorders>
              <w:top w:val="single" w:sz="4" w:space="0" w:color="auto"/>
              <w:left w:val="single" w:sz="4" w:space="0" w:color="auto"/>
              <w:bottom w:val="single" w:sz="4" w:space="0" w:color="auto"/>
              <w:right w:val="single" w:sz="4" w:space="0" w:color="auto"/>
            </w:tcBorders>
            <w:vAlign w:val="center"/>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84</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23</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27.4%</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34</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40.5%</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39</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46.4%</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64</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76.2%</w:t>
            </w:r>
          </w:p>
        </w:tc>
      </w:tr>
      <w:tr w:rsidR="00E11012" w:rsidRPr="00F240EB" w:rsidTr="00A92FFC">
        <w:trPr>
          <w:trHeight w:val="264"/>
        </w:trPr>
        <w:tc>
          <w:tcPr>
            <w:tcW w:w="0" w:type="auto"/>
            <w:tcBorders>
              <w:top w:val="single" w:sz="4" w:space="0" w:color="auto"/>
              <w:left w:val="single" w:sz="4" w:space="0" w:color="auto"/>
              <w:bottom w:val="single" w:sz="4" w:space="0" w:color="auto"/>
              <w:right w:val="single" w:sz="4" w:space="0" w:color="auto"/>
            </w:tcBorders>
            <w:noWrap/>
            <w:vAlign w:val="bottom"/>
          </w:tcPr>
          <w:p w:rsidR="00E11012" w:rsidRPr="00F240EB" w:rsidRDefault="00E11012" w:rsidP="00A92FFC">
            <w:pPr>
              <w:rPr>
                <w:rFonts w:ascii="Calibri" w:hAnsi="Calibri"/>
                <w:b/>
                <w:bCs/>
                <w:color w:val="000000"/>
                <w:szCs w:val="22"/>
              </w:rPr>
            </w:pPr>
            <w:r>
              <w:rPr>
                <w:rFonts w:ascii="Calibri" w:hAnsi="Calibri"/>
                <w:b/>
                <w:bCs/>
                <w:color w:val="000000"/>
                <w:sz w:val="22"/>
                <w:szCs w:val="22"/>
              </w:rPr>
              <w:t>Prescription Opioid</w:t>
            </w:r>
            <w:r w:rsidRPr="00F240EB">
              <w:rPr>
                <w:rFonts w:ascii="Calibri" w:hAnsi="Calibri"/>
                <w:b/>
                <w:bCs/>
                <w:color w:val="000000"/>
                <w:sz w:val="22"/>
                <w:szCs w:val="22"/>
              </w:rPr>
              <w:t xml:space="preserve"> Present</w:t>
            </w:r>
          </w:p>
        </w:tc>
        <w:tc>
          <w:tcPr>
            <w:tcW w:w="0" w:type="auto"/>
            <w:tcBorders>
              <w:top w:val="single" w:sz="4" w:space="0" w:color="auto"/>
              <w:left w:val="single" w:sz="4" w:space="0" w:color="auto"/>
              <w:bottom w:val="single" w:sz="4" w:space="0" w:color="auto"/>
              <w:right w:val="single" w:sz="4" w:space="0" w:color="auto"/>
            </w:tcBorders>
            <w:vAlign w:val="center"/>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154</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57</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37.0%</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77</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50.0%</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88</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57.1%</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127</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sz w:val="20"/>
              </w:rPr>
              <w:t>82.5%</w:t>
            </w:r>
          </w:p>
        </w:tc>
      </w:tr>
      <w:tr w:rsidR="00E11012" w:rsidRPr="00F240EB" w:rsidTr="00A92FFC">
        <w:trPr>
          <w:trHeight w:val="277"/>
        </w:trPr>
        <w:tc>
          <w:tcPr>
            <w:tcW w:w="0" w:type="auto"/>
            <w:tcBorders>
              <w:top w:val="single" w:sz="4" w:space="0" w:color="auto"/>
              <w:left w:val="single" w:sz="4" w:space="0" w:color="auto"/>
              <w:bottom w:val="single" w:sz="4" w:space="0" w:color="auto"/>
              <w:right w:val="single" w:sz="4" w:space="0" w:color="auto"/>
            </w:tcBorders>
            <w:noWrap/>
            <w:vAlign w:val="bottom"/>
          </w:tcPr>
          <w:p w:rsidR="00E11012" w:rsidRPr="00F240EB" w:rsidRDefault="00E11012" w:rsidP="00A92FFC">
            <w:pPr>
              <w:rPr>
                <w:rFonts w:ascii="Calibri" w:hAnsi="Calibri"/>
                <w:b/>
                <w:bCs/>
                <w:color w:val="000000"/>
                <w:szCs w:val="22"/>
              </w:rPr>
            </w:pPr>
            <w:r w:rsidRPr="00F240EB">
              <w:rPr>
                <w:rFonts w:ascii="Calibri" w:hAnsi="Calibri"/>
                <w:b/>
                <w:bCs/>
                <w:color w:val="000000"/>
                <w:sz w:val="22"/>
                <w:szCs w:val="22"/>
              </w:rPr>
              <w:t>Buprenorphine</w:t>
            </w:r>
          </w:p>
        </w:tc>
        <w:tc>
          <w:tcPr>
            <w:tcW w:w="0" w:type="auto"/>
            <w:tcBorders>
              <w:top w:val="single" w:sz="4" w:space="0" w:color="auto"/>
              <w:left w:val="single" w:sz="4" w:space="0" w:color="auto"/>
              <w:bottom w:val="single" w:sz="4" w:space="0" w:color="auto"/>
              <w:right w:val="single" w:sz="4" w:space="0" w:color="auto"/>
            </w:tcBorders>
            <w:vAlign w:val="center"/>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15</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&lt;5</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N/A</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&lt;5</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N/A</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&lt;5</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N/A</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9</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60.0%</w:t>
            </w:r>
          </w:p>
        </w:tc>
      </w:tr>
      <w:tr w:rsidR="00E11012" w:rsidRPr="00F240EB" w:rsidTr="00A92FFC">
        <w:trPr>
          <w:trHeight w:val="277"/>
        </w:trPr>
        <w:tc>
          <w:tcPr>
            <w:tcW w:w="0" w:type="auto"/>
            <w:tcBorders>
              <w:top w:val="single" w:sz="4" w:space="0" w:color="auto"/>
              <w:left w:val="single" w:sz="4" w:space="0" w:color="auto"/>
              <w:bottom w:val="single" w:sz="4" w:space="0" w:color="auto"/>
              <w:right w:val="single" w:sz="4" w:space="0" w:color="auto"/>
            </w:tcBorders>
            <w:noWrap/>
            <w:vAlign w:val="bottom"/>
          </w:tcPr>
          <w:p w:rsidR="00E11012" w:rsidRPr="00F240EB" w:rsidRDefault="00E11012" w:rsidP="00A92FFC">
            <w:pPr>
              <w:rPr>
                <w:rFonts w:ascii="Calibri" w:hAnsi="Calibri"/>
                <w:b/>
                <w:bCs/>
                <w:color w:val="000000"/>
                <w:szCs w:val="22"/>
              </w:rPr>
            </w:pPr>
            <w:r w:rsidRPr="00F240EB">
              <w:rPr>
                <w:rFonts w:ascii="Calibri" w:hAnsi="Calibri"/>
                <w:b/>
                <w:bCs/>
                <w:color w:val="000000"/>
                <w:sz w:val="22"/>
                <w:szCs w:val="22"/>
              </w:rPr>
              <w:t>Total</w:t>
            </w:r>
          </w:p>
        </w:tc>
        <w:tc>
          <w:tcPr>
            <w:tcW w:w="0" w:type="auto"/>
            <w:tcBorders>
              <w:top w:val="single" w:sz="4" w:space="0" w:color="auto"/>
              <w:left w:val="single" w:sz="4" w:space="0" w:color="auto"/>
              <w:bottom w:val="single" w:sz="4" w:space="0" w:color="auto"/>
              <w:right w:val="single" w:sz="4" w:space="0" w:color="auto"/>
            </w:tcBorders>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1657</w:t>
            </w:r>
            <w:r w:rsidRPr="00E11012">
              <w:rPr>
                <w:rStyle w:val="FootnoteReference"/>
                <w:color w:val="000000"/>
                <w:sz w:val="20"/>
                <w:szCs w:val="22"/>
              </w:rPr>
              <w:footnoteReference w:id="29"/>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w:t>
            </w:r>
            <w:r w:rsidRPr="00E11012">
              <w:rPr>
                <w:rFonts w:ascii="Calibri" w:hAnsi="Calibri"/>
                <w:color w:val="000000"/>
                <w:sz w:val="20"/>
                <w:szCs w:val="22"/>
                <w:vertAlign w:val="superscript"/>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w:t>
            </w:r>
            <w:r w:rsidRPr="00E11012">
              <w:rPr>
                <w:rFonts w:ascii="Calibri" w:hAnsi="Calibri"/>
                <w:color w:val="000000"/>
                <w:sz w:val="20"/>
                <w:szCs w:val="22"/>
                <w:vertAlign w:val="superscript"/>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w:t>
            </w:r>
            <w:r w:rsidRPr="00E11012">
              <w:rPr>
                <w:rFonts w:ascii="Calibri" w:hAnsi="Calibri"/>
                <w:color w:val="000000"/>
                <w:sz w:val="20"/>
                <w:szCs w:val="22"/>
                <w:vertAlign w:val="superscript"/>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w:t>
            </w:r>
            <w:r w:rsidRPr="00E11012">
              <w:rPr>
                <w:rFonts w:ascii="Calibri" w:hAnsi="Calibri"/>
                <w:color w:val="000000"/>
                <w:sz w:val="20"/>
                <w:szCs w:val="22"/>
                <w:vertAlign w:val="superscript"/>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w:t>
            </w:r>
            <w:r w:rsidRPr="00E11012">
              <w:rPr>
                <w:rFonts w:ascii="Calibri" w:hAnsi="Calibri"/>
                <w:color w:val="000000"/>
                <w:sz w:val="20"/>
                <w:szCs w:val="22"/>
                <w:vertAlign w:val="superscript"/>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w:t>
            </w:r>
            <w:r w:rsidRPr="00E11012">
              <w:rPr>
                <w:rFonts w:ascii="Calibri" w:hAnsi="Calibri"/>
                <w:color w:val="000000"/>
                <w:sz w:val="20"/>
                <w:szCs w:val="22"/>
                <w:vertAlign w:val="superscript"/>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1113</w:t>
            </w:r>
          </w:p>
        </w:tc>
        <w:tc>
          <w:tcPr>
            <w:tcW w:w="0" w:type="auto"/>
            <w:tcBorders>
              <w:top w:val="single" w:sz="4" w:space="0" w:color="auto"/>
              <w:left w:val="single" w:sz="4" w:space="0" w:color="auto"/>
              <w:bottom w:val="single" w:sz="4" w:space="0" w:color="auto"/>
              <w:right w:val="single" w:sz="4" w:space="0" w:color="auto"/>
            </w:tcBorders>
            <w:noWrap/>
            <w:vAlign w:val="bottom"/>
          </w:tcPr>
          <w:p w:rsidR="00E11012" w:rsidRPr="00E11012" w:rsidRDefault="00E11012" w:rsidP="001C267C">
            <w:pPr>
              <w:jc w:val="center"/>
              <w:rPr>
                <w:rFonts w:ascii="Calibri" w:hAnsi="Calibri"/>
                <w:color w:val="000000"/>
                <w:sz w:val="20"/>
                <w:szCs w:val="22"/>
              </w:rPr>
            </w:pPr>
            <w:r w:rsidRPr="00E11012">
              <w:rPr>
                <w:rFonts w:ascii="Calibri" w:hAnsi="Calibri"/>
                <w:color w:val="000000"/>
                <w:sz w:val="20"/>
                <w:szCs w:val="22"/>
              </w:rPr>
              <w:t>67.2%</w:t>
            </w:r>
          </w:p>
        </w:tc>
      </w:tr>
    </w:tbl>
    <w:p w:rsidR="00E11012" w:rsidRDefault="00400E42" w:rsidP="00400E42">
      <w:pPr>
        <w:widowControl w:val="0"/>
        <w:autoSpaceDE w:val="0"/>
        <w:autoSpaceDN w:val="0"/>
        <w:adjustRightInd w:val="0"/>
        <w:rPr>
          <w:rFonts w:ascii="Calibri" w:hAnsi="Calibri"/>
          <w:sz w:val="18"/>
          <w:szCs w:val="22"/>
        </w:rPr>
      </w:pPr>
      <w:r w:rsidRPr="002D7EF5">
        <w:rPr>
          <w:rFonts w:ascii="Calibri" w:hAnsi="Calibri"/>
          <w:sz w:val="18"/>
          <w:szCs w:val="22"/>
        </w:rPr>
        <w:t>1. Includes any prescription for Fentanyl, Methadone, Hydrocodone, Hydromorphone, Oxycodone,</w:t>
      </w:r>
      <w:r>
        <w:rPr>
          <w:rFonts w:ascii="Calibri" w:hAnsi="Calibri"/>
          <w:sz w:val="18"/>
          <w:szCs w:val="22"/>
        </w:rPr>
        <w:t xml:space="preserve"> </w:t>
      </w:r>
      <w:r w:rsidRPr="002D7EF5">
        <w:rPr>
          <w:rFonts w:ascii="Calibri" w:hAnsi="Calibri"/>
          <w:sz w:val="18"/>
          <w:szCs w:val="22"/>
        </w:rPr>
        <w:t>Oxymorphone, Morphine,</w:t>
      </w:r>
      <w:r>
        <w:rPr>
          <w:rFonts w:ascii="Calibri" w:hAnsi="Calibri"/>
          <w:sz w:val="18"/>
          <w:szCs w:val="22"/>
        </w:rPr>
        <w:br/>
        <w:t xml:space="preserve">   </w:t>
      </w:r>
      <w:r w:rsidRPr="002D7EF5">
        <w:rPr>
          <w:rFonts w:ascii="Calibri" w:hAnsi="Calibri"/>
          <w:sz w:val="18"/>
          <w:szCs w:val="22"/>
        </w:rPr>
        <w:t>or Codeine</w:t>
      </w:r>
    </w:p>
    <w:p w:rsidR="00400E42" w:rsidRPr="00F240EB" w:rsidRDefault="00E11012" w:rsidP="00400E42">
      <w:pPr>
        <w:widowControl w:val="0"/>
        <w:autoSpaceDE w:val="0"/>
        <w:autoSpaceDN w:val="0"/>
        <w:adjustRightInd w:val="0"/>
        <w:rPr>
          <w:rFonts w:ascii="Calibri" w:hAnsi="Calibri" w:cs="Calibri"/>
          <w:sz w:val="22"/>
          <w:szCs w:val="22"/>
        </w:rPr>
      </w:pPr>
      <w:r>
        <w:rPr>
          <w:rFonts w:ascii="Calibri" w:hAnsi="Calibri"/>
          <w:sz w:val="18"/>
          <w:szCs w:val="22"/>
        </w:rPr>
        <w:t xml:space="preserve">2. </w:t>
      </w:r>
      <w:r w:rsidRPr="00E11012">
        <w:rPr>
          <w:rFonts w:ascii="Calibri" w:hAnsi="Calibri"/>
          <w:sz w:val="18"/>
          <w:szCs w:val="22"/>
        </w:rPr>
        <w:t>Number not displayed because of complimentary suppression rules.</w:t>
      </w:r>
      <w:r w:rsidR="00400E42" w:rsidRPr="00F240EB">
        <w:rPr>
          <w:rFonts w:ascii="Calibri" w:hAnsi="Calibri"/>
          <w:sz w:val="22"/>
          <w:szCs w:val="22"/>
        </w:rPr>
        <w:br/>
      </w:r>
    </w:p>
    <w:p w:rsidR="00400E42" w:rsidRDefault="00400E42" w:rsidP="002D6E20">
      <w:pPr>
        <w:pStyle w:val="PBody"/>
      </w:pPr>
      <w:r w:rsidRPr="00F240EB">
        <w:rPr>
          <w:b/>
        </w:rPr>
        <w:t xml:space="preserve">Polysubstance use: </w:t>
      </w:r>
      <w:r w:rsidR="004F1712" w:rsidRPr="0099421B">
        <w:t>Polysubstance use</w:t>
      </w:r>
      <w:r w:rsidR="004F1712">
        <w:t xml:space="preserve"> can involve using 2 drugs for non-medical purposes. For example,</w:t>
      </w:r>
      <w:r w:rsidR="004F1712" w:rsidRPr="00F240EB">
        <w:rPr>
          <w:b/>
        </w:rPr>
        <w:t xml:space="preserve"> </w:t>
      </w:r>
      <w:r w:rsidR="004F1712" w:rsidRPr="001178AC">
        <w:t>b</w:t>
      </w:r>
      <w:r w:rsidR="004F1712" w:rsidRPr="00F240EB">
        <w:t>enzodiazepines</w:t>
      </w:r>
      <w:r w:rsidR="004F1712">
        <w:rPr>
          <w:rStyle w:val="FootnoteReference"/>
        </w:rPr>
        <w:footnoteReference w:id="30"/>
      </w:r>
      <w:r w:rsidR="004F1712" w:rsidRPr="00F240EB">
        <w:t xml:space="preserve"> are commonly taken with opioids for non-medical purposes</w:t>
      </w:r>
      <w:r w:rsidR="004F1712">
        <w:t xml:space="preserve">.  The combination of the medications depresses the central nervous system at a higher rate than just using one of the medications. </w:t>
      </w:r>
      <w:r w:rsidRPr="00F240EB">
        <w:t>Benzodiazepines are commonly taken with opioids for non-medical purposes</w:t>
      </w:r>
      <w:r w:rsidR="00301E0D">
        <w:t>.  B</w:t>
      </w:r>
      <w:r w:rsidRPr="00F240EB">
        <w:t>enzodiazepines are present consistently in toxicology screens, regardless of the opioid present, in over half of overdoses</w:t>
      </w:r>
      <w:r w:rsidR="00301E0D">
        <w:t>.  T</w:t>
      </w:r>
      <w:r w:rsidRPr="002A7973">
        <w:t>his pattern has been demonstrated in other populations</w:t>
      </w:r>
      <w:r>
        <w:t>.</w:t>
      </w:r>
      <w:r w:rsidRPr="005E2F2A">
        <w:rPr>
          <w:rStyle w:val="FootnoteReference"/>
        </w:rPr>
        <w:footnoteReference w:id="31"/>
      </w:r>
      <w:r>
        <w:t xml:space="preserve"> </w:t>
      </w:r>
      <w:r w:rsidRPr="00F240EB">
        <w:t xml:space="preserve">The proportion of people with a prescription for a benzodiazepine within one month of death ranged from 14-25% in the toxicology subgroups </w:t>
      </w:r>
      <w:r>
        <w:t xml:space="preserve">while </w:t>
      </w:r>
      <w:r w:rsidRPr="00F240EB">
        <w:t xml:space="preserve">over half had a prescription during the study period.  (See Table KEY1.2) Of particular note, benzodiazepines were present in 62% of overdoses when only a prescription opioid was </w:t>
      </w:r>
      <w:r w:rsidRPr="00F240EB">
        <w:lastRenderedPageBreak/>
        <w:t>present, and 25% of these had a prescription within a month of their death</w:t>
      </w:r>
      <w:r w:rsidR="00301E0D">
        <w:t>.  T</w:t>
      </w:r>
      <w:r w:rsidRPr="00F240EB">
        <w:t xml:space="preserve">hey were present 69% of the time when </w:t>
      </w:r>
      <w:r>
        <w:t>M</w:t>
      </w:r>
      <w:r w:rsidRPr="00F240EB">
        <w:t xml:space="preserve">ethadone was present, and 24% of these people had a prescription for a benzodiazepine within a month of death. (See Table KEY1.3) </w:t>
      </w:r>
    </w:p>
    <w:p w:rsidR="00400E42" w:rsidRDefault="00400E42" w:rsidP="002D6E20">
      <w:pPr>
        <w:pStyle w:val="PBody"/>
      </w:pPr>
      <w:r w:rsidRPr="00F240EB">
        <w:t xml:space="preserve">Unlike the specific opioid products, benzodiazepines had a presence in death </w:t>
      </w:r>
      <w:r>
        <w:t xml:space="preserve">toxicology </w:t>
      </w:r>
      <w:r w:rsidRPr="00F240EB">
        <w:t xml:space="preserve">samples that exceeded the prevalence prescribed.  While benzodiazepines were present in 982 toxicology screens, only </w:t>
      </w:r>
      <w:r w:rsidR="00E11012">
        <w:t>495</w:t>
      </w:r>
      <w:r w:rsidRPr="00F240EB">
        <w:t xml:space="preserve"> people ever had a prescription for one and </w:t>
      </w:r>
      <w:r w:rsidR="00E11012">
        <w:t>less than 200</w:t>
      </w:r>
      <w:r w:rsidRPr="00F240EB">
        <w:t xml:space="preserve"> had a prescription within one month of their death</w:t>
      </w:r>
      <w:r w:rsidR="00301E0D">
        <w:t>.  T</w:t>
      </w:r>
      <w:r w:rsidRPr="00F240EB">
        <w:t>his suggests a substantial amount of diversion, and that benzodiazepines involved in opioid overdose deaths are a combination of prescribed and diverted pills.  (See Table KEY1.3)</w:t>
      </w:r>
      <w:r>
        <w:t xml:space="preserve">  </w:t>
      </w:r>
    </w:p>
    <w:p w:rsidR="00400E42" w:rsidRDefault="00400E42" w:rsidP="002D6E20">
      <w:pPr>
        <w:pStyle w:val="PBody"/>
      </w:pPr>
      <w:r w:rsidRPr="00F240EB">
        <w:t xml:space="preserve">Another drug commonly seen in opioid deaths </w:t>
      </w:r>
      <w:r w:rsidR="00F252A0">
        <w:t>was</w:t>
      </w:r>
      <w:r w:rsidR="00F252A0" w:rsidRPr="00F240EB">
        <w:t xml:space="preserve"> </w:t>
      </w:r>
      <w:r>
        <w:t>Cocaine</w:t>
      </w:r>
      <w:r w:rsidR="00301E0D">
        <w:t>.  O</w:t>
      </w:r>
      <w:r w:rsidRPr="00F240EB">
        <w:t xml:space="preserve">verall, 30% of opioid decedents with a toxicology screen </w:t>
      </w:r>
      <w:r w:rsidR="00F252A0">
        <w:t xml:space="preserve">also </w:t>
      </w:r>
      <w:r w:rsidRPr="00F240EB">
        <w:t xml:space="preserve">had </w:t>
      </w:r>
      <w:r>
        <w:t>Cocaine</w:t>
      </w:r>
      <w:r w:rsidRPr="00F240EB">
        <w:t xml:space="preserve"> present in their system</w:t>
      </w:r>
      <w:r w:rsidR="00301E0D">
        <w:t>.  W</w:t>
      </w:r>
      <w:r w:rsidRPr="00F240EB">
        <w:t xml:space="preserve">hen </w:t>
      </w:r>
      <w:r>
        <w:t>F</w:t>
      </w:r>
      <w:r w:rsidRPr="00F240EB">
        <w:t xml:space="preserve">entanyl, </w:t>
      </w:r>
      <w:r>
        <w:t>H</w:t>
      </w:r>
      <w:r w:rsidRPr="00F240EB">
        <w:t xml:space="preserve">eroin, or </w:t>
      </w:r>
      <w:r w:rsidR="00667C4C">
        <w:t>bup</w:t>
      </w:r>
      <w:r w:rsidRPr="00F240EB">
        <w:t xml:space="preserve">renorphine is present, </w:t>
      </w:r>
      <w:r>
        <w:t>Cocaine</w:t>
      </w:r>
      <w:r w:rsidRPr="00F240EB">
        <w:t xml:space="preserve"> is present about 1/3 of the time.  Cocaine is less commonly present when </w:t>
      </w:r>
      <w:r>
        <w:t>M</w:t>
      </w:r>
      <w:r w:rsidRPr="00F240EB">
        <w:t>ethadone (21%) or prescription opioids (13%) are present.</w:t>
      </w:r>
    </w:p>
    <w:p w:rsidR="00400E42" w:rsidRPr="00F240EB" w:rsidRDefault="00400E42" w:rsidP="00400E42">
      <w:pPr>
        <w:widowControl w:val="0"/>
        <w:autoSpaceDE w:val="0"/>
        <w:autoSpaceDN w:val="0"/>
        <w:adjustRightInd w:val="0"/>
        <w:rPr>
          <w:rFonts w:ascii="Calibri" w:hAnsi="Calibri" w:cs="Calibri"/>
          <w:sz w:val="22"/>
          <w:szCs w:val="22"/>
        </w:rPr>
      </w:pPr>
    </w:p>
    <w:tbl>
      <w:tblPr>
        <w:tblW w:w="0" w:type="auto"/>
        <w:jc w:val="center"/>
        <w:tblLayout w:type="fixed"/>
        <w:tblLook w:val="00A0" w:firstRow="1" w:lastRow="0" w:firstColumn="1" w:lastColumn="0" w:noHBand="0" w:noVBand="0"/>
      </w:tblPr>
      <w:tblGrid>
        <w:gridCol w:w="2924"/>
        <w:gridCol w:w="694"/>
        <w:gridCol w:w="630"/>
        <w:gridCol w:w="810"/>
        <w:gridCol w:w="720"/>
        <w:gridCol w:w="810"/>
        <w:gridCol w:w="552"/>
        <w:gridCol w:w="798"/>
        <w:gridCol w:w="583"/>
        <w:gridCol w:w="1055"/>
      </w:tblGrid>
      <w:tr w:rsidR="00400E42" w:rsidRPr="00F240EB" w:rsidTr="00A92FFC">
        <w:trPr>
          <w:trHeight w:val="581"/>
          <w:jc w:val="center"/>
        </w:trPr>
        <w:tc>
          <w:tcPr>
            <w:tcW w:w="9576" w:type="dxa"/>
            <w:gridSpan w:val="10"/>
            <w:tcBorders>
              <w:top w:val="single" w:sz="8" w:space="0" w:color="auto"/>
              <w:left w:val="single" w:sz="8" w:space="0" w:color="auto"/>
              <w:bottom w:val="single" w:sz="4" w:space="0" w:color="auto"/>
              <w:right w:val="single" w:sz="8" w:space="0" w:color="000000"/>
            </w:tcBorders>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 xml:space="preserve">Table KEY1.2: Proportion of Decedents </w:t>
            </w:r>
            <w:r w:rsidR="00D91469">
              <w:rPr>
                <w:rFonts w:ascii="Calibri" w:hAnsi="Calibri"/>
                <w:b/>
                <w:bCs/>
                <w:color w:val="000000"/>
                <w:sz w:val="22"/>
                <w:szCs w:val="22"/>
              </w:rPr>
              <w:t xml:space="preserve">(2013-2014) </w:t>
            </w:r>
            <w:r w:rsidRPr="00F240EB">
              <w:rPr>
                <w:rFonts w:ascii="Calibri" w:hAnsi="Calibri"/>
                <w:b/>
                <w:bCs/>
                <w:color w:val="000000"/>
                <w:sz w:val="22"/>
                <w:szCs w:val="22"/>
              </w:rPr>
              <w:t>with a Prescription Benzodiazepine History</w:t>
            </w:r>
            <w:r w:rsidR="00D91469">
              <w:rPr>
                <w:rFonts w:ascii="Calibri" w:hAnsi="Calibri"/>
                <w:b/>
                <w:bCs/>
                <w:color w:val="000000"/>
                <w:sz w:val="22"/>
                <w:szCs w:val="22"/>
              </w:rPr>
              <w:t xml:space="preserve"> (2011-2014)</w:t>
            </w:r>
            <w:r w:rsidRPr="00F240EB">
              <w:rPr>
                <w:rFonts w:ascii="Calibri" w:hAnsi="Calibri"/>
                <w:b/>
                <w:bCs/>
                <w:color w:val="000000"/>
                <w:sz w:val="22"/>
                <w:szCs w:val="22"/>
              </w:rPr>
              <w:t xml:space="preserve"> by Category of Opioid Present in Toxicology Screen</w:t>
            </w:r>
          </w:p>
        </w:tc>
      </w:tr>
      <w:tr w:rsidR="00400E42" w:rsidRPr="00F240EB" w:rsidTr="00A92FFC">
        <w:trPr>
          <w:trHeight w:val="602"/>
          <w:jc w:val="center"/>
        </w:trPr>
        <w:tc>
          <w:tcPr>
            <w:tcW w:w="2924" w:type="dxa"/>
            <w:tcBorders>
              <w:top w:val="single" w:sz="4" w:space="0" w:color="auto"/>
              <w:left w:val="single" w:sz="8" w:space="0" w:color="auto"/>
              <w:bottom w:val="nil"/>
              <w:right w:val="nil"/>
            </w:tcBorders>
            <w:vAlign w:val="bottom"/>
          </w:tcPr>
          <w:p w:rsidR="00400E42" w:rsidRPr="00F240EB" w:rsidRDefault="00400E42" w:rsidP="00A92FFC">
            <w:pPr>
              <w:jc w:val="center"/>
              <w:rPr>
                <w:rFonts w:ascii="Calibri" w:hAnsi="Calibri"/>
                <w:color w:val="000000"/>
                <w:szCs w:val="22"/>
              </w:rPr>
            </w:pPr>
          </w:p>
        </w:tc>
        <w:tc>
          <w:tcPr>
            <w:tcW w:w="694" w:type="dxa"/>
            <w:tcBorders>
              <w:top w:val="single" w:sz="4" w:space="0" w:color="auto"/>
              <w:left w:val="nil"/>
              <w:bottom w:val="double" w:sz="6" w:space="0" w:color="auto"/>
              <w:right w:val="nil"/>
            </w:tcBorders>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Overall</w:t>
            </w:r>
          </w:p>
          <w:p w:rsidR="00400E42" w:rsidRPr="00F240EB" w:rsidRDefault="00400E42" w:rsidP="00A92FFC">
            <w:pPr>
              <w:jc w:val="center"/>
              <w:rPr>
                <w:rFonts w:ascii="Calibri" w:hAnsi="Calibri"/>
                <w:b/>
                <w:bCs/>
                <w:color w:val="000000"/>
                <w:szCs w:val="22"/>
              </w:rPr>
            </w:pPr>
          </w:p>
        </w:tc>
        <w:tc>
          <w:tcPr>
            <w:tcW w:w="1440" w:type="dxa"/>
            <w:gridSpan w:val="2"/>
            <w:tcBorders>
              <w:top w:val="single" w:sz="4" w:space="0" w:color="auto"/>
              <w:left w:val="nil"/>
              <w:bottom w:val="double" w:sz="6" w:space="0" w:color="auto"/>
              <w:right w:val="nil"/>
            </w:tcBorders>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Within 1 Month of Death</w:t>
            </w:r>
          </w:p>
        </w:tc>
        <w:tc>
          <w:tcPr>
            <w:tcW w:w="1530" w:type="dxa"/>
            <w:gridSpan w:val="2"/>
            <w:tcBorders>
              <w:top w:val="single" w:sz="4" w:space="0" w:color="auto"/>
              <w:left w:val="nil"/>
              <w:bottom w:val="double" w:sz="6" w:space="0" w:color="auto"/>
              <w:right w:val="nil"/>
            </w:tcBorders>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Within 3 Months of Death</w:t>
            </w:r>
          </w:p>
        </w:tc>
        <w:tc>
          <w:tcPr>
            <w:tcW w:w="1350" w:type="dxa"/>
            <w:gridSpan w:val="2"/>
            <w:tcBorders>
              <w:top w:val="single" w:sz="4" w:space="0" w:color="auto"/>
              <w:left w:val="nil"/>
              <w:bottom w:val="double" w:sz="6" w:space="0" w:color="auto"/>
              <w:right w:val="nil"/>
            </w:tcBorders>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Within 6 Months of Death</w:t>
            </w:r>
          </w:p>
        </w:tc>
        <w:tc>
          <w:tcPr>
            <w:tcW w:w="1638" w:type="dxa"/>
            <w:gridSpan w:val="2"/>
            <w:tcBorders>
              <w:top w:val="single" w:sz="4" w:space="0" w:color="auto"/>
              <w:left w:val="nil"/>
              <w:bottom w:val="double" w:sz="6" w:space="0" w:color="auto"/>
              <w:right w:val="single" w:sz="8" w:space="0" w:color="000000"/>
            </w:tcBorders>
            <w:vAlign w:val="center"/>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Within Study Period</w:t>
            </w:r>
          </w:p>
        </w:tc>
      </w:tr>
      <w:tr w:rsidR="00400E42" w:rsidRPr="00F240EB" w:rsidTr="00A92FFC">
        <w:trPr>
          <w:trHeight w:val="277"/>
          <w:jc w:val="center"/>
        </w:trPr>
        <w:tc>
          <w:tcPr>
            <w:tcW w:w="2924" w:type="dxa"/>
            <w:tcBorders>
              <w:top w:val="nil"/>
              <w:left w:val="single" w:sz="8" w:space="0" w:color="auto"/>
              <w:bottom w:val="single" w:sz="4" w:space="0" w:color="auto"/>
              <w:right w:val="nil"/>
            </w:tcBorders>
            <w:noWrap/>
            <w:vAlign w:val="bottom"/>
          </w:tcPr>
          <w:p w:rsidR="00400E42" w:rsidRPr="00F240EB" w:rsidRDefault="00400E42" w:rsidP="00A92FFC">
            <w:pPr>
              <w:rPr>
                <w:rFonts w:ascii="Calibri" w:hAnsi="Calibri"/>
                <w:color w:val="000000"/>
                <w:szCs w:val="22"/>
              </w:rPr>
            </w:pPr>
            <w:r w:rsidRPr="00F240EB">
              <w:rPr>
                <w:rFonts w:ascii="Calibri" w:hAnsi="Calibri"/>
                <w:color w:val="000000"/>
                <w:sz w:val="22"/>
                <w:szCs w:val="22"/>
              </w:rPr>
              <w:t> </w:t>
            </w:r>
          </w:p>
        </w:tc>
        <w:tc>
          <w:tcPr>
            <w:tcW w:w="694" w:type="dxa"/>
            <w:tcBorders>
              <w:top w:val="nil"/>
              <w:left w:val="nil"/>
              <w:bottom w:val="single" w:sz="4" w:space="0" w:color="auto"/>
              <w:right w:val="nil"/>
            </w:tcBorders>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n</w:t>
            </w:r>
          </w:p>
        </w:tc>
        <w:tc>
          <w:tcPr>
            <w:tcW w:w="630" w:type="dxa"/>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n</w:t>
            </w:r>
          </w:p>
        </w:tc>
        <w:tc>
          <w:tcPr>
            <w:tcW w:w="810" w:type="dxa"/>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t>
            </w:r>
          </w:p>
        </w:tc>
        <w:tc>
          <w:tcPr>
            <w:tcW w:w="720" w:type="dxa"/>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n</w:t>
            </w:r>
          </w:p>
        </w:tc>
        <w:tc>
          <w:tcPr>
            <w:tcW w:w="810" w:type="dxa"/>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t>
            </w:r>
          </w:p>
        </w:tc>
        <w:tc>
          <w:tcPr>
            <w:tcW w:w="552" w:type="dxa"/>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n</w:t>
            </w:r>
          </w:p>
        </w:tc>
        <w:tc>
          <w:tcPr>
            <w:tcW w:w="798" w:type="dxa"/>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t>
            </w:r>
          </w:p>
        </w:tc>
        <w:tc>
          <w:tcPr>
            <w:tcW w:w="583" w:type="dxa"/>
            <w:tcBorders>
              <w:top w:val="nil"/>
              <w:left w:val="nil"/>
              <w:bottom w:val="single" w:sz="4" w:space="0" w:color="auto"/>
              <w:right w:val="nil"/>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n</w:t>
            </w:r>
          </w:p>
        </w:tc>
        <w:tc>
          <w:tcPr>
            <w:tcW w:w="1055" w:type="dxa"/>
            <w:tcBorders>
              <w:top w:val="nil"/>
              <w:left w:val="nil"/>
              <w:bottom w:val="single" w:sz="4" w:space="0" w:color="auto"/>
              <w:right w:val="single" w:sz="8" w:space="0" w:color="auto"/>
            </w:tcBorders>
            <w:noWrap/>
            <w:vAlign w:val="bottom"/>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w:t>
            </w:r>
          </w:p>
        </w:tc>
      </w:tr>
      <w:tr w:rsidR="00400E42" w:rsidRPr="00F240EB" w:rsidTr="00A92FFC">
        <w:trPr>
          <w:trHeight w:val="264"/>
          <w:jc w:val="center"/>
        </w:trPr>
        <w:tc>
          <w:tcPr>
            <w:tcW w:w="2924" w:type="dxa"/>
            <w:tcBorders>
              <w:top w:val="single" w:sz="4" w:space="0" w:color="auto"/>
              <w:left w:val="single" w:sz="4" w:space="0" w:color="auto"/>
              <w:bottom w:val="single" w:sz="4" w:space="0" w:color="auto"/>
              <w:right w:val="single" w:sz="4" w:space="0" w:color="auto"/>
            </w:tcBorders>
            <w:noWrap/>
            <w:vAlign w:val="bottom"/>
          </w:tcPr>
          <w:p w:rsidR="00400E42" w:rsidRPr="00F240EB" w:rsidRDefault="00400E42" w:rsidP="00A92FFC">
            <w:pPr>
              <w:rPr>
                <w:rFonts w:ascii="Calibri" w:hAnsi="Calibri"/>
                <w:b/>
                <w:bCs/>
                <w:color w:val="000000"/>
                <w:szCs w:val="22"/>
              </w:rPr>
            </w:pPr>
            <w:r w:rsidRPr="00F240EB">
              <w:rPr>
                <w:rFonts w:ascii="Calibri" w:hAnsi="Calibri"/>
                <w:b/>
                <w:bCs/>
                <w:color w:val="000000"/>
                <w:sz w:val="22"/>
                <w:szCs w:val="22"/>
              </w:rPr>
              <w:t>Fentanyl and Definite Heroin Present</w:t>
            </w:r>
          </w:p>
        </w:tc>
        <w:tc>
          <w:tcPr>
            <w:tcW w:w="694" w:type="dxa"/>
            <w:tcBorders>
              <w:top w:val="single" w:sz="4" w:space="0" w:color="auto"/>
              <w:left w:val="single" w:sz="4" w:space="0" w:color="auto"/>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166</w:t>
            </w:r>
          </w:p>
        </w:tc>
        <w:tc>
          <w:tcPr>
            <w:tcW w:w="63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14</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14.7</w:t>
            </w:r>
            <w:r>
              <w:rPr>
                <w:rFonts w:ascii="Calibri" w:hAnsi="Calibri"/>
                <w:color w:val="000000"/>
                <w:sz w:val="22"/>
                <w:szCs w:val="22"/>
              </w:rPr>
              <w:t>%</w:t>
            </w:r>
          </w:p>
        </w:tc>
        <w:tc>
          <w:tcPr>
            <w:tcW w:w="72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21</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22.1</w:t>
            </w:r>
            <w:r>
              <w:rPr>
                <w:rFonts w:ascii="Calibri" w:hAnsi="Calibri"/>
                <w:color w:val="000000"/>
                <w:sz w:val="22"/>
                <w:szCs w:val="22"/>
              </w:rPr>
              <w:t>%</w:t>
            </w:r>
          </w:p>
        </w:tc>
        <w:tc>
          <w:tcPr>
            <w:tcW w:w="552"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21</w:t>
            </w:r>
          </w:p>
        </w:tc>
        <w:tc>
          <w:tcPr>
            <w:tcW w:w="798"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22.1</w:t>
            </w:r>
            <w:r>
              <w:rPr>
                <w:rFonts w:ascii="Calibri" w:hAnsi="Calibri"/>
                <w:color w:val="000000"/>
                <w:sz w:val="22"/>
                <w:szCs w:val="22"/>
              </w:rPr>
              <w:t>%</w:t>
            </w:r>
          </w:p>
        </w:tc>
        <w:tc>
          <w:tcPr>
            <w:tcW w:w="583"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47</w:t>
            </w:r>
          </w:p>
        </w:tc>
        <w:tc>
          <w:tcPr>
            <w:tcW w:w="1055"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49.</w:t>
            </w:r>
            <w:r>
              <w:rPr>
                <w:rFonts w:ascii="Calibri" w:hAnsi="Calibri"/>
                <w:color w:val="000000"/>
                <w:sz w:val="22"/>
                <w:szCs w:val="22"/>
              </w:rPr>
              <w:t>5%</w:t>
            </w:r>
          </w:p>
        </w:tc>
      </w:tr>
      <w:tr w:rsidR="00400E42" w:rsidRPr="00F240EB" w:rsidTr="00A92FFC">
        <w:trPr>
          <w:trHeight w:val="264"/>
          <w:jc w:val="center"/>
        </w:trPr>
        <w:tc>
          <w:tcPr>
            <w:tcW w:w="2924" w:type="dxa"/>
            <w:tcBorders>
              <w:top w:val="single" w:sz="4" w:space="0" w:color="auto"/>
              <w:left w:val="single" w:sz="4" w:space="0" w:color="auto"/>
              <w:bottom w:val="single" w:sz="4" w:space="0" w:color="auto"/>
              <w:right w:val="single" w:sz="4" w:space="0" w:color="auto"/>
            </w:tcBorders>
            <w:noWrap/>
            <w:vAlign w:val="bottom"/>
          </w:tcPr>
          <w:p w:rsidR="00400E42" w:rsidRPr="00F240EB" w:rsidRDefault="00400E42" w:rsidP="00A92FFC">
            <w:pPr>
              <w:rPr>
                <w:rFonts w:ascii="Calibri" w:hAnsi="Calibri"/>
                <w:b/>
                <w:bCs/>
                <w:color w:val="000000"/>
                <w:szCs w:val="22"/>
              </w:rPr>
            </w:pPr>
            <w:r w:rsidRPr="00F240EB">
              <w:rPr>
                <w:rFonts w:ascii="Calibri" w:hAnsi="Calibri"/>
                <w:b/>
                <w:bCs/>
                <w:color w:val="000000"/>
                <w:sz w:val="22"/>
                <w:szCs w:val="22"/>
              </w:rPr>
              <w:t>Fentanyl and Likely Heroin Present</w:t>
            </w:r>
          </w:p>
        </w:tc>
        <w:tc>
          <w:tcPr>
            <w:tcW w:w="694" w:type="dxa"/>
            <w:tcBorders>
              <w:top w:val="single" w:sz="4" w:space="0" w:color="auto"/>
              <w:left w:val="single" w:sz="4" w:space="0" w:color="auto"/>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83</w:t>
            </w:r>
          </w:p>
        </w:tc>
        <w:tc>
          <w:tcPr>
            <w:tcW w:w="63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6</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13.6</w:t>
            </w:r>
            <w:r>
              <w:rPr>
                <w:rFonts w:ascii="Calibri" w:hAnsi="Calibri"/>
                <w:color w:val="000000"/>
                <w:sz w:val="22"/>
                <w:szCs w:val="22"/>
              </w:rPr>
              <w:t>%</w:t>
            </w:r>
          </w:p>
        </w:tc>
        <w:tc>
          <w:tcPr>
            <w:tcW w:w="72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6</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13.6</w:t>
            </w:r>
            <w:r>
              <w:rPr>
                <w:rFonts w:ascii="Calibri" w:hAnsi="Calibri"/>
                <w:color w:val="000000"/>
                <w:sz w:val="22"/>
                <w:szCs w:val="22"/>
              </w:rPr>
              <w:t>%</w:t>
            </w:r>
          </w:p>
        </w:tc>
        <w:tc>
          <w:tcPr>
            <w:tcW w:w="552"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7</w:t>
            </w:r>
          </w:p>
        </w:tc>
        <w:tc>
          <w:tcPr>
            <w:tcW w:w="798"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15.9</w:t>
            </w:r>
            <w:r>
              <w:rPr>
                <w:rFonts w:ascii="Calibri" w:hAnsi="Calibri"/>
                <w:color w:val="000000"/>
                <w:sz w:val="22"/>
                <w:szCs w:val="22"/>
              </w:rPr>
              <w:t>%</w:t>
            </w:r>
          </w:p>
        </w:tc>
        <w:tc>
          <w:tcPr>
            <w:tcW w:w="583"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14</w:t>
            </w:r>
          </w:p>
        </w:tc>
        <w:tc>
          <w:tcPr>
            <w:tcW w:w="1055"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31.8</w:t>
            </w:r>
            <w:r>
              <w:rPr>
                <w:rFonts w:ascii="Calibri" w:hAnsi="Calibri"/>
                <w:color w:val="000000"/>
                <w:sz w:val="22"/>
                <w:szCs w:val="22"/>
              </w:rPr>
              <w:t>%</w:t>
            </w:r>
          </w:p>
        </w:tc>
      </w:tr>
      <w:tr w:rsidR="00400E42" w:rsidRPr="00F240EB" w:rsidTr="00A92FFC">
        <w:trPr>
          <w:trHeight w:val="264"/>
          <w:jc w:val="center"/>
        </w:trPr>
        <w:tc>
          <w:tcPr>
            <w:tcW w:w="2924" w:type="dxa"/>
            <w:tcBorders>
              <w:top w:val="single" w:sz="4" w:space="0" w:color="auto"/>
              <w:left w:val="single" w:sz="4" w:space="0" w:color="auto"/>
              <w:bottom w:val="single" w:sz="4" w:space="0" w:color="auto"/>
              <w:right w:val="single" w:sz="4" w:space="0" w:color="auto"/>
            </w:tcBorders>
            <w:noWrap/>
            <w:vAlign w:val="bottom"/>
          </w:tcPr>
          <w:p w:rsidR="00400E42" w:rsidRPr="00F240EB" w:rsidRDefault="00400E42" w:rsidP="00A92FFC">
            <w:pPr>
              <w:rPr>
                <w:rFonts w:ascii="Calibri" w:hAnsi="Calibri"/>
                <w:b/>
                <w:bCs/>
                <w:color w:val="000000"/>
                <w:szCs w:val="22"/>
              </w:rPr>
            </w:pPr>
            <w:r w:rsidRPr="00F240EB">
              <w:rPr>
                <w:rFonts w:ascii="Calibri" w:hAnsi="Calibri"/>
                <w:b/>
                <w:bCs/>
                <w:color w:val="000000"/>
                <w:sz w:val="22"/>
                <w:szCs w:val="22"/>
              </w:rPr>
              <w:t>Fentanyl Present</w:t>
            </w:r>
          </w:p>
        </w:tc>
        <w:tc>
          <w:tcPr>
            <w:tcW w:w="694" w:type="dxa"/>
            <w:tcBorders>
              <w:top w:val="single" w:sz="4" w:space="0" w:color="auto"/>
              <w:left w:val="single" w:sz="4" w:space="0" w:color="auto"/>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288</w:t>
            </w:r>
          </w:p>
        </w:tc>
        <w:tc>
          <w:tcPr>
            <w:tcW w:w="63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31</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18.0</w:t>
            </w:r>
            <w:r>
              <w:rPr>
                <w:rFonts w:ascii="Calibri" w:hAnsi="Calibri"/>
                <w:color w:val="000000"/>
                <w:sz w:val="22"/>
                <w:szCs w:val="22"/>
              </w:rPr>
              <w:t>%</w:t>
            </w:r>
          </w:p>
        </w:tc>
        <w:tc>
          <w:tcPr>
            <w:tcW w:w="72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38</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22.</w:t>
            </w:r>
            <w:r>
              <w:rPr>
                <w:rFonts w:ascii="Calibri" w:hAnsi="Calibri"/>
                <w:color w:val="000000"/>
                <w:sz w:val="22"/>
                <w:szCs w:val="22"/>
              </w:rPr>
              <w:t>1</w:t>
            </w:r>
          </w:p>
        </w:tc>
        <w:tc>
          <w:tcPr>
            <w:tcW w:w="552"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44</w:t>
            </w:r>
          </w:p>
        </w:tc>
        <w:tc>
          <w:tcPr>
            <w:tcW w:w="798"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25.</w:t>
            </w:r>
            <w:r>
              <w:rPr>
                <w:rFonts w:ascii="Calibri" w:hAnsi="Calibri"/>
                <w:color w:val="000000"/>
                <w:sz w:val="22"/>
                <w:szCs w:val="22"/>
              </w:rPr>
              <w:t>6%</w:t>
            </w:r>
          </w:p>
        </w:tc>
        <w:tc>
          <w:tcPr>
            <w:tcW w:w="583"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78</w:t>
            </w:r>
          </w:p>
        </w:tc>
        <w:tc>
          <w:tcPr>
            <w:tcW w:w="1055"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45.</w:t>
            </w:r>
            <w:r>
              <w:rPr>
                <w:rFonts w:ascii="Calibri" w:hAnsi="Calibri"/>
                <w:color w:val="000000"/>
                <w:sz w:val="22"/>
                <w:szCs w:val="22"/>
              </w:rPr>
              <w:t>4%</w:t>
            </w:r>
          </w:p>
        </w:tc>
      </w:tr>
      <w:tr w:rsidR="00400E42" w:rsidRPr="00F240EB" w:rsidTr="00A92FFC">
        <w:trPr>
          <w:trHeight w:val="264"/>
          <w:jc w:val="center"/>
        </w:trPr>
        <w:tc>
          <w:tcPr>
            <w:tcW w:w="2924" w:type="dxa"/>
            <w:tcBorders>
              <w:top w:val="single" w:sz="4" w:space="0" w:color="auto"/>
              <w:left w:val="single" w:sz="4" w:space="0" w:color="auto"/>
              <w:bottom w:val="single" w:sz="4" w:space="0" w:color="auto"/>
              <w:right w:val="single" w:sz="4" w:space="0" w:color="auto"/>
            </w:tcBorders>
            <w:noWrap/>
            <w:vAlign w:val="bottom"/>
          </w:tcPr>
          <w:p w:rsidR="00400E42" w:rsidRPr="00F240EB" w:rsidRDefault="00400E42" w:rsidP="00A92FFC">
            <w:pPr>
              <w:rPr>
                <w:rFonts w:ascii="Calibri" w:hAnsi="Calibri"/>
                <w:b/>
                <w:bCs/>
                <w:color w:val="000000"/>
                <w:szCs w:val="22"/>
              </w:rPr>
            </w:pPr>
            <w:r w:rsidRPr="00F240EB">
              <w:rPr>
                <w:rFonts w:ascii="Calibri" w:hAnsi="Calibri"/>
                <w:b/>
                <w:bCs/>
                <w:color w:val="000000"/>
                <w:sz w:val="22"/>
                <w:szCs w:val="22"/>
              </w:rPr>
              <w:t>Definite Heroin Present</w:t>
            </w:r>
          </w:p>
        </w:tc>
        <w:tc>
          <w:tcPr>
            <w:tcW w:w="694" w:type="dxa"/>
            <w:tcBorders>
              <w:top w:val="single" w:sz="4" w:space="0" w:color="auto"/>
              <w:left w:val="single" w:sz="4" w:space="0" w:color="auto"/>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547</w:t>
            </w:r>
          </w:p>
        </w:tc>
        <w:tc>
          <w:tcPr>
            <w:tcW w:w="63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54</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17.9</w:t>
            </w:r>
            <w:r>
              <w:rPr>
                <w:rFonts w:ascii="Calibri" w:hAnsi="Calibri"/>
                <w:color w:val="000000"/>
                <w:sz w:val="22"/>
                <w:szCs w:val="22"/>
              </w:rPr>
              <w:t>%</w:t>
            </w:r>
          </w:p>
        </w:tc>
        <w:tc>
          <w:tcPr>
            <w:tcW w:w="72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75</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24.9</w:t>
            </w:r>
          </w:p>
        </w:tc>
        <w:tc>
          <w:tcPr>
            <w:tcW w:w="552"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93</w:t>
            </w:r>
          </w:p>
        </w:tc>
        <w:tc>
          <w:tcPr>
            <w:tcW w:w="798"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30.9</w:t>
            </w:r>
            <w:r>
              <w:rPr>
                <w:rFonts w:ascii="Calibri" w:hAnsi="Calibri"/>
                <w:color w:val="000000"/>
                <w:sz w:val="22"/>
                <w:szCs w:val="22"/>
              </w:rPr>
              <w:t>%</w:t>
            </w:r>
          </w:p>
        </w:tc>
        <w:tc>
          <w:tcPr>
            <w:tcW w:w="583"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146</w:t>
            </w:r>
          </w:p>
        </w:tc>
        <w:tc>
          <w:tcPr>
            <w:tcW w:w="1055"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48.5</w:t>
            </w:r>
            <w:r>
              <w:rPr>
                <w:rFonts w:ascii="Calibri" w:hAnsi="Calibri"/>
                <w:color w:val="000000"/>
                <w:sz w:val="22"/>
                <w:szCs w:val="22"/>
              </w:rPr>
              <w:t>%</w:t>
            </w:r>
          </w:p>
        </w:tc>
      </w:tr>
      <w:tr w:rsidR="00400E42" w:rsidRPr="00F240EB" w:rsidTr="00A92FFC">
        <w:trPr>
          <w:trHeight w:val="264"/>
          <w:jc w:val="center"/>
        </w:trPr>
        <w:tc>
          <w:tcPr>
            <w:tcW w:w="2924" w:type="dxa"/>
            <w:tcBorders>
              <w:top w:val="single" w:sz="4" w:space="0" w:color="auto"/>
              <w:left w:val="single" w:sz="4" w:space="0" w:color="auto"/>
              <w:bottom w:val="single" w:sz="4" w:space="0" w:color="auto"/>
              <w:right w:val="single" w:sz="4" w:space="0" w:color="auto"/>
            </w:tcBorders>
            <w:noWrap/>
            <w:vAlign w:val="bottom"/>
          </w:tcPr>
          <w:p w:rsidR="00400E42" w:rsidRPr="00F240EB" w:rsidRDefault="00400E42" w:rsidP="00A92FFC">
            <w:pPr>
              <w:rPr>
                <w:rFonts w:ascii="Calibri" w:hAnsi="Calibri"/>
                <w:b/>
                <w:bCs/>
                <w:color w:val="000000"/>
                <w:szCs w:val="22"/>
              </w:rPr>
            </w:pPr>
            <w:r w:rsidRPr="00F240EB">
              <w:rPr>
                <w:rFonts w:ascii="Calibri" w:hAnsi="Calibri"/>
                <w:b/>
                <w:bCs/>
                <w:color w:val="000000"/>
                <w:sz w:val="22"/>
                <w:szCs w:val="22"/>
              </w:rPr>
              <w:t>Likely Heroin Present</w:t>
            </w:r>
          </w:p>
        </w:tc>
        <w:tc>
          <w:tcPr>
            <w:tcW w:w="694" w:type="dxa"/>
            <w:tcBorders>
              <w:top w:val="single" w:sz="4" w:space="0" w:color="auto"/>
              <w:left w:val="single" w:sz="4" w:space="0" w:color="auto"/>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320</w:t>
            </w:r>
          </w:p>
        </w:tc>
        <w:tc>
          <w:tcPr>
            <w:tcW w:w="63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40</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w:t>
            </w:r>
            <w:r>
              <w:rPr>
                <w:rFonts w:ascii="Calibri" w:hAnsi="Calibri"/>
                <w:color w:val="000000"/>
                <w:sz w:val="22"/>
                <w:szCs w:val="22"/>
              </w:rPr>
              <w:t>2.0%</w:t>
            </w:r>
          </w:p>
        </w:tc>
        <w:tc>
          <w:tcPr>
            <w:tcW w:w="72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54</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29.</w:t>
            </w:r>
            <w:r>
              <w:rPr>
                <w:rFonts w:ascii="Calibri" w:hAnsi="Calibri"/>
                <w:color w:val="000000"/>
                <w:sz w:val="22"/>
                <w:szCs w:val="22"/>
              </w:rPr>
              <w:t>7</w:t>
            </w:r>
          </w:p>
        </w:tc>
        <w:tc>
          <w:tcPr>
            <w:tcW w:w="552"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63</w:t>
            </w:r>
          </w:p>
        </w:tc>
        <w:tc>
          <w:tcPr>
            <w:tcW w:w="798"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34.6</w:t>
            </w:r>
            <w:r>
              <w:rPr>
                <w:rFonts w:ascii="Calibri" w:hAnsi="Calibri"/>
                <w:color w:val="000000"/>
                <w:sz w:val="22"/>
                <w:szCs w:val="22"/>
              </w:rPr>
              <w:t>%</w:t>
            </w:r>
          </w:p>
        </w:tc>
        <w:tc>
          <w:tcPr>
            <w:tcW w:w="583"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94</w:t>
            </w:r>
          </w:p>
        </w:tc>
        <w:tc>
          <w:tcPr>
            <w:tcW w:w="1055"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51.</w:t>
            </w:r>
            <w:r>
              <w:rPr>
                <w:rFonts w:ascii="Calibri" w:hAnsi="Calibri"/>
                <w:color w:val="000000"/>
                <w:sz w:val="22"/>
                <w:szCs w:val="22"/>
              </w:rPr>
              <w:t>7%</w:t>
            </w:r>
          </w:p>
        </w:tc>
      </w:tr>
      <w:tr w:rsidR="00400E42" w:rsidRPr="00F240EB" w:rsidTr="00A92FFC">
        <w:trPr>
          <w:trHeight w:val="264"/>
          <w:jc w:val="center"/>
        </w:trPr>
        <w:tc>
          <w:tcPr>
            <w:tcW w:w="2924" w:type="dxa"/>
            <w:tcBorders>
              <w:top w:val="single" w:sz="4" w:space="0" w:color="auto"/>
              <w:left w:val="single" w:sz="4" w:space="0" w:color="auto"/>
              <w:bottom w:val="single" w:sz="4" w:space="0" w:color="auto"/>
              <w:right w:val="single" w:sz="4" w:space="0" w:color="auto"/>
            </w:tcBorders>
            <w:noWrap/>
            <w:vAlign w:val="bottom"/>
          </w:tcPr>
          <w:p w:rsidR="00400E42" w:rsidRPr="00F240EB" w:rsidRDefault="00400E42" w:rsidP="00A92FFC">
            <w:pPr>
              <w:rPr>
                <w:rFonts w:ascii="Calibri" w:hAnsi="Calibri"/>
                <w:b/>
                <w:bCs/>
                <w:color w:val="000000"/>
                <w:szCs w:val="22"/>
              </w:rPr>
            </w:pPr>
            <w:r w:rsidRPr="00F240EB">
              <w:rPr>
                <w:rFonts w:ascii="Calibri" w:hAnsi="Calibri"/>
                <w:b/>
                <w:bCs/>
                <w:color w:val="000000"/>
                <w:sz w:val="22"/>
                <w:szCs w:val="22"/>
              </w:rPr>
              <w:t>Methadone Present</w:t>
            </w:r>
          </w:p>
        </w:tc>
        <w:tc>
          <w:tcPr>
            <w:tcW w:w="694" w:type="dxa"/>
            <w:tcBorders>
              <w:top w:val="single" w:sz="4" w:space="0" w:color="auto"/>
              <w:left w:val="single" w:sz="4" w:space="0" w:color="auto"/>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84</w:t>
            </w:r>
          </w:p>
        </w:tc>
        <w:tc>
          <w:tcPr>
            <w:tcW w:w="63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14</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24.1</w:t>
            </w:r>
            <w:r>
              <w:rPr>
                <w:rFonts w:ascii="Calibri" w:hAnsi="Calibri"/>
                <w:color w:val="000000"/>
                <w:sz w:val="22"/>
                <w:szCs w:val="22"/>
              </w:rPr>
              <w:t>%</w:t>
            </w:r>
          </w:p>
        </w:tc>
        <w:tc>
          <w:tcPr>
            <w:tcW w:w="72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19</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32.</w:t>
            </w:r>
            <w:r>
              <w:rPr>
                <w:rFonts w:ascii="Calibri" w:hAnsi="Calibri"/>
                <w:color w:val="000000"/>
                <w:sz w:val="22"/>
                <w:szCs w:val="22"/>
              </w:rPr>
              <w:t>8%</w:t>
            </w:r>
          </w:p>
        </w:tc>
        <w:tc>
          <w:tcPr>
            <w:tcW w:w="552"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25</w:t>
            </w:r>
          </w:p>
        </w:tc>
        <w:tc>
          <w:tcPr>
            <w:tcW w:w="798"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43.1</w:t>
            </w:r>
            <w:r>
              <w:rPr>
                <w:rFonts w:ascii="Calibri" w:hAnsi="Calibri"/>
                <w:color w:val="000000"/>
                <w:sz w:val="22"/>
                <w:szCs w:val="22"/>
              </w:rPr>
              <w:t>%</w:t>
            </w:r>
          </w:p>
        </w:tc>
        <w:tc>
          <w:tcPr>
            <w:tcW w:w="583"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40</w:t>
            </w:r>
          </w:p>
        </w:tc>
        <w:tc>
          <w:tcPr>
            <w:tcW w:w="1055"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Pr>
                <w:rFonts w:ascii="Calibri" w:hAnsi="Calibri"/>
                <w:color w:val="000000"/>
                <w:sz w:val="22"/>
                <w:szCs w:val="22"/>
              </w:rPr>
              <w:t>69.0%</w:t>
            </w:r>
          </w:p>
        </w:tc>
      </w:tr>
      <w:tr w:rsidR="00400E42" w:rsidRPr="00F240EB" w:rsidTr="00A92FFC">
        <w:trPr>
          <w:trHeight w:val="264"/>
          <w:jc w:val="center"/>
        </w:trPr>
        <w:tc>
          <w:tcPr>
            <w:tcW w:w="2924" w:type="dxa"/>
            <w:tcBorders>
              <w:top w:val="single" w:sz="4" w:space="0" w:color="auto"/>
              <w:left w:val="single" w:sz="4" w:space="0" w:color="auto"/>
              <w:bottom w:val="single" w:sz="4" w:space="0" w:color="auto"/>
              <w:right w:val="single" w:sz="4" w:space="0" w:color="auto"/>
            </w:tcBorders>
            <w:noWrap/>
            <w:vAlign w:val="bottom"/>
          </w:tcPr>
          <w:p w:rsidR="00400E42" w:rsidRPr="00F240EB" w:rsidRDefault="00400E42" w:rsidP="00A92FFC">
            <w:pPr>
              <w:rPr>
                <w:rFonts w:ascii="Calibri" w:hAnsi="Calibri"/>
                <w:b/>
                <w:bCs/>
                <w:color w:val="000000"/>
                <w:szCs w:val="22"/>
              </w:rPr>
            </w:pPr>
            <w:r w:rsidRPr="00F240EB">
              <w:rPr>
                <w:rFonts w:ascii="Calibri" w:hAnsi="Calibri"/>
                <w:b/>
                <w:bCs/>
                <w:color w:val="000000"/>
                <w:sz w:val="22"/>
                <w:szCs w:val="22"/>
              </w:rPr>
              <w:t>RX Present</w:t>
            </w:r>
          </w:p>
        </w:tc>
        <w:tc>
          <w:tcPr>
            <w:tcW w:w="694" w:type="dxa"/>
            <w:tcBorders>
              <w:top w:val="single" w:sz="4" w:space="0" w:color="auto"/>
              <w:left w:val="single" w:sz="4" w:space="0" w:color="auto"/>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154</w:t>
            </w:r>
          </w:p>
        </w:tc>
        <w:tc>
          <w:tcPr>
            <w:tcW w:w="63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24</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25.</w:t>
            </w:r>
            <w:r>
              <w:rPr>
                <w:rFonts w:ascii="Calibri" w:hAnsi="Calibri"/>
                <w:color w:val="000000"/>
                <w:sz w:val="22"/>
                <w:szCs w:val="22"/>
              </w:rPr>
              <w:t>3%</w:t>
            </w:r>
          </w:p>
        </w:tc>
        <w:tc>
          <w:tcPr>
            <w:tcW w:w="72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34</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35.</w:t>
            </w:r>
            <w:r>
              <w:rPr>
                <w:rFonts w:ascii="Calibri" w:hAnsi="Calibri"/>
                <w:color w:val="000000"/>
                <w:sz w:val="22"/>
                <w:szCs w:val="22"/>
              </w:rPr>
              <w:t>8%</w:t>
            </w:r>
          </w:p>
        </w:tc>
        <w:tc>
          <w:tcPr>
            <w:tcW w:w="552"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39</w:t>
            </w:r>
          </w:p>
        </w:tc>
        <w:tc>
          <w:tcPr>
            <w:tcW w:w="798"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41.</w:t>
            </w:r>
            <w:r>
              <w:rPr>
                <w:rFonts w:ascii="Calibri" w:hAnsi="Calibri"/>
                <w:color w:val="000000"/>
                <w:sz w:val="22"/>
                <w:szCs w:val="22"/>
              </w:rPr>
              <w:t>1%</w:t>
            </w:r>
          </w:p>
        </w:tc>
        <w:tc>
          <w:tcPr>
            <w:tcW w:w="583"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60</w:t>
            </w:r>
          </w:p>
        </w:tc>
        <w:tc>
          <w:tcPr>
            <w:tcW w:w="1055"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63.</w:t>
            </w:r>
            <w:r>
              <w:rPr>
                <w:rFonts w:ascii="Calibri" w:hAnsi="Calibri"/>
                <w:color w:val="000000"/>
                <w:sz w:val="22"/>
                <w:szCs w:val="22"/>
              </w:rPr>
              <w:t>2%</w:t>
            </w:r>
          </w:p>
        </w:tc>
      </w:tr>
      <w:tr w:rsidR="00400E42" w:rsidRPr="00F240EB" w:rsidTr="00A92FFC">
        <w:trPr>
          <w:trHeight w:val="277"/>
          <w:jc w:val="center"/>
        </w:trPr>
        <w:tc>
          <w:tcPr>
            <w:tcW w:w="2924" w:type="dxa"/>
            <w:tcBorders>
              <w:top w:val="single" w:sz="4" w:space="0" w:color="auto"/>
              <w:left w:val="single" w:sz="4" w:space="0" w:color="auto"/>
              <w:bottom w:val="single" w:sz="4" w:space="0" w:color="auto"/>
              <w:right w:val="single" w:sz="4" w:space="0" w:color="auto"/>
            </w:tcBorders>
            <w:noWrap/>
            <w:vAlign w:val="bottom"/>
          </w:tcPr>
          <w:p w:rsidR="00400E42" w:rsidRPr="00F240EB" w:rsidRDefault="00400E42" w:rsidP="00A92FFC">
            <w:pPr>
              <w:rPr>
                <w:rFonts w:ascii="Calibri" w:hAnsi="Calibri"/>
                <w:b/>
                <w:bCs/>
                <w:color w:val="000000"/>
                <w:szCs w:val="22"/>
              </w:rPr>
            </w:pPr>
            <w:r w:rsidRPr="00F240EB">
              <w:rPr>
                <w:rFonts w:ascii="Calibri" w:hAnsi="Calibri"/>
                <w:b/>
                <w:bCs/>
                <w:color w:val="000000"/>
                <w:sz w:val="22"/>
                <w:szCs w:val="22"/>
              </w:rPr>
              <w:t>Buprenorphine</w:t>
            </w:r>
          </w:p>
        </w:tc>
        <w:tc>
          <w:tcPr>
            <w:tcW w:w="694" w:type="dxa"/>
            <w:tcBorders>
              <w:top w:val="single" w:sz="4" w:space="0" w:color="auto"/>
              <w:left w:val="single" w:sz="4" w:space="0" w:color="auto"/>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15</w:t>
            </w:r>
          </w:p>
        </w:tc>
        <w:tc>
          <w:tcPr>
            <w:tcW w:w="63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&lt;5</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N/A</w:t>
            </w:r>
          </w:p>
        </w:tc>
        <w:tc>
          <w:tcPr>
            <w:tcW w:w="72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&lt;5</w:t>
            </w:r>
          </w:p>
        </w:tc>
        <w:tc>
          <w:tcPr>
            <w:tcW w:w="810"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N/A</w:t>
            </w:r>
          </w:p>
        </w:tc>
        <w:tc>
          <w:tcPr>
            <w:tcW w:w="552"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&lt;5</w:t>
            </w:r>
          </w:p>
        </w:tc>
        <w:tc>
          <w:tcPr>
            <w:tcW w:w="798"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N/</w:t>
            </w:r>
            <w:r>
              <w:rPr>
                <w:rFonts w:ascii="Calibri" w:hAnsi="Calibri"/>
                <w:color w:val="000000"/>
                <w:sz w:val="22"/>
                <w:szCs w:val="22"/>
              </w:rPr>
              <w:t>A</w:t>
            </w:r>
          </w:p>
        </w:tc>
        <w:tc>
          <w:tcPr>
            <w:tcW w:w="583"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8</w:t>
            </w:r>
          </w:p>
        </w:tc>
        <w:tc>
          <w:tcPr>
            <w:tcW w:w="1055" w:type="dxa"/>
            <w:tcBorders>
              <w:top w:val="single" w:sz="4" w:space="0" w:color="auto"/>
              <w:left w:val="single" w:sz="4" w:space="0" w:color="auto"/>
              <w:bottom w:val="single" w:sz="4" w:space="0" w:color="auto"/>
              <w:right w:val="single" w:sz="4" w:space="0" w:color="auto"/>
            </w:tcBorders>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57.1</w:t>
            </w:r>
            <w:r>
              <w:rPr>
                <w:rFonts w:ascii="Calibri" w:hAnsi="Calibri"/>
                <w:color w:val="000000"/>
                <w:sz w:val="22"/>
                <w:szCs w:val="22"/>
              </w:rPr>
              <w:t>%</w:t>
            </w:r>
          </w:p>
        </w:tc>
      </w:tr>
      <w:tr w:rsidR="00E11012" w:rsidRPr="00F240EB" w:rsidTr="00A92FFC">
        <w:trPr>
          <w:trHeight w:val="277"/>
          <w:jc w:val="center"/>
        </w:trPr>
        <w:tc>
          <w:tcPr>
            <w:tcW w:w="2924" w:type="dxa"/>
            <w:tcBorders>
              <w:top w:val="single" w:sz="4" w:space="0" w:color="auto"/>
              <w:left w:val="single" w:sz="4" w:space="0" w:color="auto"/>
              <w:bottom w:val="single" w:sz="4" w:space="0" w:color="auto"/>
              <w:right w:val="single" w:sz="4" w:space="0" w:color="auto"/>
            </w:tcBorders>
            <w:noWrap/>
            <w:vAlign w:val="bottom"/>
          </w:tcPr>
          <w:p w:rsidR="00E11012" w:rsidRPr="00F240EB" w:rsidRDefault="00E11012" w:rsidP="00A92FFC">
            <w:pPr>
              <w:rPr>
                <w:rFonts w:ascii="Calibri" w:hAnsi="Calibri"/>
                <w:b/>
                <w:bCs/>
                <w:color w:val="000000"/>
                <w:szCs w:val="22"/>
              </w:rPr>
            </w:pPr>
            <w:r w:rsidRPr="00F240EB">
              <w:rPr>
                <w:rFonts w:ascii="Calibri" w:hAnsi="Calibri"/>
                <w:b/>
                <w:bCs/>
                <w:color w:val="000000"/>
                <w:sz w:val="22"/>
                <w:szCs w:val="22"/>
              </w:rPr>
              <w:t>Total</w:t>
            </w:r>
          </w:p>
        </w:tc>
        <w:tc>
          <w:tcPr>
            <w:tcW w:w="694" w:type="dxa"/>
            <w:tcBorders>
              <w:top w:val="single" w:sz="4" w:space="0" w:color="auto"/>
              <w:left w:val="single" w:sz="4" w:space="0" w:color="auto"/>
              <w:bottom w:val="single" w:sz="4" w:space="0" w:color="auto"/>
              <w:right w:val="single" w:sz="4" w:space="0" w:color="auto"/>
            </w:tcBorders>
            <w:vAlign w:val="center"/>
          </w:tcPr>
          <w:p w:rsidR="00E11012" w:rsidRPr="00F240EB" w:rsidRDefault="00E11012" w:rsidP="00A92FFC">
            <w:pPr>
              <w:jc w:val="center"/>
              <w:rPr>
                <w:rFonts w:ascii="Calibri" w:hAnsi="Calibri"/>
                <w:color w:val="000000"/>
                <w:szCs w:val="22"/>
              </w:rPr>
            </w:pPr>
            <w:r w:rsidRPr="00F240EB">
              <w:rPr>
                <w:rFonts w:ascii="Calibri" w:hAnsi="Calibri"/>
                <w:color w:val="000000"/>
                <w:sz w:val="22"/>
                <w:szCs w:val="22"/>
              </w:rPr>
              <w:t>1657</w:t>
            </w:r>
          </w:p>
        </w:tc>
        <w:tc>
          <w:tcPr>
            <w:tcW w:w="630" w:type="dxa"/>
            <w:tcBorders>
              <w:top w:val="single" w:sz="4" w:space="0" w:color="auto"/>
              <w:left w:val="single" w:sz="4" w:space="0" w:color="auto"/>
              <w:bottom w:val="single" w:sz="4" w:space="0" w:color="auto"/>
              <w:right w:val="single" w:sz="4" w:space="0" w:color="auto"/>
            </w:tcBorders>
            <w:noWrap/>
            <w:vAlign w:val="center"/>
          </w:tcPr>
          <w:p w:rsidR="00E11012" w:rsidRPr="00E11012" w:rsidRDefault="00E11012" w:rsidP="001C267C">
            <w:pPr>
              <w:jc w:val="center"/>
              <w:rPr>
                <w:rFonts w:ascii="Calibri" w:hAnsi="Calibri"/>
                <w:color w:val="000000"/>
                <w:szCs w:val="22"/>
                <w:vertAlign w:val="superscript"/>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810" w:type="dxa"/>
            <w:tcBorders>
              <w:top w:val="single" w:sz="4" w:space="0" w:color="auto"/>
              <w:left w:val="single" w:sz="4" w:space="0" w:color="auto"/>
              <w:bottom w:val="single" w:sz="4" w:space="0" w:color="auto"/>
              <w:right w:val="single" w:sz="4" w:space="0" w:color="auto"/>
            </w:tcBorders>
            <w:noWrap/>
            <w:vAlign w:val="center"/>
          </w:tcPr>
          <w:p w:rsidR="00E11012" w:rsidRPr="00E11012" w:rsidRDefault="00E11012" w:rsidP="001C267C">
            <w:pPr>
              <w:jc w:val="center"/>
              <w:rPr>
                <w:rFonts w:ascii="Calibri" w:hAnsi="Calibri"/>
                <w:color w:val="000000"/>
                <w:szCs w:val="22"/>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720" w:type="dxa"/>
            <w:tcBorders>
              <w:top w:val="single" w:sz="4" w:space="0" w:color="auto"/>
              <w:left w:val="single" w:sz="4" w:space="0" w:color="auto"/>
              <w:bottom w:val="single" w:sz="4" w:space="0" w:color="auto"/>
              <w:right w:val="single" w:sz="4" w:space="0" w:color="auto"/>
            </w:tcBorders>
            <w:noWrap/>
            <w:vAlign w:val="center"/>
          </w:tcPr>
          <w:p w:rsidR="00E11012" w:rsidRPr="00E11012" w:rsidRDefault="00E11012" w:rsidP="001C267C">
            <w:pPr>
              <w:jc w:val="center"/>
              <w:rPr>
                <w:rFonts w:ascii="Calibri" w:hAnsi="Calibri"/>
                <w:color w:val="000000"/>
                <w:szCs w:val="22"/>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810" w:type="dxa"/>
            <w:tcBorders>
              <w:top w:val="single" w:sz="4" w:space="0" w:color="auto"/>
              <w:left w:val="single" w:sz="4" w:space="0" w:color="auto"/>
              <w:bottom w:val="single" w:sz="4" w:space="0" w:color="auto"/>
              <w:right w:val="single" w:sz="4" w:space="0" w:color="auto"/>
            </w:tcBorders>
            <w:noWrap/>
            <w:vAlign w:val="center"/>
          </w:tcPr>
          <w:p w:rsidR="00E11012" w:rsidRPr="00E11012" w:rsidRDefault="00E11012" w:rsidP="001C267C">
            <w:pPr>
              <w:jc w:val="center"/>
              <w:rPr>
                <w:rFonts w:ascii="Calibri" w:hAnsi="Calibri"/>
                <w:color w:val="000000"/>
                <w:szCs w:val="22"/>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552" w:type="dxa"/>
            <w:tcBorders>
              <w:top w:val="single" w:sz="4" w:space="0" w:color="auto"/>
              <w:left w:val="single" w:sz="4" w:space="0" w:color="auto"/>
              <w:bottom w:val="single" w:sz="4" w:space="0" w:color="auto"/>
              <w:right w:val="single" w:sz="4" w:space="0" w:color="auto"/>
            </w:tcBorders>
            <w:noWrap/>
            <w:vAlign w:val="center"/>
          </w:tcPr>
          <w:p w:rsidR="00E11012" w:rsidRPr="00E11012" w:rsidRDefault="00E11012" w:rsidP="001C267C">
            <w:pPr>
              <w:jc w:val="center"/>
              <w:rPr>
                <w:rFonts w:ascii="Calibri" w:hAnsi="Calibri"/>
                <w:color w:val="000000"/>
                <w:szCs w:val="22"/>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798" w:type="dxa"/>
            <w:tcBorders>
              <w:top w:val="single" w:sz="4" w:space="0" w:color="auto"/>
              <w:left w:val="single" w:sz="4" w:space="0" w:color="auto"/>
              <w:bottom w:val="single" w:sz="4" w:space="0" w:color="auto"/>
              <w:right w:val="single" w:sz="4" w:space="0" w:color="auto"/>
            </w:tcBorders>
            <w:noWrap/>
            <w:vAlign w:val="center"/>
          </w:tcPr>
          <w:p w:rsidR="00E11012" w:rsidRPr="00E11012" w:rsidRDefault="00E11012" w:rsidP="001C267C">
            <w:pPr>
              <w:jc w:val="center"/>
              <w:rPr>
                <w:rFonts w:ascii="Calibri" w:hAnsi="Calibri"/>
                <w:color w:val="000000"/>
                <w:szCs w:val="22"/>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583" w:type="dxa"/>
            <w:tcBorders>
              <w:top w:val="single" w:sz="4" w:space="0" w:color="auto"/>
              <w:left w:val="single" w:sz="4" w:space="0" w:color="auto"/>
              <w:bottom w:val="single" w:sz="4" w:space="0" w:color="auto"/>
              <w:right w:val="single" w:sz="4" w:space="0" w:color="auto"/>
            </w:tcBorders>
            <w:noWrap/>
            <w:vAlign w:val="center"/>
          </w:tcPr>
          <w:p w:rsidR="00E11012" w:rsidRPr="00E11012" w:rsidRDefault="00E11012" w:rsidP="001C267C">
            <w:pPr>
              <w:jc w:val="center"/>
              <w:rPr>
                <w:rFonts w:ascii="Calibri" w:hAnsi="Calibri"/>
                <w:color w:val="000000"/>
                <w:szCs w:val="22"/>
                <w:vertAlign w:val="superscript"/>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1055" w:type="dxa"/>
            <w:tcBorders>
              <w:top w:val="single" w:sz="4" w:space="0" w:color="auto"/>
              <w:left w:val="single" w:sz="4" w:space="0" w:color="auto"/>
              <w:bottom w:val="single" w:sz="4" w:space="0" w:color="auto"/>
              <w:right w:val="single" w:sz="4" w:space="0" w:color="auto"/>
            </w:tcBorders>
            <w:noWrap/>
            <w:vAlign w:val="center"/>
          </w:tcPr>
          <w:p w:rsidR="00E11012" w:rsidRPr="00F240EB" w:rsidRDefault="00E11012" w:rsidP="00A92FFC">
            <w:pPr>
              <w:jc w:val="center"/>
              <w:rPr>
                <w:rFonts w:ascii="Calibri" w:hAnsi="Calibri"/>
                <w:color w:val="000000"/>
                <w:szCs w:val="22"/>
              </w:rPr>
            </w:pPr>
            <w:r w:rsidRPr="00F240EB">
              <w:rPr>
                <w:rFonts w:ascii="Calibri" w:hAnsi="Calibri"/>
                <w:color w:val="000000"/>
                <w:sz w:val="22"/>
                <w:szCs w:val="22"/>
              </w:rPr>
              <w:t>50.4</w:t>
            </w:r>
            <w:r>
              <w:rPr>
                <w:rFonts w:ascii="Calibri" w:hAnsi="Calibri"/>
                <w:color w:val="000000"/>
                <w:sz w:val="22"/>
                <w:szCs w:val="22"/>
              </w:rPr>
              <w:t>%</w:t>
            </w:r>
          </w:p>
        </w:tc>
      </w:tr>
    </w:tbl>
    <w:p w:rsidR="00E11012" w:rsidRPr="002D4297" w:rsidRDefault="00E11012" w:rsidP="00E11012">
      <w:pPr>
        <w:widowControl w:val="0"/>
        <w:autoSpaceDE w:val="0"/>
        <w:autoSpaceDN w:val="0"/>
        <w:adjustRightInd w:val="0"/>
        <w:spacing w:line="480" w:lineRule="auto"/>
        <w:rPr>
          <w:rFonts w:ascii="Calibri" w:hAnsi="Calibri" w:cs="Calibri"/>
          <w:sz w:val="22"/>
          <w:szCs w:val="22"/>
        </w:rPr>
      </w:pPr>
      <w:r w:rsidRPr="00E11012">
        <w:rPr>
          <w:rFonts w:ascii="Calibri" w:hAnsi="Calibri"/>
          <w:sz w:val="18"/>
          <w:szCs w:val="22"/>
        </w:rPr>
        <w:t>1. Number not displayed because of complimentary suppression rules.</w:t>
      </w:r>
    </w:p>
    <w:p w:rsidR="00507B54" w:rsidRDefault="00507B54">
      <w:pPr>
        <w:widowControl w:val="0"/>
        <w:tabs>
          <w:tab w:val="left" w:pos="5460"/>
        </w:tabs>
        <w:autoSpaceDE w:val="0"/>
        <w:autoSpaceDN w:val="0"/>
        <w:adjustRightInd w:val="0"/>
        <w:spacing w:line="480" w:lineRule="auto"/>
        <w:rPr>
          <w:rFonts w:ascii="Calibri" w:hAnsi="Calibri" w:cs="Calibri"/>
          <w:sz w:val="22"/>
          <w:szCs w:val="22"/>
        </w:rPr>
      </w:pPr>
      <w:r>
        <w:rPr>
          <w:rFonts w:ascii="Calibri" w:hAnsi="Calibri" w:cs="Calibri"/>
          <w:sz w:val="22"/>
          <w:szCs w:val="22"/>
        </w:rPr>
        <w:br w:type="page"/>
      </w:r>
    </w:p>
    <w:p w:rsidR="00400E42" w:rsidRPr="001178AC" w:rsidRDefault="00F252A0" w:rsidP="001178AC">
      <w:pPr>
        <w:widowControl w:val="0"/>
        <w:tabs>
          <w:tab w:val="left" w:pos="5460"/>
        </w:tabs>
        <w:autoSpaceDE w:val="0"/>
        <w:autoSpaceDN w:val="0"/>
        <w:adjustRightInd w:val="0"/>
        <w:spacing w:line="480" w:lineRule="auto"/>
        <w:rPr>
          <w:rFonts w:ascii="Calibri" w:hAnsi="Calibri" w:cs="Calibri"/>
          <w:sz w:val="16"/>
          <w:szCs w:val="22"/>
        </w:rPr>
      </w:pPr>
      <w:r>
        <w:rPr>
          <w:rFonts w:ascii="Calibri" w:hAnsi="Calibri" w:cs="Calibri"/>
          <w:sz w:val="22"/>
          <w:szCs w:val="22"/>
        </w:rPr>
        <w:lastRenderedPageBreak/>
        <w:tab/>
      </w:r>
    </w:p>
    <w:tbl>
      <w:tblPr>
        <w:tblpPr w:leftFromText="180" w:rightFromText="180" w:vertAnchor="text" w:tblpXSpec="center" w:tblpY="1"/>
        <w:tblOverlap w:val="neve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10"/>
        <w:gridCol w:w="1170"/>
        <w:gridCol w:w="1088"/>
        <w:gridCol w:w="1710"/>
        <w:gridCol w:w="1080"/>
      </w:tblGrid>
      <w:tr w:rsidR="00400E42" w:rsidRPr="00F240EB" w:rsidTr="00A92FFC">
        <w:trPr>
          <w:trHeight w:val="269"/>
        </w:trPr>
        <w:tc>
          <w:tcPr>
            <w:tcW w:w="8658" w:type="dxa"/>
            <w:gridSpan w:val="5"/>
            <w:vAlign w:val="center"/>
          </w:tcPr>
          <w:p w:rsidR="00400E42" w:rsidRPr="00F240EB" w:rsidRDefault="00400E42" w:rsidP="00D91469">
            <w:pPr>
              <w:jc w:val="center"/>
              <w:rPr>
                <w:rFonts w:ascii="Calibri" w:hAnsi="Calibri"/>
                <w:b/>
                <w:bCs/>
                <w:color w:val="000000"/>
                <w:szCs w:val="22"/>
              </w:rPr>
            </w:pPr>
            <w:r w:rsidRPr="00F240EB">
              <w:rPr>
                <w:rFonts w:ascii="Calibri" w:hAnsi="Calibri"/>
                <w:b/>
                <w:bCs/>
                <w:color w:val="000000"/>
                <w:sz w:val="22"/>
                <w:szCs w:val="22"/>
              </w:rPr>
              <w:t>Table KEY1.3: Proportion of Decedents with Benzodiazepine or Cocaine Present in Toxicology Screen by Category of Opioid Present in Toxicology Screen</w:t>
            </w:r>
            <w:r w:rsidR="00D91469">
              <w:rPr>
                <w:rFonts w:ascii="Calibri" w:hAnsi="Calibri"/>
                <w:b/>
                <w:bCs/>
                <w:color w:val="000000"/>
                <w:sz w:val="22"/>
                <w:szCs w:val="22"/>
              </w:rPr>
              <w:t xml:space="preserve"> (2013-2014)</w:t>
            </w:r>
          </w:p>
        </w:tc>
      </w:tr>
      <w:tr w:rsidR="00400E42" w:rsidRPr="00F240EB" w:rsidTr="00A92FFC">
        <w:trPr>
          <w:trHeight w:val="293"/>
        </w:trPr>
        <w:tc>
          <w:tcPr>
            <w:tcW w:w="3610" w:type="dxa"/>
            <w:vMerge w:val="restart"/>
            <w:vAlign w:val="center"/>
          </w:tcPr>
          <w:p w:rsidR="00400E42" w:rsidRPr="00F240EB" w:rsidRDefault="00400E42" w:rsidP="00A92FFC">
            <w:pPr>
              <w:rPr>
                <w:rFonts w:ascii="Calibri" w:hAnsi="Calibri"/>
                <w:b/>
                <w:bCs/>
                <w:color w:val="000000"/>
                <w:szCs w:val="22"/>
              </w:rPr>
            </w:pPr>
          </w:p>
        </w:tc>
        <w:tc>
          <w:tcPr>
            <w:tcW w:w="1170" w:type="dxa"/>
            <w:vMerge w:val="restart"/>
            <w:vAlign w:val="center"/>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Frequency</w:t>
            </w:r>
          </w:p>
        </w:tc>
        <w:tc>
          <w:tcPr>
            <w:tcW w:w="1088" w:type="dxa"/>
            <w:vMerge w:val="restart"/>
            <w:vAlign w:val="center"/>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 of Total</w:t>
            </w:r>
          </w:p>
        </w:tc>
        <w:tc>
          <w:tcPr>
            <w:tcW w:w="1710" w:type="dxa"/>
            <w:vMerge w:val="restart"/>
            <w:vAlign w:val="center"/>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 xml:space="preserve">% with Benzodiazepine </w:t>
            </w:r>
          </w:p>
        </w:tc>
        <w:tc>
          <w:tcPr>
            <w:tcW w:w="1080" w:type="dxa"/>
            <w:vMerge w:val="restart"/>
            <w:vAlign w:val="center"/>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 xml:space="preserve">% with Cocaine </w:t>
            </w:r>
          </w:p>
        </w:tc>
      </w:tr>
      <w:tr w:rsidR="00400E42" w:rsidRPr="00F240EB" w:rsidTr="00A92FFC">
        <w:trPr>
          <w:trHeight w:val="293"/>
        </w:trPr>
        <w:tc>
          <w:tcPr>
            <w:tcW w:w="3610" w:type="dxa"/>
            <w:vMerge/>
            <w:vAlign w:val="center"/>
          </w:tcPr>
          <w:p w:rsidR="00400E42" w:rsidRPr="00F240EB" w:rsidRDefault="00400E42" w:rsidP="00A92FFC">
            <w:pPr>
              <w:rPr>
                <w:rFonts w:ascii="Calibri" w:hAnsi="Calibri"/>
                <w:b/>
                <w:bCs/>
                <w:color w:val="000000"/>
                <w:szCs w:val="22"/>
              </w:rPr>
            </w:pPr>
          </w:p>
        </w:tc>
        <w:tc>
          <w:tcPr>
            <w:tcW w:w="1170" w:type="dxa"/>
            <w:vMerge/>
            <w:vAlign w:val="center"/>
          </w:tcPr>
          <w:p w:rsidR="00400E42" w:rsidRPr="00F240EB" w:rsidRDefault="00400E42" w:rsidP="00A92FFC">
            <w:pPr>
              <w:jc w:val="center"/>
              <w:rPr>
                <w:rFonts w:ascii="Calibri" w:hAnsi="Calibri"/>
                <w:b/>
                <w:bCs/>
                <w:color w:val="000000"/>
                <w:szCs w:val="22"/>
              </w:rPr>
            </w:pPr>
          </w:p>
        </w:tc>
        <w:tc>
          <w:tcPr>
            <w:tcW w:w="1088" w:type="dxa"/>
            <w:vMerge/>
            <w:vAlign w:val="center"/>
          </w:tcPr>
          <w:p w:rsidR="00400E42" w:rsidRPr="00F240EB" w:rsidRDefault="00400E42" w:rsidP="00A92FFC">
            <w:pPr>
              <w:jc w:val="center"/>
              <w:rPr>
                <w:rFonts w:ascii="Calibri" w:hAnsi="Calibri"/>
                <w:b/>
                <w:bCs/>
                <w:color w:val="000000"/>
                <w:szCs w:val="22"/>
              </w:rPr>
            </w:pPr>
          </w:p>
        </w:tc>
        <w:tc>
          <w:tcPr>
            <w:tcW w:w="1710" w:type="dxa"/>
            <w:vMerge/>
            <w:vAlign w:val="center"/>
          </w:tcPr>
          <w:p w:rsidR="00400E42" w:rsidRPr="00F240EB" w:rsidRDefault="00400E42" w:rsidP="00A92FFC">
            <w:pPr>
              <w:jc w:val="center"/>
              <w:rPr>
                <w:rFonts w:ascii="Calibri" w:hAnsi="Calibri"/>
                <w:b/>
                <w:bCs/>
                <w:color w:val="000000"/>
                <w:szCs w:val="22"/>
              </w:rPr>
            </w:pPr>
          </w:p>
        </w:tc>
        <w:tc>
          <w:tcPr>
            <w:tcW w:w="1080" w:type="dxa"/>
            <w:vMerge/>
            <w:vAlign w:val="center"/>
          </w:tcPr>
          <w:p w:rsidR="00400E42" w:rsidRPr="00F240EB" w:rsidRDefault="00400E42" w:rsidP="00A92FFC">
            <w:pPr>
              <w:jc w:val="center"/>
              <w:rPr>
                <w:rFonts w:ascii="Calibri" w:hAnsi="Calibri"/>
                <w:b/>
                <w:bCs/>
                <w:color w:val="000000"/>
                <w:szCs w:val="22"/>
              </w:rPr>
            </w:pPr>
          </w:p>
        </w:tc>
      </w:tr>
      <w:tr w:rsidR="00400E42" w:rsidRPr="00F240EB" w:rsidTr="00A92FFC">
        <w:trPr>
          <w:trHeight w:val="170"/>
        </w:trPr>
        <w:tc>
          <w:tcPr>
            <w:tcW w:w="3610" w:type="dxa"/>
            <w:vAlign w:val="center"/>
          </w:tcPr>
          <w:p w:rsidR="00400E42" w:rsidRPr="005044BE" w:rsidRDefault="00400E42" w:rsidP="00A92FFC">
            <w:pPr>
              <w:rPr>
                <w:rFonts w:ascii="Calibri" w:hAnsi="Calibri"/>
                <w:b/>
                <w:color w:val="000000"/>
                <w:szCs w:val="22"/>
              </w:rPr>
            </w:pPr>
            <w:r w:rsidRPr="005044BE">
              <w:rPr>
                <w:rFonts w:ascii="Calibri" w:hAnsi="Calibri"/>
                <w:b/>
                <w:color w:val="000000"/>
                <w:sz w:val="22"/>
                <w:szCs w:val="22"/>
              </w:rPr>
              <w:t>Fentanyl and Definite Heroin Present</w:t>
            </w:r>
          </w:p>
        </w:tc>
        <w:tc>
          <w:tcPr>
            <w:tcW w:w="1170"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166</w:t>
            </w:r>
          </w:p>
        </w:tc>
        <w:tc>
          <w:tcPr>
            <w:tcW w:w="1088"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10.0</w:t>
            </w:r>
            <w:r>
              <w:rPr>
                <w:rFonts w:ascii="Calibri" w:hAnsi="Calibri"/>
                <w:color w:val="000000"/>
                <w:sz w:val="22"/>
                <w:szCs w:val="22"/>
              </w:rPr>
              <w:t>%</w:t>
            </w:r>
          </w:p>
        </w:tc>
        <w:tc>
          <w:tcPr>
            <w:tcW w:w="171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57.2</w:t>
            </w:r>
            <w:r>
              <w:rPr>
                <w:rFonts w:ascii="Calibri" w:hAnsi="Calibri"/>
                <w:color w:val="000000"/>
                <w:sz w:val="22"/>
                <w:szCs w:val="22"/>
              </w:rPr>
              <w:t>%</w:t>
            </w:r>
          </w:p>
        </w:tc>
        <w:tc>
          <w:tcPr>
            <w:tcW w:w="108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31.3</w:t>
            </w:r>
            <w:r>
              <w:rPr>
                <w:rFonts w:ascii="Calibri" w:hAnsi="Calibri"/>
                <w:color w:val="000000"/>
                <w:sz w:val="22"/>
                <w:szCs w:val="22"/>
              </w:rPr>
              <w:t>%</w:t>
            </w:r>
          </w:p>
        </w:tc>
      </w:tr>
      <w:tr w:rsidR="00400E42" w:rsidRPr="00F240EB" w:rsidTr="00A92FFC">
        <w:trPr>
          <w:trHeight w:val="74"/>
        </w:trPr>
        <w:tc>
          <w:tcPr>
            <w:tcW w:w="3610" w:type="dxa"/>
            <w:vAlign w:val="center"/>
          </w:tcPr>
          <w:p w:rsidR="00400E42" w:rsidRPr="005044BE" w:rsidRDefault="00400E42" w:rsidP="00A92FFC">
            <w:pPr>
              <w:rPr>
                <w:rFonts w:ascii="Calibri" w:hAnsi="Calibri"/>
                <w:b/>
                <w:color w:val="000000"/>
                <w:szCs w:val="22"/>
              </w:rPr>
            </w:pPr>
            <w:r w:rsidRPr="005044BE">
              <w:rPr>
                <w:rFonts w:ascii="Calibri" w:hAnsi="Calibri"/>
                <w:b/>
                <w:color w:val="000000"/>
                <w:sz w:val="22"/>
                <w:szCs w:val="22"/>
              </w:rPr>
              <w:t>Fentanyl and Likely Heroin Present</w:t>
            </w:r>
          </w:p>
        </w:tc>
        <w:tc>
          <w:tcPr>
            <w:tcW w:w="1170"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83</w:t>
            </w:r>
          </w:p>
        </w:tc>
        <w:tc>
          <w:tcPr>
            <w:tcW w:w="1088"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5.0</w:t>
            </w:r>
            <w:r>
              <w:rPr>
                <w:rFonts w:ascii="Calibri" w:hAnsi="Calibri"/>
                <w:color w:val="000000"/>
                <w:sz w:val="22"/>
                <w:szCs w:val="22"/>
              </w:rPr>
              <w:t>%</w:t>
            </w:r>
          </w:p>
        </w:tc>
        <w:tc>
          <w:tcPr>
            <w:tcW w:w="171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53.0</w:t>
            </w:r>
            <w:r>
              <w:rPr>
                <w:rFonts w:ascii="Calibri" w:hAnsi="Calibri"/>
                <w:color w:val="000000"/>
                <w:sz w:val="22"/>
                <w:szCs w:val="22"/>
              </w:rPr>
              <w:t>%</w:t>
            </w:r>
          </w:p>
        </w:tc>
        <w:tc>
          <w:tcPr>
            <w:tcW w:w="108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33.7</w:t>
            </w:r>
            <w:r>
              <w:rPr>
                <w:rFonts w:ascii="Calibri" w:hAnsi="Calibri"/>
                <w:color w:val="000000"/>
                <w:sz w:val="22"/>
                <w:szCs w:val="22"/>
              </w:rPr>
              <w:t>%</w:t>
            </w:r>
          </w:p>
        </w:tc>
      </w:tr>
      <w:tr w:rsidR="00400E42" w:rsidRPr="00F240EB" w:rsidTr="00A92FFC">
        <w:trPr>
          <w:trHeight w:val="74"/>
        </w:trPr>
        <w:tc>
          <w:tcPr>
            <w:tcW w:w="3610" w:type="dxa"/>
            <w:vAlign w:val="center"/>
          </w:tcPr>
          <w:p w:rsidR="00400E42" w:rsidRPr="005044BE" w:rsidRDefault="00400E42" w:rsidP="00A92FFC">
            <w:pPr>
              <w:rPr>
                <w:rFonts w:ascii="Calibri" w:hAnsi="Calibri"/>
                <w:b/>
                <w:color w:val="000000"/>
                <w:szCs w:val="22"/>
              </w:rPr>
            </w:pPr>
            <w:r w:rsidRPr="005044BE">
              <w:rPr>
                <w:rFonts w:ascii="Calibri" w:hAnsi="Calibri"/>
                <w:b/>
                <w:color w:val="000000"/>
                <w:sz w:val="22"/>
                <w:szCs w:val="22"/>
              </w:rPr>
              <w:t>Fentanyl Present</w:t>
            </w:r>
          </w:p>
        </w:tc>
        <w:tc>
          <w:tcPr>
            <w:tcW w:w="1170"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288</w:t>
            </w:r>
          </w:p>
        </w:tc>
        <w:tc>
          <w:tcPr>
            <w:tcW w:w="1088"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17.4</w:t>
            </w:r>
            <w:r>
              <w:rPr>
                <w:rFonts w:ascii="Calibri" w:hAnsi="Calibri"/>
                <w:color w:val="000000"/>
                <w:sz w:val="22"/>
                <w:szCs w:val="22"/>
              </w:rPr>
              <w:t>%</w:t>
            </w:r>
          </w:p>
        </w:tc>
        <w:tc>
          <w:tcPr>
            <w:tcW w:w="171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59.7</w:t>
            </w:r>
            <w:r>
              <w:rPr>
                <w:rFonts w:ascii="Calibri" w:hAnsi="Calibri"/>
                <w:color w:val="000000"/>
                <w:sz w:val="22"/>
                <w:szCs w:val="22"/>
              </w:rPr>
              <w:t>%</w:t>
            </w:r>
          </w:p>
        </w:tc>
        <w:tc>
          <w:tcPr>
            <w:tcW w:w="108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32.6</w:t>
            </w:r>
            <w:r>
              <w:rPr>
                <w:rFonts w:ascii="Calibri" w:hAnsi="Calibri"/>
                <w:color w:val="000000"/>
                <w:sz w:val="22"/>
                <w:szCs w:val="22"/>
              </w:rPr>
              <w:t>%</w:t>
            </w:r>
          </w:p>
        </w:tc>
      </w:tr>
      <w:tr w:rsidR="00400E42" w:rsidRPr="00F240EB" w:rsidTr="00A92FFC">
        <w:trPr>
          <w:trHeight w:val="74"/>
        </w:trPr>
        <w:tc>
          <w:tcPr>
            <w:tcW w:w="3610" w:type="dxa"/>
            <w:vAlign w:val="center"/>
          </w:tcPr>
          <w:p w:rsidR="00400E42" w:rsidRPr="005044BE" w:rsidRDefault="00400E42" w:rsidP="00A92FFC">
            <w:pPr>
              <w:rPr>
                <w:rFonts w:ascii="Calibri" w:hAnsi="Calibri"/>
                <w:b/>
                <w:color w:val="000000"/>
                <w:szCs w:val="22"/>
              </w:rPr>
            </w:pPr>
            <w:r w:rsidRPr="005044BE">
              <w:rPr>
                <w:rFonts w:ascii="Calibri" w:hAnsi="Calibri"/>
                <w:b/>
                <w:color w:val="000000"/>
                <w:sz w:val="22"/>
                <w:szCs w:val="22"/>
              </w:rPr>
              <w:t>Definite Heroin Present</w:t>
            </w:r>
          </w:p>
        </w:tc>
        <w:tc>
          <w:tcPr>
            <w:tcW w:w="1170"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547</w:t>
            </w:r>
          </w:p>
        </w:tc>
        <w:tc>
          <w:tcPr>
            <w:tcW w:w="1088"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33.0</w:t>
            </w:r>
            <w:r>
              <w:rPr>
                <w:rFonts w:ascii="Calibri" w:hAnsi="Calibri"/>
                <w:color w:val="000000"/>
                <w:sz w:val="22"/>
                <w:szCs w:val="22"/>
              </w:rPr>
              <w:t>%</w:t>
            </w:r>
          </w:p>
        </w:tc>
        <w:tc>
          <w:tcPr>
            <w:tcW w:w="171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55.0</w:t>
            </w:r>
            <w:r>
              <w:rPr>
                <w:rFonts w:ascii="Calibri" w:hAnsi="Calibri"/>
                <w:color w:val="000000"/>
                <w:sz w:val="22"/>
                <w:szCs w:val="22"/>
              </w:rPr>
              <w:t>%</w:t>
            </w:r>
          </w:p>
        </w:tc>
        <w:tc>
          <w:tcPr>
            <w:tcW w:w="108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30.7</w:t>
            </w:r>
            <w:r>
              <w:rPr>
                <w:rFonts w:ascii="Calibri" w:hAnsi="Calibri"/>
                <w:color w:val="000000"/>
                <w:sz w:val="22"/>
                <w:szCs w:val="22"/>
              </w:rPr>
              <w:t>%</w:t>
            </w:r>
          </w:p>
        </w:tc>
      </w:tr>
      <w:tr w:rsidR="00400E42" w:rsidRPr="00F240EB" w:rsidTr="00A92FFC">
        <w:trPr>
          <w:trHeight w:val="74"/>
        </w:trPr>
        <w:tc>
          <w:tcPr>
            <w:tcW w:w="3610" w:type="dxa"/>
            <w:vAlign w:val="center"/>
          </w:tcPr>
          <w:p w:rsidR="00400E42" w:rsidRPr="005044BE" w:rsidRDefault="00400E42" w:rsidP="00A92FFC">
            <w:pPr>
              <w:rPr>
                <w:rFonts w:ascii="Calibri" w:hAnsi="Calibri"/>
                <w:b/>
                <w:color w:val="000000"/>
                <w:szCs w:val="22"/>
              </w:rPr>
            </w:pPr>
            <w:r w:rsidRPr="005044BE">
              <w:rPr>
                <w:rFonts w:ascii="Calibri" w:hAnsi="Calibri"/>
                <w:b/>
                <w:color w:val="000000"/>
                <w:sz w:val="22"/>
                <w:szCs w:val="22"/>
              </w:rPr>
              <w:t>Likely Heroin Present</w:t>
            </w:r>
          </w:p>
        </w:tc>
        <w:tc>
          <w:tcPr>
            <w:tcW w:w="1170"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320</w:t>
            </w:r>
          </w:p>
        </w:tc>
        <w:tc>
          <w:tcPr>
            <w:tcW w:w="1088"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19.3</w:t>
            </w:r>
            <w:r>
              <w:rPr>
                <w:rFonts w:ascii="Calibri" w:hAnsi="Calibri"/>
                <w:color w:val="000000"/>
                <w:sz w:val="22"/>
                <w:szCs w:val="22"/>
              </w:rPr>
              <w:t>%</w:t>
            </w:r>
          </w:p>
        </w:tc>
        <w:tc>
          <w:tcPr>
            <w:tcW w:w="171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56.9</w:t>
            </w:r>
            <w:r>
              <w:rPr>
                <w:rFonts w:ascii="Calibri" w:hAnsi="Calibri"/>
                <w:color w:val="000000"/>
                <w:sz w:val="22"/>
                <w:szCs w:val="22"/>
              </w:rPr>
              <w:t>%</w:t>
            </w:r>
          </w:p>
        </w:tc>
        <w:tc>
          <w:tcPr>
            <w:tcW w:w="108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32.2</w:t>
            </w:r>
            <w:r>
              <w:rPr>
                <w:rFonts w:ascii="Calibri" w:hAnsi="Calibri"/>
                <w:color w:val="000000"/>
                <w:sz w:val="22"/>
                <w:szCs w:val="22"/>
              </w:rPr>
              <w:t>%</w:t>
            </w:r>
          </w:p>
        </w:tc>
      </w:tr>
      <w:tr w:rsidR="00400E42" w:rsidRPr="00F240EB" w:rsidTr="00A92FFC">
        <w:trPr>
          <w:trHeight w:val="116"/>
        </w:trPr>
        <w:tc>
          <w:tcPr>
            <w:tcW w:w="3610" w:type="dxa"/>
            <w:vAlign w:val="center"/>
          </w:tcPr>
          <w:p w:rsidR="00400E42" w:rsidRPr="005044BE" w:rsidRDefault="00400E42" w:rsidP="00A92FFC">
            <w:pPr>
              <w:rPr>
                <w:rFonts w:ascii="Calibri" w:hAnsi="Calibri"/>
                <w:b/>
                <w:color w:val="000000"/>
                <w:szCs w:val="22"/>
              </w:rPr>
            </w:pPr>
            <w:r w:rsidRPr="005044BE">
              <w:rPr>
                <w:rFonts w:ascii="Calibri" w:hAnsi="Calibri"/>
                <w:b/>
                <w:color w:val="000000"/>
                <w:sz w:val="22"/>
                <w:szCs w:val="22"/>
              </w:rPr>
              <w:t>Methadone Present</w:t>
            </w:r>
          </w:p>
        </w:tc>
        <w:tc>
          <w:tcPr>
            <w:tcW w:w="1170"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84</w:t>
            </w:r>
          </w:p>
        </w:tc>
        <w:tc>
          <w:tcPr>
            <w:tcW w:w="1088"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5.1</w:t>
            </w:r>
            <w:r>
              <w:rPr>
                <w:rFonts w:ascii="Calibri" w:hAnsi="Calibri"/>
                <w:color w:val="000000"/>
                <w:sz w:val="22"/>
                <w:szCs w:val="22"/>
              </w:rPr>
              <w:t>%</w:t>
            </w:r>
          </w:p>
        </w:tc>
        <w:tc>
          <w:tcPr>
            <w:tcW w:w="171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69.1</w:t>
            </w:r>
            <w:r>
              <w:rPr>
                <w:rFonts w:ascii="Calibri" w:hAnsi="Calibri"/>
                <w:color w:val="000000"/>
                <w:sz w:val="22"/>
                <w:szCs w:val="22"/>
              </w:rPr>
              <w:t>%</w:t>
            </w:r>
          </w:p>
        </w:tc>
        <w:tc>
          <w:tcPr>
            <w:tcW w:w="108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21.4</w:t>
            </w:r>
            <w:r>
              <w:rPr>
                <w:rFonts w:ascii="Calibri" w:hAnsi="Calibri"/>
                <w:color w:val="000000"/>
                <w:sz w:val="22"/>
                <w:szCs w:val="22"/>
              </w:rPr>
              <w:t>%</w:t>
            </w:r>
          </w:p>
        </w:tc>
      </w:tr>
      <w:tr w:rsidR="00400E42" w:rsidRPr="00F240EB" w:rsidTr="00A92FFC">
        <w:trPr>
          <w:trHeight w:val="74"/>
        </w:trPr>
        <w:tc>
          <w:tcPr>
            <w:tcW w:w="3610" w:type="dxa"/>
            <w:vAlign w:val="center"/>
          </w:tcPr>
          <w:p w:rsidR="00400E42" w:rsidRPr="005044BE" w:rsidRDefault="00400E42" w:rsidP="00A92FFC">
            <w:pPr>
              <w:rPr>
                <w:rFonts w:ascii="Calibri" w:hAnsi="Calibri"/>
                <w:b/>
                <w:color w:val="000000"/>
                <w:szCs w:val="22"/>
              </w:rPr>
            </w:pPr>
            <w:r w:rsidRPr="005044BE">
              <w:rPr>
                <w:rFonts w:ascii="Calibri" w:hAnsi="Calibri"/>
                <w:b/>
                <w:color w:val="000000"/>
                <w:sz w:val="22"/>
                <w:szCs w:val="22"/>
              </w:rPr>
              <w:t>RX Present</w:t>
            </w:r>
          </w:p>
        </w:tc>
        <w:tc>
          <w:tcPr>
            <w:tcW w:w="1170"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154</w:t>
            </w:r>
          </w:p>
        </w:tc>
        <w:tc>
          <w:tcPr>
            <w:tcW w:w="1088"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9.3</w:t>
            </w:r>
            <w:r>
              <w:rPr>
                <w:rFonts w:ascii="Calibri" w:hAnsi="Calibri"/>
                <w:color w:val="000000"/>
                <w:sz w:val="22"/>
                <w:szCs w:val="22"/>
              </w:rPr>
              <w:t>%</w:t>
            </w:r>
          </w:p>
        </w:tc>
        <w:tc>
          <w:tcPr>
            <w:tcW w:w="171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61.7</w:t>
            </w:r>
            <w:r>
              <w:rPr>
                <w:rFonts w:ascii="Calibri" w:hAnsi="Calibri"/>
                <w:color w:val="000000"/>
                <w:sz w:val="22"/>
                <w:szCs w:val="22"/>
              </w:rPr>
              <w:t>%</w:t>
            </w:r>
          </w:p>
        </w:tc>
        <w:tc>
          <w:tcPr>
            <w:tcW w:w="108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13.0</w:t>
            </w:r>
            <w:r>
              <w:rPr>
                <w:rFonts w:ascii="Calibri" w:hAnsi="Calibri"/>
                <w:color w:val="000000"/>
                <w:sz w:val="22"/>
                <w:szCs w:val="22"/>
              </w:rPr>
              <w:t>%</w:t>
            </w:r>
          </w:p>
        </w:tc>
      </w:tr>
      <w:tr w:rsidR="00400E42" w:rsidRPr="00F240EB" w:rsidTr="00A92FFC">
        <w:trPr>
          <w:trHeight w:val="74"/>
        </w:trPr>
        <w:tc>
          <w:tcPr>
            <w:tcW w:w="3610" w:type="dxa"/>
            <w:vAlign w:val="center"/>
          </w:tcPr>
          <w:p w:rsidR="00400E42" w:rsidRPr="005044BE" w:rsidRDefault="00400E42" w:rsidP="00A92FFC">
            <w:pPr>
              <w:rPr>
                <w:rFonts w:ascii="Calibri" w:hAnsi="Calibri"/>
                <w:b/>
                <w:color w:val="000000"/>
                <w:szCs w:val="22"/>
              </w:rPr>
            </w:pPr>
            <w:r w:rsidRPr="005044BE">
              <w:rPr>
                <w:rFonts w:ascii="Calibri" w:hAnsi="Calibri"/>
                <w:b/>
                <w:color w:val="000000"/>
                <w:sz w:val="22"/>
                <w:szCs w:val="22"/>
              </w:rPr>
              <w:t>BPN Present</w:t>
            </w:r>
          </w:p>
        </w:tc>
        <w:tc>
          <w:tcPr>
            <w:tcW w:w="1170"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15</w:t>
            </w:r>
          </w:p>
        </w:tc>
        <w:tc>
          <w:tcPr>
            <w:tcW w:w="1088" w:type="dxa"/>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0.9</w:t>
            </w:r>
            <w:r>
              <w:rPr>
                <w:rFonts w:ascii="Calibri" w:hAnsi="Calibri"/>
                <w:color w:val="000000"/>
                <w:sz w:val="22"/>
                <w:szCs w:val="22"/>
              </w:rPr>
              <w:t>%</w:t>
            </w:r>
          </w:p>
        </w:tc>
        <w:tc>
          <w:tcPr>
            <w:tcW w:w="171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93.3</w:t>
            </w:r>
            <w:r>
              <w:rPr>
                <w:rFonts w:ascii="Calibri" w:hAnsi="Calibri"/>
                <w:color w:val="000000"/>
                <w:sz w:val="22"/>
                <w:szCs w:val="22"/>
              </w:rPr>
              <w:t>%</w:t>
            </w:r>
          </w:p>
        </w:tc>
        <w:tc>
          <w:tcPr>
            <w:tcW w:w="1080" w:type="dxa"/>
            <w:noWrap/>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33.3</w:t>
            </w:r>
            <w:r>
              <w:rPr>
                <w:rFonts w:ascii="Calibri" w:hAnsi="Calibri"/>
                <w:color w:val="000000"/>
                <w:sz w:val="22"/>
                <w:szCs w:val="22"/>
              </w:rPr>
              <w:t>%</w:t>
            </w:r>
          </w:p>
        </w:tc>
      </w:tr>
    </w:tbl>
    <w:p w:rsidR="00507B54" w:rsidRDefault="00F252A0" w:rsidP="00400E42">
      <w:pPr>
        <w:widowControl w:val="0"/>
        <w:autoSpaceDE w:val="0"/>
        <w:autoSpaceDN w:val="0"/>
        <w:adjustRightInd w:val="0"/>
        <w:rPr>
          <w:rFonts w:ascii="Calibri" w:hAnsi="Calibri"/>
          <w:b/>
          <w:sz w:val="22"/>
          <w:szCs w:val="22"/>
          <w:shd w:val="clear" w:color="auto" w:fill="FFFFFF"/>
        </w:rPr>
      </w:pPr>
      <w:r>
        <w:rPr>
          <w:b/>
        </w:rPr>
        <w:tab/>
      </w:r>
    </w:p>
    <w:p w:rsidR="00507B54" w:rsidRPr="00F240EB" w:rsidRDefault="00507B54" w:rsidP="00400E42">
      <w:pPr>
        <w:widowControl w:val="0"/>
        <w:autoSpaceDE w:val="0"/>
        <w:autoSpaceDN w:val="0"/>
        <w:adjustRightInd w:val="0"/>
        <w:rPr>
          <w:rFonts w:ascii="Calibri" w:hAnsi="Calibri" w:cs="Calibri"/>
          <w:b/>
          <w:sz w:val="22"/>
          <w:szCs w:val="22"/>
        </w:rPr>
      </w:pPr>
    </w:p>
    <w:p w:rsidR="00400E42" w:rsidRPr="00F240EB" w:rsidRDefault="00400E42" w:rsidP="001178AC">
      <w:pPr>
        <w:pStyle w:val="PBody"/>
        <w:ind w:firstLine="0"/>
      </w:pPr>
      <w:r w:rsidRPr="00F240EB">
        <w:rPr>
          <w:b/>
        </w:rPr>
        <w:t>Limitations</w:t>
      </w:r>
      <w:r w:rsidRPr="00F240EB">
        <w:t>: The Chapter 55 project has facilitated the linkage of death, toxicology, and PDMP data at the individual level, which has allowed us to obtain a clearer picture of what opioids and other substances are present and how often opioids and be</w:t>
      </w:r>
      <w:r w:rsidR="001B2897">
        <w:t>nzodiazepines are prescribed.  However, t</w:t>
      </w:r>
      <w:r w:rsidRPr="00F240EB">
        <w:t xml:space="preserve">here are several limitations to our analyses at this point.  First, the overdose death data are limited to 2013 and 2014 and therefore little </w:t>
      </w:r>
      <w:r>
        <w:t xml:space="preserve">can be said </w:t>
      </w:r>
      <w:r w:rsidRPr="00F240EB">
        <w:t xml:space="preserve">about time trends with two years of data.  Expanding this analysis to more years would allow for analysis and surveillance of changes over time.  The rapidly rising rates of </w:t>
      </w:r>
      <w:r>
        <w:t>F</w:t>
      </w:r>
      <w:r w:rsidRPr="00F240EB">
        <w:t>entanyl present at overdose deaths from 2013 to 2015 is one example of why real-time surveillance of overdose death toxicology is an important public health tool</w:t>
      </w:r>
      <w:r w:rsidR="00301E0D">
        <w:t>.  F</w:t>
      </w:r>
      <w:r w:rsidRPr="00F240EB">
        <w:t xml:space="preserve">or the toxicology dataset, as discussed above, it is not clear how to attribute deaths where </w:t>
      </w:r>
      <w:r>
        <w:t>Morphine</w:t>
      </w:r>
      <w:r w:rsidRPr="00F240EB">
        <w:t xml:space="preserve"> is present on toxicology</w:t>
      </w:r>
      <w:r w:rsidR="00301E0D">
        <w:t>.  B</w:t>
      </w:r>
      <w:r w:rsidRPr="00F240EB">
        <w:t xml:space="preserve">ased on a review of the PDMP data, </w:t>
      </w:r>
      <w:r w:rsidR="00BA3381">
        <w:t>it</w:t>
      </w:r>
      <w:r>
        <w:t xml:space="preserve"> was </w:t>
      </w:r>
      <w:r w:rsidRPr="00F240EB">
        <w:t>decided to define these as “</w:t>
      </w:r>
      <w:r>
        <w:t>l</w:t>
      </w:r>
      <w:r w:rsidRPr="00F240EB">
        <w:t>ikely Heroin” present</w:t>
      </w:r>
      <w:r w:rsidR="00301E0D">
        <w:t>.  A</w:t>
      </w:r>
      <w:r w:rsidRPr="00F240EB">
        <w:t xml:space="preserve"> more in-depth review of the subset of deaths with this toxicology result is warranted to confirm or further inform our assumptions.  The toxicology</w:t>
      </w:r>
      <w:r>
        <w:t xml:space="preserve"> also</w:t>
      </w:r>
      <w:r w:rsidRPr="00F240EB">
        <w:t xml:space="preserve"> does not include routine testing for substances like </w:t>
      </w:r>
      <w:r>
        <w:t>G</w:t>
      </w:r>
      <w:r w:rsidRPr="00F240EB">
        <w:t>abapentin</w:t>
      </w:r>
      <w:r>
        <w:t>, Promethazine</w:t>
      </w:r>
      <w:r w:rsidRPr="00F240EB">
        <w:t xml:space="preserve"> or </w:t>
      </w:r>
      <w:r>
        <w:t>Cl</w:t>
      </w:r>
      <w:r w:rsidRPr="00F240EB">
        <w:t>onidine</w:t>
      </w:r>
      <w:r>
        <w:t>, which may be</w:t>
      </w:r>
      <w:r w:rsidRPr="00F240EB">
        <w:t xml:space="preserve"> diverted and used in combination with opioids.</w:t>
      </w:r>
      <w:r w:rsidRPr="005E2F2A">
        <w:rPr>
          <w:rStyle w:val="FootnoteReference"/>
        </w:rPr>
        <w:footnoteReference w:id="32"/>
      </w:r>
      <w:r w:rsidRPr="002A7973">
        <w:rPr>
          <w:vertAlign w:val="superscript"/>
        </w:rPr>
        <w:t>,</w:t>
      </w:r>
      <w:r w:rsidRPr="005E2F2A">
        <w:rPr>
          <w:rStyle w:val="FootnoteReference"/>
        </w:rPr>
        <w:footnoteReference w:id="33"/>
      </w:r>
      <w:r w:rsidRPr="002A7973">
        <w:rPr>
          <w:vertAlign w:val="superscript"/>
        </w:rPr>
        <w:t>,</w:t>
      </w:r>
      <w:r w:rsidRPr="005E2F2A">
        <w:rPr>
          <w:rStyle w:val="FootnoteReference"/>
        </w:rPr>
        <w:footnoteReference w:id="34"/>
      </w:r>
      <w:r w:rsidRPr="002A7973">
        <w:rPr>
          <w:vertAlign w:val="superscript"/>
        </w:rPr>
        <w:t>,</w:t>
      </w:r>
      <w:r w:rsidRPr="005E2F2A">
        <w:rPr>
          <w:rStyle w:val="FootnoteReference"/>
        </w:rPr>
        <w:footnoteReference w:id="35"/>
      </w:r>
      <w:r w:rsidRPr="002A7973">
        <w:rPr>
          <w:vertAlign w:val="superscript"/>
        </w:rPr>
        <w:t>,</w:t>
      </w:r>
      <w:r w:rsidRPr="005E2F2A">
        <w:rPr>
          <w:rStyle w:val="FootnoteReference"/>
        </w:rPr>
        <w:footnoteReference w:id="36"/>
      </w:r>
      <w:r>
        <w:rPr>
          <w:vertAlign w:val="superscript"/>
        </w:rPr>
        <w:t xml:space="preserve">  </w:t>
      </w:r>
      <w:r w:rsidRPr="00F240EB">
        <w:t>Further, the toxicology testing is not sensitive for alcohol, which is an established contributor to polysubstance overdose death</w:t>
      </w:r>
      <w:r w:rsidR="00301E0D">
        <w:t>.  T</w:t>
      </w:r>
      <w:r w:rsidRPr="00F240EB">
        <w:t xml:space="preserve">herefore the role that these substances </w:t>
      </w:r>
      <w:r>
        <w:t xml:space="preserve">may </w:t>
      </w:r>
      <w:r w:rsidRPr="00F240EB">
        <w:t>be playing in opioid-related overdose deaths</w:t>
      </w:r>
      <w:r>
        <w:t xml:space="preserve"> cannot be determined</w:t>
      </w:r>
      <w:r w:rsidRPr="00F240EB">
        <w:t xml:space="preserve">.  The PDMP dataset includes methadone prescribed for pain management, but does not include </w:t>
      </w:r>
      <w:r>
        <w:t>M</w:t>
      </w:r>
      <w:r w:rsidRPr="00F240EB">
        <w:t>ethadone dispensed through opioid treatment programs</w:t>
      </w:r>
      <w:r w:rsidR="00301E0D">
        <w:t>.  I</w:t>
      </w:r>
      <w:r w:rsidRPr="00F240EB">
        <w:t>n this analysis</w:t>
      </w:r>
      <w:r>
        <w:t xml:space="preserve">, the data was not available </w:t>
      </w:r>
      <w:r w:rsidRPr="00F240EB">
        <w:t xml:space="preserve">to link toxicology to </w:t>
      </w:r>
      <w:r>
        <w:t>M</w:t>
      </w:r>
      <w:r w:rsidRPr="00F240EB">
        <w:t>ethadone treatment data from the Bureau of Substance Abuse Services, which would help address this limitation.</w:t>
      </w:r>
    </w:p>
    <w:p w:rsidR="00400E42" w:rsidRPr="00F240EB" w:rsidRDefault="00400E42" w:rsidP="00400E42">
      <w:pPr>
        <w:widowControl w:val="0"/>
        <w:autoSpaceDE w:val="0"/>
        <w:autoSpaceDN w:val="0"/>
        <w:adjustRightInd w:val="0"/>
        <w:spacing w:after="120" w:line="276" w:lineRule="auto"/>
        <w:rPr>
          <w:rFonts w:ascii="Calibri" w:hAnsi="Calibri" w:cs="Calibri"/>
          <w:b/>
          <w:sz w:val="22"/>
          <w:szCs w:val="22"/>
        </w:rPr>
      </w:pPr>
      <w:r w:rsidRPr="00F240EB">
        <w:rPr>
          <w:rFonts w:ascii="Calibri" w:hAnsi="Calibri" w:cs="Calibri"/>
          <w:b/>
          <w:sz w:val="22"/>
          <w:szCs w:val="22"/>
        </w:rPr>
        <w:lastRenderedPageBreak/>
        <w:t xml:space="preserve">Implications and recommendations based on </w:t>
      </w:r>
      <w:r>
        <w:rPr>
          <w:rFonts w:ascii="Calibri" w:hAnsi="Calibri" w:cs="Calibri"/>
          <w:b/>
          <w:sz w:val="22"/>
          <w:szCs w:val="22"/>
        </w:rPr>
        <w:t>Key Finding</w:t>
      </w:r>
      <w:r w:rsidRPr="00F240EB">
        <w:rPr>
          <w:rFonts w:ascii="Calibri" w:hAnsi="Calibri" w:cs="Calibri"/>
          <w:b/>
          <w:sz w:val="22"/>
          <w:szCs w:val="22"/>
        </w:rPr>
        <w:t xml:space="preserve"> #1:</w:t>
      </w:r>
    </w:p>
    <w:p w:rsidR="00400E42" w:rsidRPr="00F240EB" w:rsidRDefault="00400E42" w:rsidP="00400E42">
      <w:pPr>
        <w:pStyle w:val="ListParagraph"/>
        <w:widowControl w:val="0"/>
        <w:numPr>
          <w:ilvl w:val="0"/>
          <w:numId w:val="21"/>
        </w:numPr>
        <w:autoSpaceDE w:val="0"/>
        <w:autoSpaceDN w:val="0"/>
        <w:adjustRightInd w:val="0"/>
        <w:spacing w:after="120" w:line="276" w:lineRule="auto"/>
        <w:rPr>
          <w:rFonts w:ascii="Calibri" w:hAnsi="Calibri" w:cs="Calibri"/>
          <w:sz w:val="22"/>
          <w:szCs w:val="22"/>
        </w:rPr>
      </w:pPr>
      <w:r w:rsidRPr="00F240EB">
        <w:rPr>
          <w:rFonts w:ascii="Calibri" w:hAnsi="Calibri" w:cs="Calibri"/>
          <w:sz w:val="22"/>
          <w:szCs w:val="22"/>
        </w:rPr>
        <w:t>Heroin</w:t>
      </w:r>
      <w:r>
        <w:rPr>
          <w:rFonts w:ascii="Calibri" w:hAnsi="Calibri" w:cs="Calibri"/>
          <w:sz w:val="22"/>
          <w:szCs w:val="22"/>
        </w:rPr>
        <w:t xml:space="preserve"> and/or</w:t>
      </w:r>
      <w:r w:rsidRPr="00F240EB">
        <w:rPr>
          <w:rFonts w:ascii="Calibri" w:hAnsi="Calibri" w:cs="Calibri"/>
          <w:sz w:val="22"/>
          <w:szCs w:val="22"/>
        </w:rPr>
        <w:t xml:space="preserve"> Fentanyl, and benzodiazepines are present at the majority of opioid overdose deaths and thus are likely to be driving the increases in overdose.  </w:t>
      </w:r>
    </w:p>
    <w:p w:rsidR="00400E42" w:rsidRPr="00F240EB" w:rsidRDefault="00400E42" w:rsidP="00400E42">
      <w:pPr>
        <w:pStyle w:val="ListParagraph"/>
        <w:widowControl w:val="0"/>
        <w:numPr>
          <w:ilvl w:val="0"/>
          <w:numId w:val="21"/>
        </w:numPr>
        <w:autoSpaceDE w:val="0"/>
        <w:autoSpaceDN w:val="0"/>
        <w:adjustRightInd w:val="0"/>
        <w:spacing w:after="120" w:line="276" w:lineRule="auto"/>
        <w:rPr>
          <w:rFonts w:ascii="Calibri" w:hAnsi="Calibri" w:cs="Calibri"/>
          <w:sz w:val="22"/>
          <w:szCs w:val="22"/>
        </w:rPr>
      </w:pPr>
      <w:r w:rsidRPr="00F240EB">
        <w:rPr>
          <w:rFonts w:ascii="Calibri" w:hAnsi="Calibri" w:cs="Calibri"/>
          <w:sz w:val="22"/>
          <w:szCs w:val="22"/>
        </w:rPr>
        <w:t>Increased real-time surveillance capacity that integrates linkable data from multiple sources is crucial to understanding the rapidly increasing overdose death rates.</w:t>
      </w:r>
    </w:p>
    <w:p w:rsidR="00400E42" w:rsidRPr="00F240EB" w:rsidRDefault="002C530A" w:rsidP="00400E42">
      <w:pPr>
        <w:pStyle w:val="ListParagraph"/>
        <w:widowControl w:val="0"/>
        <w:numPr>
          <w:ilvl w:val="0"/>
          <w:numId w:val="21"/>
        </w:numPr>
        <w:autoSpaceDE w:val="0"/>
        <w:autoSpaceDN w:val="0"/>
        <w:adjustRightInd w:val="0"/>
        <w:spacing w:after="120" w:line="276" w:lineRule="auto"/>
        <w:rPr>
          <w:rFonts w:ascii="Calibri" w:hAnsi="Calibri" w:cs="Calibri"/>
          <w:sz w:val="22"/>
          <w:szCs w:val="22"/>
        </w:rPr>
      </w:pPr>
      <w:r>
        <w:rPr>
          <w:rFonts w:ascii="Calibri" w:hAnsi="Calibri" w:cs="Calibri"/>
          <w:sz w:val="22"/>
          <w:szCs w:val="22"/>
        </w:rPr>
        <w:t>Harm reduction strategies and i</w:t>
      </w:r>
      <w:r w:rsidRPr="00F240EB">
        <w:rPr>
          <w:rFonts w:ascii="Calibri" w:hAnsi="Calibri" w:cs="Calibri"/>
          <w:sz w:val="22"/>
          <w:szCs w:val="22"/>
        </w:rPr>
        <w:t xml:space="preserve">nterventions </w:t>
      </w:r>
      <w:r w:rsidR="00400E42" w:rsidRPr="00F240EB">
        <w:rPr>
          <w:rFonts w:ascii="Calibri" w:hAnsi="Calibri" w:cs="Calibri"/>
          <w:sz w:val="22"/>
          <w:szCs w:val="22"/>
        </w:rPr>
        <w:t>that address Heroin, Fentanyl</w:t>
      </w:r>
      <w:r w:rsidR="00400E42">
        <w:rPr>
          <w:rFonts w:ascii="Calibri" w:hAnsi="Calibri" w:cs="Calibri"/>
          <w:sz w:val="22"/>
          <w:szCs w:val="22"/>
        </w:rPr>
        <w:t>,</w:t>
      </w:r>
      <w:r w:rsidR="00400E42" w:rsidRPr="00F240EB">
        <w:rPr>
          <w:rFonts w:ascii="Calibri" w:hAnsi="Calibri" w:cs="Calibri"/>
          <w:sz w:val="22"/>
          <w:szCs w:val="22"/>
        </w:rPr>
        <w:t xml:space="preserve"> and polysubstance use (especially benzodiazepines and </w:t>
      </w:r>
      <w:r w:rsidR="00400E42">
        <w:rPr>
          <w:rFonts w:ascii="Calibri" w:hAnsi="Calibri" w:cs="Calibri"/>
          <w:sz w:val="22"/>
          <w:szCs w:val="22"/>
        </w:rPr>
        <w:t>Cocaine</w:t>
      </w:r>
      <w:r w:rsidR="00400E42" w:rsidRPr="00F240EB">
        <w:rPr>
          <w:rFonts w:ascii="Calibri" w:hAnsi="Calibri" w:cs="Calibri"/>
          <w:sz w:val="22"/>
          <w:szCs w:val="22"/>
        </w:rPr>
        <w:t>) should be increased, expanded</w:t>
      </w:r>
      <w:r w:rsidR="00400E42">
        <w:rPr>
          <w:rFonts w:ascii="Calibri" w:hAnsi="Calibri" w:cs="Calibri"/>
          <w:sz w:val="22"/>
          <w:szCs w:val="22"/>
        </w:rPr>
        <w:t>,</w:t>
      </w:r>
      <w:r w:rsidR="00400E42" w:rsidRPr="00F240EB">
        <w:rPr>
          <w:rFonts w:ascii="Calibri" w:hAnsi="Calibri" w:cs="Calibri"/>
          <w:sz w:val="22"/>
          <w:szCs w:val="22"/>
        </w:rPr>
        <w:t xml:space="preserve"> and enhanced.</w:t>
      </w:r>
    </w:p>
    <w:p w:rsidR="00400E42" w:rsidRPr="00F240EB" w:rsidRDefault="00400E42" w:rsidP="00400E42">
      <w:pPr>
        <w:pStyle w:val="ListParagraph"/>
        <w:widowControl w:val="0"/>
        <w:numPr>
          <w:ilvl w:val="0"/>
          <w:numId w:val="21"/>
        </w:numPr>
        <w:autoSpaceDE w:val="0"/>
        <w:autoSpaceDN w:val="0"/>
        <w:adjustRightInd w:val="0"/>
        <w:spacing w:after="120" w:line="276" w:lineRule="auto"/>
        <w:rPr>
          <w:rFonts w:ascii="Calibri" w:hAnsi="Calibri" w:cs="Calibri"/>
          <w:sz w:val="22"/>
          <w:szCs w:val="22"/>
        </w:rPr>
      </w:pPr>
      <w:r w:rsidRPr="00F240EB">
        <w:rPr>
          <w:rFonts w:ascii="Calibri" w:hAnsi="Calibri" w:cs="Calibri"/>
          <w:sz w:val="22"/>
          <w:szCs w:val="22"/>
        </w:rPr>
        <w:t xml:space="preserve">More outreach and education regarding use of the </w:t>
      </w:r>
      <w:r>
        <w:rPr>
          <w:rFonts w:ascii="Calibri" w:hAnsi="Calibri" w:cs="Calibri"/>
          <w:sz w:val="22"/>
          <w:szCs w:val="22"/>
        </w:rPr>
        <w:t>o</w:t>
      </w:r>
      <w:r w:rsidRPr="00F240EB">
        <w:rPr>
          <w:rFonts w:ascii="Calibri" w:hAnsi="Calibri" w:cs="Calibri"/>
          <w:sz w:val="22"/>
          <w:szCs w:val="22"/>
        </w:rPr>
        <w:t xml:space="preserve">nline PDMP </w:t>
      </w:r>
      <w:r>
        <w:rPr>
          <w:rFonts w:ascii="Calibri" w:hAnsi="Calibri" w:cs="Calibri"/>
          <w:sz w:val="22"/>
          <w:szCs w:val="22"/>
        </w:rPr>
        <w:t>to</w:t>
      </w:r>
      <w:r w:rsidRPr="00F240EB">
        <w:rPr>
          <w:rFonts w:ascii="Calibri" w:hAnsi="Calibri" w:cs="Calibri"/>
          <w:sz w:val="22"/>
          <w:szCs w:val="22"/>
        </w:rPr>
        <w:t xml:space="preserve"> detect patients receiving </w:t>
      </w:r>
      <w:r w:rsidR="004F1712">
        <w:rPr>
          <w:rFonts w:ascii="Calibri" w:hAnsi="Calibri" w:cs="Calibri"/>
          <w:sz w:val="22"/>
          <w:szCs w:val="22"/>
        </w:rPr>
        <w:t xml:space="preserve">multiple </w:t>
      </w:r>
      <w:r w:rsidRPr="00F240EB">
        <w:rPr>
          <w:rFonts w:ascii="Calibri" w:hAnsi="Calibri" w:cs="Calibri"/>
          <w:sz w:val="22"/>
          <w:szCs w:val="22"/>
        </w:rPr>
        <w:t>drugs is essential to improve coordination of care and thus reduce overdose risk.</w:t>
      </w:r>
    </w:p>
    <w:p w:rsidR="00400E42" w:rsidRPr="00E11012" w:rsidRDefault="00400E42" w:rsidP="00400E42">
      <w:pPr>
        <w:pStyle w:val="ListParagraph"/>
        <w:widowControl w:val="0"/>
        <w:numPr>
          <w:ilvl w:val="0"/>
          <w:numId w:val="21"/>
        </w:numPr>
        <w:autoSpaceDE w:val="0"/>
        <w:autoSpaceDN w:val="0"/>
        <w:adjustRightInd w:val="0"/>
        <w:spacing w:after="120" w:line="276" w:lineRule="auto"/>
        <w:rPr>
          <w:rFonts w:ascii="Calibri" w:hAnsi="Calibri" w:cs="Calibri"/>
          <w:sz w:val="22"/>
          <w:szCs w:val="22"/>
        </w:rPr>
      </w:pPr>
      <w:r w:rsidRPr="00E11012">
        <w:rPr>
          <w:rFonts w:ascii="Calibri" w:hAnsi="Calibri" w:cs="Calibri"/>
          <w:sz w:val="22"/>
          <w:szCs w:val="22"/>
        </w:rPr>
        <w:t>People who die from opioid-related overdose are commonly prescribed opioids, though less commonly at the time close to their death.  Therefore, the role of prescription opioids in overdose death is more likely part of the development of upstream risk, than a downstream proximal cause.  Interventions focused on reducing access to prescription opioids should be paired with interventions that address Heroin, Fentanyl, and polysubstance use as the proximal causes of overdose.</w:t>
      </w:r>
    </w:p>
    <w:p w:rsidR="00400E42" w:rsidRDefault="00400E42" w:rsidP="007D21BB">
      <w:pPr>
        <w:pStyle w:val="Heading1"/>
        <w:rPr>
          <w:rFonts w:cs="Calibri"/>
          <w:sz w:val="22"/>
        </w:rPr>
      </w:pPr>
      <w:r>
        <w:br w:type="page"/>
      </w:r>
      <w:bookmarkStart w:id="11" w:name="_Toc453664356"/>
      <w:bookmarkStart w:id="12" w:name="_Toc454724768"/>
      <w:r w:rsidRPr="00400E42">
        <w:lastRenderedPageBreak/>
        <w:t xml:space="preserve">Analysis #2 (Nonfatal Overdoses and Opioid Agonist Treatment): Key Findings </w:t>
      </w:r>
      <w:r w:rsidR="004F1712" w:rsidRPr="00400E42">
        <w:rPr>
          <w:noProof/>
          <w:sz w:val="32"/>
        </w:rPr>
        <mc:AlternateContent>
          <mc:Choice Requires="wps">
            <w:drawing>
              <wp:anchor distT="91440" distB="91440" distL="114300" distR="114300" simplePos="0" relativeHeight="251673600" behindDoc="1" locked="0" layoutInCell="1" allowOverlap="1" wp14:anchorId="30AEFDDC" wp14:editId="444DAF39">
                <wp:simplePos x="0" y="0"/>
                <wp:positionH relativeFrom="margin">
                  <wp:align>center</wp:align>
                </wp:positionH>
                <wp:positionV relativeFrom="paragraph">
                  <wp:posOffset>807085</wp:posOffset>
                </wp:positionV>
                <wp:extent cx="5943600" cy="3057525"/>
                <wp:effectExtent l="0" t="0" r="57150" b="66675"/>
                <wp:wrapSquare wrapText="bothSides"/>
                <wp:docPr id="7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943600" cy="3057525"/>
                        </a:xfrm>
                        <a:prstGeom prst="rect">
                          <a:avLst/>
                        </a:prstGeom>
                        <a:solidFill>
                          <a:srgbClr val="D99594"/>
                        </a:solidFill>
                        <a:ln w="19050">
                          <a:solidFill>
                            <a:srgbClr val="000000"/>
                          </a:solidFill>
                          <a:miter lim="800000"/>
                          <a:headEnd/>
                          <a:tailEnd/>
                        </a:ln>
                        <a:effectLst>
                          <a:outerShdw dist="38100" dir="2700000" algn="tl" rotWithShape="0">
                            <a:srgbClr val="000000">
                              <a:alpha val="39999"/>
                            </a:srgbClr>
                          </a:outerShdw>
                        </a:effectLst>
                      </wps:spPr>
                      <wps:txbx>
                        <w:txbxContent>
                          <w:p w:rsidR="002666A8" w:rsidRPr="003747F9" w:rsidRDefault="002666A8" w:rsidP="00400E42">
                            <w:pPr>
                              <w:ind w:right="-3"/>
                              <w:jc w:val="center"/>
                              <w:rPr>
                                <w:rFonts w:ascii="Calibri" w:hAnsi="Calibri" w:cs="Arial"/>
                                <w:b/>
                                <w:sz w:val="22"/>
                                <w:szCs w:val="22"/>
                              </w:rPr>
                            </w:pPr>
                            <w:r w:rsidRPr="003747F9">
                              <w:rPr>
                                <w:rFonts w:ascii="Calibri" w:hAnsi="Calibri" w:cs="Arial"/>
                                <w:b/>
                                <w:sz w:val="22"/>
                                <w:szCs w:val="22"/>
                              </w:rPr>
                              <w:t>Analysis #2 - Non Fatal Overdoses and Opioid Agonist Treatment (OAT)</w:t>
                            </w:r>
                          </w:p>
                          <w:p w:rsidR="002666A8" w:rsidRDefault="002666A8" w:rsidP="00400E42">
                            <w:pPr>
                              <w:pStyle w:val="FreeForm"/>
                              <w:rPr>
                                <w:rFonts w:ascii="Calibri" w:hAnsi="Calibri" w:cs="Arial"/>
                                <w:sz w:val="22"/>
                                <w:szCs w:val="22"/>
                              </w:rPr>
                            </w:pPr>
                          </w:p>
                          <w:p w:rsidR="002666A8" w:rsidRPr="00080A7C" w:rsidRDefault="002666A8" w:rsidP="00400E42">
                            <w:pPr>
                              <w:pStyle w:val="FreeForm"/>
                              <w:rPr>
                                <w:rFonts w:ascii="Calibri" w:hAnsi="Calibri" w:cs="Arial"/>
                                <w:b/>
                                <w:sz w:val="22"/>
                                <w:szCs w:val="22"/>
                                <w:u w:val="single"/>
                              </w:rPr>
                            </w:pPr>
                            <w:r w:rsidRPr="00080A7C">
                              <w:rPr>
                                <w:rFonts w:ascii="Calibri" w:hAnsi="Calibri" w:cs="Arial"/>
                                <w:b/>
                                <w:sz w:val="22"/>
                                <w:szCs w:val="22"/>
                                <w:u w:val="single"/>
                              </w:rPr>
                              <w:t>Findings</w:t>
                            </w:r>
                          </w:p>
                          <w:p w:rsidR="002666A8" w:rsidRDefault="002666A8" w:rsidP="00400E42">
                            <w:pPr>
                              <w:pStyle w:val="FreeForm"/>
                              <w:numPr>
                                <w:ilvl w:val="0"/>
                                <w:numId w:val="19"/>
                              </w:numPr>
                              <w:rPr>
                                <w:rFonts w:ascii="Calibri" w:hAnsi="Calibri" w:cs="Arial"/>
                                <w:sz w:val="22"/>
                                <w:szCs w:val="22"/>
                              </w:rPr>
                            </w:pPr>
                            <w:r w:rsidRPr="00570FB0">
                              <w:rPr>
                                <w:rFonts w:ascii="Calibri" w:hAnsi="Calibri" w:cs="Arial"/>
                                <w:sz w:val="22"/>
                                <w:szCs w:val="22"/>
                              </w:rPr>
                              <w:t xml:space="preserve">Following nonfatal overdoses, individuals receiving opioid agonist treatment (i.e., medications </w:t>
                            </w:r>
                            <w:r>
                              <w:rPr>
                                <w:rFonts w:ascii="Calibri" w:hAnsi="Calibri" w:cs="Arial"/>
                                <w:sz w:val="22"/>
                                <w:szCs w:val="22"/>
                              </w:rPr>
                              <w:t>such as</w:t>
                            </w:r>
                            <w:r w:rsidRPr="00570FB0">
                              <w:rPr>
                                <w:rFonts w:ascii="Calibri" w:hAnsi="Calibri" w:cs="Arial"/>
                                <w:sz w:val="22"/>
                                <w:szCs w:val="22"/>
                              </w:rPr>
                              <w:t xml:space="preserve"> </w:t>
                            </w:r>
                            <w:r>
                              <w:rPr>
                                <w:rFonts w:ascii="Calibri" w:hAnsi="Calibri" w:cs="Arial"/>
                                <w:sz w:val="22"/>
                                <w:szCs w:val="22"/>
                              </w:rPr>
                              <w:t>m</w:t>
                            </w:r>
                            <w:r w:rsidRPr="00570FB0">
                              <w:rPr>
                                <w:rFonts w:ascii="Calibri" w:hAnsi="Calibri" w:cs="Arial"/>
                                <w:sz w:val="22"/>
                                <w:szCs w:val="22"/>
                              </w:rPr>
                              <w:t>ethadone &amp;</w:t>
                            </w:r>
                            <w:r>
                              <w:rPr>
                                <w:rFonts w:ascii="Calibri" w:hAnsi="Calibri" w:cs="Arial"/>
                                <w:sz w:val="22"/>
                                <w:szCs w:val="22"/>
                              </w:rPr>
                              <w:t xml:space="preserve"> b</w:t>
                            </w:r>
                            <w:r w:rsidRPr="00570FB0">
                              <w:rPr>
                                <w:rFonts w:ascii="Calibri" w:hAnsi="Calibri" w:cs="Arial"/>
                                <w:sz w:val="22"/>
                                <w:szCs w:val="22"/>
                              </w:rPr>
                              <w:t>uprenorphine that block the effect of opioids) were significantly less lik</w:t>
                            </w:r>
                            <w:r>
                              <w:rPr>
                                <w:rFonts w:ascii="Calibri" w:hAnsi="Calibri" w:cs="Arial"/>
                                <w:sz w:val="22"/>
                                <w:szCs w:val="22"/>
                              </w:rPr>
                              <w:t>ely to die from a subsequent opioid overdose</w:t>
                            </w:r>
                            <w:r w:rsidRPr="00570FB0">
                              <w:rPr>
                                <w:rFonts w:ascii="Calibri" w:hAnsi="Calibri" w:cs="Arial"/>
                                <w:sz w:val="22"/>
                                <w:szCs w:val="22"/>
                              </w:rPr>
                              <w:t>.</w:t>
                            </w:r>
                            <w:r>
                              <w:rPr>
                                <w:rFonts w:ascii="Calibri" w:hAnsi="Calibri" w:cs="Arial"/>
                                <w:sz w:val="22"/>
                                <w:szCs w:val="22"/>
                              </w:rPr>
                              <w:t xml:space="preserve"> (Note: Data on naltrexone/Vivitrol use comes from the APCD.  Analyses are ongoing.)</w:t>
                            </w:r>
                          </w:p>
                          <w:p w:rsidR="002666A8" w:rsidRPr="0075338A" w:rsidRDefault="002666A8" w:rsidP="00400E42">
                            <w:pPr>
                              <w:pStyle w:val="FreeForm"/>
                              <w:numPr>
                                <w:ilvl w:val="0"/>
                                <w:numId w:val="19"/>
                              </w:numPr>
                              <w:rPr>
                                <w:rFonts w:ascii="Calibri" w:hAnsi="Calibri" w:cs="Arial"/>
                                <w:sz w:val="22"/>
                                <w:szCs w:val="22"/>
                              </w:rPr>
                            </w:pPr>
                            <w:r>
                              <w:rPr>
                                <w:rFonts w:ascii="Calibri" w:hAnsi="Calibri" w:cs="Arial"/>
                                <w:sz w:val="22"/>
                                <w:szCs w:val="22"/>
                              </w:rPr>
                              <w:t xml:space="preserve">Despite previous history of nonfatal overdoses, </w:t>
                            </w:r>
                            <w:r w:rsidRPr="003A3936">
                              <w:rPr>
                                <w:rFonts w:ascii="Calibri" w:hAnsi="Calibri" w:cs="Arial"/>
                                <w:sz w:val="22"/>
                                <w:szCs w:val="22"/>
                              </w:rPr>
                              <w:t xml:space="preserve">engagement </w:t>
                            </w:r>
                            <w:r>
                              <w:rPr>
                                <w:rFonts w:ascii="Calibri" w:hAnsi="Calibri" w:cs="Arial"/>
                                <w:sz w:val="22"/>
                                <w:szCs w:val="22"/>
                              </w:rPr>
                              <w:t xml:space="preserve">in opioid agonist treatment (OAT) </w:t>
                            </w:r>
                            <w:r w:rsidRPr="003A3936">
                              <w:rPr>
                                <w:rFonts w:ascii="Calibri" w:hAnsi="Calibri" w:cs="Arial"/>
                                <w:sz w:val="22"/>
                                <w:szCs w:val="22"/>
                              </w:rPr>
                              <w:t xml:space="preserve">remained constant </w:t>
                            </w:r>
                            <w:r>
                              <w:rPr>
                                <w:rFonts w:ascii="Calibri" w:hAnsi="Calibri" w:cs="Arial"/>
                                <w:sz w:val="22"/>
                                <w:szCs w:val="22"/>
                              </w:rPr>
                              <w:t xml:space="preserve">(~5%) </w:t>
                            </w:r>
                            <w:r w:rsidRPr="003A3936">
                              <w:rPr>
                                <w:rFonts w:ascii="Calibri" w:hAnsi="Calibri" w:cs="Arial"/>
                                <w:sz w:val="22"/>
                                <w:szCs w:val="22"/>
                              </w:rPr>
                              <w:t>over a 12-month follow-up period</w:t>
                            </w:r>
                            <w:r>
                              <w:rPr>
                                <w:rFonts w:ascii="Calibri" w:hAnsi="Calibri" w:cs="Arial"/>
                                <w:sz w:val="22"/>
                                <w:szCs w:val="22"/>
                              </w:rPr>
                              <w:t>,</w:t>
                            </w:r>
                            <w:r w:rsidRPr="003A3936">
                              <w:rPr>
                                <w:rFonts w:ascii="Calibri" w:hAnsi="Calibri"/>
                                <w:sz w:val="22"/>
                                <w:szCs w:val="22"/>
                              </w:rPr>
                              <w:t xml:space="preserve"> </w:t>
                            </w:r>
                            <w:r>
                              <w:rPr>
                                <w:rFonts w:ascii="Calibri" w:hAnsi="Calibri"/>
                                <w:sz w:val="22"/>
                                <w:szCs w:val="22"/>
                              </w:rPr>
                              <w:t>indicating lost opportunities to save lives.</w:t>
                            </w:r>
                          </w:p>
                          <w:p w:rsidR="002666A8" w:rsidRDefault="002666A8" w:rsidP="00400E42">
                            <w:pPr>
                              <w:ind w:right="-3"/>
                              <w:rPr>
                                <w:rFonts w:ascii="Calibri" w:hAnsi="Calibri" w:cs="Arial"/>
                                <w:sz w:val="22"/>
                                <w:szCs w:val="22"/>
                              </w:rPr>
                            </w:pPr>
                          </w:p>
                          <w:p w:rsidR="002666A8" w:rsidRPr="00805443" w:rsidRDefault="002666A8" w:rsidP="00400E42">
                            <w:pPr>
                              <w:ind w:right="-3"/>
                              <w:rPr>
                                <w:rFonts w:asciiTheme="minorHAnsi" w:hAnsiTheme="minorHAnsi" w:cs="Arial"/>
                                <w:b/>
                                <w:sz w:val="22"/>
                                <w:szCs w:val="22"/>
                                <w:u w:val="single"/>
                              </w:rPr>
                            </w:pPr>
                            <w:r w:rsidRPr="00805443">
                              <w:rPr>
                                <w:rFonts w:asciiTheme="minorHAnsi" w:hAnsiTheme="minorHAnsi" w:cs="Arial"/>
                                <w:b/>
                                <w:sz w:val="22"/>
                                <w:szCs w:val="22"/>
                                <w:u w:val="single"/>
                              </w:rPr>
                              <w:t>Recommendations</w:t>
                            </w:r>
                          </w:p>
                          <w:p w:rsidR="002666A8" w:rsidRPr="00805443" w:rsidRDefault="002666A8" w:rsidP="00400E42">
                            <w:pPr>
                              <w:pStyle w:val="FreeForm"/>
                              <w:numPr>
                                <w:ilvl w:val="0"/>
                                <w:numId w:val="19"/>
                              </w:numPr>
                              <w:rPr>
                                <w:rFonts w:asciiTheme="minorHAnsi" w:hAnsiTheme="minorHAnsi" w:cs="Arial"/>
                                <w:sz w:val="22"/>
                                <w:szCs w:val="22"/>
                              </w:rPr>
                            </w:pPr>
                            <w:r w:rsidRPr="00805443">
                              <w:rPr>
                                <w:rFonts w:asciiTheme="minorHAnsi" w:hAnsiTheme="minorHAnsi"/>
                                <w:sz w:val="22"/>
                                <w:szCs w:val="22"/>
                              </w:rPr>
                              <w:t xml:space="preserve">Strategies for making </w:t>
                            </w:r>
                            <w:r>
                              <w:rPr>
                                <w:rFonts w:asciiTheme="minorHAnsi" w:hAnsiTheme="minorHAnsi"/>
                                <w:sz w:val="22"/>
                                <w:szCs w:val="22"/>
                              </w:rPr>
                              <w:t>MATs</w:t>
                            </w:r>
                            <w:r w:rsidRPr="00805443">
                              <w:rPr>
                                <w:rFonts w:asciiTheme="minorHAnsi" w:hAnsiTheme="minorHAnsi"/>
                                <w:sz w:val="22"/>
                                <w:szCs w:val="22"/>
                              </w:rPr>
                              <w:t xml:space="preserve"> for opioid use disorders more accessible to individuals who experience a nonfatal opioid overdose should be prioritized.</w:t>
                            </w:r>
                          </w:p>
                          <w:p w:rsidR="002666A8" w:rsidRPr="00805443" w:rsidRDefault="002666A8" w:rsidP="00400E42">
                            <w:pPr>
                              <w:pStyle w:val="FreeForm"/>
                              <w:numPr>
                                <w:ilvl w:val="0"/>
                                <w:numId w:val="19"/>
                              </w:numPr>
                              <w:rPr>
                                <w:rFonts w:asciiTheme="minorHAnsi" w:hAnsiTheme="minorHAnsi" w:cs="Arial"/>
                                <w:sz w:val="22"/>
                                <w:szCs w:val="22"/>
                              </w:rPr>
                            </w:pPr>
                            <w:r w:rsidRPr="00805443">
                              <w:rPr>
                                <w:rFonts w:asciiTheme="minorHAnsi" w:hAnsiTheme="minorHAnsi" w:cs="Arial"/>
                                <w:sz w:val="22"/>
                                <w:szCs w:val="22"/>
                              </w:rPr>
                              <w:t>Follow-up period of analysis should be extended to determine whether protective factor of OAT persists beyond 12 months.</w:t>
                            </w:r>
                          </w:p>
                        </w:txbxContent>
                      </wps:txbx>
                      <wps:bodyPr rot="0" vert="horz" wrap="square" lIns="182880" tIns="137160" rIns="182880" bIns="13716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margin-left:0;margin-top:63.55pt;width:468pt;height:240.75pt;flip:x;z-index:-251642880;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" fillcolor="#d99594" strokeweight="1.5pt">
                <v:shadow on="t" color="black" opacity="26213f" origin="-.5,-.5" offset=".74836mm,.74836mm"/>
                <v:textbox inset="14.4pt,10.8pt,14.4pt,10.8pt">
                  <w:txbxContent>
                    <w:p w:rsidR="002666A8" w:rsidRPr="003747F9" w:rsidRDefault="002666A8" w:rsidP="00400E42">
                      <w:pPr>
                        <w:ind w:right="-3"/>
                        <w:jc w:val="center"/>
                        <w:rPr>
                          <w:rFonts w:ascii="Calibri" w:hAnsi="Calibri" w:cs="Arial"/>
                          <w:b/>
                          <w:sz w:val="22"/>
                          <w:szCs w:val="22"/>
                        </w:rPr>
                      </w:pPr>
                      <w:r w:rsidRPr="003747F9">
                        <w:rPr>
                          <w:rFonts w:ascii="Calibri" w:hAnsi="Calibri" w:cs="Arial"/>
                          <w:b/>
                          <w:sz w:val="22"/>
                          <w:szCs w:val="22"/>
                        </w:rPr>
                        <w:t>Analysis #2 - Non Fatal Overdoses and Opioid Agonist Treatment (OAT)</w:t>
                      </w:r>
                    </w:p>
                    <w:p w:rsidR="002666A8" w:rsidRDefault="002666A8" w:rsidP="00400E42">
                      <w:pPr>
                        <w:pStyle w:val="FreeForm"/>
                        <w:rPr>
                          <w:rFonts w:ascii="Calibri" w:hAnsi="Calibri" w:cs="Arial"/>
                          <w:sz w:val="22"/>
                          <w:szCs w:val="22"/>
                        </w:rPr>
                      </w:pPr>
                    </w:p>
                    <w:p w:rsidR="002666A8" w:rsidRPr="00080A7C" w:rsidRDefault="002666A8" w:rsidP="00400E42">
                      <w:pPr>
                        <w:pStyle w:val="FreeForm"/>
                        <w:rPr>
                          <w:rFonts w:ascii="Calibri" w:hAnsi="Calibri" w:cs="Arial"/>
                          <w:b/>
                          <w:sz w:val="22"/>
                          <w:szCs w:val="22"/>
                          <w:u w:val="single"/>
                        </w:rPr>
                      </w:pPr>
                      <w:r w:rsidRPr="00080A7C">
                        <w:rPr>
                          <w:rFonts w:ascii="Calibri" w:hAnsi="Calibri" w:cs="Arial"/>
                          <w:b/>
                          <w:sz w:val="22"/>
                          <w:szCs w:val="22"/>
                          <w:u w:val="single"/>
                        </w:rPr>
                        <w:t>Findings</w:t>
                      </w:r>
                    </w:p>
                    <w:p w:rsidR="002666A8" w:rsidRDefault="002666A8" w:rsidP="00400E42">
                      <w:pPr>
                        <w:pStyle w:val="FreeForm"/>
                        <w:numPr>
                          <w:ilvl w:val="0"/>
                          <w:numId w:val="19"/>
                        </w:numPr>
                        <w:rPr>
                          <w:rFonts w:ascii="Calibri" w:hAnsi="Calibri" w:cs="Arial"/>
                          <w:sz w:val="22"/>
                          <w:szCs w:val="22"/>
                        </w:rPr>
                      </w:pPr>
                      <w:r w:rsidRPr="00570FB0">
                        <w:rPr>
                          <w:rFonts w:ascii="Calibri" w:hAnsi="Calibri" w:cs="Arial"/>
                          <w:sz w:val="22"/>
                          <w:szCs w:val="22"/>
                        </w:rPr>
                        <w:t xml:space="preserve">Following nonfatal overdoses, individuals receiving opioid agonist treatment (i.e., medications </w:t>
                      </w:r>
                      <w:r>
                        <w:rPr>
                          <w:rFonts w:ascii="Calibri" w:hAnsi="Calibri" w:cs="Arial"/>
                          <w:sz w:val="22"/>
                          <w:szCs w:val="22"/>
                        </w:rPr>
                        <w:t>such as</w:t>
                      </w:r>
                      <w:r w:rsidRPr="00570FB0">
                        <w:rPr>
                          <w:rFonts w:ascii="Calibri" w:hAnsi="Calibri" w:cs="Arial"/>
                          <w:sz w:val="22"/>
                          <w:szCs w:val="22"/>
                        </w:rPr>
                        <w:t xml:space="preserve"> </w:t>
                      </w:r>
                      <w:r>
                        <w:rPr>
                          <w:rFonts w:ascii="Calibri" w:hAnsi="Calibri" w:cs="Arial"/>
                          <w:sz w:val="22"/>
                          <w:szCs w:val="22"/>
                        </w:rPr>
                        <w:t>m</w:t>
                      </w:r>
                      <w:r w:rsidRPr="00570FB0">
                        <w:rPr>
                          <w:rFonts w:ascii="Calibri" w:hAnsi="Calibri" w:cs="Arial"/>
                          <w:sz w:val="22"/>
                          <w:szCs w:val="22"/>
                        </w:rPr>
                        <w:t>ethadone &amp;</w:t>
                      </w:r>
                      <w:r>
                        <w:rPr>
                          <w:rFonts w:ascii="Calibri" w:hAnsi="Calibri" w:cs="Arial"/>
                          <w:sz w:val="22"/>
                          <w:szCs w:val="22"/>
                        </w:rPr>
                        <w:t xml:space="preserve"> b</w:t>
                      </w:r>
                      <w:r w:rsidRPr="00570FB0">
                        <w:rPr>
                          <w:rFonts w:ascii="Calibri" w:hAnsi="Calibri" w:cs="Arial"/>
                          <w:sz w:val="22"/>
                          <w:szCs w:val="22"/>
                        </w:rPr>
                        <w:t>uprenorphine that block the effect of opioids) were significantly less lik</w:t>
                      </w:r>
                      <w:r>
                        <w:rPr>
                          <w:rFonts w:ascii="Calibri" w:hAnsi="Calibri" w:cs="Arial"/>
                          <w:sz w:val="22"/>
                          <w:szCs w:val="22"/>
                        </w:rPr>
                        <w:t>ely to die from a subsequent opioid overdose</w:t>
                      </w:r>
                      <w:r w:rsidRPr="00570FB0">
                        <w:rPr>
                          <w:rFonts w:ascii="Calibri" w:hAnsi="Calibri" w:cs="Arial"/>
                          <w:sz w:val="22"/>
                          <w:szCs w:val="22"/>
                        </w:rPr>
                        <w:t>.</w:t>
                      </w:r>
                      <w:r>
                        <w:rPr>
                          <w:rFonts w:ascii="Calibri" w:hAnsi="Calibri" w:cs="Arial"/>
                          <w:sz w:val="22"/>
                          <w:szCs w:val="22"/>
                        </w:rPr>
                        <w:t xml:space="preserve"> (Note: Data on naltrexone/</w:t>
                      </w:r>
                      <w:proofErr w:type="spellStart"/>
                      <w:r>
                        <w:rPr>
                          <w:rFonts w:ascii="Calibri" w:hAnsi="Calibri" w:cs="Arial"/>
                          <w:sz w:val="22"/>
                          <w:szCs w:val="22"/>
                        </w:rPr>
                        <w:t>Vivitrol</w:t>
                      </w:r>
                      <w:proofErr w:type="spellEnd"/>
                      <w:r>
                        <w:rPr>
                          <w:rFonts w:ascii="Calibri" w:hAnsi="Calibri" w:cs="Arial"/>
                          <w:sz w:val="22"/>
                          <w:szCs w:val="22"/>
                        </w:rPr>
                        <w:t xml:space="preserve"> use comes from the APCD.  Analyses are ongoing.)</w:t>
                      </w:r>
                    </w:p>
                    <w:p w:rsidR="002666A8" w:rsidRPr="0075338A" w:rsidRDefault="002666A8" w:rsidP="00400E42">
                      <w:pPr>
                        <w:pStyle w:val="FreeForm"/>
                        <w:numPr>
                          <w:ilvl w:val="0"/>
                          <w:numId w:val="19"/>
                        </w:numPr>
                        <w:rPr>
                          <w:rFonts w:ascii="Calibri" w:hAnsi="Calibri" w:cs="Arial"/>
                          <w:sz w:val="22"/>
                          <w:szCs w:val="22"/>
                        </w:rPr>
                      </w:pPr>
                      <w:r>
                        <w:rPr>
                          <w:rFonts w:ascii="Calibri" w:hAnsi="Calibri" w:cs="Arial"/>
                          <w:sz w:val="22"/>
                          <w:szCs w:val="22"/>
                        </w:rPr>
                        <w:t xml:space="preserve">Despite previous history of nonfatal overdoses, </w:t>
                      </w:r>
                      <w:r w:rsidRPr="003A3936">
                        <w:rPr>
                          <w:rFonts w:ascii="Calibri" w:hAnsi="Calibri" w:cs="Arial"/>
                          <w:sz w:val="22"/>
                          <w:szCs w:val="22"/>
                        </w:rPr>
                        <w:t xml:space="preserve">engagement </w:t>
                      </w:r>
                      <w:r>
                        <w:rPr>
                          <w:rFonts w:ascii="Calibri" w:hAnsi="Calibri" w:cs="Arial"/>
                          <w:sz w:val="22"/>
                          <w:szCs w:val="22"/>
                        </w:rPr>
                        <w:t xml:space="preserve">in opioid agonist treatment (OAT) </w:t>
                      </w:r>
                      <w:r w:rsidRPr="003A3936">
                        <w:rPr>
                          <w:rFonts w:ascii="Calibri" w:hAnsi="Calibri" w:cs="Arial"/>
                          <w:sz w:val="22"/>
                          <w:szCs w:val="22"/>
                        </w:rPr>
                        <w:t xml:space="preserve">remained constant </w:t>
                      </w:r>
                      <w:r>
                        <w:rPr>
                          <w:rFonts w:ascii="Calibri" w:hAnsi="Calibri" w:cs="Arial"/>
                          <w:sz w:val="22"/>
                          <w:szCs w:val="22"/>
                        </w:rPr>
                        <w:t xml:space="preserve">(~5%) </w:t>
                      </w:r>
                      <w:r w:rsidRPr="003A3936">
                        <w:rPr>
                          <w:rFonts w:ascii="Calibri" w:hAnsi="Calibri" w:cs="Arial"/>
                          <w:sz w:val="22"/>
                          <w:szCs w:val="22"/>
                        </w:rPr>
                        <w:t>over a 12-month follow-up period</w:t>
                      </w:r>
                      <w:r>
                        <w:rPr>
                          <w:rFonts w:ascii="Calibri" w:hAnsi="Calibri" w:cs="Arial"/>
                          <w:sz w:val="22"/>
                          <w:szCs w:val="22"/>
                        </w:rPr>
                        <w:t>,</w:t>
                      </w:r>
                      <w:r w:rsidRPr="003A3936">
                        <w:rPr>
                          <w:rFonts w:ascii="Calibri" w:hAnsi="Calibri"/>
                          <w:sz w:val="22"/>
                          <w:szCs w:val="22"/>
                        </w:rPr>
                        <w:t xml:space="preserve"> </w:t>
                      </w:r>
                      <w:r>
                        <w:rPr>
                          <w:rFonts w:ascii="Calibri" w:hAnsi="Calibri"/>
                          <w:sz w:val="22"/>
                          <w:szCs w:val="22"/>
                        </w:rPr>
                        <w:t>indicating lost opportunities to save lives.</w:t>
                      </w:r>
                    </w:p>
                    <w:p w:rsidR="002666A8" w:rsidRDefault="002666A8" w:rsidP="00400E42">
                      <w:pPr>
                        <w:ind w:right="-3"/>
                        <w:rPr>
                          <w:rFonts w:ascii="Calibri" w:hAnsi="Calibri" w:cs="Arial"/>
                          <w:sz w:val="22"/>
                          <w:szCs w:val="22"/>
                        </w:rPr>
                      </w:pPr>
                    </w:p>
                    <w:p w:rsidR="002666A8" w:rsidRPr="00805443" w:rsidRDefault="002666A8" w:rsidP="00400E42">
                      <w:pPr>
                        <w:ind w:right="-3"/>
                        <w:rPr>
                          <w:rFonts w:asciiTheme="minorHAnsi" w:hAnsiTheme="minorHAnsi" w:cs="Arial"/>
                          <w:b/>
                          <w:sz w:val="22"/>
                          <w:szCs w:val="22"/>
                          <w:u w:val="single"/>
                        </w:rPr>
                      </w:pPr>
                      <w:r w:rsidRPr="00805443">
                        <w:rPr>
                          <w:rFonts w:asciiTheme="minorHAnsi" w:hAnsiTheme="minorHAnsi" w:cs="Arial"/>
                          <w:b/>
                          <w:sz w:val="22"/>
                          <w:szCs w:val="22"/>
                          <w:u w:val="single"/>
                        </w:rPr>
                        <w:t>Recommendations</w:t>
                      </w:r>
                    </w:p>
                    <w:p w:rsidR="002666A8" w:rsidRPr="00805443" w:rsidRDefault="002666A8" w:rsidP="00400E42">
                      <w:pPr>
                        <w:pStyle w:val="FreeForm"/>
                        <w:numPr>
                          <w:ilvl w:val="0"/>
                          <w:numId w:val="19"/>
                        </w:numPr>
                        <w:rPr>
                          <w:rFonts w:asciiTheme="minorHAnsi" w:hAnsiTheme="minorHAnsi" w:cs="Arial"/>
                          <w:sz w:val="22"/>
                          <w:szCs w:val="22"/>
                        </w:rPr>
                      </w:pPr>
                      <w:r w:rsidRPr="00805443">
                        <w:rPr>
                          <w:rFonts w:asciiTheme="minorHAnsi" w:hAnsiTheme="minorHAnsi"/>
                          <w:sz w:val="22"/>
                          <w:szCs w:val="22"/>
                        </w:rPr>
                        <w:t xml:space="preserve">Strategies for making </w:t>
                      </w:r>
                      <w:r>
                        <w:rPr>
                          <w:rFonts w:asciiTheme="minorHAnsi" w:hAnsiTheme="minorHAnsi"/>
                          <w:sz w:val="22"/>
                          <w:szCs w:val="22"/>
                        </w:rPr>
                        <w:t>MATs</w:t>
                      </w:r>
                      <w:r w:rsidRPr="00805443">
                        <w:rPr>
                          <w:rFonts w:asciiTheme="minorHAnsi" w:hAnsiTheme="minorHAnsi"/>
                          <w:sz w:val="22"/>
                          <w:szCs w:val="22"/>
                        </w:rPr>
                        <w:t xml:space="preserve"> for opioid use disorders more accessible to individuals who experience a nonfatal opioid overdose should be prioritized.</w:t>
                      </w:r>
                    </w:p>
                    <w:p w:rsidR="002666A8" w:rsidRPr="00805443" w:rsidRDefault="002666A8" w:rsidP="00400E42">
                      <w:pPr>
                        <w:pStyle w:val="FreeForm"/>
                        <w:numPr>
                          <w:ilvl w:val="0"/>
                          <w:numId w:val="19"/>
                        </w:numPr>
                        <w:rPr>
                          <w:rFonts w:asciiTheme="minorHAnsi" w:hAnsiTheme="minorHAnsi" w:cs="Arial"/>
                          <w:sz w:val="22"/>
                          <w:szCs w:val="22"/>
                        </w:rPr>
                      </w:pPr>
                      <w:r w:rsidRPr="00805443">
                        <w:rPr>
                          <w:rFonts w:asciiTheme="minorHAnsi" w:hAnsiTheme="minorHAnsi" w:cs="Arial"/>
                          <w:sz w:val="22"/>
                          <w:szCs w:val="22"/>
                        </w:rPr>
                        <w:t>Follow-up period of analysis should be extended to determine whether protective factor of OAT persists beyond 12 months.</w:t>
                      </w:r>
                    </w:p>
                  </w:txbxContent>
                </v:textbox>
                <w10:wrap type="square" anchorx="margin"/>
              </v:rect>
            </w:pict>
          </mc:Fallback>
        </mc:AlternateContent>
      </w:r>
      <w:r w:rsidRPr="00400E42">
        <w:t>and</w:t>
      </w:r>
      <w:r w:rsidRPr="00080A7C">
        <w:t xml:space="preserve"> </w:t>
      </w:r>
      <w:r w:rsidRPr="00400E42">
        <w:t>Recommendations</w:t>
      </w:r>
      <w:bookmarkEnd w:id="11"/>
      <w:bookmarkEnd w:id="12"/>
    </w:p>
    <w:p w:rsidR="00400E42" w:rsidRDefault="00400E42" w:rsidP="00400E42">
      <w:pPr>
        <w:pStyle w:val="ListParagraph"/>
        <w:widowControl w:val="0"/>
        <w:autoSpaceDE w:val="0"/>
        <w:autoSpaceDN w:val="0"/>
        <w:adjustRightInd w:val="0"/>
        <w:spacing w:line="480" w:lineRule="auto"/>
        <w:rPr>
          <w:rFonts w:ascii="Calibri" w:hAnsi="Calibri" w:cs="Calibri"/>
          <w:sz w:val="22"/>
          <w:szCs w:val="22"/>
        </w:rPr>
      </w:pPr>
    </w:p>
    <w:p w:rsidR="00400E42" w:rsidRDefault="00400E42" w:rsidP="002D6E20">
      <w:pPr>
        <w:pStyle w:val="PBody"/>
      </w:pPr>
      <w:r>
        <w:rPr>
          <w:b/>
        </w:rPr>
        <w:t xml:space="preserve">Basic </w:t>
      </w:r>
      <w:r w:rsidRPr="00163D74">
        <w:rPr>
          <w:b/>
        </w:rPr>
        <w:t xml:space="preserve">Methods: </w:t>
      </w:r>
      <w:r>
        <w:t>T</w:t>
      </w:r>
      <w:r w:rsidRPr="00F240EB">
        <w:t>reatment patterns and outcomes following nonfatal opioid</w:t>
      </w:r>
      <w:r>
        <w:t>-related</w:t>
      </w:r>
      <w:r w:rsidRPr="00F240EB">
        <w:t xml:space="preserve"> overdose </w:t>
      </w:r>
      <w:r>
        <w:t xml:space="preserve">were </w:t>
      </w:r>
      <w:r w:rsidRPr="0075338A">
        <w:t>examined</w:t>
      </w:r>
      <w:r w:rsidR="00301E0D">
        <w:t>.  M</w:t>
      </w:r>
      <w:r w:rsidRPr="0075338A">
        <w:t>ales and females age 11 and above were included</w:t>
      </w:r>
      <w:r>
        <w:t xml:space="preserve"> in the analysis</w:t>
      </w:r>
      <w:r w:rsidR="00301E0D">
        <w:t>.  B</w:t>
      </w:r>
      <w:r w:rsidRPr="00F240EB">
        <w:t>y linking data from MATRIS and the death index at the individual level, 7</w:t>
      </w:r>
      <w:r>
        <w:t>,</w:t>
      </w:r>
      <w:r w:rsidRPr="00F240EB">
        <w:t xml:space="preserve">634 individuals </w:t>
      </w:r>
      <w:r>
        <w:t xml:space="preserve">were identified </w:t>
      </w:r>
      <w:r w:rsidRPr="00F240EB">
        <w:t xml:space="preserve">who survived an ambulance encounter for an opioid-related overdose in Massachusetts between 2013 and 2014. </w:t>
      </w:r>
    </w:p>
    <w:p w:rsidR="00400E42" w:rsidRPr="003447AA" w:rsidRDefault="00400E42" w:rsidP="002D6E20">
      <w:pPr>
        <w:pStyle w:val="PBody"/>
      </w:pPr>
      <w:r>
        <w:rPr>
          <w:b/>
        </w:rPr>
        <w:t xml:space="preserve">Summary of Findings: </w:t>
      </w:r>
      <w:r w:rsidRPr="00F240EB">
        <w:t xml:space="preserve">Over a median follow-up </w:t>
      </w:r>
      <w:r>
        <w:t xml:space="preserve">period </w:t>
      </w:r>
      <w:r w:rsidRPr="00F240EB">
        <w:t>of 10 months, 149 individuals (2.0%)</w:t>
      </w:r>
      <w:r w:rsidRPr="00CA6DF5">
        <w:t xml:space="preserve"> </w:t>
      </w:r>
      <w:r>
        <w:t>with non-fatal overdose</w:t>
      </w:r>
      <w:r w:rsidRPr="00F240EB">
        <w:t xml:space="preserve"> experienced a subsequent fatal opioid</w:t>
      </w:r>
      <w:r>
        <w:t>-related</w:t>
      </w:r>
      <w:r w:rsidRPr="00F240EB">
        <w:t xml:space="preserve"> overdose</w:t>
      </w:r>
      <w:r w:rsidR="00301E0D">
        <w:t>.  A</w:t>
      </w:r>
      <w:r w:rsidRPr="00F240EB">
        <w:t xml:space="preserve">nalyzed another way, </w:t>
      </w:r>
      <w:r w:rsidR="002666A8">
        <w:t xml:space="preserve">at least </w:t>
      </w:r>
      <w:r w:rsidRPr="00F240EB">
        <w:t>6.8% (149 of 2</w:t>
      </w:r>
      <w:r>
        <w:t>,</w:t>
      </w:r>
      <w:r w:rsidRPr="00F240EB">
        <w:t xml:space="preserve">192) </w:t>
      </w:r>
      <w:r>
        <w:t xml:space="preserve">of </w:t>
      </w:r>
      <w:r w:rsidRPr="00F240EB">
        <w:t>total opioid</w:t>
      </w:r>
      <w:r>
        <w:t>-related</w:t>
      </w:r>
      <w:r w:rsidRPr="00F240EB">
        <w:t xml:space="preserve"> overdose deaths in Massachusetts over the relevant period were preceded by a nonfatal opioid</w:t>
      </w:r>
      <w:r>
        <w:t>-related</w:t>
      </w:r>
      <w:r w:rsidRPr="00F240EB">
        <w:t xml:space="preserve"> overdose</w:t>
      </w:r>
      <w:r>
        <w:t xml:space="preserve"> as detected in MATRIS</w:t>
      </w:r>
      <w:r w:rsidRPr="00F240EB">
        <w:t>.</w:t>
      </w:r>
      <w:r>
        <w:t xml:space="preserve">  Since not all opioid-related overdoses are captured by MATRIS, these values are almost certainly underestimates.</w:t>
      </w:r>
    </w:p>
    <w:p w:rsidR="00400E42" w:rsidRDefault="00400E42" w:rsidP="002D6E20">
      <w:pPr>
        <w:pStyle w:val="PBody"/>
      </w:pPr>
      <w:r w:rsidRPr="00F240EB">
        <w:t>For those individuals who experienced a nonfatal opioid overdose, engagement in opioid agonist treatment (OAT) in the period surrounding the nonfatal opioid overdose</w:t>
      </w:r>
      <w:r>
        <w:t xml:space="preserve"> was examined</w:t>
      </w:r>
      <w:r w:rsidR="00301E0D">
        <w:t>.  S</w:t>
      </w:r>
      <w:r w:rsidRPr="00F240EB">
        <w:t xml:space="preserve">pecifically, monthly exposure to OAT </w:t>
      </w:r>
      <w:r>
        <w:t xml:space="preserve">was studied </w:t>
      </w:r>
      <w:r w:rsidRPr="00F240EB">
        <w:t xml:space="preserve">using BSAS records for treatment with </w:t>
      </w:r>
      <w:r>
        <w:t>M</w:t>
      </w:r>
      <w:r w:rsidRPr="00F240EB">
        <w:t xml:space="preserve">ethadone or </w:t>
      </w:r>
      <w:r w:rsidR="00667C4C">
        <w:t>bup</w:t>
      </w:r>
      <w:r w:rsidRPr="00F240EB">
        <w:t>renorphine or P</w:t>
      </w:r>
      <w:r>
        <w:t>D</w:t>
      </w:r>
      <w:r w:rsidRPr="00F240EB">
        <w:t xml:space="preserve">MP dispensing for </w:t>
      </w:r>
      <w:r w:rsidR="00667C4C">
        <w:t>bup</w:t>
      </w:r>
      <w:r w:rsidRPr="00F240EB">
        <w:t>renorphine</w:t>
      </w:r>
      <w:r w:rsidR="00301E0D">
        <w:t>.  D</w:t>
      </w:r>
      <w:r w:rsidRPr="00F240EB">
        <w:t>uring the month of the nonfatal opioid</w:t>
      </w:r>
      <w:r>
        <w:t>-related</w:t>
      </w:r>
      <w:r w:rsidRPr="00F240EB">
        <w:t xml:space="preserve"> overdose, 4.7% of individuals were engaged in OAT</w:t>
      </w:r>
      <w:r w:rsidR="00301E0D">
        <w:t>.  E</w:t>
      </w:r>
      <w:r w:rsidRPr="00F240EB">
        <w:t xml:space="preserve">ngagement in OAT remained relatively constant over 12 months of follow-up, with 5.2% of individuals receiving OAT in month 12 (Figure KEY2.1).  </w:t>
      </w:r>
    </w:p>
    <w:p w:rsidR="00400E42" w:rsidRDefault="00400E42" w:rsidP="00400E42">
      <w:pPr>
        <w:spacing w:after="120" w:line="276" w:lineRule="auto"/>
        <w:rPr>
          <w:rFonts w:ascii="Calibri" w:hAnsi="Calibri"/>
          <w:sz w:val="22"/>
          <w:szCs w:val="22"/>
        </w:rPr>
      </w:pPr>
    </w:p>
    <w:p w:rsidR="003447AA" w:rsidRDefault="003447AA" w:rsidP="00400E42">
      <w:pPr>
        <w:spacing w:after="120" w:line="276" w:lineRule="auto"/>
        <w:rPr>
          <w:rFonts w:ascii="Calibri" w:hAnsi="Calibri"/>
          <w:sz w:val="22"/>
          <w:szCs w:val="22"/>
        </w:rPr>
      </w:pPr>
    </w:p>
    <w:p w:rsidR="00400E42" w:rsidRPr="0050537B" w:rsidRDefault="0050537B" w:rsidP="0050537B">
      <w:pPr>
        <w:jc w:val="center"/>
        <w:rPr>
          <w:sz w:val="22"/>
          <w:szCs w:val="22"/>
        </w:rPr>
      </w:pPr>
      <w:r>
        <w:rPr>
          <w:noProof/>
          <w:sz w:val="22"/>
          <w:szCs w:val="22"/>
        </w:rPr>
        <w:lastRenderedPageBreak/>
        <w:drawing>
          <wp:inline distT="0" distB="0" distL="0" distR="0" wp14:anchorId="203759F5" wp14:editId="0682DFC7">
            <wp:extent cx="5663565" cy="4316095"/>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63565" cy="4316095"/>
                    </a:xfrm>
                    <a:prstGeom prst="rect">
                      <a:avLst/>
                    </a:prstGeom>
                    <a:noFill/>
                  </pic:spPr>
                </pic:pic>
              </a:graphicData>
            </a:graphic>
          </wp:inline>
        </w:drawing>
      </w:r>
    </w:p>
    <w:p w:rsidR="0050537B" w:rsidRDefault="0050537B" w:rsidP="002D6E20">
      <w:pPr>
        <w:pStyle w:val="PBody"/>
      </w:pPr>
    </w:p>
    <w:p w:rsidR="00400E42" w:rsidRPr="00F240EB" w:rsidRDefault="00400E42" w:rsidP="002D6E20">
      <w:pPr>
        <w:pStyle w:val="PBody"/>
      </w:pPr>
      <w:r w:rsidRPr="00F240EB">
        <w:t>Finally, time to fatal opioid</w:t>
      </w:r>
      <w:r>
        <w:t>-related</w:t>
      </w:r>
      <w:r w:rsidRPr="00F240EB">
        <w:t xml:space="preserve"> overdose</w:t>
      </w:r>
      <w:r>
        <w:t xml:space="preserve"> was examined.  All </w:t>
      </w:r>
      <w:r w:rsidRPr="00F240EB">
        <w:t>death</w:t>
      </w:r>
      <w:r>
        <w:t>s</w:t>
      </w:r>
      <w:r w:rsidRPr="00F240EB">
        <w:t xml:space="preserve"> due to other causes through the end of the study period (December 2014)</w:t>
      </w:r>
      <w:r>
        <w:t xml:space="preserve"> were removed from the analysis</w:t>
      </w:r>
      <w:r w:rsidR="00301E0D">
        <w:t>.  H</w:t>
      </w:r>
      <w:r w:rsidRPr="00F240EB">
        <w:t>ere, the cumulative incidence of fatal opioid</w:t>
      </w:r>
      <w:r>
        <w:t>-related</w:t>
      </w:r>
      <w:r w:rsidRPr="00F240EB">
        <w:t xml:space="preserve"> overdose stratified by exposure to OAT using an extended Kaplan-Meier estimator</w:t>
      </w:r>
      <w:r>
        <w:t>,</w:t>
      </w:r>
      <w:r w:rsidRPr="00F240EB">
        <w:t xml:space="preserve"> treating OAT exposure as a time varying covariate defined as exposed in the month of or month prior to</w:t>
      </w:r>
      <w:r>
        <w:t xml:space="preserve"> the</w:t>
      </w:r>
      <w:r w:rsidRPr="00F240EB">
        <w:t xml:space="preserve"> month at risk for opioid-related death</w:t>
      </w:r>
      <w:r>
        <w:t xml:space="preserve"> was calculated</w:t>
      </w:r>
      <w:r w:rsidR="00301E0D">
        <w:t>.  T</w:t>
      </w:r>
      <w:r w:rsidRPr="00F240EB">
        <w:t>he cumulative incidence of fatal opioid</w:t>
      </w:r>
      <w:r>
        <w:t>-related</w:t>
      </w:r>
      <w:r w:rsidRPr="00F240EB">
        <w:t xml:space="preserve"> overdose was 1.1% for those engaged in OAT versus 2.3% for those not engaged in OAT</w:t>
      </w:r>
      <w:r w:rsidR="00301E0D">
        <w:t>.  T</w:t>
      </w:r>
      <w:r>
        <w:t>hus, among people who have a nonfatal opioid-related overdose, those who are engaged in OAT had a risk of subsequent fatal opioid-related overdose that is less half of those who are not engaged in OAT.</w:t>
      </w:r>
    </w:p>
    <w:p w:rsidR="00400E42" w:rsidRPr="00F240EB" w:rsidRDefault="00400E42" w:rsidP="002D6E20">
      <w:pPr>
        <w:pStyle w:val="PBody"/>
      </w:pPr>
      <w:r w:rsidRPr="00F240EB">
        <w:rPr>
          <w:b/>
        </w:rPr>
        <w:t>Limitations</w:t>
      </w:r>
      <w:r>
        <w:t xml:space="preserve">: </w:t>
      </w:r>
      <w:r w:rsidRPr="00F240EB">
        <w:t>There are several potential limitations of this preliminary analysis</w:t>
      </w:r>
      <w:r w:rsidR="00301E0D">
        <w:t>.  F</w:t>
      </w:r>
      <w:r w:rsidRPr="00F240EB">
        <w:t>irst, these estimates likely represent a substantial underestimate of the number of nonfatal opioid</w:t>
      </w:r>
      <w:r>
        <w:t>-related</w:t>
      </w:r>
      <w:r w:rsidRPr="00F240EB">
        <w:t xml:space="preserve"> overdoses in Massachusetts</w:t>
      </w:r>
      <w:r w:rsidR="00301E0D">
        <w:t>.  N</w:t>
      </w:r>
      <w:r w:rsidRPr="00F240EB">
        <w:t>ot all nonfatal opioid</w:t>
      </w:r>
      <w:r>
        <w:t>-related</w:t>
      </w:r>
      <w:r w:rsidRPr="00F240EB">
        <w:t xml:space="preserve"> overdose events result in an ambulance encounter, and not all ambulance encounters are captured in MATRIS</w:t>
      </w:r>
      <w:r w:rsidR="00301E0D">
        <w:t>.  T</w:t>
      </w:r>
      <w:r w:rsidRPr="00F240EB">
        <w:t>o build on this analysis</w:t>
      </w:r>
      <w:r>
        <w:t xml:space="preserve">, </w:t>
      </w:r>
      <w:r w:rsidRPr="00F240EB">
        <w:t>nonfatal opioid</w:t>
      </w:r>
      <w:r>
        <w:t>-related</w:t>
      </w:r>
      <w:r w:rsidRPr="00F240EB">
        <w:t xml:space="preserve"> overdoses identified in the emergency room and inpatient settings from the </w:t>
      </w:r>
      <w:r>
        <w:t>Case Mix</w:t>
      </w:r>
      <w:r w:rsidRPr="00F240EB">
        <w:t xml:space="preserve"> </w:t>
      </w:r>
      <w:r>
        <w:t xml:space="preserve">will be included </w:t>
      </w:r>
      <w:r w:rsidRPr="00F240EB">
        <w:t xml:space="preserve">datasets </w:t>
      </w:r>
      <w:r>
        <w:t>once these data are available</w:t>
      </w:r>
      <w:r w:rsidR="00301E0D">
        <w:t>.  S</w:t>
      </w:r>
      <w:r w:rsidRPr="00F240EB">
        <w:t>econd, the findings related to the impact of OAT are observational and likely subject to substantial confounding</w:t>
      </w:r>
      <w:r w:rsidR="00301E0D">
        <w:t>.  A</w:t>
      </w:r>
      <w:r w:rsidRPr="00F240EB">
        <w:t xml:space="preserve">dditional analyses </w:t>
      </w:r>
      <w:r>
        <w:t xml:space="preserve">will be conducted to </w:t>
      </w:r>
      <w:r w:rsidRPr="00F240EB">
        <w:t>adjust for factors that may influence treatment decisions as well as fatal opioid</w:t>
      </w:r>
      <w:r>
        <w:t>-related</w:t>
      </w:r>
      <w:r w:rsidRPr="00F240EB">
        <w:t xml:space="preserve"> </w:t>
      </w:r>
      <w:r w:rsidRPr="00F240EB">
        <w:lastRenderedPageBreak/>
        <w:t>overdose</w:t>
      </w:r>
      <w:r w:rsidR="00301E0D">
        <w:t>.  A</w:t>
      </w:r>
      <w:r w:rsidRPr="00F240EB">
        <w:t xml:space="preserve">s part of this, geospatial variability </w:t>
      </w:r>
      <w:r>
        <w:t xml:space="preserve">will be explored </w:t>
      </w:r>
      <w:r w:rsidRPr="00F240EB">
        <w:t>to compare the intersection of where individuals experience nonfatal opioid overdose and where they access treatment that may inform hotspots that should be targeted with additional resources</w:t>
      </w:r>
      <w:r w:rsidR="00301E0D">
        <w:t>.  F</w:t>
      </w:r>
      <w:r w:rsidRPr="00F240EB">
        <w:t xml:space="preserve">inally, a range of treatment options beyond OAT </w:t>
      </w:r>
      <w:r>
        <w:t xml:space="preserve">will be examined </w:t>
      </w:r>
      <w:r w:rsidRPr="00F240EB">
        <w:t xml:space="preserve">including opioid antagonist treatment (e.g. injectable extended-release </w:t>
      </w:r>
      <w:r>
        <w:t>N</w:t>
      </w:r>
      <w:r w:rsidRPr="00F240EB">
        <w:t>altrexone) and detoxification admissions.</w:t>
      </w:r>
    </w:p>
    <w:p w:rsidR="00400E42" w:rsidRPr="00F240EB" w:rsidRDefault="00400E42" w:rsidP="00400E42">
      <w:pPr>
        <w:spacing w:after="120" w:line="276" w:lineRule="auto"/>
        <w:rPr>
          <w:rFonts w:ascii="Calibri" w:hAnsi="Calibri"/>
          <w:b/>
          <w:sz w:val="22"/>
          <w:szCs w:val="22"/>
        </w:rPr>
      </w:pPr>
      <w:r w:rsidRPr="00F240EB">
        <w:rPr>
          <w:rFonts w:ascii="Calibri" w:hAnsi="Calibri"/>
          <w:b/>
          <w:sz w:val="22"/>
          <w:szCs w:val="22"/>
        </w:rPr>
        <w:t xml:space="preserve">Implications and recommendations based on </w:t>
      </w:r>
      <w:r>
        <w:rPr>
          <w:rFonts w:ascii="Calibri" w:hAnsi="Calibri"/>
          <w:b/>
          <w:sz w:val="22"/>
          <w:szCs w:val="22"/>
        </w:rPr>
        <w:t>Key Finding</w:t>
      </w:r>
      <w:r w:rsidRPr="00F240EB">
        <w:rPr>
          <w:rFonts w:ascii="Calibri" w:hAnsi="Calibri"/>
          <w:b/>
          <w:sz w:val="22"/>
          <w:szCs w:val="22"/>
        </w:rPr>
        <w:t xml:space="preserve"> #2</w:t>
      </w:r>
    </w:p>
    <w:p w:rsidR="00400E42" w:rsidRPr="00F240EB" w:rsidRDefault="00400E42" w:rsidP="00400E42">
      <w:pPr>
        <w:pStyle w:val="ListParagraph"/>
        <w:numPr>
          <w:ilvl w:val="0"/>
          <w:numId w:val="24"/>
        </w:numPr>
        <w:spacing w:after="120" w:line="276" w:lineRule="auto"/>
        <w:rPr>
          <w:rFonts w:ascii="Calibri" w:hAnsi="Calibri"/>
          <w:sz w:val="22"/>
          <w:szCs w:val="22"/>
        </w:rPr>
      </w:pPr>
      <w:r w:rsidRPr="00F240EB">
        <w:rPr>
          <w:rFonts w:ascii="Calibri" w:hAnsi="Calibri"/>
          <w:sz w:val="22"/>
          <w:szCs w:val="22"/>
        </w:rPr>
        <w:t>A substantial portion of opioid-related overdose deaths in Massachusetts are preceded by a nonfatal opioid overdose.</w:t>
      </w:r>
    </w:p>
    <w:p w:rsidR="004A052C" w:rsidRDefault="00400E42" w:rsidP="004A052C">
      <w:pPr>
        <w:pStyle w:val="ListParagraph"/>
        <w:numPr>
          <w:ilvl w:val="0"/>
          <w:numId w:val="24"/>
        </w:numPr>
        <w:spacing w:after="120" w:line="276" w:lineRule="auto"/>
        <w:rPr>
          <w:rFonts w:ascii="Calibri" w:hAnsi="Calibri"/>
          <w:sz w:val="22"/>
          <w:szCs w:val="22"/>
        </w:rPr>
      </w:pPr>
      <w:r w:rsidRPr="004A052C">
        <w:rPr>
          <w:rFonts w:ascii="Calibri" w:hAnsi="Calibri"/>
          <w:sz w:val="22"/>
          <w:szCs w:val="22"/>
        </w:rPr>
        <w:t xml:space="preserve">Engagement in OAT following nonfatal opioid-related overdose </w:t>
      </w:r>
      <w:r w:rsidR="00B367DC">
        <w:rPr>
          <w:rFonts w:ascii="Calibri" w:hAnsi="Calibri"/>
          <w:sz w:val="22"/>
          <w:szCs w:val="22"/>
        </w:rPr>
        <w:t>was found to be</w:t>
      </w:r>
      <w:r w:rsidR="00B367DC" w:rsidRPr="004A052C">
        <w:rPr>
          <w:rFonts w:ascii="Calibri" w:hAnsi="Calibri"/>
          <w:sz w:val="22"/>
          <w:szCs w:val="22"/>
        </w:rPr>
        <w:t xml:space="preserve"> </w:t>
      </w:r>
      <w:r w:rsidR="004A052C" w:rsidRPr="004A052C">
        <w:rPr>
          <w:rFonts w:ascii="Calibri" w:hAnsi="Calibri"/>
          <w:sz w:val="22"/>
          <w:szCs w:val="22"/>
        </w:rPr>
        <w:t>associated  with a substantial decrease in the risk of a subsequent fatal opioid-related overdose. Despite this risk reduction</w:t>
      </w:r>
      <w:r w:rsidR="002666A8">
        <w:rPr>
          <w:rFonts w:ascii="Calibri" w:hAnsi="Calibri"/>
          <w:sz w:val="22"/>
          <w:szCs w:val="22"/>
        </w:rPr>
        <w:t xml:space="preserve"> (50% less risk of an overdose by those engaged in OAT</w:t>
      </w:r>
      <w:r w:rsidR="00E126A0">
        <w:rPr>
          <w:rFonts w:ascii="Calibri" w:hAnsi="Calibri"/>
          <w:sz w:val="22"/>
          <w:szCs w:val="22"/>
        </w:rPr>
        <w:t xml:space="preserve"> versus those who did not engage in OAT</w:t>
      </w:r>
      <w:r w:rsidR="002666A8">
        <w:rPr>
          <w:rFonts w:ascii="Calibri" w:hAnsi="Calibri"/>
          <w:sz w:val="22"/>
          <w:szCs w:val="22"/>
        </w:rPr>
        <w:t>)</w:t>
      </w:r>
      <w:r w:rsidR="004A052C" w:rsidRPr="004A052C">
        <w:rPr>
          <w:rFonts w:ascii="Calibri" w:hAnsi="Calibri"/>
          <w:sz w:val="22"/>
          <w:szCs w:val="22"/>
        </w:rPr>
        <w:t xml:space="preserve">, </w:t>
      </w:r>
      <w:r w:rsidR="004A052C">
        <w:rPr>
          <w:rFonts w:ascii="Calibri" w:hAnsi="Calibri"/>
          <w:sz w:val="22"/>
          <w:szCs w:val="22"/>
        </w:rPr>
        <w:t>the proportion of people who engage in OAT following a nonfatal opioid overdose remains low.</w:t>
      </w:r>
    </w:p>
    <w:p w:rsidR="00400E42" w:rsidRPr="004A052C" w:rsidRDefault="00400E42" w:rsidP="004A052C">
      <w:pPr>
        <w:pStyle w:val="ListParagraph"/>
        <w:numPr>
          <w:ilvl w:val="0"/>
          <w:numId w:val="24"/>
        </w:numPr>
        <w:spacing w:after="120" w:line="276" w:lineRule="auto"/>
        <w:rPr>
          <w:rFonts w:ascii="Calibri" w:hAnsi="Calibri"/>
          <w:sz w:val="22"/>
          <w:szCs w:val="22"/>
        </w:rPr>
      </w:pPr>
      <w:r w:rsidRPr="004A052C">
        <w:rPr>
          <w:rFonts w:ascii="Calibri" w:hAnsi="Calibri"/>
          <w:sz w:val="22"/>
          <w:szCs w:val="22"/>
        </w:rPr>
        <w:t>Presentation to the health care system with nonfatal opioid-related overdose represents an opportunity to engage high-risk individuals in treatment.</w:t>
      </w:r>
    </w:p>
    <w:p w:rsidR="00400E42" w:rsidRPr="00F240EB" w:rsidRDefault="00400E42" w:rsidP="00400E42">
      <w:pPr>
        <w:pStyle w:val="ListParagraph"/>
        <w:numPr>
          <w:ilvl w:val="0"/>
          <w:numId w:val="24"/>
        </w:numPr>
        <w:spacing w:after="120" w:line="276" w:lineRule="auto"/>
        <w:rPr>
          <w:rFonts w:ascii="Calibri" w:hAnsi="Calibri"/>
          <w:sz w:val="22"/>
          <w:szCs w:val="22"/>
        </w:rPr>
      </w:pPr>
      <w:r w:rsidRPr="00F240EB">
        <w:rPr>
          <w:rFonts w:ascii="Calibri" w:hAnsi="Calibri"/>
          <w:sz w:val="22"/>
          <w:szCs w:val="22"/>
        </w:rPr>
        <w:t>There is substantial opportunity to develop novel public health approaches to identify individuals who experience nonfatal opioid</w:t>
      </w:r>
      <w:r>
        <w:rPr>
          <w:rFonts w:ascii="Calibri" w:hAnsi="Calibri"/>
          <w:sz w:val="22"/>
          <w:szCs w:val="22"/>
        </w:rPr>
        <w:t>-related</w:t>
      </w:r>
      <w:r w:rsidRPr="00F240EB">
        <w:rPr>
          <w:rFonts w:ascii="Calibri" w:hAnsi="Calibri"/>
          <w:sz w:val="22"/>
          <w:szCs w:val="22"/>
        </w:rPr>
        <w:t xml:space="preserve"> overdose and engage them in treatment.</w:t>
      </w:r>
    </w:p>
    <w:p w:rsidR="00400E42" w:rsidRDefault="00400E42" w:rsidP="00400E42">
      <w:pPr>
        <w:spacing w:line="480" w:lineRule="auto"/>
        <w:rPr>
          <w:rFonts w:ascii="Calibri" w:hAnsi="Calibri"/>
          <w:b/>
          <w:bCs/>
          <w:i/>
          <w:color w:val="000000"/>
          <w:sz w:val="22"/>
          <w:szCs w:val="22"/>
        </w:rPr>
      </w:pPr>
      <w:bookmarkStart w:id="13" w:name="_Toc452726665"/>
    </w:p>
    <w:p w:rsidR="00400E42" w:rsidRDefault="00400E42" w:rsidP="00400E42">
      <w:pPr>
        <w:spacing w:line="480" w:lineRule="auto"/>
        <w:rPr>
          <w:rFonts w:ascii="Calibri" w:hAnsi="Calibri"/>
          <w:b/>
          <w:bCs/>
          <w:i/>
          <w:color w:val="000000"/>
          <w:sz w:val="22"/>
          <w:szCs w:val="22"/>
        </w:rPr>
      </w:pPr>
      <w:r>
        <w:rPr>
          <w:rFonts w:ascii="Calibri" w:hAnsi="Calibri"/>
          <w:b/>
          <w:bCs/>
          <w:i/>
          <w:color w:val="000000"/>
          <w:sz w:val="22"/>
          <w:szCs w:val="22"/>
        </w:rPr>
        <w:br w:type="page"/>
      </w:r>
    </w:p>
    <w:bookmarkStart w:id="14" w:name="_Toc453664357"/>
    <w:bookmarkStart w:id="15" w:name="_Toc454724769"/>
    <w:p w:rsidR="00400E42" w:rsidRPr="007D21BB" w:rsidRDefault="00400E42" w:rsidP="007D21BB">
      <w:pPr>
        <w:pStyle w:val="Heading1"/>
      </w:pPr>
      <w:r w:rsidRPr="00400E42">
        <w:rPr>
          <w:noProof/>
        </w:rPr>
        <w:lastRenderedPageBreak/>
        <mc:AlternateContent>
          <mc:Choice Requires="wps">
            <w:drawing>
              <wp:anchor distT="91440" distB="91440" distL="114300" distR="114300" simplePos="0" relativeHeight="251674624" behindDoc="1" locked="0" layoutInCell="1" allowOverlap="1" wp14:anchorId="69CF9278" wp14:editId="5B32FD8D">
                <wp:simplePos x="0" y="0"/>
                <wp:positionH relativeFrom="margin">
                  <wp:posOffset>-40640</wp:posOffset>
                </wp:positionH>
                <wp:positionV relativeFrom="paragraph">
                  <wp:posOffset>812800</wp:posOffset>
                </wp:positionV>
                <wp:extent cx="5943600" cy="3241040"/>
                <wp:effectExtent l="0" t="0" r="57150" b="54610"/>
                <wp:wrapSquare wrapText="bothSides"/>
                <wp:docPr id="7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943600" cy="3241040"/>
                        </a:xfrm>
                        <a:prstGeom prst="rect">
                          <a:avLst/>
                        </a:prstGeom>
                        <a:solidFill>
                          <a:srgbClr val="D99594"/>
                        </a:solidFill>
                        <a:ln w="19050">
                          <a:solidFill>
                            <a:srgbClr val="000000"/>
                          </a:solidFill>
                          <a:miter lim="800000"/>
                          <a:headEnd/>
                          <a:tailEnd/>
                        </a:ln>
                        <a:effectLst>
                          <a:outerShdw dist="38100" dir="2700000" algn="tl" rotWithShape="0">
                            <a:srgbClr val="000000">
                              <a:alpha val="39999"/>
                            </a:srgbClr>
                          </a:outerShdw>
                        </a:effectLst>
                      </wps:spPr>
                      <wps:txbx>
                        <w:txbxContent>
                          <w:p w:rsidR="002666A8" w:rsidRPr="003747F9" w:rsidRDefault="002666A8" w:rsidP="00400E42">
                            <w:pPr>
                              <w:ind w:right="-3"/>
                              <w:jc w:val="center"/>
                              <w:rPr>
                                <w:rFonts w:ascii="Calibri" w:hAnsi="Calibri" w:cs="Arial"/>
                                <w:b/>
                                <w:sz w:val="22"/>
                                <w:szCs w:val="22"/>
                              </w:rPr>
                            </w:pPr>
                            <w:r w:rsidRPr="003747F9">
                              <w:rPr>
                                <w:rFonts w:ascii="Calibri" w:hAnsi="Calibri" w:cs="Arial"/>
                                <w:b/>
                                <w:sz w:val="22"/>
                                <w:szCs w:val="22"/>
                              </w:rPr>
                              <w:t>Analysis #</w:t>
                            </w:r>
                            <w:r>
                              <w:rPr>
                                <w:rFonts w:ascii="Calibri" w:hAnsi="Calibri" w:cs="Arial"/>
                                <w:b/>
                                <w:sz w:val="22"/>
                                <w:szCs w:val="22"/>
                              </w:rPr>
                              <w:t>3</w:t>
                            </w:r>
                            <w:r w:rsidRPr="003747F9">
                              <w:rPr>
                                <w:rFonts w:ascii="Calibri" w:hAnsi="Calibri" w:cs="Arial"/>
                                <w:b/>
                                <w:sz w:val="22"/>
                                <w:szCs w:val="22"/>
                              </w:rPr>
                              <w:t xml:space="preserve"> - </w:t>
                            </w:r>
                            <w:r w:rsidRPr="003747F9">
                              <w:rPr>
                                <w:rFonts w:ascii="Calibri" w:hAnsi="Calibri" w:cs="Arial"/>
                                <w:b/>
                                <w:szCs w:val="24"/>
                              </w:rPr>
                              <w:t>Gender Differences and the PDMP</w:t>
                            </w:r>
                          </w:p>
                          <w:p w:rsidR="002666A8" w:rsidRPr="00910856" w:rsidRDefault="002666A8" w:rsidP="00400E42">
                            <w:pPr>
                              <w:ind w:right="-3"/>
                              <w:jc w:val="center"/>
                              <w:rPr>
                                <w:rFonts w:ascii="Calibri" w:hAnsi="Calibri" w:cs="Arial"/>
                                <w:b/>
                                <w:sz w:val="22"/>
                                <w:szCs w:val="22"/>
                              </w:rPr>
                            </w:pPr>
                          </w:p>
                          <w:p w:rsidR="002666A8" w:rsidRPr="00F720E9" w:rsidRDefault="002666A8" w:rsidP="00400E42">
                            <w:pPr>
                              <w:pStyle w:val="FreeForm"/>
                              <w:rPr>
                                <w:rFonts w:ascii="Calibri" w:hAnsi="Calibri" w:cs="Arial"/>
                                <w:b/>
                                <w:sz w:val="22"/>
                                <w:szCs w:val="22"/>
                                <w:u w:val="single"/>
                              </w:rPr>
                            </w:pPr>
                            <w:r w:rsidRPr="00F720E9">
                              <w:rPr>
                                <w:rFonts w:ascii="Calibri" w:hAnsi="Calibri" w:cs="Arial"/>
                                <w:b/>
                                <w:sz w:val="22"/>
                                <w:szCs w:val="22"/>
                                <w:u w:val="single"/>
                              </w:rPr>
                              <w:t>Key Findings</w:t>
                            </w:r>
                          </w:p>
                          <w:p w:rsidR="002666A8" w:rsidRDefault="002666A8" w:rsidP="00400E42">
                            <w:pPr>
                              <w:pStyle w:val="FreeForm"/>
                              <w:numPr>
                                <w:ilvl w:val="0"/>
                                <w:numId w:val="19"/>
                              </w:numPr>
                              <w:rPr>
                                <w:rFonts w:ascii="Calibri" w:hAnsi="Calibri" w:cs="Arial"/>
                                <w:sz w:val="22"/>
                                <w:szCs w:val="22"/>
                              </w:rPr>
                            </w:pPr>
                            <w:r>
                              <w:rPr>
                                <w:rFonts w:ascii="Calibri" w:hAnsi="Calibri" w:cs="Arial"/>
                                <w:sz w:val="22"/>
                                <w:szCs w:val="22"/>
                              </w:rPr>
                              <w:t xml:space="preserve">Between 2011 and 2014, women filled nearly one million more Schedule II and III opioid prescriptions than men. </w:t>
                            </w:r>
                          </w:p>
                          <w:p w:rsidR="002666A8" w:rsidRDefault="002666A8" w:rsidP="00400E42">
                            <w:pPr>
                              <w:pStyle w:val="FreeForm"/>
                              <w:numPr>
                                <w:ilvl w:val="0"/>
                                <w:numId w:val="19"/>
                              </w:numPr>
                              <w:rPr>
                                <w:rFonts w:ascii="Calibri" w:hAnsi="Calibri" w:cs="Arial"/>
                                <w:sz w:val="22"/>
                                <w:szCs w:val="22"/>
                              </w:rPr>
                            </w:pPr>
                            <w:r w:rsidRPr="00570FB0">
                              <w:rPr>
                                <w:rFonts w:ascii="Calibri" w:hAnsi="Calibri" w:cs="Arial"/>
                                <w:sz w:val="22"/>
                                <w:szCs w:val="22"/>
                              </w:rPr>
                              <w:t xml:space="preserve">Women are significantly more likely than men to receive </w:t>
                            </w:r>
                            <w:r>
                              <w:rPr>
                                <w:rFonts w:ascii="Calibri" w:hAnsi="Calibri" w:cs="Arial"/>
                                <w:sz w:val="22"/>
                                <w:szCs w:val="22"/>
                              </w:rPr>
                              <w:t xml:space="preserve">Schedule II and III </w:t>
                            </w:r>
                            <w:r w:rsidRPr="00570FB0">
                              <w:rPr>
                                <w:rFonts w:ascii="Calibri" w:hAnsi="Calibri" w:cs="Arial"/>
                                <w:sz w:val="22"/>
                                <w:szCs w:val="22"/>
                              </w:rPr>
                              <w:t>opioids from 3 or more prescribers and obtain them from 3 or more pharmacies</w:t>
                            </w:r>
                            <w:r>
                              <w:rPr>
                                <w:rFonts w:ascii="Calibri" w:hAnsi="Calibri" w:cs="Arial"/>
                                <w:sz w:val="22"/>
                                <w:szCs w:val="22"/>
                              </w:rPr>
                              <w:t>.</w:t>
                            </w:r>
                          </w:p>
                          <w:p w:rsidR="002666A8" w:rsidRPr="00570FB0" w:rsidRDefault="002666A8" w:rsidP="00400E42">
                            <w:pPr>
                              <w:pStyle w:val="FreeForm"/>
                              <w:numPr>
                                <w:ilvl w:val="0"/>
                                <w:numId w:val="19"/>
                              </w:numPr>
                              <w:rPr>
                                <w:rFonts w:ascii="Calibri" w:hAnsi="Calibri" w:cs="Arial"/>
                                <w:sz w:val="22"/>
                                <w:szCs w:val="22"/>
                              </w:rPr>
                            </w:pPr>
                            <w:r>
                              <w:rPr>
                                <w:rFonts w:ascii="Calibri" w:hAnsi="Calibri" w:cs="Arial"/>
                                <w:sz w:val="22"/>
                                <w:szCs w:val="22"/>
                              </w:rPr>
                              <w:t>Obtaining Schedule II and III opioid prescriptions from multiple prescribers and filling them at multiple pharmacies are significant risk factors for subsequent opioid-related death.</w:t>
                            </w:r>
                          </w:p>
                          <w:p w:rsidR="002666A8" w:rsidRPr="00005A3D" w:rsidRDefault="002666A8" w:rsidP="00400E42">
                            <w:pPr>
                              <w:ind w:right="-3"/>
                              <w:jc w:val="center"/>
                              <w:rPr>
                                <w:rFonts w:ascii="Calibri" w:hAnsi="Calibri" w:cs="Arial"/>
                                <w:sz w:val="22"/>
                                <w:szCs w:val="22"/>
                              </w:rPr>
                            </w:pPr>
                          </w:p>
                          <w:p w:rsidR="002666A8" w:rsidRPr="00F720E9" w:rsidRDefault="002666A8" w:rsidP="00400E42">
                            <w:pPr>
                              <w:ind w:right="-3"/>
                              <w:jc w:val="both"/>
                              <w:rPr>
                                <w:rFonts w:ascii="Calibri" w:hAnsi="Calibri" w:cs="Arial"/>
                                <w:b/>
                                <w:sz w:val="22"/>
                                <w:szCs w:val="22"/>
                                <w:u w:val="single"/>
                              </w:rPr>
                            </w:pPr>
                            <w:r w:rsidRPr="00F720E9">
                              <w:rPr>
                                <w:rFonts w:ascii="Calibri" w:hAnsi="Calibri" w:cs="Arial"/>
                                <w:b/>
                                <w:sz w:val="22"/>
                                <w:szCs w:val="22"/>
                                <w:u w:val="single"/>
                              </w:rPr>
                              <w:t>Recommendations</w:t>
                            </w:r>
                          </w:p>
                          <w:p w:rsidR="002666A8" w:rsidRPr="00805443" w:rsidRDefault="002666A8" w:rsidP="00400E42">
                            <w:pPr>
                              <w:pStyle w:val="FreeForm"/>
                              <w:numPr>
                                <w:ilvl w:val="0"/>
                                <w:numId w:val="19"/>
                              </w:numPr>
                              <w:rPr>
                                <w:rFonts w:asciiTheme="minorHAnsi" w:hAnsiTheme="minorHAnsi" w:cs="Arial"/>
                                <w:sz w:val="22"/>
                                <w:szCs w:val="22"/>
                              </w:rPr>
                            </w:pPr>
                            <w:r w:rsidRPr="00805443">
                              <w:rPr>
                                <w:rFonts w:asciiTheme="minorHAnsi" w:hAnsiTheme="minorHAnsi"/>
                                <w:sz w:val="22"/>
                                <w:szCs w:val="22"/>
                              </w:rPr>
                              <w:t xml:space="preserve">Alerts in MassPAT should be configured to assure that prescribers and pharmacists are aware of potential patient misuse and diversion of Schedule II-III opioids. </w:t>
                            </w:r>
                          </w:p>
                          <w:p w:rsidR="002666A8" w:rsidRPr="00805443" w:rsidRDefault="002666A8" w:rsidP="00400E42">
                            <w:pPr>
                              <w:pStyle w:val="FreeForm"/>
                              <w:numPr>
                                <w:ilvl w:val="0"/>
                                <w:numId w:val="19"/>
                              </w:numPr>
                              <w:rPr>
                                <w:rFonts w:asciiTheme="minorHAnsi" w:hAnsiTheme="minorHAnsi" w:cs="Arial"/>
                                <w:sz w:val="22"/>
                                <w:szCs w:val="22"/>
                              </w:rPr>
                            </w:pPr>
                            <w:r w:rsidRPr="00805443">
                              <w:rPr>
                                <w:rFonts w:asciiTheme="minorHAnsi" w:hAnsiTheme="minorHAnsi"/>
                                <w:sz w:val="22"/>
                                <w:szCs w:val="22"/>
                              </w:rPr>
                              <w:t>Prescribers and pharmacists should be educated about personal biases associated with “expected” risks for certain populations.</w:t>
                            </w:r>
                          </w:p>
                          <w:p w:rsidR="002666A8" w:rsidRPr="00005A3D" w:rsidRDefault="002666A8" w:rsidP="000511DA">
                            <w:pPr>
                              <w:pStyle w:val="FreeForm"/>
                              <w:numPr>
                                <w:ilvl w:val="0"/>
                                <w:numId w:val="19"/>
                              </w:numPr>
                              <w:rPr>
                                <w:rFonts w:ascii="Calibri" w:hAnsi="Calibri"/>
                              </w:rPr>
                            </w:pPr>
                            <w:r w:rsidRPr="00B45C0A">
                              <w:rPr>
                                <w:rFonts w:asciiTheme="minorHAnsi" w:hAnsiTheme="minorHAnsi"/>
                                <w:sz w:val="22"/>
                                <w:szCs w:val="22"/>
                              </w:rPr>
                              <w:t>Providers should consider gender differences when screening, assessing, diagnosing and treating patients.</w:t>
                            </w:r>
                          </w:p>
                          <w:p w:rsidR="002666A8" w:rsidRPr="00005A3D" w:rsidRDefault="002666A8" w:rsidP="00400E42">
                            <w:pPr>
                              <w:ind w:right="-3"/>
                              <w:jc w:val="both"/>
                              <w:rPr>
                                <w:rFonts w:ascii="Calibri" w:hAnsi="Calibri" w:cs="Arial"/>
                                <w:sz w:val="22"/>
                                <w:szCs w:val="22"/>
                              </w:rPr>
                            </w:pPr>
                          </w:p>
                          <w:p w:rsidR="002666A8" w:rsidRPr="00005A3D" w:rsidRDefault="002666A8" w:rsidP="00400E42">
                            <w:pPr>
                              <w:ind w:left="-180" w:right="-120"/>
                              <w:jc w:val="right"/>
                              <w:rPr>
                                <w:rFonts w:ascii="Calibri" w:hAnsi="Calibri"/>
                                <w:i/>
                                <w:color w:val="000000"/>
                                <w:sz w:val="22"/>
                                <w:szCs w:val="22"/>
                              </w:rPr>
                            </w:pPr>
                            <w:r w:rsidRPr="00005A3D">
                              <w:rPr>
                                <w:rFonts w:ascii="Calibri" w:hAnsi="Calibri"/>
                                <w:i/>
                                <w:color w:val="000000"/>
                                <w:sz w:val="22"/>
                                <w:szCs w:val="22"/>
                              </w:rPr>
                              <w:t xml:space="preserve"> </w:t>
                            </w:r>
                          </w:p>
                        </w:txbxContent>
                      </wps:txbx>
                      <wps:bodyPr rot="0" vert="horz" wrap="square" lIns="182880" tIns="137160" rIns="182880" bIns="13716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5" style="position:absolute;margin-left:-3.2pt;margin-top:64pt;width:468pt;height:255.2pt;flip:x;z-index:-2516418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" fillcolor="#d99594" strokeweight="1.5pt">
                <v:shadow on="t" color="black" opacity="26213f" origin="-.5,-.5" offset=".74836mm,.74836mm"/>
                <v:textbox inset="14.4pt,10.8pt,14.4pt,10.8pt">
                  <w:txbxContent>
                    <w:p w:rsidR="002666A8" w:rsidRPr="003747F9" w:rsidRDefault="002666A8" w:rsidP="00400E42">
                      <w:pPr>
                        <w:ind w:right="-3"/>
                        <w:jc w:val="center"/>
                        <w:rPr>
                          <w:rFonts w:ascii="Calibri" w:hAnsi="Calibri" w:cs="Arial"/>
                          <w:b/>
                          <w:sz w:val="22"/>
                          <w:szCs w:val="22"/>
                        </w:rPr>
                      </w:pPr>
                      <w:r w:rsidRPr="003747F9">
                        <w:rPr>
                          <w:rFonts w:ascii="Calibri" w:hAnsi="Calibri" w:cs="Arial"/>
                          <w:b/>
                          <w:sz w:val="22"/>
                          <w:szCs w:val="22"/>
                        </w:rPr>
                        <w:t>Analysis #</w:t>
                      </w:r>
                      <w:r>
                        <w:rPr>
                          <w:rFonts w:ascii="Calibri" w:hAnsi="Calibri" w:cs="Arial"/>
                          <w:b/>
                          <w:sz w:val="22"/>
                          <w:szCs w:val="22"/>
                        </w:rPr>
                        <w:t>3</w:t>
                      </w:r>
                      <w:r w:rsidRPr="003747F9">
                        <w:rPr>
                          <w:rFonts w:ascii="Calibri" w:hAnsi="Calibri" w:cs="Arial"/>
                          <w:b/>
                          <w:sz w:val="22"/>
                          <w:szCs w:val="22"/>
                        </w:rPr>
                        <w:t xml:space="preserve"> - </w:t>
                      </w:r>
                      <w:r w:rsidRPr="003747F9">
                        <w:rPr>
                          <w:rFonts w:ascii="Calibri" w:hAnsi="Calibri" w:cs="Arial"/>
                          <w:b/>
                          <w:szCs w:val="24"/>
                        </w:rPr>
                        <w:t>Gender Differences and the PDMP</w:t>
                      </w:r>
                    </w:p>
                    <w:p w:rsidR="002666A8" w:rsidRPr="00910856" w:rsidRDefault="002666A8" w:rsidP="00400E42">
                      <w:pPr>
                        <w:ind w:right="-3"/>
                        <w:jc w:val="center"/>
                        <w:rPr>
                          <w:rFonts w:ascii="Calibri" w:hAnsi="Calibri" w:cs="Arial"/>
                          <w:b/>
                          <w:sz w:val="22"/>
                          <w:szCs w:val="22"/>
                        </w:rPr>
                      </w:pPr>
                    </w:p>
                    <w:p w:rsidR="002666A8" w:rsidRPr="00F720E9" w:rsidRDefault="002666A8" w:rsidP="00400E42">
                      <w:pPr>
                        <w:pStyle w:val="FreeForm"/>
                        <w:rPr>
                          <w:rFonts w:ascii="Calibri" w:hAnsi="Calibri" w:cs="Arial"/>
                          <w:b/>
                          <w:sz w:val="22"/>
                          <w:szCs w:val="22"/>
                          <w:u w:val="single"/>
                        </w:rPr>
                      </w:pPr>
                      <w:r w:rsidRPr="00F720E9">
                        <w:rPr>
                          <w:rFonts w:ascii="Calibri" w:hAnsi="Calibri" w:cs="Arial"/>
                          <w:b/>
                          <w:sz w:val="22"/>
                          <w:szCs w:val="22"/>
                          <w:u w:val="single"/>
                        </w:rPr>
                        <w:t>Key Findings</w:t>
                      </w:r>
                    </w:p>
                    <w:p w:rsidR="002666A8" w:rsidRDefault="002666A8" w:rsidP="00400E42">
                      <w:pPr>
                        <w:pStyle w:val="FreeForm"/>
                        <w:numPr>
                          <w:ilvl w:val="0"/>
                          <w:numId w:val="19"/>
                        </w:numPr>
                        <w:rPr>
                          <w:rFonts w:ascii="Calibri" w:hAnsi="Calibri" w:cs="Arial"/>
                          <w:sz w:val="22"/>
                          <w:szCs w:val="22"/>
                        </w:rPr>
                      </w:pPr>
                      <w:r>
                        <w:rPr>
                          <w:rFonts w:ascii="Calibri" w:hAnsi="Calibri" w:cs="Arial"/>
                          <w:sz w:val="22"/>
                          <w:szCs w:val="22"/>
                        </w:rPr>
                        <w:t xml:space="preserve">Between 2011 and 2014, women filled nearly one million more Schedule II and III opioid prescriptions than men. </w:t>
                      </w:r>
                    </w:p>
                    <w:p w:rsidR="002666A8" w:rsidRDefault="002666A8" w:rsidP="00400E42">
                      <w:pPr>
                        <w:pStyle w:val="FreeForm"/>
                        <w:numPr>
                          <w:ilvl w:val="0"/>
                          <w:numId w:val="19"/>
                        </w:numPr>
                        <w:rPr>
                          <w:rFonts w:ascii="Calibri" w:hAnsi="Calibri" w:cs="Arial"/>
                          <w:sz w:val="22"/>
                          <w:szCs w:val="22"/>
                        </w:rPr>
                      </w:pPr>
                      <w:r w:rsidRPr="00570FB0">
                        <w:rPr>
                          <w:rFonts w:ascii="Calibri" w:hAnsi="Calibri" w:cs="Arial"/>
                          <w:sz w:val="22"/>
                          <w:szCs w:val="22"/>
                        </w:rPr>
                        <w:t xml:space="preserve">Women are significantly more likely than men to receive </w:t>
                      </w:r>
                      <w:r>
                        <w:rPr>
                          <w:rFonts w:ascii="Calibri" w:hAnsi="Calibri" w:cs="Arial"/>
                          <w:sz w:val="22"/>
                          <w:szCs w:val="22"/>
                        </w:rPr>
                        <w:t xml:space="preserve">Schedule II and III </w:t>
                      </w:r>
                      <w:r w:rsidRPr="00570FB0">
                        <w:rPr>
                          <w:rFonts w:ascii="Calibri" w:hAnsi="Calibri" w:cs="Arial"/>
                          <w:sz w:val="22"/>
                          <w:szCs w:val="22"/>
                        </w:rPr>
                        <w:t>opioids from 3 or more prescribers and obtain them from 3 or more pharmacies</w:t>
                      </w:r>
                      <w:r>
                        <w:rPr>
                          <w:rFonts w:ascii="Calibri" w:hAnsi="Calibri" w:cs="Arial"/>
                          <w:sz w:val="22"/>
                          <w:szCs w:val="22"/>
                        </w:rPr>
                        <w:t>.</w:t>
                      </w:r>
                    </w:p>
                    <w:p w:rsidR="002666A8" w:rsidRPr="00570FB0" w:rsidRDefault="002666A8" w:rsidP="00400E42">
                      <w:pPr>
                        <w:pStyle w:val="FreeForm"/>
                        <w:numPr>
                          <w:ilvl w:val="0"/>
                          <w:numId w:val="19"/>
                        </w:numPr>
                        <w:rPr>
                          <w:rFonts w:ascii="Calibri" w:hAnsi="Calibri" w:cs="Arial"/>
                          <w:sz w:val="22"/>
                          <w:szCs w:val="22"/>
                        </w:rPr>
                      </w:pPr>
                      <w:r>
                        <w:rPr>
                          <w:rFonts w:ascii="Calibri" w:hAnsi="Calibri" w:cs="Arial"/>
                          <w:sz w:val="22"/>
                          <w:szCs w:val="22"/>
                        </w:rPr>
                        <w:t>Obtaining Schedule II and III opioid prescriptions from multiple prescribers and filling them at multiple pharmacies are significant risk factors for subsequent opioid-related death.</w:t>
                      </w:r>
                    </w:p>
                    <w:p w:rsidR="002666A8" w:rsidRPr="00005A3D" w:rsidRDefault="002666A8" w:rsidP="00400E42">
                      <w:pPr>
                        <w:ind w:right="-3"/>
                        <w:jc w:val="center"/>
                        <w:rPr>
                          <w:rFonts w:ascii="Calibri" w:hAnsi="Calibri" w:cs="Arial"/>
                          <w:sz w:val="22"/>
                          <w:szCs w:val="22"/>
                        </w:rPr>
                      </w:pPr>
                    </w:p>
                    <w:p w:rsidR="002666A8" w:rsidRPr="00F720E9" w:rsidRDefault="002666A8" w:rsidP="00400E42">
                      <w:pPr>
                        <w:ind w:right="-3"/>
                        <w:jc w:val="both"/>
                        <w:rPr>
                          <w:rFonts w:ascii="Calibri" w:hAnsi="Calibri" w:cs="Arial"/>
                          <w:b/>
                          <w:sz w:val="22"/>
                          <w:szCs w:val="22"/>
                          <w:u w:val="single"/>
                        </w:rPr>
                      </w:pPr>
                      <w:r w:rsidRPr="00F720E9">
                        <w:rPr>
                          <w:rFonts w:ascii="Calibri" w:hAnsi="Calibri" w:cs="Arial"/>
                          <w:b/>
                          <w:sz w:val="22"/>
                          <w:szCs w:val="22"/>
                          <w:u w:val="single"/>
                        </w:rPr>
                        <w:t>Recommendations</w:t>
                      </w:r>
                    </w:p>
                    <w:p w:rsidR="002666A8" w:rsidRPr="00805443" w:rsidRDefault="002666A8" w:rsidP="00400E42">
                      <w:pPr>
                        <w:pStyle w:val="FreeForm"/>
                        <w:numPr>
                          <w:ilvl w:val="0"/>
                          <w:numId w:val="19"/>
                        </w:numPr>
                        <w:rPr>
                          <w:rFonts w:asciiTheme="minorHAnsi" w:hAnsiTheme="minorHAnsi" w:cs="Arial"/>
                          <w:sz w:val="22"/>
                          <w:szCs w:val="22"/>
                        </w:rPr>
                      </w:pPr>
                      <w:r w:rsidRPr="00805443">
                        <w:rPr>
                          <w:rFonts w:asciiTheme="minorHAnsi" w:hAnsiTheme="minorHAnsi"/>
                          <w:sz w:val="22"/>
                          <w:szCs w:val="22"/>
                        </w:rPr>
                        <w:t xml:space="preserve">Alerts in </w:t>
                      </w:r>
                      <w:proofErr w:type="spellStart"/>
                      <w:r w:rsidRPr="00805443">
                        <w:rPr>
                          <w:rFonts w:asciiTheme="minorHAnsi" w:hAnsiTheme="minorHAnsi"/>
                          <w:sz w:val="22"/>
                          <w:szCs w:val="22"/>
                        </w:rPr>
                        <w:t>MassPAT</w:t>
                      </w:r>
                      <w:proofErr w:type="spellEnd"/>
                      <w:r w:rsidRPr="00805443">
                        <w:rPr>
                          <w:rFonts w:asciiTheme="minorHAnsi" w:hAnsiTheme="minorHAnsi"/>
                          <w:sz w:val="22"/>
                          <w:szCs w:val="22"/>
                        </w:rPr>
                        <w:t xml:space="preserve"> should be configured to assure that prescribers and pharmacists are aware of potential patient misuse and diversion of Schedule II-III opioids. </w:t>
                      </w:r>
                    </w:p>
                    <w:p w:rsidR="002666A8" w:rsidRPr="00805443" w:rsidRDefault="002666A8" w:rsidP="00400E42">
                      <w:pPr>
                        <w:pStyle w:val="FreeForm"/>
                        <w:numPr>
                          <w:ilvl w:val="0"/>
                          <w:numId w:val="19"/>
                        </w:numPr>
                        <w:rPr>
                          <w:rFonts w:asciiTheme="minorHAnsi" w:hAnsiTheme="minorHAnsi" w:cs="Arial"/>
                          <w:sz w:val="22"/>
                          <w:szCs w:val="22"/>
                        </w:rPr>
                      </w:pPr>
                      <w:r w:rsidRPr="00805443">
                        <w:rPr>
                          <w:rFonts w:asciiTheme="minorHAnsi" w:hAnsiTheme="minorHAnsi"/>
                          <w:sz w:val="22"/>
                          <w:szCs w:val="22"/>
                        </w:rPr>
                        <w:t>Prescribers and pharmacists should be educated about personal biases associated with “expected” risks for certain populations.</w:t>
                      </w:r>
                    </w:p>
                    <w:p w:rsidR="002666A8" w:rsidRPr="00005A3D" w:rsidRDefault="002666A8" w:rsidP="000511DA">
                      <w:pPr>
                        <w:pStyle w:val="FreeForm"/>
                        <w:numPr>
                          <w:ilvl w:val="0"/>
                          <w:numId w:val="19"/>
                        </w:numPr>
                        <w:rPr>
                          <w:rFonts w:ascii="Calibri" w:hAnsi="Calibri"/>
                        </w:rPr>
                      </w:pPr>
                      <w:r w:rsidRPr="00B45C0A">
                        <w:rPr>
                          <w:rFonts w:asciiTheme="minorHAnsi" w:hAnsiTheme="minorHAnsi"/>
                          <w:sz w:val="22"/>
                          <w:szCs w:val="22"/>
                        </w:rPr>
                        <w:t>Providers should consider gender differences when screening, assessing, diagnosing and treating patients.</w:t>
                      </w:r>
                    </w:p>
                    <w:p w:rsidR="002666A8" w:rsidRPr="00005A3D" w:rsidRDefault="002666A8" w:rsidP="00400E42">
                      <w:pPr>
                        <w:ind w:right="-3"/>
                        <w:jc w:val="both"/>
                        <w:rPr>
                          <w:rFonts w:ascii="Calibri" w:hAnsi="Calibri" w:cs="Arial"/>
                          <w:sz w:val="22"/>
                          <w:szCs w:val="22"/>
                        </w:rPr>
                      </w:pPr>
                    </w:p>
                    <w:p w:rsidR="002666A8" w:rsidRPr="00005A3D" w:rsidRDefault="002666A8" w:rsidP="00400E42">
                      <w:pPr>
                        <w:ind w:left="-180" w:right="-120"/>
                        <w:jc w:val="right"/>
                        <w:rPr>
                          <w:rFonts w:ascii="Calibri" w:hAnsi="Calibri"/>
                          <w:i/>
                          <w:color w:val="000000"/>
                          <w:sz w:val="22"/>
                          <w:szCs w:val="22"/>
                        </w:rPr>
                      </w:pPr>
                      <w:r w:rsidRPr="00005A3D">
                        <w:rPr>
                          <w:rFonts w:ascii="Calibri" w:hAnsi="Calibri"/>
                          <w:i/>
                          <w:color w:val="000000"/>
                          <w:sz w:val="22"/>
                          <w:szCs w:val="22"/>
                        </w:rPr>
                        <w:t xml:space="preserve"> </w:t>
                      </w:r>
                    </w:p>
                  </w:txbxContent>
                </v:textbox>
                <w10:wrap type="square" anchorx="margin"/>
              </v:rect>
            </w:pict>
          </mc:Fallback>
        </mc:AlternateContent>
      </w:r>
      <w:r w:rsidRPr="00400E42">
        <w:t>Analysis #3 (Gender Differences and the PDMP): Key Findings and Recommendations</w:t>
      </w:r>
      <w:bookmarkEnd w:id="14"/>
      <w:bookmarkEnd w:id="15"/>
    </w:p>
    <w:bookmarkEnd w:id="13"/>
    <w:p w:rsidR="00400E42" w:rsidRPr="003447AA" w:rsidRDefault="00400E42" w:rsidP="002D6E20">
      <w:pPr>
        <w:pStyle w:val="PBody"/>
      </w:pPr>
      <w:r w:rsidRPr="00163D74">
        <w:rPr>
          <w:b/>
        </w:rPr>
        <w:t xml:space="preserve">Basic Methods: </w:t>
      </w:r>
      <w:r w:rsidRPr="007F6980">
        <w:t>D</w:t>
      </w:r>
      <w:r w:rsidRPr="00F240EB">
        <w:t xml:space="preserve">emographic differences </w:t>
      </w:r>
      <w:r>
        <w:t xml:space="preserve">in general and gender differences in specific were examined </w:t>
      </w:r>
      <w:r w:rsidRPr="00F240EB">
        <w:t>in outcomes related to opioid</w:t>
      </w:r>
      <w:r>
        <w:t>-related</w:t>
      </w:r>
      <w:r w:rsidRPr="00F240EB">
        <w:t xml:space="preserve"> overdose deaths and risk factors for these deaths</w:t>
      </w:r>
      <w:r w:rsidR="00301E0D">
        <w:t>.  M</w:t>
      </w:r>
      <w:r w:rsidRPr="0075338A">
        <w:t>ales and females age 11 and above were included</w:t>
      </w:r>
      <w:r>
        <w:t xml:space="preserve"> in the analysis.  T</w:t>
      </w:r>
      <w:r w:rsidRPr="00F240EB">
        <w:t xml:space="preserve">oxicology and </w:t>
      </w:r>
      <w:r>
        <w:t xml:space="preserve">PDMP data were </w:t>
      </w:r>
      <w:r w:rsidRPr="00F240EB">
        <w:t xml:space="preserve">linked </w:t>
      </w:r>
      <w:r>
        <w:t xml:space="preserve">to </w:t>
      </w:r>
      <w:r w:rsidRPr="00F240EB">
        <w:t>death</w:t>
      </w:r>
      <w:r>
        <w:t>s.  Demographics were used from all available sources</w:t>
      </w:r>
      <w:r w:rsidR="00301E0D">
        <w:t>.  B</w:t>
      </w:r>
      <w:r w:rsidRPr="00F240EB">
        <w:t>ivariate analyses using the Chi Square</w:t>
      </w:r>
      <w:r>
        <w:t>s</w:t>
      </w:r>
      <w:r w:rsidRPr="00F240EB">
        <w:t xml:space="preserve"> were performed in order to determine if there were any significant differences in frequenc</w:t>
      </w:r>
      <w:r>
        <w:t>ies</w:t>
      </w:r>
      <w:r w:rsidRPr="00F240EB">
        <w:t xml:space="preserve"> between gender and age groups</w:t>
      </w:r>
      <w:r w:rsidR="00301E0D">
        <w:t xml:space="preserve">.  </w:t>
      </w:r>
    </w:p>
    <w:p w:rsidR="00400E42" w:rsidRPr="00F240EB" w:rsidRDefault="00400E42" w:rsidP="002D6E20">
      <w:pPr>
        <w:pStyle w:val="PBody"/>
      </w:pPr>
      <w:r w:rsidRPr="00F240EB">
        <w:rPr>
          <w:b/>
        </w:rPr>
        <w:t xml:space="preserve">Summary of Findings: </w:t>
      </w:r>
      <w:r w:rsidRPr="00F240EB">
        <w:t>There are differences between the substances found in the toxicology screening of males and females who die as a result of an opioid</w:t>
      </w:r>
      <w:r>
        <w:t>-</w:t>
      </w:r>
      <w:r w:rsidRPr="00F240EB">
        <w:t>related overdose</w:t>
      </w:r>
      <w:r w:rsidR="00301E0D">
        <w:t xml:space="preserve">.  </w:t>
      </w:r>
      <w:r w:rsidRPr="00F240EB">
        <w:t>While males were statistically significantly more likely to have Heroin present in their toxicology screen as compared to females who died during the study period (ρ≤0.001), females were statistically significantly more likely than males to have a prescription opioid in their toxicology screening (ρ≤0.001).  Overall</w:t>
      </w:r>
      <w:r>
        <w:t>,</w:t>
      </w:r>
      <w:r w:rsidRPr="00F240EB">
        <w:t xml:space="preserve"> in the PDMP database, females were more likely than males to have 3 or more prescribers (p&lt;.0001)</w:t>
      </w:r>
      <w:r w:rsidR="00301E0D">
        <w:t>.  F</w:t>
      </w:r>
      <w:r w:rsidRPr="00F240EB">
        <w:t xml:space="preserve">emales who died of an opioid overdose were more likely than males to have 3 or more prescribers (p&lt;.0001) and to fill prescriptions at multiple pharmacies (p&lt;.0001).  </w:t>
      </w:r>
      <w:r>
        <w:t>For frequencies see Tables KEY3.1 and KEY3.2.</w:t>
      </w:r>
    </w:p>
    <w:p w:rsidR="00400E42" w:rsidRDefault="00400E42" w:rsidP="002D6E20">
      <w:pPr>
        <w:pStyle w:val="PBody"/>
      </w:pPr>
      <w:r w:rsidRPr="00F240EB">
        <w:rPr>
          <w:b/>
        </w:rPr>
        <w:t xml:space="preserve">Toxicology Results and Gender: </w:t>
      </w:r>
      <w:r w:rsidR="00E2392E">
        <w:t>In 2013-2014, t</w:t>
      </w:r>
      <w:r w:rsidRPr="00F240EB">
        <w:t xml:space="preserve">here </w:t>
      </w:r>
      <w:r>
        <w:t>were</w:t>
      </w:r>
      <w:r w:rsidRPr="00F240EB">
        <w:t xml:space="preserve"> 1</w:t>
      </w:r>
      <w:r>
        <w:t>,</w:t>
      </w:r>
      <w:r w:rsidRPr="00F240EB">
        <w:t xml:space="preserve">692 </w:t>
      </w:r>
      <w:r>
        <w:t xml:space="preserve">opioid-related </w:t>
      </w:r>
      <w:r w:rsidRPr="00F240EB">
        <w:t>decedents where data was available for the toxicology screen.  These decedents are represented in the tables below; 485 decedents were female and 1</w:t>
      </w:r>
      <w:r>
        <w:t>,</w:t>
      </w:r>
      <w:r w:rsidRPr="00F240EB">
        <w:t xml:space="preserve">207 were male. </w:t>
      </w:r>
      <w:r w:rsidRPr="00F240EB">
        <w:rPr>
          <w:b/>
        </w:rPr>
        <w:t xml:space="preserve"> </w:t>
      </w:r>
      <w:r w:rsidRPr="00F240EB">
        <w:t>Table K</w:t>
      </w:r>
      <w:r>
        <w:t>EY</w:t>
      </w:r>
      <w:r w:rsidRPr="00F240EB">
        <w:t xml:space="preserve">3.1 displays the presence of a prescription opioid in the toxicology screen by gender.  The key finding is that 27.8% of females had a prescription opioid present in their toxicology screen while only 18.5% of males did.  </w:t>
      </w:r>
      <w:r>
        <w:t xml:space="preserve">Further analyses </w:t>
      </w:r>
      <w:r>
        <w:lastRenderedPageBreak/>
        <w:t>indicated that this result was statistically significant</w:t>
      </w:r>
      <w:r w:rsidR="00301E0D">
        <w:t xml:space="preserve">.  </w:t>
      </w:r>
      <w:r w:rsidR="00A62BA5" w:rsidRPr="00A62BA5">
        <w:t xml:space="preserve">While fatal opioid overdoses occur most frequently in males, this data </w:t>
      </w:r>
      <w:r w:rsidR="00A62BA5">
        <w:t>suggests</w:t>
      </w:r>
      <w:r w:rsidR="00A62BA5" w:rsidRPr="00A62BA5">
        <w:t xml:space="preserve"> that women are disproportionately impacted by prescription opioids. </w:t>
      </w:r>
      <w:r w:rsidR="00A62BA5">
        <w:t xml:space="preserve"> </w:t>
      </w:r>
      <w:r w:rsidR="00301E0D">
        <w:t>A</w:t>
      </w:r>
      <w:r w:rsidRPr="00F240EB">
        <w:t xml:space="preserve">s described in other sections of this report, the presence of </w:t>
      </w:r>
      <w:r>
        <w:t>M</w:t>
      </w:r>
      <w:r w:rsidRPr="00F240EB">
        <w:t xml:space="preserve">orphine in a toxicology screen is due to prescription </w:t>
      </w:r>
      <w:r>
        <w:t>M</w:t>
      </w:r>
      <w:r w:rsidRPr="00F240EB">
        <w:t xml:space="preserve">orphine or Heroin metabolites.  Decedents were categorized as deaths that were </w:t>
      </w:r>
      <w:r>
        <w:t xml:space="preserve">likely </w:t>
      </w:r>
      <w:r w:rsidRPr="00F240EB">
        <w:t xml:space="preserve">attributable to Heroin when there was no matching </w:t>
      </w:r>
      <w:r>
        <w:t>M</w:t>
      </w:r>
      <w:r w:rsidRPr="00F240EB">
        <w:t>orphine prescription documented in the PDMP database</w:t>
      </w:r>
      <w:r w:rsidR="00301E0D">
        <w:t xml:space="preserve">.  </w:t>
      </w:r>
    </w:p>
    <w:p w:rsidR="00400E42" w:rsidRPr="00F240EB" w:rsidRDefault="00400E42" w:rsidP="00400E42">
      <w:pPr>
        <w:spacing w:line="480" w:lineRule="auto"/>
        <w:jc w:val="center"/>
        <w:rPr>
          <w:rFonts w:ascii="Calibri" w:hAnsi="Calibri"/>
          <w:sz w:val="22"/>
          <w:szCs w:val="22"/>
        </w:rPr>
      </w:pPr>
    </w:p>
    <w:tbl>
      <w:tblPr>
        <w:tblW w:w="0" w:type="auto"/>
        <w:jc w:val="center"/>
        <w:tblLook w:val="00A0" w:firstRow="1" w:lastRow="0" w:firstColumn="1" w:lastColumn="0" w:noHBand="0" w:noVBand="0"/>
      </w:tblPr>
      <w:tblGrid>
        <w:gridCol w:w="3013"/>
        <w:gridCol w:w="551"/>
        <w:gridCol w:w="1098"/>
        <w:gridCol w:w="1218"/>
        <w:gridCol w:w="551"/>
        <w:gridCol w:w="1098"/>
        <w:gridCol w:w="1416"/>
      </w:tblGrid>
      <w:tr w:rsidR="00400E42" w:rsidRPr="00F240EB" w:rsidTr="00A92FFC">
        <w:trPr>
          <w:trHeight w:val="315"/>
          <w:jc w:val="center"/>
        </w:trPr>
        <w:tc>
          <w:tcPr>
            <w:tcW w:w="0" w:type="auto"/>
            <w:gridSpan w:val="7"/>
            <w:tcBorders>
              <w:top w:val="single" w:sz="8" w:space="0" w:color="auto"/>
              <w:left w:val="single" w:sz="8" w:space="0" w:color="auto"/>
              <w:bottom w:val="single" w:sz="8" w:space="0" w:color="auto"/>
              <w:right w:val="single" w:sz="8" w:space="0" w:color="000000"/>
            </w:tcBorders>
            <w:vAlign w:val="center"/>
          </w:tcPr>
          <w:p w:rsidR="00400E42" w:rsidRPr="00F240EB" w:rsidRDefault="00400E42" w:rsidP="00A92FFC">
            <w:pPr>
              <w:jc w:val="center"/>
              <w:rPr>
                <w:rFonts w:ascii="Calibri" w:hAnsi="Calibri"/>
                <w:b/>
                <w:bCs/>
                <w:color w:val="000000"/>
                <w:szCs w:val="22"/>
              </w:rPr>
            </w:pPr>
            <w:r w:rsidRPr="00F240EB">
              <w:rPr>
                <w:rFonts w:ascii="Calibri" w:hAnsi="Calibri"/>
                <w:b/>
                <w:bCs/>
                <w:color w:val="000000"/>
                <w:sz w:val="22"/>
                <w:szCs w:val="22"/>
              </w:rPr>
              <w:t>Table KEY3.1: Presence of a Prescription Opioid in Toxicology Screen by Gender</w:t>
            </w:r>
            <w:r w:rsidR="0050537B">
              <w:rPr>
                <w:rFonts w:ascii="Calibri" w:hAnsi="Calibri"/>
                <w:b/>
                <w:bCs/>
                <w:color w:val="000000"/>
                <w:sz w:val="22"/>
                <w:szCs w:val="22"/>
              </w:rPr>
              <w:t xml:space="preserve"> (2013-2014)</w:t>
            </w:r>
            <w:r w:rsidRPr="00F240EB">
              <w:rPr>
                <w:rFonts w:ascii="Calibri" w:hAnsi="Calibri"/>
                <w:b/>
                <w:bCs/>
                <w:color w:val="000000"/>
                <w:sz w:val="22"/>
                <w:szCs w:val="22"/>
              </w:rPr>
              <w:t xml:space="preserve"> </w:t>
            </w:r>
          </w:p>
        </w:tc>
      </w:tr>
      <w:tr w:rsidR="00400E42" w:rsidRPr="00F240EB" w:rsidTr="00A92FFC">
        <w:trPr>
          <w:trHeight w:val="300"/>
          <w:jc w:val="center"/>
        </w:trPr>
        <w:tc>
          <w:tcPr>
            <w:tcW w:w="0" w:type="auto"/>
            <w:tcBorders>
              <w:top w:val="nil"/>
              <w:left w:val="single" w:sz="8" w:space="0" w:color="auto"/>
              <w:bottom w:val="nil"/>
              <w:right w:val="nil"/>
            </w:tcBorders>
            <w:vAlign w:val="center"/>
          </w:tcPr>
          <w:p w:rsidR="00400E42" w:rsidRPr="00F240EB" w:rsidRDefault="00400E42" w:rsidP="00A92FFC">
            <w:pPr>
              <w:rPr>
                <w:rFonts w:ascii="Calibri" w:hAnsi="Calibri"/>
                <w:b/>
                <w:color w:val="000000"/>
                <w:szCs w:val="22"/>
              </w:rPr>
            </w:pPr>
            <w:r w:rsidRPr="00F240EB">
              <w:rPr>
                <w:rFonts w:ascii="Calibri" w:hAnsi="Calibri"/>
                <w:b/>
                <w:color w:val="000000"/>
                <w:sz w:val="22"/>
                <w:szCs w:val="22"/>
              </w:rPr>
              <w:t> </w:t>
            </w:r>
          </w:p>
        </w:tc>
        <w:tc>
          <w:tcPr>
            <w:tcW w:w="0" w:type="auto"/>
            <w:gridSpan w:val="3"/>
            <w:tcBorders>
              <w:top w:val="single" w:sz="4" w:space="0" w:color="auto"/>
              <w:left w:val="nil"/>
              <w:bottom w:val="double" w:sz="6" w:space="0" w:color="auto"/>
              <w:right w:val="nil"/>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Males</w:t>
            </w:r>
          </w:p>
        </w:tc>
        <w:tc>
          <w:tcPr>
            <w:tcW w:w="0" w:type="auto"/>
            <w:gridSpan w:val="3"/>
            <w:tcBorders>
              <w:top w:val="single" w:sz="8" w:space="0" w:color="auto"/>
              <w:left w:val="nil"/>
              <w:bottom w:val="double" w:sz="6" w:space="0" w:color="auto"/>
              <w:right w:val="single" w:sz="8" w:space="0" w:color="000000"/>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Females</w:t>
            </w:r>
          </w:p>
        </w:tc>
      </w:tr>
      <w:tr w:rsidR="00400E42" w:rsidRPr="00F240EB" w:rsidTr="00A92FFC">
        <w:trPr>
          <w:trHeight w:val="450"/>
          <w:jc w:val="center"/>
        </w:trPr>
        <w:tc>
          <w:tcPr>
            <w:tcW w:w="0" w:type="auto"/>
            <w:tcBorders>
              <w:top w:val="nil"/>
              <w:left w:val="single" w:sz="8" w:space="0" w:color="auto"/>
              <w:bottom w:val="nil"/>
              <w:right w:val="nil"/>
            </w:tcBorders>
            <w:vAlign w:val="center"/>
          </w:tcPr>
          <w:p w:rsidR="00400E42" w:rsidRPr="00F240EB" w:rsidRDefault="00400E42" w:rsidP="00A92FFC">
            <w:pPr>
              <w:rPr>
                <w:rFonts w:ascii="Calibri" w:hAnsi="Calibri"/>
                <w:b/>
                <w:color w:val="000000"/>
                <w:szCs w:val="22"/>
              </w:rPr>
            </w:pPr>
            <w:r>
              <w:rPr>
                <w:rFonts w:ascii="Calibri" w:hAnsi="Calibri"/>
                <w:b/>
                <w:color w:val="000000"/>
                <w:sz w:val="22"/>
                <w:szCs w:val="22"/>
              </w:rPr>
              <w:t xml:space="preserve">  </w:t>
            </w:r>
            <w:r w:rsidRPr="00F240EB">
              <w:rPr>
                <w:rFonts w:ascii="Calibri" w:hAnsi="Calibri"/>
                <w:b/>
                <w:color w:val="000000"/>
                <w:sz w:val="22"/>
                <w:szCs w:val="22"/>
              </w:rPr>
              <w:t> </w:t>
            </w:r>
            <w:r>
              <w:rPr>
                <w:rFonts w:ascii="Calibri" w:hAnsi="Calibri"/>
                <w:b/>
                <w:color w:val="000000"/>
                <w:sz w:val="22"/>
                <w:szCs w:val="22"/>
              </w:rPr>
              <w:t>Toxicology Results</w:t>
            </w:r>
          </w:p>
        </w:tc>
        <w:tc>
          <w:tcPr>
            <w:tcW w:w="0" w:type="auto"/>
            <w:tcBorders>
              <w:top w:val="nil"/>
              <w:left w:val="nil"/>
              <w:bottom w:val="nil"/>
              <w:right w:val="nil"/>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N</w:t>
            </w:r>
          </w:p>
        </w:tc>
        <w:tc>
          <w:tcPr>
            <w:tcW w:w="0" w:type="auto"/>
            <w:tcBorders>
              <w:top w:val="nil"/>
              <w:left w:val="nil"/>
              <w:bottom w:val="nil"/>
              <w:right w:val="nil"/>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 of total</w:t>
            </w:r>
          </w:p>
        </w:tc>
        <w:tc>
          <w:tcPr>
            <w:tcW w:w="0" w:type="auto"/>
            <w:tcBorders>
              <w:top w:val="nil"/>
              <w:left w:val="nil"/>
              <w:bottom w:val="nil"/>
              <w:right w:val="nil"/>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 of Males</w:t>
            </w:r>
          </w:p>
        </w:tc>
        <w:tc>
          <w:tcPr>
            <w:tcW w:w="0" w:type="auto"/>
            <w:tcBorders>
              <w:top w:val="nil"/>
              <w:left w:val="nil"/>
              <w:bottom w:val="nil"/>
              <w:right w:val="nil"/>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N</w:t>
            </w:r>
          </w:p>
        </w:tc>
        <w:tc>
          <w:tcPr>
            <w:tcW w:w="0" w:type="auto"/>
            <w:tcBorders>
              <w:top w:val="nil"/>
              <w:left w:val="nil"/>
              <w:bottom w:val="nil"/>
              <w:right w:val="nil"/>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 of total</w:t>
            </w:r>
          </w:p>
        </w:tc>
        <w:tc>
          <w:tcPr>
            <w:tcW w:w="0" w:type="auto"/>
            <w:tcBorders>
              <w:top w:val="nil"/>
              <w:left w:val="nil"/>
              <w:bottom w:val="nil"/>
              <w:right w:val="single" w:sz="8" w:space="0" w:color="auto"/>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 of Females</w:t>
            </w:r>
          </w:p>
        </w:tc>
      </w:tr>
      <w:tr w:rsidR="00400E42" w:rsidRPr="00F240EB" w:rsidTr="00A92FFC">
        <w:trPr>
          <w:trHeight w:val="458"/>
          <w:jc w:val="center"/>
        </w:trPr>
        <w:tc>
          <w:tcPr>
            <w:tcW w:w="0" w:type="auto"/>
            <w:tcBorders>
              <w:top w:val="single" w:sz="4" w:space="0" w:color="auto"/>
              <w:left w:val="single" w:sz="4" w:space="0" w:color="auto"/>
              <w:bottom w:val="single" w:sz="4" w:space="0" w:color="auto"/>
              <w:right w:val="single" w:sz="4" w:space="0" w:color="auto"/>
            </w:tcBorders>
            <w:vAlign w:val="center"/>
          </w:tcPr>
          <w:p w:rsidR="00400E42" w:rsidRPr="00F240EB" w:rsidRDefault="00400E42" w:rsidP="00A92FFC">
            <w:pPr>
              <w:rPr>
                <w:rFonts w:ascii="Calibri" w:hAnsi="Calibri"/>
                <w:b/>
                <w:color w:val="000000"/>
                <w:szCs w:val="22"/>
              </w:rPr>
            </w:pPr>
            <w:r w:rsidRPr="00F240EB">
              <w:rPr>
                <w:rFonts w:ascii="Calibri" w:hAnsi="Calibri"/>
                <w:b/>
                <w:color w:val="000000"/>
                <w:sz w:val="22"/>
                <w:szCs w:val="22"/>
              </w:rPr>
              <w:t>Prescription Opioid Present</w:t>
            </w:r>
          </w:p>
        </w:tc>
        <w:tc>
          <w:tcPr>
            <w:tcW w:w="0" w:type="auto"/>
            <w:tcBorders>
              <w:top w:val="single" w:sz="4" w:space="0" w:color="auto"/>
              <w:left w:val="nil"/>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223</w:t>
            </w:r>
          </w:p>
        </w:tc>
        <w:tc>
          <w:tcPr>
            <w:tcW w:w="0" w:type="auto"/>
            <w:tcBorders>
              <w:top w:val="single" w:sz="4" w:space="0" w:color="auto"/>
              <w:left w:val="nil"/>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13.2%</w:t>
            </w:r>
          </w:p>
        </w:tc>
        <w:tc>
          <w:tcPr>
            <w:tcW w:w="0" w:type="auto"/>
            <w:tcBorders>
              <w:top w:val="single" w:sz="4" w:space="0" w:color="auto"/>
              <w:left w:val="nil"/>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18.5%</w:t>
            </w:r>
          </w:p>
        </w:tc>
        <w:tc>
          <w:tcPr>
            <w:tcW w:w="0" w:type="auto"/>
            <w:tcBorders>
              <w:top w:val="single" w:sz="4" w:space="0" w:color="auto"/>
              <w:left w:val="nil"/>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135</w:t>
            </w:r>
          </w:p>
        </w:tc>
        <w:tc>
          <w:tcPr>
            <w:tcW w:w="0" w:type="auto"/>
            <w:tcBorders>
              <w:top w:val="single" w:sz="4" w:space="0" w:color="auto"/>
              <w:left w:val="nil"/>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8.0%</w:t>
            </w:r>
          </w:p>
        </w:tc>
        <w:tc>
          <w:tcPr>
            <w:tcW w:w="0" w:type="auto"/>
            <w:tcBorders>
              <w:top w:val="single" w:sz="4" w:space="0" w:color="auto"/>
              <w:left w:val="nil"/>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27.8%</w:t>
            </w:r>
          </w:p>
        </w:tc>
      </w:tr>
      <w:tr w:rsidR="00400E42" w:rsidRPr="00F240EB" w:rsidTr="00A92FFC">
        <w:trPr>
          <w:trHeight w:val="512"/>
          <w:jc w:val="center"/>
        </w:trPr>
        <w:tc>
          <w:tcPr>
            <w:tcW w:w="0" w:type="auto"/>
            <w:tcBorders>
              <w:top w:val="nil"/>
              <w:left w:val="single" w:sz="4" w:space="0" w:color="auto"/>
              <w:bottom w:val="single" w:sz="4" w:space="0" w:color="auto"/>
              <w:right w:val="single" w:sz="4" w:space="0" w:color="auto"/>
            </w:tcBorders>
            <w:vAlign w:val="center"/>
          </w:tcPr>
          <w:p w:rsidR="00400E42" w:rsidRPr="00F240EB" w:rsidRDefault="00400E42" w:rsidP="00A92FFC">
            <w:pPr>
              <w:rPr>
                <w:rFonts w:ascii="Calibri" w:hAnsi="Calibri"/>
                <w:b/>
                <w:color w:val="000000"/>
                <w:szCs w:val="22"/>
              </w:rPr>
            </w:pPr>
            <w:r w:rsidRPr="00F240EB">
              <w:rPr>
                <w:rFonts w:ascii="Calibri" w:hAnsi="Calibri"/>
                <w:b/>
                <w:color w:val="000000"/>
                <w:sz w:val="22"/>
                <w:szCs w:val="22"/>
              </w:rPr>
              <w:t>No prescription opioid present</w:t>
            </w:r>
          </w:p>
        </w:tc>
        <w:tc>
          <w:tcPr>
            <w:tcW w:w="0" w:type="auto"/>
            <w:tcBorders>
              <w:top w:val="nil"/>
              <w:left w:val="nil"/>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984</w:t>
            </w:r>
          </w:p>
        </w:tc>
        <w:tc>
          <w:tcPr>
            <w:tcW w:w="0" w:type="auto"/>
            <w:tcBorders>
              <w:top w:val="nil"/>
              <w:left w:val="nil"/>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58.2%</w:t>
            </w:r>
          </w:p>
        </w:tc>
        <w:tc>
          <w:tcPr>
            <w:tcW w:w="0" w:type="auto"/>
            <w:tcBorders>
              <w:top w:val="nil"/>
              <w:left w:val="nil"/>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81.5%</w:t>
            </w:r>
          </w:p>
        </w:tc>
        <w:tc>
          <w:tcPr>
            <w:tcW w:w="0" w:type="auto"/>
            <w:tcBorders>
              <w:top w:val="nil"/>
              <w:left w:val="nil"/>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350</w:t>
            </w:r>
          </w:p>
        </w:tc>
        <w:tc>
          <w:tcPr>
            <w:tcW w:w="0" w:type="auto"/>
            <w:tcBorders>
              <w:top w:val="nil"/>
              <w:left w:val="nil"/>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20.7%</w:t>
            </w:r>
          </w:p>
        </w:tc>
        <w:tc>
          <w:tcPr>
            <w:tcW w:w="0" w:type="auto"/>
            <w:tcBorders>
              <w:top w:val="nil"/>
              <w:left w:val="nil"/>
              <w:bottom w:val="single" w:sz="4" w:space="0" w:color="auto"/>
              <w:right w:val="single" w:sz="4" w:space="0" w:color="auto"/>
            </w:tcBorders>
            <w:vAlign w:val="center"/>
          </w:tcPr>
          <w:p w:rsidR="00400E42" w:rsidRPr="00F240EB" w:rsidRDefault="00400E42" w:rsidP="00A92FFC">
            <w:pPr>
              <w:jc w:val="center"/>
              <w:rPr>
                <w:rFonts w:ascii="Calibri" w:hAnsi="Calibri"/>
                <w:color w:val="000000"/>
                <w:szCs w:val="22"/>
              </w:rPr>
            </w:pPr>
            <w:r w:rsidRPr="00F240EB">
              <w:rPr>
                <w:rFonts w:ascii="Calibri" w:hAnsi="Calibri"/>
                <w:color w:val="000000"/>
                <w:sz w:val="22"/>
                <w:szCs w:val="22"/>
              </w:rPr>
              <w:t>72.2%</w:t>
            </w:r>
          </w:p>
        </w:tc>
      </w:tr>
    </w:tbl>
    <w:p w:rsidR="00400E42" w:rsidRPr="00F240EB" w:rsidRDefault="00400E42" w:rsidP="00400E42">
      <w:pPr>
        <w:spacing w:after="120" w:line="276" w:lineRule="auto"/>
        <w:rPr>
          <w:rFonts w:ascii="Calibri" w:hAnsi="Calibri"/>
          <w:sz w:val="22"/>
          <w:szCs w:val="22"/>
        </w:rPr>
      </w:pPr>
    </w:p>
    <w:p w:rsidR="00400E42" w:rsidRPr="00CA6DF5" w:rsidRDefault="00400E42" w:rsidP="002D6E20">
      <w:pPr>
        <w:pStyle w:val="PBody"/>
      </w:pPr>
      <w:r w:rsidRPr="00CA6DF5">
        <w:t xml:space="preserve">Table KEY3.2 displays the presence of Heroin in the toxicology screen by gender.  The key finding is that 68.9% of males had Heroin present in their toxicology screen while only 58.6% of females did.  Additional analysis demonstrated that males were statistically significantly more likely than females to have Heroin present. </w:t>
      </w:r>
    </w:p>
    <w:p w:rsidR="00400E42" w:rsidRPr="00CA6DF5" w:rsidRDefault="00400E42" w:rsidP="00400E42">
      <w:pPr>
        <w:spacing w:after="120" w:line="276" w:lineRule="auto"/>
        <w:rPr>
          <w:rFonts w:asciiTheme="minorHAnsi" w:hAnsiTheme="minorHAnsi"/>
          <w:sz w:val="22"/>
          <w:szCs w:val="22"/>
        </w:rPr>
      </w:pPr>
    </w:p>
    <w:tbl>
      <w:tblPr>
        <w:tblW w:w="0" w:type="auto"/>
        <w:jc w:val="center"/>
        <w:tblLook w:val="00A0" w:firstRow="1" w:lastRow="0" w:firstColumn="1" w:lastColumn="0" w:noHBand="0" w:noVBand="0"/>
      </w:tblPr>
      <w:tblGrid>
        <w:gridCol w:w="2097"/>
        <w:gridCol w:w="551"/>
        <w:gridCol w:w="1098"/>
        <w:gridCol w:w="1218"/>
        <w:gridCol w:w="551"/>
        <w:gridCol w:w="1098"/>
        <w:gridCol w:w="1416"/>
      </w:tblGrid>
      <w:tr w:rsidR="00400E42" w:rsidRPr="00F240EB" w:rsidTr="00A92FFC">
        <w:trPr>
          <w:trHeight w:val="315"/>
          <w:jc w:val="center"/>
        </w:trPr>
        <w:tc>
          <w:tcPr>
            <w:tcW w:w="0" w:type="auto"/>
            <w:gridSpan w:val="7"/>
            <w:tcBorders>
              <w:top w:val="single" w:sz="8" w:space="0" w:color="auto"/>
              <w:left w:val="single" w:sz="8" w:space="0" w:color="auto"/>
              <w:bottom w:val="single" w:sz="8" w:space="0" w:color="auto"/>
              <w:right w:val="single" w:sz="8" w:space="0" w:color="000000"/>
            </w:tcBorders>
            <w:vAlign w:val="center"/>
          </w:tcPr>
          <w:p w:rsidR="00400E42" w:rsidRPr="00F240EB" w:rsidRDefault="00400E42" w:rsidP="00A92FFC">
            <w:pPr>
              <w:jc w:val="center"/>
              <w:rPr>
                <w:rFonts w:ascii="Calibri" w:hAnsi="Calibri"/>
                <w:b/>
                <w:bCs/>
                <w:color w:val="000000"/>
                <w:szCs w:val="22"/>
              </w:rPr>
            </w:pPr>
            <w:r w:rsidRPr="00F240EB">
              <w:rPr>
                <w:rFonts w:ascii="Calibri" w:hAnsi="Calibri"/>
                <w:b/>
                <w:sz w:val="22"/>
                <w:szCs w:val="22"/>
              </w:rPr>
              <w:t>Table KEY3.2: Presence of Heroin in Toxicology Screen by Gender</w:t>
            </w:r>
            <w:r w:rsidR="0050537B">
              <w:rPr>
                <w:rFonts w:ascii="Calibri" w:hAnsi="Calibri"/>
                <w:b/>
                <w:sz w:val="22"/>
                <w:szCs w:val="22"/>
              </w:rPr>
              <w:t xml:space="preserve"> (2013-2014)</w:t>
            </w:r>
          </w:p>
        </w:tc>
      </w:tr>
      <w:tr w:rsidR="00400E42" w:rsidRPr="00F240EB" w:rsidTr="00A92FFC">
        <w:trPr>
          <w:trHeight w:val="300"/>
          <w:jc w:val="center"/>
        </w:trPr>
        <w:tc>
          <w:tcPr>
            <w:tcW w:w="0" w:type="auto"/>
            <w:tcBorders>
              <w:top w:val="nil"/>
              <w:left w:val="single" w:sz="8" w:space="0" w:color="auto"/>
              <w:bottom w:val="nil"/>
              <w:right w:val="nil"/>
            </w:tcBorders>
            <w:vAlign w:val="center"/>
          </w:tcPr>
          <w:p w:rsidR="00400E42" w:rsidRPr="00F240EB" w:rsidRDefault="00400E42" w:rsidP="00A92FFC">
            <w:pPr>
              <w:rPr>
                <w:rFonts w:ascii="Calibri" w:hAnsi="Calibri"/>
                <w:b/>
                <w:color w:val="000000"/>
                <w:szCs w:val="22"/>
              </w:rPr>
            </w:pPr>
            <w:r w:rsidRPr="00F240EB">
              <w:rPr>
                <w:rFonts w:ascii="Calibri" w:hAnsi="Calibri"/>
                <w:b/>
                <w:color w:val="000000"/>
                <w:sz w:val="22"/>
                <w:szCs w:val="22"/>
              </w:rPr>
              <w:t> </w:t>
            </w:r>
          </w:p>
        </w:tc>
        <w:tc>
          <w:tcPr>
            <w:tcW w:w="0" w:type="auto"/>
            <w:gridSpan w:val="3"/>
            <w:tcBorders>
              <w:top w:val="single" w:sz="4" w:space="0" w:color="auto"/>
              <w:left w:val="nil"/>
              <w:bottom w:val="double" w:sz="6" w:space="0" w:color="auto"/>
              <w:right w:val="nil"/>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Males</w:t>
            </w:r>
          </w:p>
        </w:tc>
        <w:tc>
          <w:tcPr>
            <w:tcW w:w="0" w:type="auto"/>
            <w:gridSpan w:val="3"/>
            <w:tcBorders>
              <w:top w:val="single" w:sz="8" w:space="0" w:color="auto"/>
              <w:left w:val="nil"/>
              <w:bottom w:val="double" w:sz="6" w:space="0" w:color="auto"/>
              <w:right w:val="single" w:sz="8" w:space="0" w:color="000000"/>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Females</w:t>
            </w:r>
          </w:p>
        </w:tc>
      </w:tr>
      <w:tr w:rsidR="00400E42" w:rsidRPr="00F240EB" w:rsidTr="00A92FFC">
        <w:trPr>
          <w:trHeight w:val="450"/>
          <w:jc w:val="center"/>
        </w:trPr>
        <w:tc>
          <w:tcPr>
            <w:tcW w:w="0" w:type="auto"/>
            <w:tcBorders>
              <w:top w:val="nil"/>
              <w:left w:val="single" w:sz="8" w:space="0" w:color="auto"/>
              <w:bottom w:val="nil"/>
              <w:right w:val="nil"/>
            </w:tcBorders>
            <w:vAlign w:val="center"/>
          </w:tcPr>
          <w:p w:rsidR="00400E42" w:rsidRPr="00F240EB" w:rsidRDefault="00400E42" w:rsidP="00A92FFC">
            <w:pPr>
              <w:rPr>
                <w:rFonts w:ascii="Calibri" w:hAnsi="Calibri"/>
                <w:b/>
                <w:color w:val="000000"/>
                <w:szCs w:val="22"/>
              </w:rPr>
            </w:pPr>
            <w:r w:rsidRPr="00F240EB">
              <w:rPr>
                <w:rFonts w:ascii="Calibri" w:hAnsi="Calibri"/>
                <w:b/>
                <w:color w:val="000000"/>
                <w:sz w:val="22"/>
                <w:szCs w:val="22"/>
              </w:rPr>
              <w:t> </w:t>
            </w:r>
            <w:r>
              <w:rPr>
                <w:rFonts w:ascii="Calibri" w:hAnsi="Calibri"/>
                <w:b/>
                <w:color w:val="000000"/>
                <w:sz w:val="22"/>
                <w:szCs w:val="22"/>
              </w:rPr>
              <w:t xml:space="preserve">  </w:t>
            </w:r>
            <w:r w:rsidRPr="00F240EB">
              <w:rPr>
                <w:rFonts w:ascii="Calibri" w:hAnsi="Calibri"/>
                <w:b/>
                <w:color w:val="000000"/>
                <w:sz w:val="22"/>
                <w:szCs w:val="22"/>
              </w:rPr>
              <w:t> </w:t>
            </w:r>
            <w:r>
              <w:rPr>
                <w:rFonts w:ascii="Calibri" w:hAnsi="Calibri"/>
                <w:b/>
                <w:color w:val="000000"/>
                <w:sz w:val="22"/>
                <w:szCs w:val="22"/>
              </w:rPr>
              <w:t>Toxicology Results</w:t>
            </w:r>
          </w:p>
        </w:tc>
        <w:tc>
          <w:tcPr>
            <w:tcW w:w="0" w:type="auto"/>
            <w:tcBorders>
              <w:top w:val="nil"/>
              <w:left w:val="nil"/>
              <w:bottom w:val="nil"/>
              <w:right w:val="nil"/>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N</w:t>
            </w:r>
          </w:p>
        </w:tc>
        <w:tc>
          <w:tcPr>
            <w:tcW w:w="0" w:type="auto"/>
            <w:tcBorders>
              <w:top w:val="nil"/>
              <w:left w:val="nil"/>
              <w:bottom w:val="nil"/>
              <w:right w:val="nil"/>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 of total</w:t>
            </w:r>
          </w:p>
        </w:tc>
        <w:tc>
          <w:tcPr>
            <w:tcW w:w="0" w:type="auto"/>
            <w:tcBorders>
              <w:top w:val="nil"/>
              <w:left w:val="nil"/>
              <w:bottom w:val="nil"/>
              <w:right w:val="nil"/>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 of Males</w:t>
            </w:r>
          </w:p>
        </w:tc>
        <w:tc>
          <w:tcPr>
            <w:tcW w:w="0" w:type="auto"/>
            <w:tcBorders>
              <w:top w:val="nil"/>
              <w:left w:val="nil"/>
              <w:bottom w:val="nil"/>
              <w:right w:val="nil"/>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N</w:t>
            </w:r>
          </w:p>
        </w:tc>
        <w:tc>
          <w:tcPr>
            <w:tcW w:w="0" w:type="auto"/>
            <w:tcBorders>
              <w:top w:val="nil"/>
              <w:left w:val="nil"/>
              <w:bottom w:val="nil"/>
              <w:right w:val="nil"/>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 of total</w:t>
            </w:r>
          </w:p>
        </w:tc>
        <w:tc>
          <w:tcPr>
            <w:tcW w:w="0" w:type="auto"/>
            <w:tcBorders>
              <w:top w:val="nil"/>
              <w:left w:val="nil"/>
              <w:bottom w:val="nil"/>
              <w:right w:val="single" w:sz="8" w:space="0" w:color="auto"/>
            </w:tcBorders>
            <w:vAlign w:val="center"/>
          </w:tcPr>
          <w:p w:rsidR="00400E42" w:rsidRPr="00F240EB" w:rsidRDefault="00400E42" w:rsidP="00A92FFC">
            <w:pPr>
              <w:jc w:val="center"/>
              <w:rPr>
                <w:rFonts w:ascii="Calibri" w:hAnsi="Calibri"/>
                <w:b/>
                <w:color w:val="000000"/>
                <w:szCs w:val="22"/>
              </w:rPr>
            </w:pPr>
            <w:r w:rsidRPr="00F240EB">
              <w:rPr>
                <w:rFonts w:ascii="Calibri" w:hAnsi="Calibri"/>
                <w:b/>
                <w:color w:val="000000"/>
                <w:sz w:val="22"/>
                <w:szCs w:val="22"/>
              </w:rPr>
              <w:t>% of Females</w:t>
            </w:r>
          </w:p>
        </w:tc>
      </w:tr>
      <w:tr w:rsidR="00400E42" w:rsidRPr="00F240EB" w:rsidTr="00A92FFC">
        <w:trPr>
          <w:trHeight w:val="458"/>
          <w:jc w:val="center"/>
        </w:trPr>
        <w:tc>
          <w:tcPr>
            <w:tcW w:w="0" w:type="auto"/>
            <w:tcBorders>
              <w:top w:val="single" w:sz="4" w:space="0" w:color="auto"/>
              <w:left w:val="single" w:sz="4" w:space="0" w:color="auto"/>
              <w:bottom w:val="single" w:sz="4" w:space="0" w:color="auto"/>
              <w:right w:val="single" w:sz="4" w:space="0" w:color="auto"/>
            </w:tcBorders>
            <w:vAlign w:val="center"/>
          </w:tcPr>
          <w:p w:rsidR="00400E42" w:rsidRPr="00F240EB" w:rsidRDefault="00400E42" w:rsidP="00A92FFC">
            <w:pPr>
              <w:rPr>
                <w:rFonts w:ascii="Calibri" w:hAnsi="Calibri"/>
                <w:b/>
                <w:color w:val="000000"/>
                <w:szCs w:val="22"/>
              </w:rPr>
            </w:pPr>
            <w:r>
              <w:rPr>
                <w:rFonts w:ascii="Calibri" w:hAnsi="Calibri"/>
                <w:b/>
                <w:color w:val="000000"/>
                <w:sz w:val="22"/>
                <w:szCs w:val="22"/>
              </w:rPr>
              <w:t>Heroin</w:t>
            </w:r>
            <w:r w:rsidRPr="00F240EB">
              <w:rPr>
                <w:rFonts w:ascii="Calibri" w:hAnsi="Calibri"/>
                <w:b/>
                <w:color w:val="000000"/>
                <w:sz w:val="22"/>
                <w:szCs w:val="22"/>
              </w:rPr>
              <w:t xml:space="preserve"> Present</w:t>
            </w:r>
          </w:p>
        </w:tc>
        <w:tc>
          <w:tcPr>
            <w:tcW w:w="0" w:type="auto"/>
            <w:tcBorders>
              <w:top w:val="single" w:sz="4" w:space="0" w:color="auto"/>
              <w:left w:val="nil"/>
              <w:bottom w:val="single" w:sz="4" w:space="0" w:color="auto"/>
              <w:right w:val="single" w:sz="4" w:space="0" w:color="auto"/>
            </w:tcBorders>
          </w:tcPr>
          <w:p w:rsidR="00400E42" w:rsidRPr="00F240EB" w:rsidRDefault="00400E42" w:rsidP="00A92FFC">
            <w:pPr>
              <w:jc w:val="center"/>
              <w:rPr>
                <w:rFonts w:ascii="Calibri" w:hAnsi="Calibri"/>
                <w:szCs w:val="22"/>
              </w:rPr>
            </w:pPr>
            <w:r w:rsidRPr="00F240EB">
              <w:rPr>
                <w:rFonts w:ascii="Calibri" w:hAnsi="Calibri"/>
                <w:sz w:val="22"/>
                <w:szCs w:val="22"/>
              </w:rPr>
              <w:t>832</w:t>
            </w:r>
          </w:p>
        </w:tc>
        <w:tc>
          <w:tcPr>
            <w:tcW w:w="0" w:type="auto"/>
            <w:tcBorders>
              <w:top w:val="single" w:sz="4" w:space="0" w:color="auto"/>
              <w:left w:val="nil"/>
              <w:bottom w:val="single" w:sz="4" w:space="0" w:color="auto"/>
              <w:right w:val="single" w:sz="4" w:space="0" w:color="auto"/>
            </w:tcBorders>
          </w:tcPr>
          <w:p w:rsidR="00400E42" w:rsidRPr="00F240EB" w:rsidRDefault="00400E42" w:rsidP="00A92FFC">
            <w:pPr>
              <w:jc w:val="center"/>
              <w:rPr>
                <w:rFonts w:ascii="Calibri" w:hAnsi="Calibri"/>
                <w:szCs w:val="22"/>
              </w:rPr>
            </w:pPr>
            <w:r w:rsidRPr="00F240EB">
              <w:rPr>
                <w:rFonts w:ascii="Calibri" w:hAnsi="Calibri"/>
                <w:sz w:val="22"/>
                <w:szCs w:val="22"/>
              </w:rPr>
              <w:t>49.2%</w:t>
            </w:r>
          </w:p>
        </w:tc>
        <w:tc>
          <w:tcPr>
            <w:tcW w:w="0" w:type="auto"/>
            <w:tcBorders>
              <w:top w:val="single" w:sz="4" w:space="0" w:color="auto"/>
              <w:left w:val="nil"/>
              <w:bottom w:val="single" w:sz="4" w:space="0" w:color="auto"/>
              <w:right w:val="single" w:sz="4" w:space="0" w:color="auto"/>
            </w:tcBorders>
          </w:tcPr>
          <w:p w:rsidR="00400E42" w:rsidRPr="00F240EB" w:rsidRDefault="00400E42" w:rsidP="00A92FFC">
            <w:pPr>
              <w:jc w:val="center"/>
              <w:rPr>
                <w:rFonts w:ascii="Calibri" w:hAnsi="Calibri"/>
                <w:szCs w:val="22"/>
              </w:rPr>
            </w:pPr>
            <w:r w:rsidRPr="00F240EB">
              <w:rPr>
                <w:rFonts w:ascii="Calibri" w:hAnsi="Calibri"/>
                <w:sz w:val="22"/>
                <w:szCs w:val="22"/>
              </w:rPr>
              <w:t>68.9%</w:t>
            </w:r>
          </w:p>
        </w:tc>
        <w:tc>
          <w:tcPr>
            <w:tcW w:w="0" w:type="auto"/>
            <w:tcBorders>
              <w:top w:val="single" w:sz="4" w:space="0" w:color="auto"/>
              <w:left w:val="nil"/>
              <w:bottom w:val="single" w:sz="4" w:space="0" w:color="auto"/>
              <w:right w:val="single" w:sz="4" w:space="0" w:color="auto"/>
            </w:tcBorders>
          </w:tcPr>
          <w:p w:rsidR="00400E42" w:rsidRPr="00F240EB" w:rsidRDefault="00400E42" w:rsidP="00A92FFC">
            <w:pPr>
              <w:jc w:val="center"/>
              <w:rPr>
                <w:rFonts w:ascii="Calibri" w:hAnsi="Calibri"/>
                <w:szCs w:val="22"/>
              </w:rPr>
            </w:pPr>
            <w:r w:rsidRPr="00F240EB">
              <w:rPr>
                <w:rFonts w:ascii="Calibri" w:hAnsi="Calibri"/>
                <w:sz w:val="22"/>
                <w:szCs w:val="22"/>
              </w:rPr>
              <w:t>284</w:t>
            </w:r>
          </w:p>
        </w:tc>
        <w:tc>
          <w:tcPr>
            <w:tcW w:w="0" w:type="auto"/>
            <w:tcBorders>
              <w:top w:val="single" w:sz="4" w:space="0" w:color="auto"/>
              <w:left w:val="nil"/>
              <w:bottom w:val="single" w:sz="4" w:space="0" w:color="auto"/>
              <w:right w:val="single" w:sz="4" w:space="0" w:color="auto"/>
            </w:tcBorders>
          </w:tcPr>
          <w:p w:rsidR="00400E42" w:rsidRPr="00F240EB" w:rsidRDefault="00400E42" w:rsidP="00A92FFC">
            <w:pPr>
              <w:jc w:val="center"/>
              <w:rPr>
                <w:rFonts w:ascii="Calibri" w:hAnsi="Calibri"/>
                <w:szCs w:val="22"/>
              </w:rPr>
            </w:pPr>
            <w:r w:rsidRPr="00F240EB">
              <w:rPr>
                <w:rFonts w:ascii="Calibri" w:hAnsi="Calibri"/>
                <w:sz w:val="22"/>
                <w:szCs w:val="22"/>
              </w:rPr>
              <w:t>16.8%</w:t>
            </w:r>
          </w:p>
        </w:tc>
        <w:tc>
          <w:tcPr>
            <w:tcW w:w="0" w:type="auto"/>
            <w:tcBorders>
              <w:top w:val="single" w:sz="4" w:space="0" w:color="auto"/>
              <w:left w:val="nil"/>
              <w:bottom w:val="single" w:sz="4" w:space="0" w:color="auto"/>
              <w:right w:val="single" w:sz="4" w:space="0" w:color="auto"/>
            </w:tcBorders>
          </w:tcPr>
          <w:p w:rsidR="00400E42" w:rsidRPr="00F240EB" w:rsidRDefault="00400E42" w:rsidP="00A92FFC">
            <w:pPr>
              <w:jc w:val="center"/>
              <w:rPr>
                <w:rFonts w:ascii="Calibri" w:hAnsi="Calibri"/>
                <w:szCs w:val="22"/>
              </w:rPr>
            </w:pPr>
            <w:r w:rsidRPr="00F240EB">
              <w:rPr>
                <w:rFonts w:ascii="Calibri" w:hAnsi="Calibri"/>
                <w:sz w:val="22"/>
                <w:szCs w:val="22"/>
              </w:rPr>
              <w:t>58.6%</w:t>
            </w:r>
          </w:p>
        </w:tc>
      </w:tr>
      <w:tr w:rsidR="00400E42" w:rsidRPr="00F240EB" w:rsidTr="00A92FFC">
        <w:trPr>
          <w:trHeight w:val="512"/>
          <w:jc w:val="center"/>
        </w:trPr>
        <w:tc>
          <w:tcPr>
            <w:tcW w:w="0" w:type="auto"/>
            <w:tcBorders>
              <w:top w:val="nil"/>
              <w:left w:val="single" w:sz="4" w:space="0" w:color="auto"/>
              <w:bottom w:val="single" w:sz="4" w:space="0" w:color="auto"/>
              <w:right w:val="single" w:sz="4" w:space="0" w:color="auto"/>
            </w:tcBorders>
            <w:vAlign w:val="center"/>
          </w:tcPr>
          <w:p w:rsidR="00400E42" w:rsidRPr="00F240EB" w:rsidRDefault="00400E42" w:rsidP="00A92FFC">
            <w:pPr>
              <w:rPr>
                <w:rFonts w:ascii="Calibri" w:hAnsi="Calibri"/>
                <w:b/>
                <w:color w:val="000000"/>
                <w:szCs w:val="22"/>
              </w:rPr>
            </w:pPr>
            <w:r w:rsidRPr="00F240EB">
              <w:rPr>
                <w:rFonts w:ascii="Calibri" w:hAnsi="Calibri"/>
                <w:b/>
                <w:color w:val="000000"/>
                <w:sz w:val="22"/>
                <w:szCs w:val="22"/>
              </w:rPr>
              <w:t xml:space="preserve">No </w:t>
            </w:r>
            <w:r>
              <w:rPr>
                <w:rFonts w:ascii="Calibri" w:hAnsi="Calibri"/>
                <w:b/>
                <w:color w:val="000000"/>
                <w:sz w:val="22"/>
                <w:szCs w:val="22"/>
              </w:rPr>
              <w:t>Heroin</w:t>
            </w:r>
            <w:r w:rsidRPr="00F240EB">
              <w:rPr>
                <w:rFonts w:ascii="Calibri" w:hAnsi="Calibri"/>
                <w:b/>
                <w:color w:val="000000"/>
                <w:sz w:val="22"/>
                <w:szCs w:val="22"/>
              </w:rPr>
              <w:t xml:space="preserve"> present</w:t>
            </w:r>
          </w:p>
        </w:tc>
        <w:tc>
          <w:tcPr>
            <w:tcW w:w="0" w:type="auto"/>
            <w:tcBorders>
              <w:top w:val="nil"/>
              <w:left w:val="nil"/>
              <w:bottom w:val="single" w:sz="4" w:space="0" w:color="auto"/>
              <w:right w:val="single" w:sz="4" w:space="0" w:color="auto"/>
            </w:tcBorders>
          </w:tcPr>
          <w:p w:rsidR="00400E42" w:rsidRPr="00F240EB" w:rsidRDefault="00400E42" w:rsidP="00A92FFC">
            <w:pPr>
              <w:jc w:val="center"/>
              <w:rPr>
                <w:rFonts w:ascii="Calibri" w:hAnsi="Calibri"/>
                <w:szCs w:val="22"/>
              </w:rPr>
            </w:pPr>
            <w:r w:rsidRPr="00F240EB">
              <w:rPr>
                <w:rFonts w:ascii="Calibri" w:hAnsi="Calibri"/>
                <w:sz w:val="22"/>
                <w:szCs w:val="22"/>
              </w:rPr>
              <w:t>375</w:t>
            </w:r>
          </w:p>
        </w:tc>
        <w:tc>
          <w:tcPr>
            <w:tcW w:w="0" w:type="auto"/>
            <w:tcBorders>
              <w:top w:val="nil"/>
              <w:left w:val="nil"/>
              <w:bottom w:val="single" w:sz="4" w:space="0" w:color="auto"/>
              <w:right w:val="single" w:sz="4" w:space="0" w:color="auto"/>
            </w:tcBorders>
          </w:tcPr>
          <w:p w:rsidR="00400E42" w:rsidRPr="00F240EB" w:rsidRDefault="00400E42" w:rsidP="00A92FFC">
            <w:pPr>
              <w:jc w:val="center"/>
              <w:rPr>
                <w:rFonts w:ascii="Calibri" w:hAnsi="Calibri"/>
                <w:szCs w:val="22"/>
              </w:rPr>
            </w:pPr>
            <w:r w:rsidRPr="00F240EB">
              <w:rPr>
                <w:rFonts w:ascii="Calibri" w:hAnsi="Calibri"/>
                <w:sz w:val="22"/>
                <w:szCs w:val="22"/>
              </w:rPr>
              <w:t>22.2%</w:t>
            </w:r>
          </w:p>
        </w:tc>
        <w:tc>
          <w:tcPr>
            <w:tcW w:w="0" w:type="auto"/>
            <w:tcBorders>
              <w:top w:val="nil"/>
              <w:left w:val="nil"/>
              <w:bottom w:val="single" w:sz="4" w:space="0" w:color="auto"/>
              <w:right w:val="single" w:sz="4" w:space="0" w:color="auto"/>
            </w:tcBorders>
          </w:tcPr>
          <w:p w:rsidR="00400E42" w:rsidRPr="00F240EB" w:rsidRDefault="00400E42" w:rsidP="00A92FFC">
            <w:pPr>
              <w:jc w:val="center"/>
              <w:rPr>
                <w:rFonts w:ascii="Calibri" w:hAnsi="Calibri"/>
                <w:szCs w:val="22"/>
              </w:rPr>
            </w:pPr>
            <w:r w:rsidRPr="00F240EB">
              <w:rPr>
                <w:rFonts w:ascii="Calibri" w:hAnsi="Calibri"/>
                <w:sz w:val="22"/>
                <w:szCs w:val="22"/>
              </w:rPr>
              <w:t>31.1%</w:t>
            </w:r>
          </w:p>
        </w:tc>
        <w:tc>
          <w:tcPr>
            <w:tcW w:w="0" w:type="auto"/>
            <w:tcBorders>
              <w:top w:val="nil"/>
              <w:left w:val="nil"/>
              <w:bottom w:val="single" w:sz="4" w:space="0" w:color="auto"/>
              <w:right w:val="single" w:sz="4" w:space="0" w:color="auto"/>
            </w:tcBorders>
          </w:tcPr>
          <w:p w:rsidR="00400E42" w:rsidRPr="00F240EB" w:rsidRDefault="00400E42" w:rsidP="00A92FFC">
            <w:pPr>
              <w:jc w:val="center"/>
              <w:rPr>
                <w:rFonts w:ascii="Calibri" w:hAnsi="Calibri"/>
                <w:szCs w:val="22"/>
              </w:rPr>
            </w:pPr>
            <w:r w:rsidRPr="00F240EB">
              <w:rPr>
                <w:rFonts w:ascii="Calibri" w:hAnsi="Calibri"/>
                <w:sz w:val="22"/>
                <w:szCs w:val="22"/>
              </w:rPr>
              <w:t>201</w:t>
            </w:r>
          </w:p>
        </w:tc>
        <w:tc>
          <w:tcPr>
            <w:tcW w:w="0" w:type="auto"/>
            <w:tcBorders>
              <w:top w:val="nil"/>
              <w:left w:val="nil"/>
              <w:bottom w:val="single" w:sz="4" w:space="0" w:color="auto"/>
              <w:right w:val="single" w:sz="4" w:space="0" w:color="auto"/>
            </w:tcBorders>
          </w:tcPr>
          <w:p w:rsidR="00400E42" w:rsidRPr="00F240EB" w:rsidRDefault="00400E42" w:rsidP="00A92FFC">
            <w:pPr>
              <w:jc w:val="center"/>
              <w:rPr>
                <w:rFonts w:ascii="Calibri" w:hAnsi="Calibri"/>
                <w:szCs w:val="22"/>
              </w:rPr>
            </w:pPr>
            <w:r w:rsidRPr="00F240EB">
              <w:rPr>
                <w:rFonts w:ascii="Calibri" w:hAnsi="Calibri"/>
                <w:sz w:val="22"/>
                <w:szCs w:val="22"/>
              </w:rPr>
              <w:t>11.9%</w:t>
            </w:r>
          </w:p>
        </w:tc>
        <w:tc>
          <w:tcPr>
            <w:tcW w:w="0" w:type="auto"/>
            <w:tcBorders>
              <w:top w:val="nil"/>
              <w:left w:val="nil"/>
              <w:bottom w:val="single" w:sz="4" w:space="0" w:color="auto"/>
              <w:right w:val="single" w:sz="4" w:space="0" w:color="auto"/>
            </w:tcBorders>
          </w:tcPr>
          <w:p w:rsidR="00400E42" w:rsidRPr="00F240EB" w:rsidRDefault="00400E42" w:rsidP="00A92FFC">
            <w:pPr>
              <w:jc w:val="center"/>
              <w:rPr>
                <w:rFonts w:ascii="Calibri" w:hAnsi="Calibri"/>
                <w:szCs w:val="22"/>
              </w:rPr>
            </w:pPr>
            <w:r w:rsidRPr="00F240EB">
              <w:rPr>
                <w:rFonts w:ascii="Calibri" w:hAnsi="Calibri"/>
                <w:sz w:val="22"/>
                <w:szCs w:val="22"/>
              </w:rPr>
              <w:t>41.4%</w:t>
            </w:r>
          </w:p>
        </w:tc>
      </w:tr>
    </w:tbl>
    <w:p w:rsidR="00400E42" w:rsidRPr="00F240EB" w:rsidRDefault="00400E42" w:rsidP="00400E42">
      <w:pPr>
        <w:rPr>
          <w:rFonts w:ascii="Calibri" w:hAnsi="Calibri"/>
          <w:sz w:val="22"/>
          <w:szCs w:val="22"/>
        </w:rPr>
      </w:pPr>
    </w:p>
    <w:p w:rsidR="00400E42" w:rsidRDefault="00400E42" w:rsidP="00400E42">
      <w:pPr>
        <w:spacing w:after="120" w:line="276" w:lineRule="auto"/>
        <w:ind w:firstLine="720"/>
        <w:rPr>
          <w:rFonts w:ascii="Calibri" w:hAnsi="Calibri"/>
          <w:sz w:val="22"/>
          <w:szCs w:val="22"/>
        </w:rPr>
      </w:pPr>
    </w:p>
    <w:p w:rsidR="00400E42" w:rsidRDefault="00400E42" w:rsidP="002D6E20">
      <w:pPr>
        <w:pStyle w:val="PBody"/>
      </w:pPr>
      <w:r w:rsidRPr="00F240EB">
        <w:t>When differences in toxicology screening findings based upon gender are further divided into age categories</w:t>
      </w:r>
      <w:r>
        <w:t xml:space="preserve"> – </w:t>
      </w:r>
      <w:r w:rsidRPr="00F240EB">
        <w:t>younger than 18 years, 18-44 years, 45-64 years and 65 years and older, the differences observed largely remain.  Table KEY3.3 and Table KEY3.4 display the presence of Heroin and prescription opioids, respectively by gender and age group.  In the first three age categories</w:t>
      </w:r>
      <w:r>
        <w:t xml:space="preserve"> –</w:t>
      </w:r>
      <w:r w:rsidRPr="00F240EB">
        <w:t xml:space="preserve"> younger than 18 years, 18-44 years and 45-64 years </w:t>
      </w:r>
      <w:r>
        <w:t xml:space="preserve">– </w:t>
      </w:r>
      <w:r w:rsidRPr="00F240EB">
        <w:t>males are statistically significantly more likely to have Heroin in their toxicology screens as compared to females.  In the age category 45-64 years, females are statistically significantly more likely to have prescription opioids in their toxicology screens as compared to males</w:t>
      </w:r>
      <w:r w:rsidR="00301E0D">
        <w:t>.  O</w:t>
      </w:r>
      <w:r w:rsidRPr="00F240EB">
        <w:t xml:space="preserve">nly the oldest group, 65 years and older, did not observe a difference between males and females.  </w:t>
      </w:r>
      <w:r w:rsidRPr="00F240EB">
        <w:lastRenderedPageBreak/>
        <w:t>The size of this last group was small relative to the other three groups; there were only 25 decedents in this oldest group</w:t>
      </w:r>
      <w:r w:rsidR="00301E0D">
        <w:t xml:space="preserve">.  </w:t>
      </w:r>
    </w:p>
    <w:p w:rsidR="00400E42" w:rsidRPr="00F240EB" w:rsidRDefault="00400E42" w:rsidP="00400E42">
      <w:pPr>
        <w:spacing w:line="480"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918"/>
        <w:gridCol w:w="1683"/>
        <w:gridCol w:w="1620"/>
        <w:gridCol w:w="1620"/>
        <w:gridCol w:w="1647"/>
      </w:tblGrid>
      <w:tr w:rsidR="00400E42" w:rsidRPr="00F240EB" w:rsidTr="00A92FFC">
        <w:tc>
          <w:tcPr>
            <w:tcW w:w="9576" w:type="dxa"/>
            <w:gridSpan w:val="6"/>
          </w:tcPr>
          <w:p w:rsidR="00400E42" w:rsidRPr="00570FB0" w:rsidRDefault="00400E42" w:rsidP="00A92FFC">
            <w:pPr>
              <w:jc w:val="center"/>
              <w:rPr>
                <w:rFonts w:ascii="Calibri" w:hAnsi="Calibri"/>
                <w:b/>
                <w:szCs w:val="22"/>
              </w:rPr>
            </w:pPr>
            <w:r w:rsidRPr="00570FB0">
              <w:rPr>
                <w:rFonts w:ascii="Calibri" w:hAnsi="Calibri"/>
                <w:b/>
                <w:sz w:val="22"/>
                <w:szCs w:val="22"/>
              </w:rPr>
              <w:t>Table KEY3.3: Presence of Heroin in Toxicology Screen by Sex and Age Group</w:t>
            </w:r>
            <w:r w:rsidR="0050537B">
              <w:rPr>
                <w:rFonts w:ascii="Calibri" w:hAnsi="Calibri"/>
                <w:b/>
                <w:sz w:val="22"/>
                <w:szCs w:val="22"/>
              </w:rPr>
              <w:t xml:space="preserve"> (2013-2014)</w:t>
            </w:r>
          </w:p>
        </w:tc>
      </w:tr>
      <w:tr w:rsidR="00400E42" w:rsidRPr="00F240EB" w:rsidTr="00A92FFC">
        <w:tc>
          <w:tcPr>
            <w:tcW w:w="2088" w:type="dxa"/>
          </w:tcPr>
          <w:p w:rsidR="00400E42" w:rsidRPr="00570FB0" w:rsidRDefault="00400E42" w:rsidP="00A92FFC">
            <w:pPr>
              <w:rPr>
                <w:rFonts w:ascii="Calibri" w:hAnsi="Calibri"/>
                <w:szCs w:val="22"/>
              </w:rPr>
            </w:pPr>
          </w:p>
        </w:tc>
        <w:tc>
          <w:tcPr>
            <w:tcW w:w="918" w:type="dxa"/>
          </w:tcPr>
          <w:p w:rsidR="00400E42" w:rsidRPr="00570FB0" w:rsidRDefault="00400E42" w:rsidP="00A92FFC">
            <w:pPr>
              <w:rPr>
                <w:rFonts w:ascii="Calibri" w:hAnsi="Calibri"/>
                <w:szCs w:val="22"/>
              </w:rPr>
            </w:pPr>
          </w:p>
        </w:tc>
        <w:tc>
          <w:tcPr>
            <w:tcW w:w="1683" w:type="dxa"/>
          </w:tcPr>
          <w:p w:rsidR="00400E42" w:rsidRPr="00570FB0" w:rsidRDefault="00400E42" w:rsidP="00A92FFC">
            <w:pPr>
              <w:jc w:val="center"/>
              <w:rPr>
                <w:rFonts w:ascii="Calibri" w:hAnsi="Calibri"/>
                <w:b/>
                <w:szCs w:val="22"/>
              </w:rPr>
            </w:pPr>
            <w:r w:rsidRPr="00570FB0">
              <w:rPr>
                <w:rFonts w:ascii="Calibri" w:hAnsi="Calibri"/>
                <w:b/>
                <w:sz w:val="22"/>
                <w:szCs w:val="22"/>
              </w:rPr>
              <w:t>Younger than 18  Years</w:t>
            </w:r>
          </w:p>
        </w:tc>
        <w:tc>
          <w:tcPr>
            <w:tcW w:w="1620" w:type="dxa"/>
          </w:tcPr>
          <w:p w:rsidR="00400E42" w:rsidRPr="00570FB0" w:rsidRDefault="00400E42" w:rsidP="00A92FFC">
            <w:pPr>
              <w:jc w:val="center"/>
              <w:rPr>
                <w:rFonts w:ascii="Calibri" w:hAnsi="Calibri"/>
                <w:b/>
                <w:szCs w:val="22"/>
              </w:rPr>
            </w:pPr>
            <w:r w:rsidRPr="00570FB0">
              <w:rPr>
                <w:rFonts w:ascii="Calibri" w:hAnsi="Calibri"/>
                <w:b/>
                <w:sz w:val="22"/>
                <w:szCs w:val="22"/>
              </w:rPr>
              <w:t>18-44 Years</w:t>
            </w:r>
          </w:p>
        </w:tc>
        <w:tc>
          <w:tcPr>
            <w:tcW w:w="1620" w:type="dxa"/>
          </w:tcPr>
          <w:p w:rsidR="00400E42" w:rsidRPr="00570FB0" w:rsidRDefault="00400E42" w:rsidP="00A92FFC">
            <w:pPr>
              <w:jc w:val="center"/>
              <w:rPr>
                <w:rFonts w:ascii="Calibri" w:hAnsi="Calibri"/>
                <w:b/>
                <w:szCs w:val="22"/>
              </w:rPr>
            </w:pPr>
            <w:r w:rsidRPr="00570FB0">
              <w:rPr>
                <w:rFonts w:ascii="Calibri" w:hAnsi="Calibri"/>
                <w:b/>
                <w:sz w:val="22"/>
                <w:szCs w:val="22"/>
              </w:rPr>
              <w:t>45-64 Years</w:t>
            </w:r>
          </w:p>
        </w:tc>
        <w:tc>
          <w:tcPr>
            <w:tcW w:w="1647" w:type="dxa"/>
          </w:tcPr>
          <w:p w:rsidR="00400E42" w:rsidRPr="00570FB0" w:rsidRDefault="00400E42" w:rsidP="00A92FFC">
            <w:pPr>
              <w:jc w:val="center"/>
              <w:rPr>
                <w:rFonts w:ascii="Calibri" w:hAnsi="Calibri"/>
                <w:b/>
                <w:szCs w:val="22"/>
              </w:rPr>
            </w:pPr>
            <w:r w:rsidRPr="00570FB0">
              <w:rPr>
                <w:rFonts w:ascii="Calibri" w:hAnsi="Calibri"/>
                <w:b/>
                <w:sz w:val="22"/>
                <w:szCs w:val="22"/>
              </w:rPr>
              <w:t>65 Years+</w:t>
            </w:r>
          </w:p>
        </w:tc>
      </w:tr>
      <w:tr w:rsidR="00400E42" w:rsidRPr="00F240EB" w:rsidTr="00A92FFC">
        <w:tc>
          <w:tcPr>
            <w:tcW w:w="2088" w:type="dxa"/>
            <w:vMerge w:val="restart"/>
          </w:tcPr>
          <w:p w:rsidR="00400E42" w:rsidRPr="00570FB0" w:rsidRDefault="00400E42" w:rsidP="00A92FFC">
            <w:pPr>
              <w:rPr>
                <w:rFonts w:ascii="Calibri" w:hAnsi="Calibri"/>
                <w:b/>
                <w:szCs w:val="22"/>
              </w:rPr>
            </w:pPr>
            <w:r w:rsidRPr="00570FB0">
              <w:rPr>
                <w:rFonts w:ascii="Calibri" w:hAnsi="Calibri"/>
                <w:b/>
                <w:sz w:val="22"/>
                <w:szCs w:val="22"/>
              </w:rPr>
              <w:t>Heroin Present</w:t>
            </w:r>
          </w:p>
        </w:tc>
        <w:tc>
          <w:tcPr>
            <w:tcW w:w="918" w:type="dxa"/>
          </w:tcPr>
          <w:p w:rsidR="00400E42" w:rsidRPr="00570FB0" w:rsidRDefault="00400E42" w:rsidP="00A92FFC">
            <w:pPr>
              <w:rPr>
                <w:rFonts w:ascii="Calibri" w:hAnsi="Calibri"/>
                <w:szCs w:val="22"/>
              </w:rPr>
            </w:pPr>
            <w:r w:rsidRPr="00570FB0">
              <w:rPr>
                <w:rFonts w:ascii="Calibri" w:hAnsi="Calibri"/>
                <w:sz w:val="22"/>
                <w:szCs w:val="22"/>
              </w:rPr>
              <w:t>Male</w:t>
            </w:r>
          </w:p>
        </w:tc>
        <w:tc>
          <w:tcPr>
            <w:tcW w:w="1683" w:type="dxa"/>
          </w:tcPr>
          <w:p w:rsidR="00400E42" w:rsidRPr="00570FB0" w:rsidRDefault="00400E42" w:rsidP="00A92FFC">
            <w:pPr>
              <w:jc w:val="center"/>
              <w:rPr>
                <w:rFonts w:ascii="Calibri" w:hAnsi="Calibri"/>
                <w:szCs w:val="22"/>
              </w:rPr>
            </w:pPr>
            <w:r w:rsidRPr="00570FB0">
              <w:rPr>
                <w:rFonts w:ascii="Calibri" w:hAnsi="Calibri"/>
                <w:sz w:val="22"/>
                <w:szCs w:val="22"/>
              </w:rPr>
              <w:t>76</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497</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256</w:t>
            </w:r>
          </w:p>
        </w:tc>
        <w:tc>
          <w:tcPr>
            <w:tcW w:w="1647" w:type="dxa"/>
          </w:tcPr>
          <w:p w:rsidR="00400E42" w:rsidRPr="00570FB0" w:rsidRDefault="00400E42" w:rsidP="00A92FFC">
            <w:pPr>
              <w:jc w:val="center"/>
              <w:rPr>
                <w:rFonts w:ascii="Calibri" w:hAnsi="Calibri"/>
                <w:szCs w:val="22"/>
              </w:rPr>
            </w:pPr>
            <w:r w:rsidRPr="00570FB0">
              <w:rPr>
                <w:rFonts w:ascii="Calibri" w:hAnsi="Calibri"/>
                <w:sz w:val="22"/>
                <w:szCs w:val="22"/>
              </w:rPr>
              <w:t>&lt;5</w:t>
            </w:r>
          </w:p>
        </w:tc>
      </w:tr>
      <w:tr w:rsidR="00400E42" w:rsidRPr="00F240EB" w:rsidTr="00A92FFC">
        <w:tc>
          <w:tcPr>
            <w:tcW w:w="2088" w:type="dxa"/>
            <w:vMerge/>
          </w:tcPr>
          <w:p w:rsidR="00400E42" w:rsidRPr="00570FB0" w:rsidRDefault="00400E42" w:rsidP="00A92FFC">
            <w:pPr>
              <w:rPr>
                <w:rFonts w:ascii="Calibri" w:hAnsi="Calibri"/>
                <w:b/>
                <w:szCs w:val="22"/>
              </w:rPr>
            </w:pPr>
          </w:p>
        </w:tc>
        <w:tc>
          <w:tcPr>
            <w:tcW w:w="918" w:type="dxa"/>
          </w:tcPr>
          <w:p w:rsidR="00400E42" w:rsidRPr="00570FB0" w:rsidRDefault="00400E42" w:rsidP="00A92FFC">
            <w:pPr>
              <w:rPr>
                <w:rFonts w:ascii="Calibri" w:hAnsi="Calibri"/>
                <w:szCs w:val="22"/>
              </w:rPr>
            </w:pPr>
            <w:r w:rsidRPr="00570FB0">
              <w:rPr>
                <w:rFonts w:ascii="Calibri" w:hAnsi="Calibri"/>
                <w:sz w:val="22"/>
                <w:szCs w:val="22"/>
              </w:rPr>
              <w:t>Female</w:t>
            </w:r>
          </w:p>
        </w:tc>
        <w:tc>
          <w:tcPr>
            <w:tcW w:w="1683" w:type="dxa"/>
          </w:tcPr>
          <w:p w:rsidR="00400E42" w:rsidRPr="00570FB0" w:rsidRDefault="00400E42" w:rsidP="00A92FFC">
            <w:pPr>
              <w:jc w:val="center"/>
              <w:rPr>
                <w:rFonts w:ascii="Calibri" w:hAnsi="Calibri"/>
                <w:szCs w:val="22"/>
              </w:rPr>
            </w:pPr>
            <w:r w:rsidRPr="00570FB0">
              <w:rPr>
                <w:rFonts w:ascii="Calibri" w:hAnsi="Calibri"/>
                <w:sz w:val="22"/>
                <w:szCs w:val="22"/>
              </w:rPr>
              <w:t>35</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156</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91</w:t>
            </w:r>
          </w:p>
        </w:tc>
        <w:tc>
          <w:tcPr>
            <w:tcW w:w="1647" w:type="dxa"/>
          </w:tcPr>
          <w:p w:rsidR="00400E42" w:rsidRPr="00570FB0" w:rsidRDefault="00400E42" w:rsidP="00A92FFC">
            <w:pPr>
              <w:jc w:val="center"/>
              <w:rPr>
                <w:rFonts w:ascii="Calibri" w:hAnsi="Calibri"/>
                <w:szCs w:val="22"/>
              </w:rPr>
            </w:pPr>
            <w:r w:rsidRPr="00570FB0">
              <w:rPr>
                <w:rFonts w:ascii="Calibri" w:hAnsi="Calibri"/>
                <w:sz w:val="22"/>
                <w:szCs w:val="22"/>
              </w:rPr>
              <w:t>&lt;5</w:t>
            </w:r>
          </w:p>
        </w:tc>
      </w:tr>
      <w:tr w:rsidR="00400E42" w:rsidRPr="00F240EB" w:rsidTr="00A92FFC">
        <w:tc>
          <w:tcPr>
            <w:tcW w:w="2088" w:type="dxa"/>
            <w:vMerge w:val="restart"/>
          </w:tcPr>
          <w:p w:rsidR="00400E42" w:rsidRPr="00570FB0" w:rsidRDefault="00400E42" w:rsidP="00A92FFC">
            <w:pPr>
              <w:rPr>
                <w:rFonts w:ascii="Calibri" w:hAnsi="Calibri"/>
                <w:b/>
                <w:szCs w:val="22"/>
              </w:rPr>
            </w:pPr>
            <w:r w:rsidRPr="00570FB0">
              <w:rPr>
                <w:rFonts w:ascii="Calibri" w:hAnsi="Calibri"/>
                <w:b/>
                <w:sz w:val="22"/>
                <w:szCs w:val="22"/>
              </w:rPr>
              <w:t>Heroin Not Present</w:t>
            </w:r>
          </w:p>
        </w:tc>
        <w:tc>
          <w:tcPr>
            <w:tcW w:w="918" w:type="dxa"/>
          </w:tcPr>
          <w:p w:rsidR="00400E42" w:rsidRPr="00570FB0" w:rsidRDefault="00400E42" w:rsidP="00A92FFC">
            <w:pPr>
              <w:rPr>
                <w:rFonts w:ascii="Calibri" w:hAnsi="Calibri"/>
                <w:szCs w:val="22"/>
              </w:rPr>
            </w:pPr>
            <w:r w:rsidRPr="00570FB0">
              <w:rPr>
                <w:rFonts w:ascii="Calibri" w:hAnsi="Calibri"/>
                <w:sz w:val="22"/>
                <w:szCs w:val="22"/>
              </w:rPr>
              <w:t>Male</w:t>
            </w:r>
          </w:p>
        </w:tc>
        <w:tc>
          <w:tcPr>
            <w:tcW w:w="1683" w:type="dxa"/>
          </w:tcPr>
          <w:p w:rsidR="00400E42" w:rsidRPr="00570FB0" w:rsidRDefault="00400E42" w:rsidP="00A92FFC">
            <w:pPr>
              <w:jc w:val="center"/>
              <w:rPr>
                <w:rFonts w:ascii="Calibri" w:hAnsi="Calibri"/>
                <w:szCs w:val="22"/>
              </w:rPr>
            </w:pPr>
            <w:r w:rsidRPr="00570FB0">
              <w:rPr>
                <w:rFonts w:ascii="Calibri" w:hAnsi="Calibri"/>
                <w:sz w:val="22"/>
                <w:szCs w:val="22"/>
              </w:rPr>
              <w:t>70</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350</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273</w:t>
            </w:r>
          </w:p>
        </w:tc>
        <w:tc>
          <w:tcPr>
            <w:tcW w:w="1647" w:type="dxa"/>
          </w:tcPr>
          <w:p w:rsidR="00400E42" w:rsidRPr="00570FB0" w:rsidRDefault="00400E42" w:rsidP="00A92FFC">
            <w:pPr>
              <w:jc w:val="center"/>
              <w:rPr>
                <w:rFonts w:ascii="Calibri" w:hAnsi="Calibri"/>
                <w:szCs w:val="22"/>
              </w:rPr>
            </w:pPr>
            <w:r w:rsidRPr="00570FB0">
              <w:rPr>
                <w:rFonts w:ascii="Calibri" w:hAnsi="Calibri"/>
                <w:sz w:val="22"/>
                <w:szCs w:val="22"/>
              </w:rPr>
              <w:t>12</w:t>
            </w:r>
          </w:p>
        </w:tc>
      </w:tr>
      <w:tr w:rsidR="00400E42" w:rsidRPr="00F240EB" w:rsidTr="00A92FFC">
        <w:tc>
          <w:tcPr>
            <w:tcW w:w="2088" w:type="dxa"/>
            <w:vMerge/>
          </w:tcPr>
          <w:p w:rsidR="00400E42" w:rsidRPr="00570FB0" w:rsidRDefault="00400E42" w:rsidP="00A92FFC">
            <w:pPr>
              <w:rPr>
                <w:rFonts w:ascii="Calibri" w:hAnsi="Calibri"/>
                <w:szCs w:val="22"/>
              </w:rPr>
            </w:pPr>
          </w:p>
        </w:tc>
        <w:tc>
          <w:tcPr>
            <w:tcW w:w="918" w:type="dxa"/>
          </w:tcPr>
          <w:p w:rsidR="00400E42" w:rsidRPr="00570FB0" w:rsidRDefault="00400E42" w:rsidP="00A92FFC">
            <w:pPr>
              <w:rPr>
                <w:rFonts w:ascii="Calibri" w:hAnsi="Calibri"/>
                <w:szCs w:val="22"/>
              </w:rPr>
            </w:pPr>
            <w:r w:rsidRPr="00570FB0">
              <w:rPr>
                <w:rFonts w:ascii="Calibri" w:hAnsi="Calibri"/>
                <w:sz w:val="22"/>
                <w:szCs w:val="22"/>
              </w:rPr>
              <w:t>Female</w:t>
            </w:r>
          </w:p>
        </w:tc>
        <w:tc>
          <w:tcPr>
            <w:tcW w:w="1683" w:type="dxa"/>
          </w:tcPr>
          <w:p w:rsidR="00400E42" w:rsidRPr="00570FB0" w:rsidRDefault="00400E42" w:rsidP="00A92FFC">
            <w:pPr>
              <w:jc w:val="center"/>
              <w:rPr>
                <w:rFonts w:ascii="Calibri" w:hAnsi="Calibri"/>
                <w:szCs w:val="22"/>
              </w:rPr>
            </w:pPr>
            <w:r w:rsidRPr="00570FB0">
              <w:rPr>
                <w:rFonts w:ascii="Calibri" w:hAnsi="Calibri"/>
                <w:sz w:val="22"/>
                <w:szCs w:val="22"/>
              </w:rPr>
              <w:t>14</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166</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176</w:t>
            </w:r>
          </w:p>
        </w:tc>
        <w:tc>
          <w:tcPr>
            <w:tcW w:w="1647" w:type="dxa"/>
          </w:tcPr>
          <w:p w:rsidR="00400E42" w:rsidRPr="00570FB0" w:rsidRDefault="00400E42" w:rsidP="00A92FFC">
            <w:pPr>
              <w:jc w:val="center"/>
              <w:rPr>
                <w:rFonts w:ascii="Calibri" w:hAnsi="Calibri"/>
                <w:szCs w:val="22"/>
              </w:rPr>
            </w:pPr>
            <w:r w:rsidRPr="00570FB0">
              <w:rPr>
                <w:rFonts w:ascii="Calibri" w:hAnsi="Calibri"/>
                <w:sz w:val="22"/>
                <w:szCs w:val="22"/>
              </w:rPr>
              <w:t>18</w:t>
            </w:r>
          </w:p>
        </w:tc>
      </w:tr>
    </w:tbl>
    <w:p w:rsidR="00400E42" w:rsidRPr="00F240EB" w:rsidRDefault="00400E42" w:rsidP="00400E42">
      <w:pPr>
        <w:rPr>
          <w:rFonts w:ascii="Calibri" w:hAnsi="Calibri"/>
          <w:sz w:val="22"/>
          <w:szCs w:val="22"/>
        </w:rPr>
      </w:pPr>
    </w:p>
    <w:p w:rsidR="00400E42" w:rsidRPr="00F240EB" w:rsidRDefault="00400E42" w:rsidP="00400E42">
      <w:pPr>
        <w:jc w:val="cente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8"/>
        <w:gridCol w:w="868"/>
        <w:gridCol w:w="1683"/>
        <w:gridCol w:w="1620"/>
        <w:gridCol w:w="1620"/>
        <w:gridCol w:w="1647"/>
      </w:tblGrid>
      <w:tr w:rsidR="00400E42" w:rsidRPr="00F240EB" w:rsidTr="00A92FFC">
        <w:tc>
          <w:tcPr>
            <w:tcW w:w="9576" w:type="dxa"/>
            <w:gridSpan w:val="6"/>
          </w:tcPr>
          <w:p w:rsidR="00400E42" w:rsidRPr="00570FB0" w:rsidRDefault="00400E42" w:rsidP="00A92FFC">
            <w:pPr>
              <w:jc w:val="center"/>
              <w:rPr>
                <w:rFonts w:ascii="Calibri" w:hAnsi="Calibri"/>
                <w:b/>
                <w:szCs w:val="22"/>
              </w:rPr>
            </w:pPr>
            <w:r w:rsidRPr="00570FB0">
              <w:rPr>
                <w:rFonts w:ascii="Calibri" w:hAnsi="Calibri"/>
                <w:b/>
                <w:sz w:val="22"/>
                <w:szCs w:val="22"/>
              </w:rPr>
              <w:t>Table KEY3.4: Presence of Prescription Opioid in Toxicology Screen by Sex and Age Group</w:t>
            </w:r>
            <w:r w:rsidR="0050537B">
              <w:rPr>
                <w:rFonts w:ascii="Calibri" w:hAnsi="Calibri"/>
                <w:b/>
                <w:sz w:val="22"/>
                <w:szCs w:val="22"/>
              </w:rPr>
              <w:t xml:space="preserve"> (2013-2014)</w:t>
            </w:r>
          </w:p>
        </w:tc>
      </w:tr>
      <w:tr w:rsidR="00400E42" w:rsidRPr="00F240EB" w:rsidTr="00A92FFC">
        <w:tc>
          <w:tcPr>
            <w:tcW w:w="2138" w:type="dxa"/>
          </w:tcPr>
          <w:p w:rsidR="00400E42" w:rsidRPr="00570FB0" w:rsidRDefault="00400E42" w:rsidP="00A92FFC">
            <w:pPr>
              <w:rPr>
                <w:rFonts w:ascii="Calibri" w:hAnsi="Calibri"/>
                <w:szCs w:val="22"/>
              </w:rPr>
            </w:pPr>
          </w:p>
        </w:tc>
        <w:tc>
          <w:tcPr>
            <w:tcW w:w="868" w:type="dxa"/>
          </w:tcPr>
          <w:p w:rsidR="00400E42" w:rsidRPr="00570FB0" w:rsidRDefault="00400E42" w:rsidP="00A92FFC">
            <w:pPr>
              <w:jc w:val="center"/>
              <w:rPr>
                <w:rFonts w:ascii="Calibri" w:hAnsi="Calibri"/>
                <w:szCs w:val="22"/>
              </w:rPr>
            </w:pPr>
          </w:p>
        </w:tc>
        <w:tc>
          <w:tcPr>
            <w:tcW w:w="1683" w:type="dxa"/>
          </w:tcPr>
          <w:p w:rsidR="00400E42" w:rsidRPr="00570FB0" w:rsidRDefault="00400E42" w:rsidP="00A92FFC">
            <w:pPr>
              <w:jc w:val="center"/>
              <w:rPr>
                <w:rFonts w:ascii="Calibri" w:hAnsi="Calibri"/>
                <w:b/>
                <w:szCs w:val="22"/>
              </w:rPr>
            </w:pPr>
            <w:r w:rsidRPr="00570FB0">
              <w:rPr>
                <w:rFonts w:ascii="Calibri" w:hAnsi="Calibri"/>
                <w:b/>
                <w:sz w:val="22"/>
                <w:szCs w:val="22"/>
              </w:rPr>
              <w:t>Younger than 18  Years</w:t>
            </w:r>
          </w:p>
        </w:tc>
        <w:tc>
          <w:tcPr>
            <w:tcW w:w="1620" w:type="dxa"/>
          </w:tcPr>
          <w:p w:rsidR="00400E42" w:rsidRPr="00570FB0" w:rsidRDefault="00400E42" w:rsidP="00A92FFC">
            <w:pPr>
              <w:jc w:val="center"/>
              <w:rPr>
                <w:rFonts w:ascii="Calibri" w:hAnsi="Calibri"/>
                <w:b/>
                <w:szCs w:val="22"/>
              </w:rPr>
            </w:pPr>
            <w:r w:rsidRPr="00570FB0">
              <w:rPr>
                <w:rFonts w:ascii="Calibri" w:hAnsi="Calibri"/>
                <w:b/>
                <w:sz w:val="22"/>
                <w:szCs w:val="22"/>
              </w:rPr>
              <w:t>18-44 Years</w:t>
            </w:r>
          </w:p>
        </w:tc>
        <w:tc>
          <w:tcPr>
            <w:tcW w:w="1620" w:type="dxa"/>
          </w:tcPr>
          <w:p w:rsidR="00400E42" w:rsidRPr="00570FB0" w:rsidRDefault="00400E42" w:rsidP="00A92FFC">
            <w:pPr>
              <w:jc w:val="center"/>
              <w:rPr>
                <w:rFonts w:ascii="Calibri" w:hAnsi="Calibri"/>
                <w:b/>
                <w:szCs w:val="22"/>
              </w:rPr>
            </w:pPr>
            <w:r w:rsidRPr="00570FB0">
              <w:rPr>
                <w:rFonts w:ascii="Calibri" w:hAnsi="Calibri"/>
                <w:b/>
                <w:sz w:val="22"/>
                <w:szCs w:val="22"/>
              </w:rPr>
              <w:t>45-64 Years</w:t>
            </w:r>
          </w:p>
        </w:tc>
        <w:tc>
          <w:tcPr>
            <w:tcW w:w="1647" w:type="dxa"/>
          </w:tcPr>
          <w:p w:rsidR="00400E42" w:rsidRPr="00570FB0" w:rsidRDefault="00400E42" w:rsidP="00A92FFC">
            <w:pPr>
              <w:jc w:val="center"/>
              <w:rPr>
                <w:rFonts w:ascii="Calibri" w:hAnsi="Calibri"/>
                <w:b/>
                <w:szCs w:val="22"/>
              </w:rPr>
            </w:pPr>
            <w:r w:rsidRPr="00570FB0">
              <w:rPr>
                <w:rFonts w:ascii="Calibri" w:hAnsi="Calibri"/>
                <w:b/>
                <w:sz w:val="22"/>
                <w:szCs w:val="22"/>
              </w:rPr>
              <w:t>65 Years+</w:t>
            </w:r>
          </w:p>
        </w:tc>
      </w:tr>
      <w:tr w:rsidR="00400E42" w:rsidRPr="00F240EB" w:rsidTr="00A92FFC">
        <w:tc>
          <w:tcPr>
            <w:tcW w:w="2138" w:type="dxa"/>
            <w:vMerge w:val="restart"/>
          </w:tcPr>
          <w:p w:rsidR="00400E42" w:rsidRPr="00570FB0" w:rsidRDefault="00400E42" w:rsidP="00A92FFC">
            <w:pPr>
              <w:rPr>
                <w:rFonts w:ascii="Calibri" w:hAnsi="Calibri"/>
                <w:b/>
                <w:szCs w:val="22"/>
              </w:rPr>
            </w:pPr>
            <w:r w:rsidRPr="00570FB0">
              <w:rPr>
                <w:rFonts w:ascii="Calibri" w:hAnsi="Calibri"/>
                <w:b/>
                <w:sz w:val="22"/>
                <w:szCs w:val="22"/>
              </w:rPr>
              <w:t>Prescription Opioid Present</w:t>
            </w:r>
          </w:p>
        </w:tc>
        <w:tc>
          <w:tcPr>
            <w:tcW w:w="868" w:type="dxa"/>
          </w:tcPr>
          <w:p w:rsidR="00400E42" w:rsidRPr="00570FB0" w:rsidRDefault="00400E42" w:rsidP="00A92FFC">
            <w:pPr>
              <w:jc w:val="center"/>
              <w:rPr>
                <w:rFonts w:ascii="Calibri" w:hAnsi="Calibri"/>
                <w:szCs w:val="22"/>
              </w:rPr>
            </w:pPr>
            <w:r w:rsidRPr="00570FB0">
              <w:rPr>
                <w:rFonts w:ascii="Calibri" w:hAnsi="Calibri"/>
                <w:sz w:val="22"/>
                <w:szCs w:val="22"/>
              </w:rPr>
              <w:t>Male</w:t>
            </w:r>
          </w:p>
        </w:tc>
        <w:tc>
          <w:tcPr>
            <w:tcW w:w="1683" w:type="dxa"/>
          </w:tcPr>
          <w:p w:rsidR="00400E42" w:rsidRPr="00570FB0" w:rsidRDefault="00400E42" w:rsidP="00A92FFC">
            <w:pPr>
              <w:jc w:val="center"/>
              <w:rPr>
                <w:rFonts w:ascii="Calibri" w:hAnsi="Calibri"/>
                <w:szCs w:val="22"/>
              </w:rPr>
            </w:pPr>
            <w:r w:rsidRPr="00570FB0">
              <w:rPr>
                <w:rFonts w:ascii="Calibri" w:hAnsi="Calibri"/>
                <w:sz w:val="22"/>
                <w:szCs w:val="22"/>
              </w:rPr>
              <w:t>14</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95</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108</w:t>
            </w:r>
          </w:p>
        </w:tc>
        <w:tc>
          <w:tcPr>
            <w:tcW w:w="1647" w:type="dxa"/>
          </w:tcPr>
          <w:p w:rsidR="00400E42" w:rsidRPr="00570FB0" w:rsidRDefault="00400E42" w:rsidP="00A92FFC">
            <w:pPr>
              <w:jc w:val="center"/>
              <w:rPr>
                <w:rFonts w:ascii="Calibri" w:hAnsi="Calibri"/>
                <w:szCs w:val="22"/>
              </w:rPr>
            </w:pPr>
            <w:r w:rsidRPr="00570FB0">
              <w:rPr>
                <w:rFonts w:ascii="Calibri" w:hAnsi="Calibri"/>
                <w:sz w:val="22"/>
                <w:szCs w:val="22"/>
              </w:rPr>
              <w:t>6</w:t>
            </w:r>
          </w:p>
        </w:tc>
      </w:tr>
      <w:tr w:rsidR="00400E42" w:rsidRPr="00F240EB" w:rsidTr="00A92FFC">
        <w:tc>
          <w:tcPr>
            <w:tcW w:w="2138" w:type="dxa"/>
            <w:vMerge/>
          </w:tcPr>
          <w:p w:rsidR="00400E42" w:rsidRPr="00570FB0" w:rsidRDefault="00400E42" w:rsidP="00A92FFC">
            <w:pPr>
              <w:rPr>
                <w:rFonts w:ascii="Calibri" w:hAnsi="Calibri"/>
                <w:b/>
                <w:szCs w:val="22"/>
              </w:rPr>
            </w:pPr>
          </w:p>
        </w:tc>
        <w:tc>
          <w:tcPr>
            <w:tcW w:w="868" w:type="dxa"/>
          </w:tcPr>
          <w:p w:rsidR="00400E42" w:rsidRPr="00570FB0" w:rsidRDefault="00400E42" w:rsidP="00A92FFC">
            <w:pPr>
              <w:jc w:val="center"/>
              <w:rPr>
                <w:rFonts w:ascii="Calibri" w:hAnsi="Calibri"/>
                <w:szCs w:val="22"/>
              </w:rPr>
            </w:pPr>
            <w:r w:rsidRPr="00570FB0">
              <w:rPr>
                <w:rFonts w:ascii="Calibri" w:hAnsi="Calibri"/>
                <w:sz w:val="22"/>
                <w:szCs w:val="22"/>
              </w:rPr>
              <w:t>Female</w:t>
            </w:r>
          </w:p>
        </w:tc>
        <w:tc>
          <w:tcPr>
            <w:tcW w:w="1683" w:type="dxa"/>
          </w:tcPr>
          <w:p w:rsidR="00400E42" w:rsidRPr="00570FB0" w:rsidRDefault="00400E42" w:rsidP="00A92FFC">
            <w:pPr>
              <w:jc w:val="center"/>
              <w:rPr>
                <w:rFonts w:ascii="Calibri" w:hAnsi="Calibri"/>
                <w:szCs w:val="22"/>
              </w:rPr>
            </w:pPr>
            <w:r w:rsidRPr="00570FB0">
              <w:rPr>
                <w:rFonts w:ascii="Calibri" w:hAnsi="Calibri"/>
                <w:sz w:val="22"/>
                <w:szCs w:val="22"/>
              </w:rPr>
              <w:t>7</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45</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73</w:t>
            </w:r>
          </w:p>
        </w:tc>
        <w:tc>
          <w:tcPr>
            <w:tcW w:w="1647" w:type="dxa"/>
          </w:tcPr>
          <w:p w:rsidR="00400E42" w:rsidRPr="00570FB0" w:rsidRDefault="00400E42" w:rsidP="00A92FFC">
            <w:pPr>
              <w:jc w:val="center"/>
              <w:rPr>
                <w:rFonts w:ascii="Calibri" w:hAnsi="Calibri"/>
                <w:szCs w:val="22"/>
              </w:rPr>
            </w:pPr>
            <w:r w:rsidRPr="00570FB0">
              <w:rPr>
                <w:rFonts w:ascii="Calibri" w:hAnsi="Calibri"/>
                <w:sz w:val="22"/>
                <w:szCs w:val="22"/>
              </w:rPr>
              <w:t>10</w:t>
            </w:r>
          </w:p>
        </w:tc>
      </w:tr>
      <w:tr w:rsidR="00400E42" w:rsidRPr="00F240EB" w:rsidTr="00A92FFC">
        <w:tc>
          <w:tcPr>
            <w:tcW w:w="2138" w:type="dxa"/>
            <w:vMerge w:val="restart"/>
          </w:tcPr>
          <w:p w:rsidR="00400E42" w:rsidRPr="00570FB0" w:rsidRDefault="00400E42" w:rsidP="00A92FFC">
            <w:pPr>
              <w:rPr>
                <w:rFonts w:ascii="Calibri" w:hAnsi="Calibri"/>
                <w:b/>
                <w:szCs w:val="22"/>
              </w:rPr>
            </w:pPr>
            <w:r w:rsidRPr="00570FB0">
              <w:rPr>
                <w:rFonts w:ascii="Calibri" w:hAnsi="Calibri"/>
                <w:b/>
                <w:sz w:val="22"/>
                <w:szCs w:val="22"/>
              </w:rPr>
              <w:t>Prescription Opioid Not Present</w:t>
            </w:r>
          </w:p>
        </w:tc>
        <w:tc>
          <w:tcPr>
            <w:tcW w:w="868" w:type="dxa"/>
          </w:tcPr>
          <w:p w:rsidR="00400E42" w:rsidRPr="00570FB0" w:rsidRDefault="00400E42" w:rsidP="00A92FFC">
            <w:pPr>
              <w:jc w:val="center"/>
              <w:rPr>
                <w:rFonts w:ascii="Calibri" w:hAnsi="Calibri"/>
                <w:szCs w:val="22"/>
              </w:rPr>
            </w:pPr>
            <w:r w:rsidRPr="00570FB0">
              <w:rPr>
                <w:rFonts w:ascii="Calibri" w:hAnsi="Calibri"/>
                <w:sz w:val="22"/>
                <w:szCs w:val="22"/>
              </w:rPr>
              <w:t>Male</w:t>
            </w:r>
          </w:p>
        </w:tc>
        <w:tc>
          <w:tcPr>
            <w:tcW w:w="1683" w:type="dxa"/>
          </w:tcPr>
          <w:p w:rsidR="00400E42" w:rsidRPr="00570FB0" w:rsidRDefault="00400E42" w:rsidP="00A92FFC">
            <w:pPr>
              <w:jc w:val="center"/>
              <w:rPr>
                <w:rFonts w:ascii="Calibri" w:hAnsi="Calibri"/>
                <w:szCs w:val="22"/>
              </w:rPr>
            </w:pPr>
            <w:r w:rsidRPr="00570FB0">
              <w:rPr>
                <w:rFonts w:ascii="Calibri" w:hAnsi="Calibri"/>
                <w:sz w:val="22"/>
                <w:szCs w:val="22"/>
              </w:rPr>
              <w:t>97</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587</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295</w:t>
            </w:r>
          </w:p>
        </w:tc>
        <w:tc>
          <w:tcPr>
            <w:tcW w:w="1647" w:type="dxa"/>
          </w:tcPr>
          <w:p w:rsidR="00400E42" w:rsidRPr="00570FB0" w:rsidRDefault="00400E42" w:rsidP="00A92FFC">
            <w:pPr>
              <w:jc w:val="center"/>
              <w:rPr>
                <w:rFonts w:ascii="Calibri" w:hAnsi="Calibri"/>
                <w:szCs w:val="22"/>
              </w:rPr>
            </w:pPr>
            <w:r w:rsidRPr="00570FB0">
              <w:rPr>
                <w:rFonts w:ascii="Calibri" w:hAnsi="Calibri"/>
                <w:sz w:val="22"/>
                <w:szCs w:val="22"/>
              </w:rPr>
              <w:t>5</w:t>
            </w:r>
          </w:p>
        </w:tc>
      </w:tr>
      <w:tr w:rsidR="00400E42" w:rsidRPr="00F240EB" w:rsidTr="00A92FFC">
        <w:tc>
          <w:tcPr>
            <w:tcW w:w="2138" w:type="dxa"/>
            <w:vMerge/>
          </w:tcPr>
          <w:p w:rsidR="00400E42" w:rsidRPr="00570FB0" w:rsidRDefault="00400E42" w:rsidP="00A92FFC">
            <w:pPr>
              <w:rPr>
                <w:rFonts w:ascii="Calibri" w:hAnsi="Calibri"/>
                <w:szCs w:val="22"/>
              </w:rPr>
            </w:pPr>
          </w:p>
        </w:tc>
        <w:tc>
          <w:tcPr>
            <w:tcW w:w="868" w:type="dxa"/>
          </w:tcPr>
          <w:p w:rsidR="00400E42" w:rsidRPr="00570FB0" w:rsidRDefault="00400E42" w:rsidP="00A92FFC">
            <w:pPr>
              <w:jc w:val="center"/>
              <w:rPr>
                <w:rFonts w:ascii="Calibri" w:hAnsi="Calibri"/>
                <w:szCs w:val="22"/>
              </w:rPr>
            </w:pPr>
            <w:r w:rsidRPr="00570FB0">
              <w:rPr>
                <w:rFonts w:ascii="Calibri" w:hAnsi="Calibri"/>
                <w:sz w:val="22"/>
                <w:szCs w:val="22"/>
              </w:rPr>
              <w:t>Female</w:t>
            </w:r>
          </w:p>
        </w:tc>
        <w:tc>
          <w:tcPr>
            <w:tcW w:w="1683" w:type="dxa"/>
          </w:tcPr>
          <w:p w:rsidR="00400E42" w:rsidRPr="00570FB0" w:rsidRDefault="00400E42" w:rsidP="00A92FFC">
            <w:pPr>
              <w:jc w:val="center"/>
              <w:rPr>
                <w:rFonts w:ascii="Calibri" w:hAnsi="Calibri"/>
                <w:szCs w:val="22"/>
              </w:rPr>
            </w:pPr>
            <w:r w:rsidRPr="00570FB0">
              <w:rPr>
                <w:rFonts w:ascii="Calibri" w:hAnsi="Calibri"/>
                <w:sz w:val="22"/>
                <w:szCs w:val="22"/>
              </w:rPr>
              <w:t>36</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194</w:t>
            </w:r>
          </w:p>
        </w:tc>
        <w:tc>
          <w:tcPr>
            <w:tcW w:w="1620" w:type="dxa"/>
          </w:tcPr>
          <w:p w:rsidR="00400E42" w:rsidRPr="00570FB0" w:rsidRDefault="00400E42" w:rsidP="00A92FFC">
            <w:pPr>
              <w:jc w:val="center"/>
              <w:rPr>
                <w:rFonts w:ascii="Calibri" w:hAnsi="Calibri"/>
                <w:szCs w:val="22"/>
              </w:rPr>
            </w:pPr>
            <w:r w:rsidRPr="00570FB0">
              <w:rPr>
                <w:rFonts w:ascii="Calibri" w:hAnsi="Calibri"/>
                <w:sz w:val="22"/>
                <w:szCs w:val="22"/>
              </w:rPr>
              <w:t>116</w:t>
            </w:r>
          </w:p>
        </w:tc>
        <w:tc>
          <w:tcPr>
            <w:tcW w:w="1647" w:type="dxa"/>
          </w:tcPr>
          <w:p w:rsidR="00400E42" w:rsidRPr="00570FB0" w:rsidRDefault="00400E42" w:rsidP="00A92FFC">
            <w:pPr>
              <w:jc w:val="center"/>
              <w:rPr>
                <w:rFonts w:ascii="Calibri" w:hAnsi="Calibri"/>
                <w:szCs w:val="22"/>
              </w:rPr>
            </w:pPr>
            <w:r w:rsidRPr="00570FB0">
              <w:rPr>
                <w:rFonts w:ascii="Calibri" w:hAnsi="Calibri"/>
                <w:sz w:val="22"/>
                <w:szCs w:val="22"/>
              </w:rPr>
              <w:t>&lt;5</w:t>
            </w:r>
          </w:p>
        </w:tc>
      </w:tr>
    </w:tbl>
    <w:p w:rsidR="00400E42" w:rsidRPr="00F240EB" w:rsidRDefault="00400E42" w:rsidP="00400E42">
      <w:pPr>
        <w:spacing w:line="480" w:lineRule="auto"/>
        <w:rPr>
          <w:rFonts w:ascii="Calibri" w:hAnsi="Calibri"/>
          <w:sz w:val="22"/>
          <w:szCs w:val="22"/>
        </w:rPr>
      </w:pPr>
    </w:p>
    <w:p w:rsidR="00400E42" w:rsidRDefault="00400E42" w:rsidP="00400E42">
      <w:pPr>
        <w:spacing w:after="120" w:line="276" w:lineRule="auto"/>
        <w:rPr>
          <w:rFonts w:ascii="Calibri" w:hAnsi="Calibri"/>
          <w:sz w:val="22"/>
          <w:szCs w:val="22"/>
        </w:rPr>
      </w:pPr>
      <w:r w:rsidRPr="00F240EB">
        <w:rPr>
          <w:rFonts w:ascii="Calibri" w:hAnsi="Calibri"/>
          <w:b/>
          <w:sz w:val="22"/>
          <w:szCs w:val="22"/>
        </w:rPr>
        <w:t xml:space="preserve">Prescribing Patterns and Gender: </w:t>
      </w:r>
      <w:r>
        <w:rPr>
          <w:rFonts w:ascii="Calibri" w:hAnsi="Calibri"/>
          <w:sz w:val="22"/>
          <w:szCs w:val="22"/>
        </w:rPr>
        <w:t xml:space="preserve"> </w:t>
      </w:r>
      <w:r w:rsidRPr="00F240EB">
        <w:rPr>
          <w:rFonts w:ascii="Calibri" w:hAnsi="Calibri"/>
          <w:sz w:val="22"/>
          <w:szCs w:val="22"/>
        </w:rPr>
        <w:t xml:space="preserve">Figures </w:t>
      </w:r>
      <w:r>
        <w:rPr>
          <w:rFonts w:ascii="Calibri" w:hAnsi="Calibri"/>
          <w:sz w:val="22"/>
          <w:szCs w:val="22"/>
        </w:rPr>
        <w:t>KEY</w:t>
      </w:r>
      <w:r w:rsidRPr="00F240EB">
        <w:rPr>
          <w:rFonts w:ascii="Calibri" w:hAnsi="Calibri"/>
          <w:sz w:val="22"/>
          <w:szCs w:val="22"/>
        </w:rPr>
        <w:t xml:space="preserve">3.1 and </w:t>
      </w:r>
      <w:r>
        <w:rPr>
          <w:rFonts w:ascii="Calibri" w:hAnsi="Calibri"/>
          <w:sz w:val="22"/>
          <w:szCs w:val="22"/>
        </w:rPr>
        <w:t>KEY</w:t>
      </w:r>
      <w:r w:rsidRPr="00F240EB">
        <w:rPr>
          <w:rFonts w:ascii="Calibri" w:hAnsi="Calibri"/>
          <w:sz w:val="22"/>
          <w:szCs w:val="22"/>
        </w:rPr>
        <w:t xml:space="preserve">3.2 show the breakdown of number of prescribers by </w:t>
      </w:r>
      <w:r>
        <w:rPr>
          <w:rFonts w:ascii="Calibri" w:hAnsi="Calibri"/>
          <w:sz w:val="22"/>
          <w:szCs w:val="22"/>
        </w:rPr>
        <w:t xml:space="preserve">the </w:t>
      </w:r>
      <w:r w:rsidRPr="00F240EB">
        <w:rPr>
          <w:rFonts w:ascii="Calibri" w:hAnsi="Calibri"/>
          <w:sz w:val="22"/>
          <w:szCs w:val="22"/>
        </w:rPr>
        <w:t>gender</w:t>
      </w:r>
      <w:r>
        <w:rPr>
          <w:rFonts w:ascii="Calibri" w:hAnsi="Calibri"/>
          <w:sz w:val="22"/>
          <w:szCs w:val="22"/>
        </w:rPr>
        <w:t xml:space="preserve"> of the dece</w:t>
      </w:r>
      <w:r w:rsidRPr="00E11012">
        <w:rPr>
          <w:rFonts w:ascii="Calibri" w:hAnsi="Calibri"/>
          <w:sz w:val="22"/>
          <w:szCs w:val="22"/>
        </w:rPr>
        <w:t>dent. 35% of males who died of an opioid overdose had three or more prescribers</w:t>
      </w:r>
      <w:r w:rsidR="00E11012" w:rsidRPr="00E11012">
        <w:rPr>
          <w:rFonts w:ascii="Calibri" w:hAnsi="Calibri"/>
          <w:sz w:val="22"/>
          <w:szCs w:val="22"/>
        </w:rPr>
        <w:t xml:space="preserve"> of a scheduled drug,</w:t>
      </w:r>
      <w:r w:rsidRPr="00F240EB">
        <w:rPr>
          <w:rFonts w:ascii="Calibri" w:hAnsi="Calibri"/>
          <w:sz w:val="22"/>
          <w:szCs w:val="22"/>
        </w:rPr>
        <w:t xml:space="preserve"> as compared with 61% of females.</w:t>
      </w:r>
    </w:p>
    <w:p w:rsidR="00400E42" w:rsidRPr="00F240EB" w:rsidRDefault="00400E42" w:rsidP="00400E42">
      <w:pPr>
        <w:spacing w:after="120" w:line="276" w:lineRule="auto"/>
        <w:rPr>
          <w:rFonts w:ascii="Calibri" w:hAnsi="Calibri"/>
          <w:sz w:val="22"/>
          <w:szCs w:val="22"/>
        </w:rPr>
      </w:pPr>
      <w:r w:rsidRPr="00F240EB">
        <w:rPr>
          <w:rFonts w:ascii="Calibri" w:hAnsi="Calibri"/>
          <w:sz w:val="22"/>
          <w:szCs w:val="22"/>
        </w:rPr>
        <w:t xml:space="preserve"> </w:t>
      </w:r>
    </w:p>
    <w:p w:rsidR="00400E42" w:rsidRPr="00F240EB" w:rsidRDefault="00400E42" w:rsidP="00400E42">
      <w:pPr>
        <w:spacing w:line="480" w:lineRule="auto"/>
        <w:jc w:val="center"/>
        <w:rPr>
          <w:rFonts w:ascii="Calibri" w:hAnsi="Calibri"/>
          <w:sz w:val="22"/>
          <w:szCs w:val="22"/>
        </w:rPr>
      </w:pPr>
      <w:r>
        <w:rPr>
          <w:rFonts w:ascii="Calibri" w:hAnsi="Calibri"/>
          <w:noProof/>
          <w:sz w:val="22"/>
          <w:szCs w:val="22"/>
        </w:rPr>
        <w:drawing>
          <wp:inline distT="0" distB="0" distL="0" distR="0" wp14:anchorId="4E360302" wp14:editId="091E3614">
            <wp:extent cx="3932555" cy="2761615"/>
            <wp:effectExtent l="0" t="0" r="10795" b="19685"/>
            <wp:docPr id="8"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00E42" w:rsidRPr="00F240EB" w:rsidRDefault="00400E42" w:rsidP="00400E42">
      <w:pPr>
        <w:spacing w:line="480" w:lineRule="auto"/>
        <w:jc w:val="center"/>
        <w:rPr>
          <w:rFonts w:ascii="Calibri" w:hAnsi="Calibri"/>
          <w:sz w:val="22"/>
          <w:szCs w:val="22"/>
        </w:rPr>
      </w:pPr>
      <w:r>
        <w:rPr>
          <w:rFonts w:ascii="Calibri" w:hAnsi="Calibri"/>
          <w:noProof/>
          <w:sz w:val="22"/>
          <w:szCs w:val="22"/>
        </w:rPr>
        <w:lastRenderedPageBreak/>
        <w:drawing>
          <wp:inline distT="0" distB="0" distL="0" distR="0" wp14:anchorId="670D4247" wp14:editId="02B493A9">
            <wp:extent cx="3999230" cy="2980690"/>
            <wp:effectExtent l="0" t="0" r="20320" b="10160"/>
            <wp:docPr id="9"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00E42" w:rsidRDefault="00400E42" w:rsidP="00400E42">
      <w:pPr>
        <w:spacing w:line="480" w:lineRule="auto"/>
        <w:rPr>
          <w:rFonts w:ascii="Calibri" w:hAnsi="Calibri"/>
          <w:sz w:val="22"/>
          <w:szCs w:val="22"/>
        </w:rPr>
      </w:pPr>
    </w:p>
    <w:p w:rsidR="00400E42" w:rsidRPr="00E11012" w:rsidRDefault="00400E42" w:rsidP="002D6E20">
      <w:pPr>
        <w:pStyle w:val="PBody"/>
      </w:pPr>
      <w:r w:rsidRPr="00F240EB">
        <w:t>In the linked data, there were 1,</w:t>
      </w:r>
      <w:r w:rsidRPr="00E11012">
        <w:t>206 males and 597 females who died of an opioid-related overdose and had at least one opioid prescription in the PDMP</w:t>
      </w:r>
      <w:r w:rsidR="00301E0D" w:rsidRPr="00E11012">
        <w:t>.  I</w:t>
      </w:r>
      <w:r w:rsidRPr="00E11012">
        <w:t xml:space="preserve">n this group, females were more than three times as likely to have 3 or more prescribers </w:t>
      </w:r>
      <w:r w:rsidR="00E11012" w:rsidRPr="00E11012">
        <w:t xml:space="preserve">of a scheduled drug </w:t>
      </w:r>
      <w:r w:rsidRPr="00E11012">
        <w:t xml:space="preserve">as compared with 1-2 prescribers as males.  They were also almost three times as likely to fill </w:t>
      </w:r>
      <w:r w:rsidR="00E11012" w:rsidRPr="00E11012">
        <w:t>scheduled drug</w:t>
      </w:r>
      <w:r w:rsidRPr="00E11012">
        <w:t xml:space="preserve"> prescriptions at three or more pharmacies as males.  </w:t>
      </w:r>
    </w:p>
    <w:p w:rsidR="00400E42" w:rsidRPr="00F240EB" w:rsidRDefault="00400E42" w:rsidP="002D6E20">
      <w:pPr>
        <w:pStyle w:val="PBody"/>
      </w:pPr>
      <w:r w:rsidRPr="00E11012">
        <w:rPr>
          <w:b/>
        </w:rPr>
        <w:t xml:space="preserve">Limitations:  </w:t>
      </w:r>
      <w:r w:rsidRPr="00E11012">
        <w:t>There are several limitations of these analyses that should be cited.  First, only about three quarters of the opioid related deaths had drug specific toxicology screens available and so it is not possible to comment on the possible drugs present in the remaining population.  Second, as stated previously, the presence of Heroin is derived from the absence of a Morphine prescription in the PDMP database and the presence of a Heroin metabolite in the toxicology screen.  Although very few providers</w:t>
      </w:r>
      <w:r w:rsidRPr="00F240EB">
        <w:t xml:space="preserve"> prescribe Morphine to their patients, it is possible that there are Morphine prescriptions that were not entered into the PDMP database and so these decedents may represent a false negative.  Third, this analysis does not include claims data from the </w:t>
      </w:r>
      <w:r>
        <w:t>Case Mix</w:t>
      </w:r>
      <w:r w:rsidRPr="00F240EB">
        <w:t xml:space="preserve"> Database or </w:t>
      </w:r>
      <w:r>
        <w:t>APCD</w:t>
      </w:r>
      <w:r w:rsidRPr="00F240EB">
        <w:t>.  Integrat</w:t>
      </w:r>
      <w:r>
        <w:t>ing</w:t>
      </w:r>
      <w:r w:rsidRPr="00F240EB">
        <w:t xml:space="preserve"> this information in future analyses can help to identify variables associated with the differences observed between sexes</w:t>
      </w:r>
      <w:r w:rsidR="00B32B5D">
        <w:t xml:space="preserve">.  </w:t>
      </w:r>
    </w:p>
    <w:p w:rsidR="00400E42" w:rsidRPr="006779F0" w:rsidRDefault="00400E42" w:rsidP="00400E42">
      <w:pPr>
        <w:widowControl w:val="0"/>
        <w:autoSpaceDE w:val="0"/>
        <w:autoSpaceDN w:val="0"/>
        <w:adjustRightInd w:val="0"/>
        <w:spacing w:after="120" w:line="276" w:lineRule="auto"/>
        <w:rPr>
          <w:rFonts w:ascii="Calibri" w:hAnsi="Calibri" w:cs="Calibri"/>
          <w:b/>
          <w:sz w:val="22"/>
          <w:szCs w:val="22"/>
        </w:rPr>
      </w:pPr>
      <w:r w:rsidRPr="006779F0">
        <w:rPr>
          <w:rFonts w:ascii="Calibri" w:hAnsi="Calibri" w:cs="Calibri"/>
          <w:b/>
          <w:sz w:val="22"/>
          <w:szCs w:val="22"/>
        </w:rPr>
        <w:t>Implications and recommendations based on Analysis #3:</w:t>
      </w:r>
    </w:p>
    <w:p w:rsidR="00400E42" w:rsidRPr="006779F0" w:rsidRDefault="00400E42" w:rsidP="00400E42">
      <w:pPr>
        <w:pStyle w:val="ListParagraph"/>
        <w:numPr>
          <w:ilvl w:val="0"/>
          <w:numId w:val="28"/>
        </w:numPr>
        <w:spacing w:after="120" w:line="276" w:lineRule="auto"/>
        <w:rPr>
          <w:rFonts w:ascii="Calibri" w:hAnsi="Calibri"/>
          <w:sz w:val="22"/>
          <w:szCs w:val="22"/>
        </w:rPr>
      </w:pPr>
      <w:r w:rsidRPr="006779F0">
        <w:rPr>
          <w:rFonts w:ascii="Calibri" w:hAnsi="Calibri"/>
          <w:sz w:val="22"/>
          <w:szCs w:val="22"/>
        </w:rPr>
        <w:t>Individual providers should take the observed gender differences into consideration when screening, assessing, diagnosing</w:t>
      </w:r>
      <w:r>
        <w:rPr>
          <w:rFonts w:ascii="Calibri" w:hAnsi="Calibri"/>
          <w:sz w:val="22"/>
          <w:szCs w:val="22"/>
        </w:rPr>
        <w:t>,</w:t>
      </w:r>
      <w:r w:rsidRPr="006779F0">
        <w:rPr>
          <w:rFonts w:ascii="Calibri" w:hAnsi="Calibri"/>
          <w:sz w:val="22"/>
          <w:szCs w:val="22"/>
        </w:rPr>
        <w:t xml:space="preserve"> and treating patients.  Providers should utilize the PDMP database to identify any active or past prescriptions for their patients, particularly females, and to provide coordinated care.  </w:t>
      </w:r>
    </w:p>
    <w:p w:rsidR="00400E42" w:rsidRPr="006779F0" w:rsidRDefault="00400E42" w:rsidP="00400E42">
      <w:pPr>
        <w:pStyle w:val="ListParagraph"/>
        <w:numPr>
          <w:ilvl w:val="0"/>
          <w:numId w:val="28"/>
        </w:numPr>
        <w:spacing w:after="120" w:line="276" w:lineRule="auto"/>
        <w:rPr>
          <w:rFonts w:ascii="Calibri" w:hAnsi="Calibri"/>
          <w:sz w:val="22"/>
          <w:szCs w:val="22"/>
        </w:rPr>
      </w:pPr>
      <w:r w:rsidRPr="006779F0">
        <w:rPr>
          <w:rFonts w:ascii="Calibri" w:hAnsi="Calibri"/>
          <w:sz w:val="22"/>
          <w:szCs w:val="22"/>
        </w:rPr>
        <w:lastRenderedPageBreak/>
        <w:t>Addiction Services and Treatment providers must incorporate the observed differences in toxicology screens by gender into the planning, development, and implementation of recovery services.</w:t>
      </w:r>
    </w:p>
    <w:p w:rsidR="00400E42" w:rsidRDefault="00400E42" w:rsidP="00400E42">
      <w:pPr>
        <w:pStyle w:val="ListParagraph"/>
        <w:numPr>
          <w:ilvl w:val="0"/>
          <w:numId w:val="28"/>
        </w:numPr>
        <w:spacing w:after="120" w:line="276" w:lineRule="auto"/>
        <w:rPr>
          <w:rFonts w:cs="Arial"/>
          <w:b/>
          <w:szCs w:val="24"/>
        </w:rPr>
      </w:pPr>
      <w:r w:rsidRPr="006779F0">
        <w:rPr>
          <w:rFonts w:ascii="Calibri" w:hAnsi="Calibri"/>
          <w:sz w:val="22"/>
          <w:szCs w:val="22"/>
        </w:rPr>
        <w:t>Finally, policymakers should consider Addiction Services public service campaigns that integrate the gender-based differences observed into the messaging and advocate for additional in-depth analyses towards better understanding the gender-based differences</w:t>
      </w:r>
      <w:r w:rsidR="00301E0D">
        <w:rPr>
          <w:rFonts w:ascii="Calibri" w:hAnsi="Calibri"/>
          <w:sz w:val="22"/>
          <w:szCs w:val="22"/>
        </w:rPr>
        <w:t xml:space="preserve">.  </w:t>
      </w:r>
      <w:r w:rsidRPr="00D135F5">
        <w:br/>
      </w:r>
      <w:bookmarkStart w:id="16" w:name="_Toc452726666"/>
    </w:p>
    <w:bookmarkEnd w:id="16"/>
    <w:p w:rsidR="00400E42" w:rsidRDefault="00400E42" w:rsidP="007D21BB">
      <w:pPr>
        <w:pStyle w:val="Heading1"/>
        <w:rPr>
          <w:sz w:val="22"/>
        </w:rPr>
      </w:pPr>
      <w:r>
        <w:br w:type="page"/>
      </w:r>
      <w:bookmarkStart w:id="17" w:name="_Toc453664358"/>
      <w:bookmarkStart w:id="18" w:name="_Toc454724770"/>
      <w:r w:rsidRPr="00400E42">
        <w:rPr>
          <w:noProof/>
        </w:rPr>
        <w:lastRenderedPageBreak/>
        <mc:AlternateContent>
          <mc:Choice Requires="wps">
            <w:drawing>
              <wp:anchor distT="91440" distB="91440" distL="114300" distR="114300" simplePos="0" relativeHeight="251675648" behindDoc="1" locked="0" layoutInCell="1" allowOverlap="1" wp14:anchorId="64916327" wp14:editId="3895C82E">
                <wp:simplePos x="0" y="0"/>
                <wp:positionH relativeFrom="margin">
                  <wp:align>center</wp:align>
                </wp:positionH>
                <wp:positionV relativeFrom="paragraph">
                  <wp:posOffset>523240</wp:posOffset>
                </wp:positionV>
                <wp:extent cx="5943600" cy="3230880"/>
                <wp:effectExtent l="0" t="0" r="57150" b="64770"/>
                <wp:wrapSquare wrapText="bothSides"/>
                <wp:docPr id="7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943600" cy="3230880"/>
                        </a:xfrm>
                        <a:prstGeom prst="rect">
                          <a:avLst/>
                        </a:prstGeom>
                        <a:solidFill>
                          <a:srgbClr val="D99594"/>
                        </a:solidFill>
                        <a:ln w="19050">
                          <a:solidFill>
                            <a:srgbClr val="000000"/>
                          </a:solidFill>
                          <a:miter lim="800000"/>
                          <a:headEnd/>
                          <a:tailEnd/>
                        </a:ln>
                        <a:effectLst>
                          <a:outerShdw dist="38100" dir="2700000" algn="tl" rotWithShape="0">
                            <a:srgbClr val="000000">
                              <a:alpha val="39999"/>
                            </a:srgbClr>
                          </a:outerShdw>
                        </a:effectLst>
                      </wps:spPr>
                      <wps:txbx>
                        <w:txbxContent>
                          <w:p w:rsidR="002666A8" w:rsidRDefault="002666A8" w:rsidP="00400E42">
                            <w:pPr>
                              <w:ind w:right="-3"/>
                              <w:jc w:val="center"/>
                              <w:rPr>
                                <w:rFonts w:ascii="Calibri" w:hAnsi="Calibri" w:cs="Arial"/>
                                <w:b/>
                                <w:sz w:val="22"/>
                                <w:szCs w:val="22"/>
                              </w:rPr>
                            </w:pPr>
                            <w:r w:rsidRPr="003747F9">
                              <w:rPr>
                                <w:rFonts w:ascii="Calibri" w:hAnsi="Calibri" w:cs="Arial"/>
                                <w:b/>
                                <w:sz w:val="22"/>
                                <w:szCs w:val="22"/>
                              </w:rPr>
                              <w:t>Analysis #</w:t>
                            </w:r>
                            <w:r>
                              <w:rPr>
                                <w:rFonts w:ascii="Calibri" w:hAnsi="Calibri" w:cs="Arial"/>
                                <w:b/>
                                <w:sz w:val="22"/>
                                <w:szCs w:val="22"/>
                              </w:rPr>
                              <w:t>4</w:t>
                            </w:r>
                            <w:r w:rsidRPr="003747F9">
                              <w:rPr>
                                <w:rFonts w:ascii="Calibri" w:hAnsi="Calibri" w:cs="Arial"/>
                                <w:b/>
                                <w:sz w:val="22"/>
                                <w:szCs w:val="22"/>
                              </w:rPr>
                              <w:t xml:space="preserve"> </w:t>
                            </w:r>
                            <w:r>
                              <w:rPr>
                                <w:rFonts w:ascii="Calibri" w:hAnsi="Calibri" w:cs="Arial"/>
                                <w:b/>
                                <w:sz w:val="22"/>
                                <w:szCs w:val="22"/>
                              </w:rPr>
                              <w:t>–</w:t>
                            </w:r>
                            <w:r w:rsidRPr="003747F9">
                              <w:rPr>
                                <w:rFonts w:ascii="Calibri" w:hAnsi="Calibri" w:cs="Arial"/>
                                <w:b/>
                                <w:sz w:val="22"/>
                                <w:szCs w:val="22"/>
                              </w:rPr>
                              <w:t xml:space="preserve"> </w:t>
                            </w:r>
                            <w:r>
                              <w:rPr>
                                <w:rFonts w:ascii="Calibri" w:hAnsi="Calibri" w:cs="Arial"/>
                                <w:b/>
                                <w:sz w:val="22"/>
                                <w:szCs w:val="22"/>
                              </w:rPr>
                              <w:t>Post Incarceration Risk</w:t>
                            </w:r>
                          </w:p>
                          <w:p w:rsidR="002666A8" w:rsidRPr="00910856" w:rsidRDefault="002666A8" w:rsidP="00400E42">
                            <w:pPr>
                              <w:ind w:right="-3"/>
                              <w:jc w:val="center"/>
                              <w:rPr>
                                <w:rFonts w:ascii="Calibri" w:hAnsi="Calibri" w:cs="Arial"/>
                                <w:b/>
                                <w:sz w:val="22"/>
                                <w:szCs w:val="22"/>
                              </w:rPr>
                            </w:pPr>
                          </w:p>
                          <w:p w:rsidR="002666A8" w:rsidRPr="00D135F5" w:rsidRDefault="002666A8" w:rsidP="00400E42">
                            <w:pPr>
                              <w:pStyle w:val="FreeForm"/>
                              <w:rPr>
                                <w:rFonts w:ascii="Calibri" w:hAnsi="Calibri" w:cs="Arial"/>
                                <w:b/>
                                <w:sz w:val="22"/>
                                <w:szCs w:val="22"/>
                                <w:u w:val="single"/>
                              </w:rPr>
                            </w:pPr>
                            <w:r w:rsidRPr="00D135F5">
                              <w:rPr>
                                <w:rFonts w:ascii="Calibri" w:hAnsi="Calibri" w:cs="Arial"/>
                                <w:b/>
                                <w:sz w:val="22"/>
                                <w:szCs w:val="22"/>
                                <w:u w:val="single"/>
                              </w:rPr>
                              <w:t>Key Findings</w:t>
                            </w:r>
                          </w:p>
                          <w:p w:rsidR="002666A8" w:rsidRDefault="002666A8" w:rsidP="00400E42">
                            <w:pPr>
                              <w:pStyle w:val="FreeForm"/>
                              <w:numPr>
                                <w:ilvl w:val="0"/>
                                <w:numId w:val="19"/>
                              </w:numPr>
                              <w:rPr>
                                <w:rFonts w:ascii="Calibri" w:hAnsi="Calibri" w:cs="Arial"/>
                                <w:sz w:val="22"/>
                                <w:szCs w:val="22"/>
                              </w:rPr>
                            </w:pPr>
                            <w:r w:rsidRPr="00570FB0">
                              <w:rPr>
                                <w:rFonts w:ascii="Calibri" w:hAnsi="Calibri" w:cs="Arial"/>
                                <w:sz w:val="22"/>
                                <w:szCs w:val="22"/>
                              </w:rPr>
                              <w:t>The risk of opioid</w:t>
                            </w:r>
                            <w:r>
                              <w:rPr>
                                <w:rFonts w:ascii="Calibri" w:hAnsi="Calibri" w:cs="Arial"/>
                                <w:sz w:val="22"/>
                                <w:szCs w:val="22"/>
                              </w:rPr>
                              <w:t>-related</w:t>
                            </w:r>
                            <w:r w:rsidRPr="00570FB0">
                              <w:rPr>
                                <w:rFonts w:ascii="Calibri" w:hAnsi="Calibri" w:cs="Arial"/>
                                <w:sz w:val="22"/>
                                <w:szCs w:val="22"/>
                              </w:rPr>
                              <w:t xml:space="preserve"> overdose death following incarceration </w:t>
                            </w:r>
                            <w:r>
                              <w:rPr>
                                <w:rFonts w:ascii="Calibri" w:hAnsi="Calibri" w:cs="Arial"/>
                                <w:sz w:val="22"/>
                                <w:szCs w:val="22"/>
                              </w:rPr>
                              <w:t xml:space="preserve">in Massachusetts </w:t>
                            </w:r>
                            <w:r w:rsidRPr="00570FB0">
                              <w:rPr>
                                <w:rFonts w:ascii="Calibri" w:hAnsi="Calibri" w:cs="Arial"/>
                                <w:sz w:val="22"/>
                                <w:szCs w:val="22"/>
                              </w:rPr>
                              <w:t xml:space="preserve">is </w:t>
                            </w:r>
                            <w:r>
                              <w:rPr>
                                <w:rFonts w:ascii="Calibri" w:hAnsi="Calibri" w:cs="Arial"/>
                                <w:sz w:val="22"/>
                                <w:szCs w:val="22"/>
                              </w:rPr>
                              <w:t>over 50</w:t>
                            </w:r>
                            <w:r w:rsidRPr="00570FB0">
                              <w:rPr>
                                <w:rFonts w:ascii="Calibri" w:hAnsi="Calibri" w:cs="Arial"/>
                                <w:sz w:val="22"/>
                                <w:szCs w:val="22"/>
                              </w:rPr>
                              <w:t xml:space="preserve"> times higher than for the general public.</w:t>
                            </w:r>
                          </w:p>
                          <w:p w:rsidR="002666A8" w:rsidRDefault="002666A8" w:rsidP="00400E42">
                            <w:pPr>
                              <w:pStyle w:val="FreeForm"/>
                              <w:numPr>
                                <w:ilvl w:val="0"/>
                                <w:numId w:val="19"/>
                              </w:numPr>
                              <w:rPr>
                                <w:rFonts w:ascii="Calibri" w:hAnsi="Calibri" w:cs="Arial"/>
                                <w:sz w:val="22"/>
                                <w:szCs w:val="22"/>
                              </w:rPr>
                            </w:pPr>
                            <w:r>
                              <w:rPr>
                                <w:rFonts w:ascii="Calibri" w:hAnsi="Calibri" w:cs="Arial"/>
                                <w:sz w:val="22"/>
                                <w:szCs w:val="22"/>
                              </w:rPr>
                              <w:t>The risk of death is highest in the month following release.</w:t>
                            </w:r>
                          </w:p>
                          <w:p w:rsidR="002666A8" w:rsidRPr="00570FB0" w:rsidRDefault="002666A8" w:rsidP="00400E42">
                            <w:pPr>
                              <w:pStyle w:val="FreeForm"/>
                              <w:numPr>
                                <w:ilvl w:val="0"/>
                                <w:numId w:val="19"/>
                              </w:numPr>
                              <w:rPr>
                                <w:rFonts w:ascii="Calibri" w:hAnsi="Calibri" w:cs="Arial"/>
                                <w:sz w:val="22"/>
                                <w:szCs w:val="22"/>
                              </w:rPr>
                            </w:pPr>
                            <w:r>
                              <w:rPr>
                                <w:rFonts w:ascii="Calibri" w:hAnsi="Calibri" w:cs="Arial"/>
                                <w:sz w:val="22"/>
                                <w:szCs w:val="22"/>
                              </w:rPr>
                              <w:t xml:space="preserve">Among those released from prison, young people aged 18 to 24 have roughly 10 times the risk of death upon release compared to individuals 45 years and older. </w:t>
                            </w:r>
                          </w:p>
                          <w:p w:rsidR="002666A8" w:rsidRPr="00005A3D" w:rsidRDefault="002666A8" w:rsidP="00400E42">
                            <w:pPr>
                              <w:ind w:right="-3"/>
                              <w:jc w:val="center"/>
                              <w:rPr>
                                <w:rFonts w:ascii="Calibri" w:hAnsi="Calibri" w:cs="Arial"/>
                                <w:sz w:val="22"/>
                                <w:szCs w:val="22"/>
                              </w:rPr>
                            </w:pPr>
                          </w:p>
                          <w:p w:rsidR="002666A8" w:rsidRPr="00D135F5" w:rsidRDefault="002666A8" w:rsidP="00400E42">
                            <w:pPr>
                              <w:ind w:right="-3"/>
                              <w:jc w:val="both"/>
                              <w:rPr>
                                <w:rFonts w:ascii="Calibri" w:hAnsi="Calibri" w:cs="Arial"/>
                                <w:b/>
                                <w:sz w:val="22"/>
                                <w:szCs w:val="22"/>
                                <w:u w:val="single"/>
                              </w:rPr>
                            </w:pPr>
                            <w:r w:rsidRPr="00D135F5">
                              <w:rPr>
                                <w:rFonts w:ascii="Calibri" w:hAnsi="Calibri" w:cs="Arial"/>
                                <w:b/>
                                <w:sz w:val="22"/>
                                <w:szCs w:val="22"/>
                                <w:u w:val="single"/>
                              </w:rPr>
                              <w:t>Recommendations</w:t>
                            </w:r>
                          </w:p>
                          <w:p w:rsidR="002666A8" w:rsidRPr="006D5D24" w:rsidRDefault="002666A8" w:rsidP="00741E2C">
                            <w:pPr>
                              <w:pStyle w:val="FreeForm"/>
                              <w:numPr>
                                <w:ilvl w:val="0"/>
                                <w:numId w:val="19"/>
                              </w:numPr>
                              <w:rPr>
                                <w:rFonts w:ascii="Calibri" w:hAnsi="Calibri" w:cs="Arial"/>
                                <w:sz w:val="22"/>
                                <w:szCs w:val="22"/>
                              </w:rPr>
                            </w:pPr>
                            <w:r>
                              <w:rPr>
                                <w:rFonts w:ascii="Calibri" w:hAnsi="Calibri"/>
                                <w:sz w:val="22"/>
                                <w:szCs w:val="22"/>
                              </w:rPr>
                              <w:t>Ensuring the availability of treatment within correctional facilities, and</w:t>
                            </w:r>
                            <w:r w:rsidRPr="004A7BF5">
                              <w:rPr>
                                <w:rFonts w:ascii="Calibri" w:hAnsi="Calibri"/>
                                <w:sz w:val="22"/>
                                <w:szCs w:val="22"/>
                              </w:rPr>
                              <w:t xml:space="preserve"> </w:t>
                            </w:r>
                            <w:r>
                              <w:rPr>
                                <w:rFonts w:ascii="Calibri" w:hAnsi="Calibri"/>
                                <w:sz w:val="22"/>
                                <w:szCs w:val="22"/>
                              </w:rPr>
                              <w:t>improved a</w:t>
                            </w:r>
                            <w:r w:rsidRPr="004A7BF5">
                              <w:rPr>
                                <w:rFonts w:ascii="Calibri" w:hAnsi="Calibri"/>
                                <w:sz w:val="22"/>
                                <w:szCs w:val="22"/>
                              </w:rPr>
                              <w:t xml:space="preserve">ftercare planning for </w:t>
                            </w:r>
                            <w:r>
                              <w:rPr>
                                <w:rFonts w:ascii="Calibri" w:hAnsi="Calibri"/>
                                <w:sz w:val="22"/>
                                <w:szCs w:val="22"/>
                              </w:rPr>
                              <w:t xml:space="preserve">inmates prior to </w:t>
                            </w:r>
                            <w:r w:rsidRPr="004A7BF5">
                              <w:rPr>
                                <w:rFonts w:ascii="Calibri" w:hAnsi="Calibri"/>
                                <w:sz w:val="22"/>
                                <w:szCs w:val="22"/>
                              </w:rPr>
                              <w:t xml:space="preserve">release </w:t>
                            </w:r>
                            <w:r>
                              <w:rPr>
                                <w:rFonts w:ascii="Calibri" w:hAnsi="Calibri"/>
                                <w:sz w:val="22"/>
                                <w:szCs w:val="22"/>
                              </w:rPr>
                              <w:t>has the potential for life-saving</w:t>
                            </w:r>
                            <w:r w:rsidRPr="00DD4AFB">
                              <w:rPr>
                                <w:rFonts w:ascii="Calibri" w:hAnsi="Calibri"/>
                                <w:sz w:val="22"/>
                                <w:szCs w:val="22"/>
                              </w:rPr>
                              <w:t xml:space="preserve"> impact</w:t>
                            </w:r>
                            <w:r>
                              <w:rPr>
                                <w:rFonts w:ascii="Calibri" w:hAnsi="Calibri"/>
                                <w:sz w:val="22"/>
                                <w:szCs w:val="22"/>
                              </w:rPr>
                              <w:t xml:space="preserve"> and should be prioritized.</w:t>
                            </w:r>
                          </w:p>
                          <w:p w:rsidR="002666A8" w:rsidRPr="00C676BA" w:rsidRDefault="002666A8" w:rsidP="00741E2C">
                            <w:pPr>
                              <w:pStyle w:val="FreeForm"/>
                              <w:numPr>
                                <w:ilvl w:val="0"/>
                                <w:numId w:val="19"/>
                              </w:numPr>
                              <w:rPr>
                                <w:rFonts w:ascii="Calibri" w:hAnsi="Calibri" w:cs="Arial"/>
                                <w:sz w:val="22"/>
                                <w:szCs w:val="22"/>
                              </w:rPr>
                            </w:pPr>
                            <w:r w:rsidRPr="00805443">
                              <w:rPr>
                                <w:rFonts w:asciiTheme="minorHAnsi" w:hAnsiTheme="minorHAnsi" w:cs="Arial"/>
                                <w:sz w:val="22"/>
                                <w:szCs w:val="22"/>
                              </w:rPr>
                              <w:t xml:space="preserve">Treatment and overdose prevention services should be expanded in correctional facilities and </w:t>
                            </w:r>
                            <w:r>
                              <w:rPr>
                                <w:rFonts w:asciiTheme="minorHAnsi" w:hAnsiTheme="minorHAnsi" w:cs="Arial"/>
                                <w:sz w:val="22"/>
                                <w:szCs w:val="22"/>
                              </w:rPr>
                              <w:t>should be standardized, evidence-based, and monitored</w:t>
                            </w:r>
                            <w:r w:rsidRPr="00805443">
                              <w:rPr>
                                <w:rFonts w:asciiTheme="minorHAnsi" w:hAnsiTheme="minorHAnsi" w:cs="Arial"/>
                                <w:sz w:val="22"/>
                                <w:szCs w:val="22"/>
                              </w:rPr>
                              <w:t>.</w:t>
                            </w:r>
                          </w:p>
                          <w:p w:rsidR="002666A8" w:rsidRPr="00570FB0" w:rsidRDefault="002666A8" w:rsidP="00741E2C">
                            <w:pPr>
                              <w:pStyle w:val="FreeForm"/>
                              <w:numPr>
                                <w:ilvl w:val="0"/>
                                <w:numId w:val="19"/>
                              </w:numPr>
                              <w:rPr>
                                <w:rFonts w:ascii="Calibri" w:hAnsi="Calibri" w:cs="Arial"/>
                                <w:sz w:val="22"/>
                                <w:szCs w:val="22"/>
                              </w:rPr>
                            </w:pPr>
                            <w:r w:rsidRPr="00DD4AFB">
                              <w:rPr>
                                <w:rFonts w:ascii="Calibri" w:hAnsi="Calibri"/>
                                <w:sz w:val="22"/>
                                <w:szCs w:val="22"/>
                              </w:rPr>
                              <w:t xml:space="preserve">Further research is warranted to identify </w:t>
                            </w:r>
                            <w:r>
                              <w:rPr>
                                <w:rFonts w:ascii="Calibri" w:hAnsi="Calibri"/>
                                <w:sz w:val="22"/>
                                <w:szCs w:val="22"/>
                              </w:rPr>
                              <w:t>other</w:t>
                            </w:r>
                            <w:r w:rsidRPr="00DD4AFB">
                              <w:rPr>
                                <w:rFonts w:ascii="Calibri" w:hAnsi="Calibri"/>
                                <w:sz w:val="22"/>
                                <w:szCs w:val="22"/>
                              </w:rPr>
                              <w:t xml:space="preserve"> specific risk factors associated with </w:t>
                            </w:r>
                            <w:r>
                              <w:rPr>
                                <w:rFonts w:ascii="Calibri" w:hAnsi="Calibri"/>
                                <w:sz w:val="22"/>
                                <w:szCs w:val="22"/>
                              </w:rPr>
                              <w:t>the</w:t>
                            </w:r>
                            <w:r w:rsidRPr="00DD4AFB">
                              <w:rPr>
                                <w:rFonts w:ascii="Calibri" w:hAnsi="Calibri"/>
                                <w:sz w:val="22"/>
                                <w:szCs w:val="22"/>
                              </w:rPr>
                              <w:t xml:space="preserve"> increased risk</w:t>
                            </w:r>
                            <w:r>
                              <w:rPr>
                                <w:rFonts w:ascii="Calibri" w:hAnsi="Calibri"/>
                                <w:sz w:val="22"/>
                                <w:szCs w:val="22"/>
                              </w:rPr>
                              <w:t xml:space="preserve"> for those released from incarceration.</w:t>
                            </w:r>
                          </w:p>
                          <w:p w:rsidR="002666A8" w:rsidRPr="00005A3D" w:rsidRDefault="002666A8" w:rsidP="00400E42">
                            <w:pPr>
                              <w:ind w:right="-3"/>
                              <w:jc w:val="center"/>
                              <w:rPr>
                                <w:rFonts w:ascii="Calibri" w:hAnsi="Calibri" w:cs="Arial"/>
                                <w:sz w:val="22"/>
                                <w:szCs w:val="22"/>
                              </w:rPr>
                            </w:pPr>
                          </w:p>
                          <w:p w:rsidR="002666A8" w:rsidRPr="00005A3D" w:rsidRDefault="002666A8" w:rsidP="00400E42">
                            <w:pPr>
                              <w:ind w:right="-3"/>
                              <w:jc w:val="both"/>
                              <w:rPr>
                                <w:rFonts w:ascii="Calibri" w:hAnsi="Calibri" w:cs="Arial"/>
                                <w:sz w:val="22"/>
                                <w:szCs w:val="22"/>
                              </w:rPr>
                            </w:pPr>
                          </w:p>
                          <w:p w:rsidR="002666A8" w:rsidRPr="00005A3D" w:rsidRDefault="002666A8" w:rsidP="00400E42">
                            <w:pPr>
                              <w:ind w:right="-3"/>
                              <w:jc w:val="both"/>
                              <w:rPr>
                                <w:rFonts w:ascii="Calibri" w:hAnsi="Calibri" w:cs="Arial"/>
                                <w:sz w:val="22"/>
                                <w:szCs w:val="22"/>
                              </w:rPr>
                            </w:pPr>
                          </w:p>
                          <w:p w:rsidR="002666A8" w:rsidRPr="00005A3D" w:rsidRDefault="002666A8" w:rsidP="00400E42">
                            <w:pPr>
                              <w:ind w:right="-3"/>
                              <w:jc w:val="both"/>
                              <w:rPr>
                                <w:rFonts w:ascii="Calibri" w:hAnsi="Calibri" w:cs="Arial"/>
                                <w:sz w:val="22"/>
                                <w:szCs w:val="22"/>
                              </w:rPr>
                            </w:pPr>
                          </w:p>
                          <w:p w:rsidR="002666A8" w:rsidRPr="00005A3D" w:rsidRDefault="002666A8" w:rsidP="00400E42">
                            <w:pPr>
                              <w:ind w:left="-180" w:right="-120"/>
                              <w:jc w:val="right"/>
                              <w:rPr>
                                <w:rFonts w:ascii="Calibri" w:hAnsi="Calibri"/>
                                <w:i/>
                                <w:color w:val="000000"/>
                                <w:sz w:val="22"/>
                                <w:szCs w:val="22"/>
                              </w:rPr>
                            </w:pPr>
                            <w:r w:rsidRPr="00005A3D">
                              <w:rPr>
                                <w:rFonts w:ascii="Calibri" w:hAnsi="Calibri"/>
                                <w:i/>
                                <w:color w:val="000000"/>
                                <w:sz w:val="22"/>
                                <w:szCs w:val="22"/>
                              </w:rPr>
                              <w:t xml:space="preserve"> </w:t>
                            </w:r>
                          </w:p>
                        </w:txbxContent>
                      </wps:txbx>
                      <wps:bodyPr rot="0" vert="horz" wrap="square" lIns="182880" tIns="137160" rIns="182880" bIns="13716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margin-left:0;margin-top:41.2pt;width:468pt;height:254.4pt;flip:x;z-index:-251640832;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" fillcolor="#d99594" strokeweight="1.5pt">
                <v:shadow on="t" color="black" opacity="26213f" origin="-.5,-.5" offset=".74836mm,.74836mm"/>
                <v:textbox inset="14.4pt,10.8pt,14.4pt,10.8pt">
                  <w:txbxContent>
                    <w:p w:rsidR="002666A8" w:rsidRDefault="002666A8" w:rsidP="00400E42">
                      <w:pPr>
                        <w:ind w:right="-3"/>
                        <w:jc w:val="center"/>
                        <w:rPr>
                          <w:rFonts w:ascii="Calibri" w:hAnsi="Calibri" w:cs="Arial"/>
                          <w:b/>
                          <w:sz w:val="22"/>
                          <w:szCs w:val="22"/>
                        </w:rPr>
                      </w:pPr>
                      <w:r w:rsidRPr="003747F9">
                        <w:rPr>
                          <w:rFonts w:ascii="Calibri" w:hAnsi="Calibri" w:cs="Arial"/>
                          <w:b/>
                          <w:sz w:val="22"/>
                          <w:szCs w:val="22"/>
                        </w:rPr>
                        <w:t>Analysis #</w:t>
                      </w:r>
                      <w:r>
                        <w:rPr>
                          <w:rFonts w:ascii="Calibri" w:hAnsi="Calibri" w:cs="Arial"/>
                          <w:b/>
                          <w:sz w:val="22"/>
                          <w:szCs w:val="22"/>
                        </w:rPr>
                        <w:t>4</w:t>
                      </w:r>
                      <w:r w:rsidRPr="003747F9">
                        <w:rPr>
                          <w:rFonts w:ascii="Calibri" w:hAnsi="Calibri" w:cs="Arial"/>
                          <w:b/>
                          <w:sz w:val="22"/>
                          <w:szCs w:val="22"/>
                        </w:rPr>
                        <w:t xml:space="preserve"> </w:t>
                      </w:r>
                      <w:r>
                        <w:rPr>
                          <w:rFonts w:ascii="Calibri" w:hAnsi="Calibri" w:cs="Arial"/>
                          <w:b/>
                          <w:sz w:val="22"/>
                          <w:szCs w:val="22"/>
                        </w:rPr>
                        <w:t>–</w:t>
                      </w:r>
                      <w:r w:rsidRPr="003747F9">
                        <w:rPr>
                          <w:rFonts w:ascii="Calibri" w:hAnsi="Calibri" w:cs="Arial"/>
                          <w:b/>
                          <w:sz w:val="22"/>
                          <w:szCs w:val="22"/>
                        </w:rPr>
                        <w:t xml:space="preserve"> </w:t>
                      </w:r>
                      <w:r>
                        <w:rPr>
                          <w:rFonts w:ascii="Calibri" w:hAnsi="Calibri" w:cs="Arial"/>
                          <w:b/>
                          <w:sz w:val="22"/>
                          <w:szCs w:val="22"/>
                        </w:rPr>
                        <w:t>Post Incarceration Risk</w:t>
                      </w:r>
                    </w:p>
                    <w:p w:rsidR="002666A8" w:rsidRPr="00910856" w:rsidRDefault="002666A8" w:rsidP="00400E42">
                      <w:pPr>
                        <w:ind w:right="-3"/>
                        <w:jc w:val="center"/>
                        <w:rPr>
                          <w:rFonts w:ascii="Calibri" w:hAnsi="Calibri" w:cs="Arial"/>
                          <w:b/>
                          <w:sz w:val="22"/>
                          <w:szCs w:val="22"/>
                        </w:rPr>
                      </w:pPr>
                    </w:p>
                    <w:p w:rsidR="002666A8" w:rsidRPr="00D135F5" w:rsidRDefault="002666A8" w:rsidP="00400E42">
                      <w:pPr>
                        <w:pStyle w:val="FreeForm"/>
                        <w:rPr>
                          <w:rFonts w:ascii="Calibri" w:hAnsi="Calibri" w:cs="Arial"/>
                          <w:b/>
                          <w:sz w:val="22"/>
                          <w:szCs w:val="22"/>
                          <w:u w:val="single"/>
                        </w:rPr>
                      </w:pPr>
                      <w:r w:rsidRPr="00D135F5">
                        <w:rPr>
                          <w:rFonts w:ascii="Calibri" w:hAnsi="Calibri" w:cs="Arial"/>
                          <w:b/>
                          <w:sz w:val="22"/>
                          <w:szCs w:val="22"/>
                          <w:u w:val="single"/>
                        </w:rPr>
                        <w:t>Key Findings</w:t>
                      </w:r>
                    </w:p>
                    <w:p w:rsidR="002666A8" w:rsidRDefault="002666A8" w:rsidP="00400E42">
                      <w:pPr>
                        <w:pStyle w:val="FreeForm"/>
                        <w:numPr>
                          <w:ilvl w:val="0"/>
                          <w:numId w:val="19"/>
                        </w:numPr>
                        <w:rPr>
                          <w:rFonts w:ascii="Calibri" w:hAnsi="Calibri" w:cs="Arial"/>
                          <w:sz w:val="22"/>
                          <w:szCs w:val="22"/>
                        </w:rPr>
                      </w:pPr>
                      <w:r w:rsidRPr="00570FB0">
                        <w:rPr>
                          <w:rFonts w:ascii="Calibri" w:hAnsi="Calibri" w:cs="Arial"/>
                          <w:sz w:val="22"/>
                          <w:szCs w:val="22"/>
                        </w:rPr>
                        <w:t>The risk of opioid</w:t>
                      </w:r>
                      <w:r>
                        <w:rPr>
                          <w:rFonts w:ascii="Calibri" w:hAnsi="Calibri" w:cs="Arial"/>
                          <w:sz w:val="22"/>
                          <w:szCs w:val="22"/>
                        </w:rPr>
                        <w:t>-related</w:t>
                      </w:r>
                      <w:r w:rsidRPr="00570FB0">
                        <w:rPr>
                          <w:rFonts w:ascii="Calibri" w:hAnsi="Calibri" w:cs="Arial"/>
                          <w:sz w:val="22"/>
                          <w:szCs w:val="22"/>
                        </w:rPr>
                        <w:t xml:space="preserve"> overdose death following incarceration </w:t>
                      </w:r>
                      <w:r>
                        <w:rPr>
                          <w:rFonts w:ascii="Calibri" w:hAnsi="Calibri" w:cs="Arial"/>
                          <w:sz w:val="22"/>
                          <w:szCs w:val="22"/>
                        </w:rPr>
                        <w:t xml:space="preserve">in Massachusetts </w:t>
                      </w:r>
                      <w:r w:rsidRPr="00570FB0">
                        <w:rPr>
                          <w:rFonts w:ascii="Calibri" w:hAnsi="Calibri" w:cs="Arial"/>
                          <w:sz w:val="22"/>
                          <w:szCs w:val="22"/>
                        </w:rPr>
                        <w:t xml:space="preserve">is </w:t>
                      </w:r>
                      <w:r>
                        <w:rPr>
                          <w:rFonts w:ascii="Calibri" w:hAnsi="Calibri" w:cs="Arial"/>
                          <w:sz w:val="22"/>
                          <w:szCs w:val="22"/>
                        </w:rPr>
                        <w:t>over 50</w:t>
                      </w:r>
                      <w:r w:rsidRPr="00570FB0">
                        <w:rPr>
                          <w:rFonts w:ascii="Calibri" w:hAnsi="Calibri" w:cs="Arial"/>
                          <w:sz w:val="22"/>
                          <w:szCs w:val="22"/>
                        </w:rPr>
                        <w:t xml:space="preserve"> times higher than for the general public.</w:t>
                      </w:r>
                    </w:p>
                    <w:p w:rsidR="002666A8" w:rsidRDefault="002666A8" w:rsidP="00400E42">
                      <w:pPr>
                        <w:pStyle w:val="FreeForm"/>
                        <w:numPr>
                          <w:ilvl w:val="0"/>
                          <w:numId w:val="19"/>
                        </w:numPr>
                        <w:rPr>
                          <w:rFonts w:ascii="Calibri" w:hAnsi="Calibri" w:cs="Arial"/>
                          <w:sz w:val="22"/>
                          <w:szCs w:val="22"/>
                        </w:rPr>
                      </w:pPr>
                      <w:r>
                        <w:rPr>
                          <w:rFonts w:ascii="Calibri" w:hAnsi="Calibri" w:cs="Arial"/>
                          <w:sz w:val="22"/>
                          <w:szCs w:val="22"/>
                        </w:rPr>
                        <w:t>The risk of death is highest in the month following release.</w:t>
                      </w:r>
                    </w:p>
                    <w:p w:rsidR="002666A8" w:rsidRPr="00570FB0" w:rsidRDefault="002666A8" w:rsidP="00400E42">
                      <w:pPr>
                        <w:pStyle w:val="FreeForm"/>
                        <w:numPr>
                          <w:ilvl w:val="0"/>
                          <w:numId w:val="19"/>
                        </w:numPr>
                        <w:rPr>
                          <w:rFonts w:ascii="Calibri" w:hAnsi="Calibri" w:cs="Arial"/>
                          <w:sz w:val="22"/>
                          <w:szCs w:val="22"/>
                        </w:rPr>
                      </w:pPr>
                      <w:r>
                        <w:rPr>
                          <w:rFonts w:ascii="Calibri" w:hAnsi="Calibri" w:cs="Arial"/>
                          <w:sz w:val="22"/>
                          <w:szCs w:val="22"/>
                        </w:rPr>
                        <w:t xml:space="preserve">Among those released from prison, young people aged 18 to 24 have roughly 10 times the risk of death upon release compared to individuals 45 years and older. </w:t>
                      </w:r>
                    </w:p>
                    <w:p w:rsidR="002666A8" w:rsidRPr="00005A3D" w:rsidRDefault="002666A8" w:rsidP="00400E42">
                      <w:pPr>
                        <w:ind w:right="-3"/>
                        <w:jc w:val="center"/>
                        <w:rPr>
                          <w:rFonts w:ascii="Calibri" w:hAnsi="Calibri" w:cs="Arial"/>
                          <w:sz w:val="22"/>
                          <w:szCs w:val="22"/>
                        </w:rPr>
                      </w:pPr>
                    </w:p>
                    <w:p w:rsidR="002666A8" w:rsidRPr="00D135F5" w:rsidRDefault="002666A8" w:rsidP="00400E42">
                      <w:pPr>
                        <w:ind w:right="-3"/>
                        <w:jc w:val="both"/>
                        <w:rPr>
                          <w:rFonts w:ascii="Calibri" w:hAnsi="Calibri" w:cs="Arial"/>
                          <w:b/>
                          <w:sz w:val="22"/>
                          <w:szCs w:val="22"/>
                          <w:u w:val="single"/>
                        </w:rPr>
                      </w:pPr>
                      <w:r w:rsidRPr="00D135F5">
                        <w:rPr>
                          <w:rFonts w:ascii="Calibri" w:hAnsi="Calibri" w:cs="Arial"/>
                          <w:b/>
                          <w:sz w:val="22"/>
                          <w:szCs w:val="22"/>
                          <w:u w:val="single"/>
                        </w:rPr>
                        <w:t>Recommendations</w:t>
                      </w:r>
                    </w:p>
                    <w:p w:rsidR="002666A8" w:rsidRPr="006D5D24" w:rsidRDefault="002666A8" w:rsidP="00741E2C">
                      <w:pPr>
                        <w:pStyle w:val="FreeForm"/>
                        <w:numPr>
                          <w:ilvl w:val="0"/>
                          <w:numId w:val="19"/>
                        </w:numPr>
                        <w:rPr>
                          <w:rFonts w:ascii="Calibri" w:hAnsi="Calibri" w:cs="Arial"/>
                          <w:sz w:val="22"/>
                          <w:szCs w:val="22"/>
                        </w:rPr>
                      </w:pPr>
                      <w:r>
                        <w:rPr>
                          <w:rFonts w:ascii="Calibri" w:hAnsi="Calibri"/>
                          <w:sz w:val="22"/>
                          <w:szCs w:val="22"/>
                        </w:rPr>
                        <w:t>Ensuring the availability of treatment within correctional facilities, and</w:t>
                      </w:r>
                      <w:r w:rsidRPr="004A7BF5">
                        <w:rPr>
                          <w:rFonts w:ascii="Calibri" w:hAnsi="Calibri"/>
                          <w:sz w:val="22"/>
                          <w:szCs w:val="22"/>
                        </w:rPr>
                        <w:t xml:space="preserve"> </w:t>
                      </w:r>
                      <w:r>
                        <w:rPr>
                          <w:rFonts w:ascii="Calibri" w:hAnsi="Calibri"/>
                          <w:sz w:val="22"/>
                          <w:szCs w:val="22"/>
                        </w:rPr>
                        <w:t>improved a</w:t>
                      </w:r>
                      <w:r w:rsidRPr="004A7BF5">
                        <w:rPr>
                          <w:rFonts w:ascii="Calibri" w:hAnsi="Calibri"/>
                          <w:sz w:val="22"/>
                          <w:szCs w:val="22"/>
                        </w:rPr>
                        <w:t xml:space="preserve">ftercare planning for </w:t>
                      </w:r>
                      <w:r>
                        <w:rPr>
                          <w:rFonts w:ascii="Calibri" w:hAnsi="Calibri"/>
                          <w:sz w:val="22"/>
                          <w:szCs w:val="22"/>
                        </w:rPr>
                        <w:t xml:space="preserve">inmates prior to </w:t>
                      </w:r>
                      <w:r w:rsidRPr="004A7BF5">
                        <w:rPr>
                          <w:rFonts w:ascii="Calibri" w:hAnsi="Calibri"/>
                          <w:sz w:val="22"/>
                          <w:szCs w:val="22"/>
                        </w:rPr>
                        <w:t xml:space="preserve">release </w:t>
                      </w:r>
                      <w:r>
                        <w:rPr>
                          <w:rFonts w:ascii="Calibri" w:hAnsi="Calibri"/>
                          <w:sz w:val="22"/>
                          <w:szCs w:val="22"/>
                        </w:rPr>
                        <w:t>has the potential for life-saving</w:t>
                      </w:r>
                      <w:r w:rsidRPr="00DD4AFB">
                        <w:rPr>
                          <w:rFonts w:ascii="Calibri" w:hAnsi="Calibri"/>
                          <w:sz w:val="22"/>
                          <w:szCs w:val="22"/>
                        </w:rPr>
                        <w:t xml:space="preserve"> impact</w:t>
                      </w:r>
                      <w:r>
                        <w:rPr>
                          <w:rFonts w:ascii="Calibri" w:hAnsi="Calibri"/>
                          <w:sz w:val="22"/>
                          <w:szCs w:val="22"/>
                        </w:rPr>
                        <w:t xml:space="preserve"> and should be prioritized.</w:t>
                      </w:r>
                    </w:p>
                    <w:p w:rsidR="002666A8" w:rsidRPr="00C676BA" w:rsidRDefault="002666A8" w:rsidP="00741E2C">
                      <w:pPr>
                        <w:pStyle w:val="FreeForm"/>
                        <w:numPr>
                          <w:ilvl w:val="0"/>
                          <w:numId w:val="19"/>
                        </w:numPr>
                        <w:rPr>
                          <w:rFonts w:ascii="Calibri" w:hAnsi="Calibri" w:cs="Arial"/>
                          <w:sz w:val="22"/>
                          <w:szCs w:val="22"/>
                        </w:rPr>
                      </w:pPr>
                      <w:r w:rsidRPr="00805443">
                        <w:rPr>
                          <w:rFonts w:asciiTheme="minorHAnsi" w:hAnsiTheme="minorHAnsi" w:cs="Arial"/>
                          <w:sz w:val="22"/>
                          <w:szCs w:val="22"/>
                        </w:rPr>
                        <w:t xml:space="preserve">Treatment and overdose prevention services should be expanded in correctional facilities and </w:t>
                      </w:r>
                      <w:r>
                        <w:rPr>
                          <w:rFonts w:asciiTheme="minorHAnsi" w:hAnsiTheme="minorHAnsi" w:cs="Arial"/>
                          <w:sz w:val="22"/>
                          <w:szCs w:val="22"/>
                        </w:rPr>
                        <w:t>should be standardized, evidence-based, and monitored</w:t>
                      </w:r>
                      <w:r w:rsidRPr="00805443">
                        <w:rPr>
                          <w:rFonts w:asciiTheme="minorHAnsi" w:hAnsiTheme="minorHAnsi" w:cs="Arial"/>
                          <w:sz w:val="22"/>
                          <w:szCs w:val="22"/>
                        </w:rPr>
                        <w:t>.</w:t>
                      </w:r>
                    </w:p>
                    <w:p w:rsidR="002666A8" w:rsidRPr="00570FB0" w:rsidRDefault="002666A8" w:rsidP="00741E2C">
                      <w:pPr>
                        <w:pStyle w:val="FreeForm"/>
                        <w:numPr>
                          <w:ilvl w:val="0"/>
                          <w:numId w:val="19"/>
                        </w:numPr>
                        <w:rPr>
                          <w:rFonts w:ascii="Calibri" w:hAnsi="Calibri" w:cs="Arial"/>
                          <w:sz w:val="22"/>
                          <w:szCs w:val="22"/>
                        </w:rPr>
                      </w:pPr>
                      <w:r w:rsidRPr="00DD4AFB">
                        <w:rPr>
                          <w:rFonts w:ascii="Calibri" w:hAnsi="Calibri"/>
                          <w:sz w:val="22"/>
                          <w:szCs w:val="22"/>
                        </w:rPr>
                        <w:t xml:space="preserve">Further research is warranted to identify </w:t>
                      </w:r>
                      <w:r>
                        <w:rPr>
                          <w:rFonts w:ascii="Calibri" w:hAnsi="Calibri"/>
                          <w:sz w:val="22"/>
                          <w:szCs w:val="22"/>
                        </w:rPr>
                        <w:t>other</w:t>
                      </w:r>
                      <w:r w:rsidRPr="00DD4AFB">
                        <w:rPr>
                          <w:rFonts w:ascii="Calibri" w:hAnsi="Calibri"/>
                          <w:sz w:val="22"/>
                          <w:szCs w:val="22"/>
                        </w:rPr>
                        <w:t xml:space="preserve"> specific risk factors associated with </w:t>
                      </w:r>
                      <w:r>
                        <w:rPr>
                          <w:rFonts w:ascii="Calibri" w:hAnsi="Calibri"/>
                          <w:sz w:val="22"/>
                          <w:szCs w:val="22"/>
                        </w:rPr>
                        <w:t>the</w:t>
                      </w:r>
                      <w:r w:rsidRPr="00DD4AFB">
                        <w:rPr>
                          <w:rFonts w:ascii="Calibri" w:hAnsi="Calibri"/>
                          <w:sz w:val="22"/>
                          <w:szCs w:val="22"/>
                        </w:rPr>
                        <w:t xml:space="preserve"> increased risk</w:t>
                      </w:r>
                      <w:r>
                        <w:rPr>
                          <w:rFonts w:ascii="Calibri" w:hAnsi="Calibri"/>
                          <w:sz w:val="22"/>
                          <w:szCs w:val="22"/>
                        </w:rPr>
                        <w:t xml:space="preserve"> for those released from incarceration.</w:t>
                      </w:r>
                    </w:p>
                    <w:p w:rsidR="002666A8" w:rsidRPr="00005A3D" w:rsidRDefault="002666A8" w:rsidP="00400E42">
                      <w:pPr>
                        <w:ind w:right="-3"/>
                        <w:jc w:val="center"/>
                        <w:rPr>
                          <w:rFonts w:ascii="Calibri" w:hAnsi="Calibri" w:cs="Arial"/>
                          <w:sz w:val="22"/>
                          <w:szCs w:val="22"/>
                        </w:rPr>
                      </w:pPr>
                    </w:p>
                    <w:p w:rsidR="002666A8" w:rsidRPr="00005A3D" w:rsidRDefault="002666A8" w:rsidP="00400E42">
                      <w:pPr>
                        <w:ind w:right="-3"/>
                        <w:jc w:val="both"/>
                        <w:rPr>
                          <w:rFonts w:ascii="Calibri" w:hAnsi="Calibri" w:cs="Arial"/>
                          <w:sz w:val="22"/>
                          <w:szCs w:val="22"/>
                        </w:rPr>
                      </w:pPr>
                    </w:p>
                    <w:p w:rsidR="002666A8" w:rsidRPr="00005A3D" w:rsidRDefault="002666A8" w:rsidP="00400E42">
                      <w:pPr>
                        <w:ind w:right="-3"/>
                        <w:jc w:val="both"/>
                        <w:rPr>
                          <w:rFonts w:ascii="Calibri" w:hAnsi="Calibri" w:cs="Arial"/>
                          <w:sz w:val="22"/>
                          <w:szCs w:val="22"/>
                        </w:rPr>
                      </w:pPr>
                    </w:p>
                    <w:p w:rsidR="002666A8" w:rsidRPr="00005A3D" w:rsidRDefault="002666A8" w:rsidP="00400E42">
                      <w:pPr>
                        <w:ind w:right="-3"/>
                        <w:jc w:val="both"/>
                        <w:rPr>
                          <w:rFonts w:ascii="Calibri" w:hAnsi="Calibri" w:cs="Arial"/>
                          <w:sz w:val="22"/>
                          <w:szCs w:val="22"/>
                        </w:rPr>
                      </w:pPr>
                    </w:p>
                    <w:p w:rsidR="002666A8" w:rsidRPr="00005A3D" w:rsidRDefault="002666A8" w:rsidP="00400E42">
                      <w:pPr>
                        <w:ind w:left="-180" w:right="-120"/>
                        <w:jc w:val="right"/>
                        <w:rPr>
                          <w:rFonts w:ascii="Calibri" w:hAnsi="Calibri"/>
                          <w:i/>
                          <w:color w:val="000000"/>
                          <w:sz w:val="22"/>
                          <w:szCs w:val="22"/>
                        </w:rPr>
                      </w:pPr>
                      <w:r w:rsidRPr="00005A3D">
                        <w:rPr>
                          <w:rFonts w:ascii="Calibri" w:hAnsi="Calibri"/>
                          <w:i/>
                          <w:color w:val="000000"/>
                          <w:sz w:val="22"/>
                          <w:szCs w:val="22"/>
                        </w:rPr>
                        <w:t xml:space="preserve"> </w:t>
                      </w:r>
                    </w:p>
                  </w:txbxContent>
                </v:textbox>
                <w10:wrap type="square" anchorx="margin"/>
              </v:rect>
            </w:pict>
          </mc:Fallback>
        </mc:AlternateContent>
      </w:r>
      <w:r w:rsidRPr="00400E42">
        <w:t>Analysis #4 (Post Incarceration Risk): Key Findings and Recommendations</w:t>
      </w:r>
      <w:bookmarkEnd w:id="17"/>
      <w:bookmarkEnd w:id="18"/>
    </w:p>
    <w:p w:rsidR="006D5D24" w:rsidRDefault="006D5D24" w:rsidP="002D6E20">
      <w:pPr>
        <w:pStyle w:val="PBody"/>
      </w:pPr>
    </w:p>
    <w:p w:rsidR="00400E42" w:rsidRPr="00A2031E" w:rsidRDefault="00400E42" w:rsidP="002D6E20">
      <w:pPr>
        <w:pStyle w:val="PBody"/>
      </w:pPr>
      <w:r w:rsidRPr="00400E42">
        <w:rPr>
          <w:b/>
        </w:rPr>
        <w:t>Basic Methods:</w:t>
      </w:r>
      <w:r w:rsidRPr="00A2031E">
        <w:t xml:space="preserve"> Previous studies in the United States as well as in other countries have identified a markedly increased risk of death in former inmates, compared with the general population, particularly in the first month following release</w:t>
      </w:r>
      <w:r w:rsidRPr="005E2F2A">
        <w:rPr>
          <w:rStyle w:val="FootnoteReference"/>
        </w:rPr>
        <w:footnoteReference w:id="37"/>
      </w:r>
      <w:r w:rsidRPr="00A2031E">
        <w:rPr>
          <w:vertAlign w:val="superscript"/>
        </w:rPr>
        <w:t>,</w:t>
      </w:r>
      <w:r w:rsidRPr="005E2F2A">
        <w:rPr>
          <w:rStyle w:val="FootnoteReference"/>
        </w:rPr>
        <w:footnoteReference w:id="38"/>
      </w:r>
      <w:r w:rsidR="00301E0D">
        <w:t>.  T</w:t>
      </w:r>
      <w:r w:rsidRPr="00A2031E">
        <w:t xml:space="preserve">his excess </w:t>
      </w:r>
      <w:r w:rsidRPr="006779F0">
        <w:t>mortality is predominantly due to an increased risk of injury death, often due to drug-related causes</w:t>
      </w:r>
      <w:r w:rsidRPr="005E2F2A">
        <w:rPr>
          <w:rStyle w:val="FootnoteReference"/>
        </w:rPr>
        <w:footnoteReference w:id="39"/>
      </w:r>
      <w:r w:rsidRPr="006779F0">
        <w:t>.  In order to calculate Crude Mortality Rates (CMR), person-years were calculated to account for the amount of time at risk for death for former inmates</w:t>
      </w:r>
      <w:r w:rsidR="00301E0D">
        <w:t>.  P</w:t>
      </w:r>
      <w:r w:rsidRPr="006779F0">
        <w:t xml:space="preserve">erson-years were defined as the total number of days in the study period during which former inmates were not incarcerated during 2013-2014, including days between each release and the subsequent incarceration, the end of the study period, or death.  </w:t>
      </w:r>
      <w:r w:rsidRPr="006779F0">
        <w:rPr>
          <w:color w:val="000000"/>
        </w:rPr>
        <w:t xml:space="preserve">For the rest of the Massachusetts population, the Massachusetts population counts from the </w:t>
      </w:r>
      <w:r w:rsidRPr="006779F0">
        <w:t>2013-2014 Modified Age, Race/Ethnicity, and Sex files (MARS) were used, which are a bridged population file produced by the National Center for Health Statistics (NCHS) and the Census Bureau Population Estimates Program and subtracted the total person-years of formerly incarcerated people</w:t>
      </w:r>
      <w:r w:rsidR="00301E0D">
        <w:t>.  I</w:t>
      </w:r>
      <w:r w:rsidRPr="006779F0">
        <w:t>n addition, mortality rates were calculated by dividing the number of deaths by the number of person-years</w:t>
      </w:r>
      <w:r w:rsidR="00301E0D">
        <w:t>.  T</w:t>
      </w:r>
      <w:r w:rsidRPr="006779F0">
        <w:t xml:space="preserve">o calculate the number of deaths among non-incarcerated </w:t>
      </w:r>
      <w:r>
        <w:t xml:space="preserve">Massachusetts </w:t>
      </w:r>
      <w:r w:rsidRPr="006779F0">
        <w:t xml:space="preserve">residents, the total number of deaths among formerly </w:t>
      </w:r>
      <w:r w:rsidRPr="006779F0">
        <w:lastRenderedPageBreak/>
        <w:t xml:space="preserve">incarcerated people was subtracted from the total number of deaths among </w:t>
      </w:r>
      <w:r>
        <w:t xml:space="preserve">Massachusetts </w:t>
      </w:r>
      <w:r w:rsidRPr="006779F0">
        <w:t>residents within each age category</w:t>
      </w:r>
      <w:r>
        <w:rPr>
          <w:b/>
        </w:rPr>
        <w:t xml:space="preserve"> for persons aged 18 to 64 years</w:t>
      </w:r>
      <w:r w:rsidR="00301E0D">
        <w:t>.  F</w:t>
      </w:r>
      <w:r w:rsidRPr="006779F0">
        <w:t>inally, a multivariate analysis to examine risk factors associated with overall mortality and opioid-related mortality was conducted.</w:t>
      </w:r>
    </w:p>
    <w:p w:rsidR="00400E42" w:rsidRDefault="00400E42" w:rsidP="002D6E20">
      <w:pPr>
        <w:pStyle w:val="PBody"/>
      </w:pPr>
      <w:r w:rsidRPr="001C26F5">
        <w:rPr>
          <w:b/>
        </w:rPr>
        <w:t>Summary of Findings:</w:t>
      </w:r>
      <w:r w:rsidRPr="001C26F5">
        <w:t xml:space="preserve"> </w:t>
      </w:r>
      <w:r>
        <w:t>13,918</w:t>
      </w:r>
      <w:r w:rsidRPr="001C26F5">
        <w:t xml:space="preserve"> former inmates released between 2013 and 2014</w:t>
      </w:r>
      <w:r>
        <w:t xml:space="preserve"> were identified.  These individuals </w:t>
      </w:r>
      <w:r w:rsidRPr="001C26F5">
        <w:rPr>
          <w:color w:val="000000"/>
        </w:rPr>
        <w:t xml:space="preserve">spent </w:t>
      </w:r>
      <w:r>
        <w:rPr>
          <w:color w:val="000000"/>
        </w:rPr>
        <w:t>5,707</w:t>
      </w:r>
      <w:r w:rsidRPr="001C26F5">
        <w:rPr>
          <w:color w:val="000000"/>
        </w:rPr>
        <w:t xml:space="preserve"> person-y</w:t>
      </w:r>
      <w:r w:rsidRPr="00545C0F">
        <w:rPr>
          <w:color w:val="000000"/>
        </w:rPr>
        <w:t xml:space="preserve">ears in the community after release, </w:t>
      </w:r>
      <w:r w:rsidRPr="00545C0F">
        <w:t xml:space="preserve">287 died from all causes, and 121 consequently died from an opioid-related overdose during the study period. </w:t>
      </w:r>
      <w:r>
        <w:t xml:space="preserve"> </w:t>
      </w:r>
      <w:r w:rsidRPr="00545C0F">
        <w:rPr>
          <w:color w:val="000000"/>
        </w:rPr>
        <w:t>Rate of opioid-related overdose was approxim</w:t>
      </w:r>
      <w:r w:rsidRPr="001C26F5">
        <w:rPr>
          <w:color w:val="000000"/>
        </w:rPr>
        <w:t xml:space="preserve">ately </w:t>
      </w:r>
      <w:r>
        <w:rPr>
          <w:color w:val="000000"/>
        </w:rPr>
        <w:t>50</w:t>
      </w:r>
      <w:r w:rsidRPr="001C26F5">
        <w:rPr>
          <w:color w:val="000000"/>
        </w:rPr>
        <w:t xml:space="preserve"> times higher in formerly incarcerated people than in non-incarcerated </w:t>
      </w:r>
      <w:r>
        <w:rPr>
          <w:color w:val="000000"/>
        </w:rPr>
        <w:t xml:space="preserve">Massachusetts </w:t>
      </w:r>
      <w:r w:rsidRPr="001C26F5">
        <w:rPr>
          <w:color w:val="000000"/>
        </w:rPr>
        <w:t>residents</w:t>
      </w:r>
      <w:r w:rsidR="00301E0D">
        <w:rPr>
          <w:color w:val="000000"/>
        </w:rPr>
        <w:t>.  F</w:t>
      </w:r>
      <w:r w:rsidRPr="001C26F5">
        <w:t xml:space="preserve">ormer inmates </w:t>
      </w:r>
      <w:r>
        <w:t xml:space="preserve">also </w:t>
      </w:r>
      <w:r w:rsidRPr="001C26F5">
        <w:t xml:space="preserve">had a significantly lower </w:t>
      </w:r>
      <w:r>
        <w:t xml:space="preserve">overall </w:t>
      </w:r>
      <w:r w:rsidRPr="001C26F5">
        <w:t>survival than non-inmates (p&lt;0.0001)</w:t>
      </w:r>
      <w:r w:rsidR="00301E0D">
        <w:t xml:space="preserve">.  </w:t>
      </w:r>
    </w:p>
    <w:p w:rsidR="00400E42" w:rsidRPr="00677AE2" w:rsidRDefault="00400E42" w:rsidP="00400E42">
      <w:pPr>
        <w:pStyle w:val="NormalWeb"/>
        <w:spacing w:after="120" w:line="276" w:lineRule="auto"/>
        <w:rPr>
          <w:rFonts w:ascii="Calibri" w:hAnsi="Calibri"/>
          <w:color w:val="000000"/>
          <w:sz w:val="22"/>
          <w:szCs w:val="22"/>
        </w:rPr>
      </w:pPr>
    </w:p>
    <w:tbl>
      <w:tblPr>
        <w:tblpPr w:leftFromText="180" w:rightFromText="180" w:vertAnchor="text" w:tblpXSpec="center"/>
        <w:tblW w:w="8936" w:type="dxa"/>
        <w:tblCellMar>
          <w:left w:w="0" w:type="dxa"/>
          <w:right w:w="0" w:type="dxa"/>
        </w:tblCellMar>
        <w:tblLook w:val="00A0" w:firstRow="1" w:lastRow="0" w:firstColumn="1" w:lastColumn="0" w:noHBand="0" w:noVBand="0"/>
      </w:tblPr>
      <w:tblGrid>
        <w:gridCol w:w="3528"/>
        <w:gridCol w:w="2160"/>
        <w:gridCol w:w="1506"/>
        <w:gridCol w:w="1742"/>
      </w:tblGrid>
      <w:tr w:rsidR="00400E42" w:rsidRPr="00F240EB" w:rsidTr="00A92FFC">
        <w:trPr>
          <w:trHeight w:val="290"/>
        </w:trPr>
        <w:tc>
          <w:tcPr>
            <w:tcW w:w="8936" w:type="dxa"/>
            <w:gridSpan w:val="4"/>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400E42" w:rsidRPr="00DD4AFB" w:rsidRDefault="00400E42" w:rsidP="00A92FFC">
            <w:pPr>
              <w:jc w:val="center"/>
              <w:rPr>
                <w:rFonts w:ascii="Calibri" w:hAnsi="Calibri"/>
                <w:b/>
                <w:szCs w:val="22"/>
              </w:rPr>
            </w:pPr>
            <w:r w:rsidRPr="00DD4AFB">
              <w:rPr>
                <w:rFonts w:ascii="Calibri" w:hAnsi="Calibri"/>
                <w:b/>
                <w:sz w:val="22"/>
                <w:szCs w:val="22"/>
              </w:rPr>
              <w:t xml:space="preserve">Table </w:t>
            </w:r>
            <w:r>
              <w:rPr>
                <w:rFonts w:ascii="Calibri" w:hAnsi="Calibri"/>
                <w:b/>
                <w:sz w:val="22"/>
                <w:szCs w:val="22"/>
              </w:rPr>
              <w:t>KEY4.1</w:t>
            </w:r>
            <w:r w:rsidRPr="00DD4AFB">
              <w:rPr>
                <w:rFonts w:ascii="Calibri" w:hAnsi="Calibri"/>
                <w:b/>
                <w:sz w:val="22"/>
                <w:szCs w:val="22"/>
              </w:rPr>
              <w:t xml:space="preserve">: Deaths and years at risk by time, since being released from </w:t>
            </w:r>
            <w:r w:rsidR="0050537B">
              <w:rPr>
                <w:rFonts w:ascii="Calibri" w:hAnsi="Calibri"/>
                <w:b/>
                <w:sz w:val="22"/>
                <w:szCs w:val="22"/>
              </w:rPr>
              <w:t>a state Correctional facility</w:t>
            </w:r>
            <w:r w:rsidRPr="00DD4AFB">
              <w:rPr>
                <w:rFonts w:ascii="Calibri" w:hAnsi="Calibri"/>
                <w:b/>
                <w:sz w:val="22"/>
                <w:szCs w:val="22"/>
              </w:rPr>
              <w:t xml:space="preserve"> </w:t>
            </w:r>
            <w:r w:rsidR="0050537B">
              <w:rPr>
                <w:rFonts w:ascii="Calibri" w:hAnsi="Calibri"/>
                <w:b/>
                <w:sz w:val="22"/>
                <w:szCs w:val="22"/>
              </w:rPr>
              <w:t>(</w:t>
            </w:r>
            <w:r w:rsidRPr="00DD4AFB">
              <w:rPr>
                <w:rFonts w:ascii="Calibri" w:hAnsi="Calibri"/>
                <w:b/>
                <w:sz w:val="22"/>
                <w:szCs w:val="22"/>
              </w:rPr>
              <w:t>2013-2014</w:t>
            </w:r>
            <w:r w:rsidR="0050537B">
              <w:rPr>
                <w:rFonts w:ascii="Calibri" w:hAnsi="Calibri"/>
                <w:b/>
                <w:sz w:val="22"/>
                <w:szCs w:val="22"/>
              </w:rPr>
              <w:t>)</w:t>
            </w:r>
          </w:p>
        </w:tc>
      </w:tr>
      <w:tr w:rsidR="00400E42" w:rsidRPr="00F240EB" w:rsidTr="00A92FFC">
        <w:trPr>
          <w:trHeight w:val="290"/>
        </w:trPr>
        <w:tc>
          <w:tcPr>
            <w:tcW w:w="3528"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rPr>
                <w:rFonts w:ascii="Calibri" w:hAnsi="Calibri"/>
                <w:szCs w:val="22"/>
              </w:rPr>
            </w:pPr>
          </w:p>
        </w:tc>
        <w:tc>
          <w:tcPr>
            <w:tcW w:w="2160" w:type="dxa"/>
            <w:tcBorders>
              <w:top w:val="single" w:sz="4" w:space="0" w:color="auto"/>
              <w:left w:val="nil"/>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jc w:val="center"/>
              <w:rPr>
                <w:rFonts w:ascii="Calibri" w:hAnsi="Calibri"/>
                <w:b/>
                <w:bCs/>
                <w:szCs w:val="22"/>
              </w:rPr>
            </w:pPr>
            <w:r w:rsidRPr="00DD4AFB">
              <w:rPr>
                <w:rFonts w:ascii="Calibri" w:hAnsi="Calibri"/>
                <w:b/>
                <w:bCs/>
                <w:sz w:val="22"/>
                <w:szCs w:val="22"/>
              </w:rPr>
              <w:t>Opioid Deaths</w:t>
            </w:r>
          </w:p>
        </w:tc>
        <w:tc>
          <w:tcPr>
            <w:tcW w:w="1506" w:type="dxa"/>
            <w:tcBorders>
              <w:top w:val="single" w:sz="4" w:space="0" w:color="auto"/>
              <w:left w:val="nil"/>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jc w:val="center"/>
              <w:rPr>
                <w:rFonts w:ascii="Calibri" w:hAnsi="Calibri"/>
                <w:b/>
                <w:bCs/>
                <w:szCs w:val="22"/>
              </w:rPr>
            </w:pPr>
            <w:r w:rsidRPr="00DD4AFB">
              <w:rPr>
                <w:rFonts w:ascii="Calibri" w:hAnsi="Calibri"/>
                <w:b/>
                <w:bCs/>
                <w:sz w:val="22"/>
                <w:szCs w:val="22"/>
              </w:rPr>
              <w:t>Population</w:t>
            </w:r>
          </w:p>
        </w:tc>
        <w:tc>
          <w:tcPr>
            <w:tcW w:w="1742" w:type="dxa"/>
            <w:tcBorders>
              <w:top w:val="single" w:sz="4" w:space="0" w:color="auto"/>
              <w:left w:val="nil"/>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rPr>
                <w:rFonts w:ascii="Calibri" w:hAnsi="Calibri"/>
                <w:b/>
                <w:bCs/>
                <w:szCs w:val="22"/>
              </w:rPr>
            </w:pPr>
            <w:r w:rsidRPr="00DD4AFB">
              <w:rPr>
                <w:rFonts w:ascii="Calibri" w:hAnsi="Calibri"/>
                <w:b/>
                <w:bCs/>
                <w:sz w:val="22"/>
                <w:szCs w:val="22"/>
              </w:rPr>
              <w:t>Rate per 100000</w:t>
            </w:r>
          </w:p>
        </w:tc>
      </w:tr>
      <w:tr w:rsidR="00400E42" w:rsidRPr="00F240EB" w:rsidTr="00A92FFC">
        <w:trPr>
          <w:trHeight w:val="290"/>
        </w:trPr>
        <w:tc>
          <w:tcPr>
            <w:tcW w:w="3528"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rPr>
                <w:rFonts w:ascii="Calibri" w:hAnsi="Calibri"/>
                <w:b/>
                <w:bCs/>
                <w:szCs w:val="22"/>
              </w:rPr>
            </w:pPr>
            <w:r w:rsidRPr="00DD4AFB">
              <w:rPr>
                <w:rFonts w:ascii="Calibri" w:hAnsi="Calibri"/>
                <w:b/>
                <w:sz w:val="22"/>
                <w:szCs w:val="22"/>
              </w:rPr>
              <w:t>Former Inmates</w:t>
            </w:r>
          </w:p>
        </w:tc>
        <w:tc>
          <w:tcPr>
            <w:tcW w:w="2160" w:type="dxa"/>
            <w:tcBorders>
              <w:top w:val="nil"/>
              <w:left w:val="nil"/>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jc w:val="center"/>
              <w:rPr>
                <w:rFonts w:ascii="Calibri" w:hAnsi="Calibri"/>
                <w:b/>
                <w:bCs/>
                <w:szCs w:val="22"/>
              </w:rPr>
            </w:pPr>
            <w:r w:rsidRPr="00DD4AFB">
              <w:rPr>
                <w:rFonts w:ascii="Calibri" w:hAnsi="Calibri"/>
                <w:sz w:val="22"/>
                <w:szCs w:val="22"/>
              </w:rPr>
              <w:t>121</w:t>
            </w:r>
          </w:p>
        </w:tc>
        <w:tc>
          <w:tcPr>
            <w:tcW w:w="1506" w:type="dxa"/>
            <w:tcBorders>
              <w:top w:val="nil"/>
              <w:left w:val="nil"/>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jc w:val="center"/>
              <w:rPr>
                <w:rFonts w:ascii="Calibri" w:hAnsi="Calibri"/>
                <w:b/>
                <w:bCs/>
                <w:szCs w:val="22"/>
              </w:rPr>
            </w:pPr>
            <w:r>
              <w:rPr>
                <w:rFonts w:ascii="Calibri" w:hAnsi="Calibri"/>
                <w:sz w:val="22"/>
                <w:szCs w:val="22"/>
              </w:rPr>
              <w:t>13,918</w:t>
            </w:r>
          </w:p>
        </w:tc>
        <w:tc>
          <w:tcPr>
            <w:tcW w:w="1742" w:type="dxa"/>
            <w:tcBorders>
              <w:top w:val="nil"/>
              <w:left w:val="nil"/>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jc w:val="center"/>
              <w:rPr>
                <w:rFonts w:ascii="Calibri" w:hAnsi="Calibri"/>
                <w:b/>
                <w:bCs/>
                <w:szCs w:val="22"/>
              </w:rPr>
            </w:pPr>
            <w:r w:rsidRPr="00DD4AFB">
              <w:rPr>
                <w:rFonts w:ascii="Calibri" w:hAnsi="Calibri"/>
                <w:sz w:val="22"/>
                <w:szCs w:val="22"/>
              </w:rPr>
              <w:t>8</w:t>
            </w:r>
            <w:r>
              <w:rPr>
                <w:rFonts w:ascii="Calibri" w:hAnsi="Calibri"/>
                <w:sz w:val="22"/>
                <w:szCs w:val="22"/>
              </w:rPr>
              <w:t>69</w:t>
            </w:r>
            <w:r w:rsidRPr="00DD4AFB">
              <w:rPr>
                <w:rFonts w:ascii="Calibri" w:hAnsi="Calibri"/>
                <w:sz w:val="22"/>
                <w:szCs w:val="22"/>
              </w:rPr>
              <w:t>.4</w:t>
            </w:r>
          </w:p>
        </w:tc>
      </w:tr>
      <w:tr w:rsidR="00400E42" w:rsidRPr="00F240EB" w:rsidTr="00A92FFC">
        <w:trPr>
          <w:trHeight w:val="290"/>
        </w:trPr>
        <w:tc>
          <w:tcPr>
            <w:tcW w:w="3528"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rPr>
                <w:rFonts w:ascii="Calibri" w:hAnsi="Calibri"/>
                <w:b/>
                <w:bCs/>
                <w:szCs w:val="22"/>
              </w:rPr>
            </w:pPr>
            <w:r w:rsidRPr="00DD4AFB">
              <w:rPr>
                <w:rFonts w:ascii="Calibri" w:hAnsi="Calibri"/>
                <w:b/>
                <w:sz w:val="22"/>
                <w:szCs w:val="22"/>
              </w:rPr>
              <w:t>Everyone else (non-former inmates)</w:t>
            </w:r>
          </w:p>
        </w:tc>
        <w:tc>
          <w:tcPr>
            <w:tcW w:w="2160" w:type="dxa"/>
            <w:tcBorders>
              <w:top w:val="nil"/>
              <w:left w:val="nil"/>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jc w:val="center"/>
              <w:rPr>
                <w:rFonts w:ascii="Calibri" w:hAnsi="Calibri"/>
                <w:b/>
                <w:bCs/>
                <w:szCs w:val="22"/>
              </w:rPr>
            </w:pPr>
            <w:r w:rsidRPr="00DD4AFB">
              <w:rPr>
                <w:rFonts w:ascii="Calibri" w:hAnsi="Calibri"/>
                <w:sz w:val="22"/>
                <w:szCs w:val="22"/>
              </w:rPr>
              <w:t>2</w:t>
            </w:r>
            <w:r>
              <w:rPr>
                <w:rFonts w:ascii="Calibri" w:hAnsi="Calibri"/>
                <w:sz w:val="22"/>
                <w:szCs w:val="22"/>
              </w:rPr>
              <w:t>,</w:t>
            </w:r>
            <w:r w:rsidRPr="00DD4AFB">
              <w:rPr>
                <w:rFonts w:ascii="Calibri" w:hAnsi="Calibri"/>
                <w:sz w:val="22"/>
                <w:szCs w:val="22"/>
              </w:rPr>
              <w:t>071</w:t>
            </w:r>
          </w:p>
        </w:tc>
        <w:tc>
          <w:tcPr>
            <w:tcW w:w="1506" w:type="dxa"/>
            <w:tcBorders>
              <w:top w:val="nil"/>
              <w:left w:val="nil"/>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jc w:val="center"/>
              <w:rPr>
                <w:rFonts w:ascii="Calibri" w:hAnsi="Calibri"/>
                <w:b/>
                <w:bCs/>
                <w:szCs w:val="22"/>
              </w:rPr>
            </w:pPr>
            <w:r w:rsidRPr="00DD4AFB">
              <w:rPr>
                <w:rFonts w:ascii="Calibri" w:hAnsi="Calibri"/>
                <w:sz w:val="22"/>
                <w:szCs w:val="22"/>
              </w:rPr>
              <w:t>13</w:t>
            </w:r>
            <w:r>
              <w:rPr>
                <w:rFonts w:ascii="Calibri" w:hAnsi="Calibri"/>
                <w:sz w:val="22"/>
                <w:szCs w:val="22"/>
              </w:rPr>
              <w:t>,</w:t>
            </w:r>
            <w:r w:rsidRPr="00DD4AFB">
              <w:rPr>
                <w:rFonts w:ascii="Calibri" w:hAnsi="Calibri"/>
                <w:sz w:val="22"/>
                <w:szCs w:val="22"/>
              </w:rPr>
              <w:t>423</w:t>
            </w:r>
            <w:r>
              <w:rPr>
                <w:rFonts w:ascii="Calibri" w:hAnsi="Calibri"/>
                <w:sz w:val="22"/>
                <w:szCs w:val="22"/>
              </w:rPr>
              <w:t>,</w:t>
            </w:r>
            <w:r w:rsidRPr="00DD4AFB">
              <w:rPr>
                <w:rFonts w:ascii="Calibri" w:hAnsi="Calibri"/>
                <w:sz w:val="22"/>
                <w:szCs w:val="22"/>
              </w:rPr>
              <w:t>695</w:t>
            </w:r>
            <w:r w:rsidRPr="005E2F2A">
              <w:rPr>
                <w:rStyle w:val="FootnoteReference"/>
                <w:szCs w:val="22"/>
              </w:rPr>
              <w:footnoteReference w:id="40"/>
            </w:r>
          </w:p>
        </w:tc>
        <w:tc>
          <w:tcPr>
            <w:tcW w:w="1742" w:type="dxa"/>
            <w:tcBorders>
              <w:top w:val="nil"/>
              <w:left w:val="nil"/>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jc w:val="center"/>
              <w:rPr>
                <w:rFonts w:ascii="Calibri" w:hAnsi="Calibri"/>
                <w:b/>
                <w:bCs/>
                <w:szCs w:val="22"/>
              </w:rPr>
            </w:pPr>
            <w:r w:rsidRPr="00DD4AFB">
              <w:rPr>
                <w:rFonts w:ascii="Calibri" w:hAnsi="Calibri"/>
                <w:sz w:val="22"/>
                <w:szCs w:val="22"/>
              </w:rPr>
              <w:t>15.4</w:t>
            </w:r>
          </w:p>
        </w:tc>
      </w:tr>
      <w:tr w:rsidR="00400E42" w:rsidRPr="00F240EB" w:rsidTr="00A92FFC">
        <w:trPr>
          <w:trHeight w:val="290"/>
        </w:trPr>
        <w:tc>
          <w:tcPr>
            <w:tcW w:w="3528"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rPr>
                <w:rFonts w:ascii="Calibri" w:hAnsi="Calibri"/>
                <w:b/>
                <w:bCs/>
                <w:szCs w:val="22"/>
              </w:rPr>
            </w:pPr>
            <w:r>
              <w:rPr>
                <w:rFonts w:ascii="Calibri" w:hAnsi="Calibri"/>
                <w:b/>
                <w:bCs/>
                <w:szCs w:val="22"/>
              </w:rPr>
              <w:t>Rate Ratio</w:t>
            </w:r>
          </w:p>
        </w:tc>
        <w:tc>
          <w:tcPr>
            <w:tcW w:w="2160" w:type="dxa"/>
            <w:tcBorders>
              <w:top w:val="nil"/>
              <w:left w:val="nil"/>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jc w:val="center"/>
              <w:rPr>
                <w:rFonts w:ascii="Calibri" w:hAnsi="Calibri"/>
                <w:b/>
                <w:bCs/>
                <w:szCs w:val="22"/>
              </w:rPr>
            </w:pPr>
          </w:p>
        </w:tc>
        <w:tc>
          <w:tcPr>
            <w:tcW w:w="1506" w:type="dxa"/>
            <w:tcBorders>
              <w:top w:val="nil"/>
              <w:left w:val="nil"/>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jc w:val="center"/>
              <w:rPr>
                <w:rFonts w:ascii="Calibri" w:hAnsi="Calibri"/>
                <w:b/>
                <w:bCs/>
                <w:szCs w:val="22"/>
              </w:rPr>
            </w:pPr>
          </w:p>
        </w:tc>
        <w:tc>
          <w:tcPr>
            <w:tcW w:w="1742" w:type="dxa"/>
            <w:tcBorders>
              <w:top w:val="nil"/>
              <w:left w:val="nil"/>
              <w:bottom w:val="single" w:sz="8" w:space="0" w:color="auto"/>
              <w:right w:val="single" w:sz="8" w:space="0" w:color="auto"/>
            </w:tcBorders>
            <w:noWrap/>
            <w:tcMar>
              <w:top w:w="0" w:type="dxa"/>
              <w:left w:w="108" w:type="dxa"/>
              <w:bottom w:w="0" w:type="dxa"/>
              <w:right w:w="108" w:type="dxa"/>
            </w:tcMar>
          </w:tcPr>
          <w:p w:rsidR="00400E42" w:rsidRPr="00DD4AFB" w:rsidRDefault="00400E42" w:rsidP="00A92FFC">
            <w:pPr>
              <w:jc w:val="center"/>
              <w:rPr>
                <w:rFonts w:ascii="Calibri" w:hAnsi="Calibri"/>
                <w:b/>
                <w:bCs/>
                <w:szCs w:val="22"/>
              </w:rPr>
            </w:pPr>
            <w:r>
              <w:rPr>
                <w:rFonts w:ascii="Calibri" w:hAnsi="Calibri"/>
                <w:b/>
                <w:sz w:val="22"/>
                <w:szCs w:val="22"/>
              </w:rPr>
              <w:t>56.4</w:t>
            </w:r>
          </w:p>
        </w:tc>
      </w:tr>
    </w:tbl>
    <w:p w:rsidR="00400E42" w:rsidRDefault="00400E42" w:rsidP="00400E42">
      <w:pPr>
        <w:spacing w:line="480" w:lineRule="auto"/>
        <w:rPr>
          <w:rFonts w:ascii="Calibri" w:hAnsi="Calibri"/>
          <w:sz w:val="22"/>
          <w:szCs w:val="22"/>
        </w:rPr>
      </w:pPr>
    </w:p>
    <w:p w:rsidR="00400E42" w:rsidRDefault="00400E42" w:rsidP="002D6E20">
      <w:pPr>
        <w:pStyle w:val="PBody"/>
      </w:pPr>
      <w:r>
        <w:t>Our</w:t>
      </w:r>
      <w:r w:rsidRPr="00DD4AFB">
        <w:t xml:space="preserve"> findings also suggest that there is a significantly elevated mortality risk in the earliest time-periods after being released from a state correctional facility, when compared with</w:t>
      </w:r>
      <w:r>
        <w:t xml:space="preserve"> other</w:t>
      </w:r>
      <w:r w:rsidRPr="00DD4AFB">
        <w:t xml:space="preserve"> non-critical time periods.  The largest proportions of former inmates died within the first month</w:t>
      </w:r>
      <w:r>
        <w:t xml:space="preserve"> (Figure KEY4.1)</w:t>
      </w:r>
      <w:r w:rsidRPr="00DD4AFB">
        <w:t>.</w:t>
      </w:r>
    </w:p>
    <w:p w:rsidR="00400E42" w:rsidRDefault="00400E42" w:rsidP="00400E42">
      <w:pPr>
        <w:spacing w:line="480" w:lineRule="auto"/>
        <w:rPr>
          <w:rFonts w:ascii="Calibri" w:hAnsi="Calibri"/>
          <w:sz w:val="22"/>
          <w:szCs w:val="22"/>
        </w:rPr>
      </w:pPr>
    </w:p>
    <w:p w:rsidR="00400E42" w:rsidRDefault="00400E42" w:rsidP="00400E42">
      <w:pPr>
        <w:spacing w:line="480" w:lineRule="auto"/>
        <w:rPr>
          <w:rFonts w:ascii="Calibri" w:hAnsi="Calibri"/>
          <w:sz w:val="22"/>
          <w:szCs w:val="22"/>
        </w:rPr>
      </w:pPr>
      <w:r w:rsidRPr="00DD4AFB">
        <w:rPr>
          <w:rFonts w:ascii="Calibri" w:hAnsi="Calibri"/>
          <w:sz w:val="22"/>
          <w:szCs w:val="22"/>
        </w:rPr>
        <w:lastRenderedPageBreak/>
        <w:t xml:space="preserve"> </w:t>
      </w:r>
      <w:r>
        <w:rPr>
          <w:rFonts w:ascii="Calibri" w:hAnsi="Calibri"/>
          <w:sz w:val="22"/>
          <w:szCs w:val="22"/>
        </w:rPr>
        <w:t xml:space="preserve"> </w:t>
      </w:r>
      <w:r>
        <w:rPr>
          <w:rFonts w:ascii="Calibri" w:hAnsi="Calibri" w:cs="Calibri"/>
          <w:noProof/>
          <w:sz w:val="22"/>
          <w:szCs w:val="22"/>
        </w:rPr>
        <w:drawing>
          <wp:inline distT="0" distB="0" distL="0" distR="0" wp14:anchorId="652D649A" wp14:editId="19794442">
            <wp:extent cx="5822315" cy="3056890"/>
            <wp:effectExtent l="0" t="0" r="26035" b="10160"/>
            <wp:docPr id="11"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00E42" w:rsidRDefault="00400E42" w:rsidP="002D6E20">
      <w:pPr>
        <w:pStyle w:val="PBody"/>
      </w:pPr>
      <w:r>
        <w:t>The first month after release proved to be a critical time period for former inmates, having rates that were between 2 to 6 times higher than for later times for all-cause mortality (Table KEY4.2).  Likewise, when examining opioid-related overdoses, former inmates had death rates in the 1</w:t>
      </w:r>
      <w:r w:rsidRPr="006779F0">
        <w:rPr>
          <w:vertAlign w:val="superscript"/>
        </w:rPr>
        <w:t>st</w:t>
      </w:r>
      <w:r>
        <w:t xml:space="preserve"> month after release that were up to 6times higher than rates at later times.</w:t>
      </w:r>
    </w:p>
    <w:p w:rsidR="00400E42" w:rsidRDefault="00400E42" w:rsidP="00400E42">
      <w:pPr>
        <w:spacing w:after="120" w:line="276" w:lineRule="auto"/>
        <w:rPr>
          <w:rFonts w:ascii="Calibri" w:hAnsi="Calibri"/>
          <w:sz w:val="22"/>
          <w:szCs w:val="22"/>
        </w:rPr>
      </w:pP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863"/>
        <w:gridCol w:w="1830"/>
        <w:gridCol w:w="1659"/>
        <w:gridCol w:w="1659"/>
      </w:tblGrid>
      <w:tr w:rsidR="00400E42" w:rsidRPr="002F3648" w:rsidTr="00D13587">
        <w:trPr>
          <w:jc w:val="center"/>
        </w:trPr>
        <w:tc>
          <w:tcPr>
            <w:tcW w:w="8856" w:type="dxa"/>
            <w:gridSpan w:val="5"/>
          </w:tcPr>
          <w:p w:rsidR="00400E42" w:rsidRPr="002F3648" w:rsidRDefault="00400E42" w:rsidP="00A92FFC">
            <w:pPr>
              <w:jc w:val="center"/>
              <w:rPr>
                <w:rFonts w:ascii="Calibri" w:hAnsi="Calibri"/>
                <w:b/>
                <w:szCs w:val="22"/>
              </w:rPr>
            </w:pPr>
            <w:r w:rsidRPr="002F3648">
              <w:rPr>
                <w:rFonts w:ascii="Calibri" w:hAnsi="Calibri"/>
                <w:b/>
                <w:sz w:val="22"/>
                <w:szCs w:val="22"/>
              </w:rPr>
              <w:t>Table K</w:t>
            </w:r>
            <w:r>
              <w:rPr>
                <w:rFonts w:ascii="Calibri" w:hAnsi="Calibri"/>
                <w:b/>
                <w:sz w:val="22"/>
                <w:szCs w:val="22"/>
              </w:rPr>
              <w:t>EY</w:t>
            </w:r>
            <w:r w:rsidRPr="002F3648">
              <w:rPr>
                <w:rFonts w:ascii="Calibri" w:hAnsi="Calibri"/>
                <w:b/>
                <w:sz w:val="22"/>
                <w:szCs w:val="22"/>
              </w:rPr>
              <w:t xml:space="preserve">4.2: Overall and Opioid Deaths by person-years, inmates since being released from </w:t>
            </w:r>
            <w:r w:rsidR="0050537B">
              <w:rPr>
                <w:rFonts w:ascii="Calibri" w:hAnsi="Calibri"/>
                <w:b/>
                <w:sz w:val="22"/>
                <w:szCs w:val="22"/>
              </w:rPr>
              <w:t>a state Correctional facility (</w:t>
            </w:r>
            <w:r w:rsidRPr="002F3648">
              <w:rPr>
                <w:rFonts w:ascii="Calibri" w:hAnsi="Calibri"/>
                <w:b/>
                <w:sz w:val="22"/>
                <w:szCs w:val="22"/>
              </w:rPr>
              <w:t>2013-2014</w:t>
            </w:r>
            <w:r w:rsidR="0050537B">
              <w:rPr>
                <w:rFonts w:ascii="Calibri" w:hAnsi="Calibri"/>
                <w:b/>
                <w:sz w:val="22"/>
                <w:szCs w:val="22"/>
              </w:rPr>
              <w:t>)</w:t>
            </w:r>
          </w:p>
        </w:tc>
      </w:tr>
      <w:tr w:rsidR="00400E42" w:rsidRPr="002F3648" w:rsidTr="00D13587">
        <w:trPr>
          <w:jc w:val="center"/>
        </w:trPr>
        <w:tc>
          <w:tcPr>
            <w:tcW w:w="1845" w:type="dxa"/>
            <w:vMerge w:val="restart"/>
          </w:tcPr>
          <w:p w:rsidR="00400E42" w:rsidRPr="002F3648" w:rsidRDefault="00400E42" w:rsidP="00A92FFC">
            <w:pPr>
              <w:rPr>
                <w:rFonts w:ascii="Calibri" w:hAnsi="Calibri"/>
                <w:szCs w:val="22"/>
              </w:rPr>
            </w:pPr>
            <w:r w:rsidRPr="002F3648">
              <w:rPr>
                <w:rFonts w:ascii="Calibri" w:hAnsi="Calibri"/>
                <w:b/>
                <w:sz w:val="22"/>
                <w:szCs w:val="22"/>
              </w:rPr>
              <w:t>Time Periods</w:t>
            </w:r>
          </w:p>
        </w:tc>
        <w:tc>
          <w:tcPr>
            <w:tcW w:w="3693" w:type="dxa"/>
            <w:gridSpan w:val="2"/>
          </w:tcPr>
          <w:p w:rsidR="00400E42" w:rsidRPr="002F3648" w:rsidRDefault="00400E42" w:rsidP="00A92FFC">
            <w:pPr>
              <w:jc w:val="center"/>
              <w:rPr>
                <w:rFonts w:ascii="Calibri" w:hAnsi="Calibri"/>
                <w:b/>
                <w:szCs w:val="22"/>
              </w:rPr>
            </w:pPr>
            <w:r w:rsidRPr="002F3648">
              <w:rPr>
                <w:rFonts w:ascii="Calibri" w:hAnsi="Calibri"/>
                <w:b/>
                <w:sz w:val="22"/>
                <w:szCs w:val="22"/>
              </w:rPr>
              <w:t>Overall Deaths</w:t>
            </w:r>
          </w:p>
        </w:tc>
        <w:tc>
          <w:tcPr>
            <w:tcW w:w="3318" w:type="dxa"/>
            <w:gridSpan w:val="2"/>
          </w:tcPr>
          <w:p w:rsidR="00400E42" w:rsidRPr="002F3648" w:rsidRDefault="00400E42" w:rsidP="00A92FFC">
            <w:pPr>
              <w:jc w:val="center"/>
              <w:rPr>
                <w:rFonts w:ascii="Calibri" w:hAnsi="Calibri"/>
                <w:b/>
                <w:szCs w:val="22"/>
              </w:rPr>
            </w:pPr>
            <w:r w:rsidRPr="002F3648">
              <w:rPr>
                <w:rFonts w:ascii="Calibri" w:hAnsi="Calibri"/>
                <w:b/>
                <w:sz w:val="22"/>
                <w:szCs w:val="22"/>
              </w:rPr>
              <w:t>Opioid-related deaths</w:t>
            </w:r>
          </w:p>
        </w:tc>
      </w:tr>
      <w:tr w:rsidR="00400E42" w:rsidRPr="002F3648" w:rsidTr="00D13587">
        <w:trPr>
          <w:jc w:val="center"/>
        </w:trPr>
        <w:tc>
          <w:tcPr>
            <w:tcW w:w="1845" w:type="dxa"/>
            <w:vMerge/>
          </w:tcPr>
          <w:p w:rsidR="00400E42" w:rsidRPr="002F3648" w:rsidRDefault="00400E42" w:rsidP="00A92FFC">
            <w:pPr>
              <w:rPr>
                <w:rFonts w:ascii="Calibri" w:hAnsi="Calibri"/>
                <w:szCs w:val="22"/>
              </w:rPr>
            </w:pPr>
          </w:p>
        </w:tc>
        <w:tc>
          <w:tcPr>
            <w:tcW w:w="1863" w:type="dxa"/>
          </w:tcPr>
          <w:p w:rsidR="00400E42" w:rsidRPr="002F3648" w:rsidRDefault="00400E42" w:rsidP="00A92FFC">
            <w:pPr>
              <w:jc w:val="center"/>
              <w:rPr>
                <w:rFonts w:ascii="Calibri" w:hAnsi="Calibri"/>
                <w:szCs w:val="22"/>
              </w:rPr>
            </w:pPr>
            <w:r w:rsidRPr="002F3648">
              <w:rPr>
                <w:rFonts w:ascii="Calibri" w:hAnsi="Calibri"/>
                <w:b/>
                <w:bCs/>
                <w:sz w:val="22"/>
                <w:szCs w:val="22"/>
              </w:rPr>
              <w:t>Number of deaths</w:t>
            </w:r>
          </w:p>
        </w:tc>
        <w:tc>
          <w:tcPr>
            <w:tcW w:w="1830" w:type="dxa"/>
          </w:tcPr>
          <w:p w:rsidR="00400E42" w:rsidRPr="002F3648" w:rsidRDefault="00400E42" w:rsidP="00A92FFC">
            <w:pPr>
              <w:jc w:val="center"/>
              <w:rPr>
                <w:rFonts w:ascii="Calibri" w:hAnsi="Calibri"/>
                <w:szCs w:val="22"/>
              </w:rPr>
            </w:pPr>
            <w:r w:rsidRPr="002F3648">
              <w:rPr>
                <w:rFonts w:ascii="Calibri" w:hAnsi="Calibri"/>
                <w:b/>
                <w:bCs/>
                <w:sz w:val="22"/>
                <w:szCs w:val="22"/>
              </w:rPr>
              <w:t>CMR per 100 person-years</w:t>
            </w:r>
          </w:p>
        </w:tc>
        <w:tc>
          <w:tcPr>
            <w:tcW w:w="1659" w:type="dxa"/>
          </w:tcPr>
          <w:p w:rsidR="00400E42" w:rsidRPr="002F3648" w:rsidRDefault="00400E42" w:rsidP="00A92FFC">
            <w:pPr>
              <w:jc w:val="center"/>
              <w:rPr>
                <w:rFonts w:ascii="Calibri" w:hAnsi="Calibri"/>
                <w:szCs w:val="22"/>
              </w:rPr>
            </w:pPr>
            <w:r w:rsidRPr="002F3648">
              <w:rPr>
                <w:rFonts w:ascii="Calibri" w:hAnsi="Calibri"/>
                <w:b/>
                <w:bCs/>
                <w:sz w:val="22"/>
                <w:szCs w:val="22"/>
              </w:rPr>
              <w:t>Number of deaths</w:t>
            </w:r>
          </w:p>
        </w:tc>
        <w:tc>
          <w:tcPr>
            <w:tcW w:w="1659" w:type="dxa"/>
          </w:tcPr>
          <w:p w:rsidR="00400E42" w:rsidRPr="002F3648" w:rsidRDefault="00400E42" w:rsidP="00A92FFC">
            <w:pPr>
              <w:jc w:val="center"/>
              <w:rPr>
                <w:rFonts w:ascii="Calibri" w:hAnsi="Calibri"/>
                <w:szCs w:val="22"/>
              </w:rPr>
            </w:pPr>
            <w:r w:rsidRPr="002F3648">
              <w:rPr>
                <w:rFonts w:ascii="Calibri" w:hAnsi="Calibri"/>
                <w:b/>
                <w:bCs/>
                <w:sz w:val="22"/>
                <w:szCs w:val="22"/>
              </w:rPr>
              <w:t>CMR per 100 person-years</w:t>
            </w:r>
          </w:p>
        </w:tc>
      </w:tr>
      <w:tr w:rsidR="00400E42" w:rsidRPr="002F3648" w:rsidTr="00D13587">
        <w:trPr>
          <w:jc w:val="center"/>
        </w:trPr>
        <w:tc>
          <w:tcPr>
            <w:tcW w:w="1845" w:type="dxa"/>
            <w:vAlign w:val="bottom"/>
          </w:tcPr>
          <w:p w:rsidR="00400E42" w:rsidRPr="002F3648" w:rsidRDefault="00400E42" w:rsidP="00A92FFC">
            <w:pPr>
              <w:rPr>
                <w:rFonts w:ascii="Calibri" w:hAnsi="Calibri" w:cs="Arial"/>
                <w:szCs w:val="22"/>
              </w:rPr>
            </w:pPr>
            <w:r w:rsidRPr="002F3648">
              <w:rPr>
                <w:rFonts w:ascii="Calibri" w:hAnsi="Calibri" w:cs="Arial"/>
                <w:sz w:val="22"/>
                <w:szCs w:val="22"/>
              </w:rPr>
              <w:t>Under 1 month</w:t>
            </w:r>
          </w:p>
        </w:tc>
        <w:tc>
          <w:tcPr>
            <w:tcW w:w="1863" w:type="dxa"/>
          </w:tcPr>
          <w:p w:rsidR="00400E42" w:rsidRPr="002F3648" w:rsidRDefault="00400E42" w:rsidP="00A92FFC">
            <w:pPr>
              <w:jc w:val="center"/>
              <w:rPr>
                <w:rFonts w:ascii="Calibri" w:hAnsi="Calibri"/>
                <w:szCs w:val="22"/>
              </w:rPr>
            </w:pPr>
            <w:r w:rsidRPr="002F3648">
              <w:rPr>
                <w:rFonts w:ascii="Calibri" w:hAnsi="Calibri"/>
                <w:sz w:val="22"/>
                <w:szCs w:val="22"/>
              </w:rPr>
              <w:t>86</w:t>
            </w:r>
          </w:p>
        </w:tc>
        <w:tc>
          <w:tcPr>
            <w:tcW w:w="1830" w:type="dxa"/>
          </w:tcPr>
          <w:p w:rsidR="00400E42" w:rsidRPr="002F3648" w:rsidRDefault="00400E42" w:rsidP="00A92FFC">
            <w:pPr>
              <w:jc w:val="center"/>
              <w:rPr>
                <w:rFonts w:ascii="Calibri" w:hAnsi="Calibri" w:cs="Arial"/>
                <w:szCs w:val="22"/>
              </w:rPr>
            </w:pPr>
            <w:r>
              <w:rPr>
                <w:rFonts w:ascii="Calibri" w:hAnsi="Calibri" w:cs="Arial"/>
                <w:sz w:val="22"/>
                <w:szCs w:val="22"/>
              </w:rPr>
              <w:t>573.4</w:t>
            </w:r>
          </w:p>
        </w:tc>
        <w:tc>
          <w:tcPr>
            <w:tcW w:w="1659" w:type="dxa"/>
          </w:tcPr>
          <w:p w:rsidR="00400E42" w:rsidRPr="002F3648" w:rsidRDefault="00400E42" w:rsidP="00A92FFC">
            <w:pPr>
              <w:jc w:val="center"/>
              <w:rPr>
                <w:rFonts w:ascii="Calibri" w:hAnsi="Calibri" w:cs="Arial"/>
                <w:szCs w:val="22"/>
              </w:rPr>
            </w:pPr>
            <w:r w:rsidRPr="002F3648">
              <w:rPr>
                <w:rFonts w:ascii="Calibri" w:hAnsi="Calibri" w:cs="Arial"/>
                <w:sz w:val="22"/>
                <w:szCs w:val="22"/>
              </w:rPr>
              <w:t>31</w:t>
            </w:r>
          </w:p>
        </w:tc>
        <w:tc>
          <w:tcPr>
            <w:tcW w:w="1659" w:type="dxa"/>
          </w:tcPr>
          <w:p w:rsidR="00400E42" w:rsidRPr="002F3648" w:rsidRDefault="00400E42" w:rsidP="00A92FFC">
            <w:pPr>
              <w:jc w:val="center"/>
              <w:rPr>
                <w:rFonts w:ascii="Calibri" w:hAnsi="Calibri" w:cs="Arial"/>
                <w:szCs w:val="22"/>
              </w:rPr>
            </w:pPr>
            <w:r>
              <w:rPr>
                <w:rFonts w:ascii="Calibri" w:hAnsi="Calibri" w:cs="Arial"/>
                <w:sz w:val="22"/>
                <w:szCs w:val="22"/>
              </w:rPr>
              <w:t>437.8</w:t>
            </w:r>
          </w:p>
        </w:tc>
      </w:tr>
      <w:tr w:rsidR="00400E42" w:rsidRPr="002F3648" w:rsidTr="00D13587">
        <w:trPr>
          <w:jc w:val="center"/>
        </w:trPr>
        <w:tc>
          <w:tcPr>
            <w:tcW w:w="1845" w:type="dxa"/>
            <w:vAlign w:val="bottom"/>
          </w:tcPr>
          <w:p w:rsidR="00400E42" w:rsidRPr="002F3648" w:rsidRDefault="00400E42" w:rsidP="00A92FFC">
            <w:pPr>
              <w:rPr>
                <w:rFonts w:ascii="Calibri" w:hAnsi="Calibri" w:cs="Arial"/>
                <w:szCs w:val="22"/>
              </w:rPr>
            </w:pPr>
            <w:r w:rsidRPr="002F3648">
              <w:rPr>
                <w:rFonts w:ascii="Calibri" w:hAnsi="Calibri" w:cs="Arial"/>
                <w:sz w:val="22"/>
                <w:szCs w:val="22"/>
              </w:rPr>
              <w:t>1-3 months</w:t>
            </w:r>
          </w:p>
        </w:tc>
        <w:tc>
          <w:tcPr>
            <w:tcW w:w="1863" w:type="dxa"/>
          </w:tcPr>
          <w:p w:rsidR="00400E42" w:rsidRPr="002F3648" w:rsidRDefault="00400E42" w:rsidP="00A92FFC">
            <w:pPr>
              <w:jc w:val="center"/>
              <w:rPr>
                <w:rFonts w:ascii="Calibri" w:hAnsi="Calibri"/>
                <w:szCs w:val="22"/>
              </w:rPr>
            </w:pPr>
            <w:r w:rsidRPr="002F3648">
              <w:rPr>
                <w:rFonts w:ascii="Calibri" w:hAnsi="Calibri"/>
                <w:sz w:val="22"/>
                <w:szCs w:val="22"/>
              </w:rPr>
              <w:t>42</w:t>
            </w:r>
          </w:p>
        </w:tc>
        <w:tc>
          <w:tcPr>
            <w:tcW w:w="1830" w:type="dxa"/>
          </w:tcPr>
          <w:p w:rsidR="00400E42" w:rsidRPr="002F3648" w:rsidRDefault="00400E42" w:rsidP="00A92FFC">
            <w:pPr>
              <w:jc w:val="center"/>
              <w:rPr>
                <w:rFonts w:ascii="Calibri" w:hAnsi="Calibri" w:cs="Arial"/>
                <w:szCs w:val="22"/>
              </w:rPr>
            </w:pPr>
            <w:r>
              <w:rPr>
                <w:rFonts w:ascii="Calibri" w:hAnsi="Calibri" w:cs="Arial"/>
                <w:sz w:val="22"/>
                <w:szCs w:val="22"/>
              </w:rPr>
              <w:t>218.4</w:t>
            </w:r>
          </w:p>
        </w:tc>
        <w:tc>
          <w:tcPr>
            <w:tcW w:w="1659" w:type="dxa"/>
          </w:tcPr>
          <w:p w:rsidR="00400E42" w:rsidRPr="002F3648" w:rsidRDefault="00400E42" w:rsidP="00A92FFC">
            <w:pPr>
              <w:jc w:val="center"/>
              <w:rPr>
                <w:rFonts w:ascii="Calibri" w:hAnsi="Calibri" w:cs="Arial"/>
                <w:szCs w:val="22"/>
              </w:rPr>
            </w:pPr>
            <w:r w:rsidRPr="002F3648">
              <w:rPr>
                <w:rFonts w:ascii="Calibri" w:hAnsi="Calibri" w:cs="Arial"/>
                <w:sz w:val="22"/>
                <w:szCs w:val="22"/>
              </w:rPr>
              <w:t>18</w:t>
            </w:r>
          </w:p>
        </w:tc>
        <w:tc>
          <w:tcPr>
            <w:tcW w:w="1659" w:type="dxa"/>
          </w:tcPr>
          <w:p w:rsidR="00400E42" w:rsidRPr="002F3648" w:rsidRDefault="00400E42" w:rsidP="00A92FFC">
            <w:pPr>
              <w:jc w:val="center"/>
              <w:rPr>
                <w:rFonts w:ascii="Calibri" w:hAnsi="Calibri" w:cs="Arial"/>
                <w:szCs w:val="22"/>
              </w:rPr>
            </w:pPr>
            <w:r>
              <w:rPr>
                <w:rFonts w:ascii="Calibri" w:hAnsi="Calibri" w:cs="Arial"/>
                <w:sz w:val="22"/>
                <w:szCs w:val="22"/>
              </w:rPr>
              <w:t>193.1</w:t>
            </w:r>
          </w:p>
        </w:tc>
      </w:tr>
      <w:tr w:rsidR="00400E42" w:rsidRPr="002F3648" w:rsidTr="00D13587">
        <w:trPr>
          <w:jc w:val="center"/>
        </w:trPr>
        <w:tc>
          <w:tcPr>
            <w:tcW w:w="1845" w:type="dxa"/>
            <w:vAlign w:val="bottom"/>
          </w:tcPr>
          <w:p w:rsidR="00400E42" w:rsidRPr="002F3648" w:rsidRDefault="00400E42" w:rsidP="00A92FFC">
            <w:pPr>
              <w:rPr>
                <w:rFonts w:ascii="Calibri" w:hAnsi="Calibri" w:cs="Arial"/>
                <w:szCs w:val="22"/>
              </w:rPr>
            </w:pPr>
            <w:r w:rsidRPr="002F3648">
              <w:rPr>
                <w:rFonts w:ascii="Calibri" w:hAnsi="Calibri" w:cs="Arial"/>
                <w:sz w:val="22"/>
                <w:szCs w:val="22"/>
              </w:rPr>
              <w:t>3-6 months</w:t>
            </w:r>
          </w:p>
        </w:tc>
        <w:tc>
          <w:tcPr>
            <w:tcW w:w="1863" w:type="dxa"/>
          </w:tcPr>
          <w:p w:rsidR="00400E42" w:rsidRPr="002F3648" w:rsidRDefault="00400E42" w:rsidP="00A92FFC">
            <w:pPr>
              <w:jc w:val="center"/>
              <w:rPr>
                <w:rFonts w:ascii="Calibri" w:hAnsi="Calibri"/>
                <w:szCs w:val="22"/>
              </w:rPr>
            </w:pPr>
            <w:r w:rsidRPr="002F3648">
              <w:rPr>
                <w:rFonts w:ascii="Calibri" w:hAnsi="Calibri"/>
                <w:sz w:val="22"/>
                <w:szCs w:val="22"/>
              </w:rPr>
              <w:t>59</w:t>
            </w:r>
          </w:p>
        </w:tc>
        <w:tc>
          <w:tcPr>
            <w:tcW w:w="1830" w:type="dxa"/>
          </w:tcPr>
          <w:p w:rsidR="00400E42" w:rsidRPr="002F3648" w:rsidRDefault="00400E42" w:rsidP="00A92FFC">
            <w:pPr>
              <w:jc w:val="center"/>
              <w:rPr>
                <w:rFonts w:ascii="Calibri" w:hAnsi="Calibri" w:cs="Arial"/>
                <w:szCs w:val="22"/>
              </w:rPr>
            </w:pPr>
            <w:r>
              <w:rPr>
                <w:rFonts w:ascii="Calibri" w:hAnsi="Calibri" w:cs="Arial"/>
                <w:sz w:val="22"/>
                <w:szCs w:val="22"/>
              </w:rPr>
              <w:t>160.3</w:t>
            </w:r>
          </w:p>
        </w:tc>
        <w:tc>
          <w:tcPr>
            <w:tcW w:w="1659" w:type="dxa"/>
          </w:tcPr>
          <w:p w:rsidR="00400E42" w:rsidRPr="002F3648" w:rsidRDefault="00400E42" w:rsidP="00A92FFC">
            <w:pPr>
              <w:jc w:val="center"/>
              <w:rPr>
                <w:rFonts w:ascii="Calibri" w:hAnsi="Calibri" w:cs="Arial"/>
                <w:szCs w:val="22"/>
              </w:rPr>
            </w:pPr>
            <w:r w:rsidRPr="002F3648">
              <w:rPr>
                <w:rFonts w:ascii="Calibri" w:hAnsi="Calibri" w:cs="Arial"/>
                <w:sz w:val="22"/>
                <w:szCs w:val="22"/>
              </w:rPr>
              <w:t>33</w:t>
            </w:r>
          </w:p>
        </w:tc>
        <w:tc>
          <w:tcPr>
            <w:tcW w:w="1659" w:type="dxa"/>
          </w:tcPr>
          <w:p w:rsidR="00400E42" w:rsidRPr="002F3648" w:rsidRDefault="00400E42" w:rsidP="00A92FFC">
            <w:pPr>
              <w:jc w:val="center"/>
              <w:rPr>
                <w:rFonts w:ascii="Calibri" w:hAnsi="Calibri" w:cs="Arial"/>
                <w:szCs w:val="22"/>
              </w:rPr>
            </w:pPr>
            <w:r>
              <w:rPr>
                <w:rFonts w:ascii="Calibri" w:hAnsi="Calibri" w:cs="Arial"/>
                <w:sz w:val="22"/>
                <w:szCs w:val="22"/>
              </w:rPr>
              <w:t>148.5</w:t>
            </w:r>
          </w:p>
        </w:tc>
      </w:tr>
      <w:tr w:rsidR="00400E42" w:rsidRPr="002F3648" w:rsidTr="00D13587">
        <w:trPr>
          <w:jc w:val="center"/>
        </w:trPr>
        <w:tc>
          <w:tcPr>
            <w:tcW w:w="1845" w:type="dxa"/>
            <w:vAlign w:val="bottom"/>
          </w:tcPr>
          <w:p w:rsidR="00400E42" w:rsidRPr="002F3648" w:rsidRDefault="00400E42" w:rsidP="00A92FFC">
            <w:pPr>
              <w:rPr>
                <w:rFonts w:ascii="Calibri" w:hAnsi="Calibri" w:cs="Arial"/>
                <w:szCs w:val="22"/>
              </w:rPr>
            </w:pPr>
            <w:r w:rsidRPr="002F3648">
              <w:rPr>
                <w:rFonts w:ascii="Calibri" w:hAnsi="Calibri" w:cs="Arial"/>
                <w:sz w:val="22"/>
                <w:szCs w:val="22"/>
              </w:rPr>
              <w:t>6-12 months</w:t>
            </w:r>
          </w:p>
        </w:tc>
        <w:tc>
          <w:tcPr>
            <w:tcW w:w="1863" w:type="dxa"/>
          </w:tcPr>
          <w:p w:rsidR="00400E42" w:rsidRPr="002F3648" w:rsidRDefault="00400E42" w:rsidP="00A92FFC">
            <w:pPr>
              <w:jc w:val="center"/>
              <w:rPr>
                <w:rFonts w:ascii="Calibri" w:hAnsi="Calibri"/>
                <w:szCs w:val="22"/>
              </w:rPr>
            </w:pPr>
            <w:r w:rsidRPr="002F3648">
              <w:rPr>
                <w:rFonts w:ascii="Calibri" w:hAnsi="Calibri"/>
                <w:sz w:val="22"/>
                <w:szCs w:val="22"/>
              </w:rPr>
              <w:t>63</w:t>
            </w:r>
          </w:p>
        </w:tc>
        <w:tc>
          <w:tcPr>
            <w:tcW w:w="1830" w:type="dxa"/>
          </w:tcPr>
          <w:p w:rsidR="00400E42" w:rsidRPr="002F3648" w:rsidRDefault="00400E42" w:rsidP="00A92FFC">
            <w:pPr>
              <w:jc w:val="center"/>
              <w:rPr>
                <w:rFonts w:ascii="Calibri" w:hAnsi="Calibri" w:cs="Arial"/>
                <w:szCs w:val="22"/>
              </w:rPr>
            </w:pPr>
            <w:r>
              <w:rPr>
                <w:rFonts w:ascii="Calibri" w:hAnsi="Calibri" w:cs="Arial"/>
                <w:sz w:val="22"/>
                <w:szCs w:val="22"/>
              </w:rPr>
              <w:t>116.9</w:t>
            </w:r>
          </w:p>
        </w:tc>
        <w:tc>
          <w:tcPr>
            <w:tcW w:w="1659" w:type="dxa"/>
          </w:tcPr>
          <w:p w:rsidR="00400E42" w:rsidRPr="002F3648" w:rsidRDefault="00400E42" w:rsidP="00A92FFC">
            <w:pPr>
              <w:jc w:val="center"/>
              <w:rPr>
                <w:rFonts w:ascii="Calibri" w:hAnsi="Calibri" w:cs="Arial"/>
                <w:szCs w:val="22"/>
              </w:rPr>
            </w:pPr>
            <w:r w:rsidRPr="002F3648">
              <w:rPr>
                <w:rFonts w:ascii="Calibri" w:hAnsi="Calibri" w:cs="Arial"/>
                <w:sz w:val="22"/>
                <w:szCs w:val="22"/>
              </w:rPr>
              <w:t>26</w:t>
            </w:r>
          </w:p>
        </w:tc>
        <w:tc>
          <w:tcPr>
            <w:tcW w:w="1659" w:type="dxa"/>
          </w:tcPr>
          <w:p w:rsidR="00400E42" w:rsidRPr="002F3648" w:rsidRDefault="00400E42" w:rsidP="00A92FFC">
            <w:pPr>
              <w:jc w:val="center"/>
              <w:rPr>
                <w:rFonts w:ascii="Calibri" w:hAnsi="Calibri" w:cs="Arial"/>
                <w:szCs w:val="22"/>
              </w:rPr>
            </w:pPr>
            <w:r>
              <w:rPr>
                <w:rFonts w:ascii="Calibri" w:hAnsi="Calibri" w:cs="Arial"/>
                <w:sz w:val="22"/>
                <w:szCs w:val="22"/>
              </w:rPr>
              <w:t>115.5</w:t>
            </w:r>
          </w:p>
        </w:tc>
      </w:tr>
      <w:tr w:rsidR="00400E42" w:rsidRPr="002F3648" w:rsidTr="00D13587">
        <w:trPr>
          <w:jc w:val="center"/>
        </w:trPr>
        <w:tc>
          <w:tcPr>
            <w:tcW w:w="1845" w:type="dxa"/>
            <w:vAlign w:val="bottom"/>
          </w:tcPr>
          <w:p w:rsidR="00400E42" w:rsidRPr="002F3648" w:rsidRDefault="00400E42" w:rsidP="00A92FFC">
            <w:pPr>
              <w:rPr>
                <w:rFonts w:ascii="Calibri" w:hAnsi="Calibri" w:cs="Arial"/>
                <w:szCs w:val="22"/>
              </w:rPr>
            </w:pPr>
            <w:r w:rsidRPr="002F3648">
              <w:rPr>
                <w:rFonts w:ascii="Calibri" w:hAnsi="Calibri" w:cs="Arial"/>
                <w:sz w:val="22"/>
                <w:szCs w:val="22"/>
              </w:rPr>
              <w:t>12-24 months</w:t>
            </w:r>
          </w:p>
        </w:tc>
        <w:tc>
          <w:tcPr>
            <w:tcW w:w="1863" w:type="dxa"/>
          </w:tcPr>
          <w:p w:rsidR="00400E42" w:rsidRPr="002F3648" w:rsidRDefault="00400E42" w:rsidP="00A92FFC">
            <w:pPr>
              <w:jc w:val="center"/>
              <w:rPr>
                <w:rFonts w:ascii="Calibri" w:hAnsi="Calibri"/>
                <w:szCs w:val="22"/>
              </w:rPr>
            </w:pPr>
            <w:r w:rsidRPr="002F3648">
              <w:rPr>
                <w:rFonts w:ascii="Calibri" w:hAnsi="Calibri"/>
                <w:sz w:val="22"/>
                <w:szCs w:val="22"/>
              </w:rPr>
              <w:t>37</w:t>
            </w:r>
          </w:p>
        </w:tc>
        <w:tc>
          <w:tcPr>
            <w:tcW w:w="1830" w:type="dxa"/>
          </w:tcPr>
          <w:p w:rsidR="00400E42" w:rsidRPr="002F3648" w:rsidRDefault="00400E42" w:rsidP="00A92FFC">
            <w:pPr>
              <w:jc w:val="center"/>
              <w:rPr>
                <w:rFonts w:ascii="Calibri" w:hAnsi="Calibri" w:cs="Arial"/>
                <w:szCs w:val="22"/>
              </w:rPr>
            </w:pPr>
            <w:r>
              <w:rPr>
                <w:rFonts w:ascii="Calibri" w:hAnsi="Calibri" w:cs="Arial"/>
                <w:sz w:val="22"/>
                <w:szCs w:val="22"/>
              </w:rPr>
              <w:t>75.6</w:t>
            </w:r>
          </w:p>
        </w:tc>
        <w:tc>
          <w:tcPr>
            <w:tcW w:w="1659" w:type="dxa"/>
          </w:tcPr>
          <w:p w:rsidR="00400E42" w:rsidRPr="002F3648" w:rsidRDefault="00400E42" w:rsidP="00A92FFC">
            <w:pPr>
              <w:jc w:val="center"/>
              <w:rPr>
                <w:rFonts w:ascii="Calibri" w:hAnsi="Calibri" w:cs="Arial"/>
                <w:szCs w:val="22"/>
              </w:rPr>
            </w:pPr>
            <w:r w:rsidRPr="002F3648">
              <w:rPr>
                <w:rFonts w:ascii="Calibri" w:hAnsi="Calibri" w:cs="Arial"/>
                <w:sz w:val="22"/>
                <w:szCs w:val="22"/>
              </w:rPr>
              <w:t>13</w:t>
            </w:r>
          </w:p>
        </w:tc>
        <w:tc>
          <w:tcPr>
            <w:tcW w:w="1659" w:type="dxa"/>
          </w:tcPr>
          <w:p w:rsidR="00400E42" w:rsidRPr="002F3648" w:rsidRDefault="00400E42" w:rsidP="00A92FFC">
            <w:pPr>
              <w:jc w:val="center"/>
              <w:rPr>
                <w:rFonts w:ascii="Calibri" w:hAnsi="Calibri" w:cs="Arial"/>
                <w:szCs w:val="22"/>
              </w:rPr>
            </w:pPr>
            <w:r>
              <w:rPr>
                <w:rFonts w:ascii="Calibri" w:hAnsi="Calibri" w:cs="Arial"/>
                <w:sz w:val="22"/>
                <w:szCs w:val="22"/>
              </w:rPr>
              <w:t>69.6</w:t>
            </w:r>
          </w:p>
        </w:tc>
      </w:tr>
    </w:tbl>
    <w:p w:rsidR="00400E42" w:rsidRDefault="00400E42" w:rsidP="00400E42">
      <w:pPr>
        <w:spacing w:line="480" w:lineRule="auto"/>
        <w:rPr>
          <w:rFonts w:ascii="Calibri" w:hAnsi="Calibri"/>
          <w:sz w:val="22"/>
          <w:szCs w:val="22"/>
        </w:rPr>
      </w:pPr>
    </w:p>
    <w:p w:rsidR="00400E42" w:rsidRDefault="00400E42" w:rsidP="002D6E20">
      <w:pPr>
        <w:pStyle w:val="PBody"/>
        <w:rPr>
          <w:color w:val="000000"/>
        </w:rPr>
      </w:pPr>
      <w:r w:rsidRPr="001B2897">
        <w:t xml:space="preserve">A logistic regression was also conducted on all deaths and opioid-related deaths and the following variables were included in the model: </w:t>
      </w:r>
      <w:r w:rsidRPr="001B2897">
        <w:rPr>
          <w:color w:val="000000"/>
        </w:rPr>
        <w:t>age at death or at December 2014, gender, race, and 2 variables to describe the periods of incarceration: the cumulative number of days spent in jail (≤1 month vs. &gt;1 month) and the frequency of incarceration.  Although, not a high R</w:t>
      </w:r>
      <w:r w:rsidRPr="001B2897">
        <w:rPr>
          <w:color w:val="000000"/>
          <w:vertAlign w:val="superscript"/>
        </w:rPr>
        <w:t>2</w:t>
      </w:r>
      <w:r w:rsidRPr="001B2897">
        <w:rPr>
          <w:color w:val="000000"/>
        </w:rPr>
        <w:t xml:space="preserve"> (20%), it is worth highlighting that age was a significant predictor.  </w:t>
      </w:r>
      <w:r w:rsidRPr="001B2897">
        <w:rPr>
          <w:rFonts w:cs="Arial"/>
          <w:color w:val="000000"/>
        </w:rPr>
        <w:t>The youngest at the time of release were most at risk: former inmates</w:t>
      </w:r>
      <w:r w:rsidRPr="001B2897">
        <w:rPr>
          <w:color w:val="000000"/>
        </w:rPr>
        <w:t xml:space="preserve"> 18-24 years of age were almost 10 times more likely to die from an opioid-related overdose than any those that were 45 years and older</w:t>
      </w:r>
      <w:r w:rsidR="00301E0D" w:rsidRPr="001B2897">
        <w:rPr>
          <w:color w:val="000000"/>
        </w:rPr>
        <w:t>.  L</w:t>
      </w:r>
      <w:r w:rsidRPr="001B2897">
        <w:rPr>
          <w:color w:val="000000"/>
        </w:rPr>
        <w:t xml:space="preserve">ikewise, former inmates that were 25-35 and 35-44 years </w:t>
      </w:r>
      <w:r w:rsidRPr="001B2897">
        <w:rPr>
          <w:color w:val="000000"/>
        </w:rPr>
        <w:lastRenderedPageBreak/>
        <w:t>of age</w:t>
      </w:r>
      <w:r>
        <w:rPr>
          <w:color w:val="000000"/>
        </w:rPr>
        <w:t xml:space="preserve"> were 4 times  more likely to die from an opioid-related overdose than any those that were 45 years and older.</w:t>
      </w:r>
    </w:p>
    <w:p w:rsidR="00400E42" w:rsidRDefault="00400E42" w:rsidP="00400E42">
      <w:pPr>
        <w:spacing w:line="480" w:lineRule="auto"/>
        <w:rPr>
          <w:rFonts w:ascii="Calibri" w:hAnsi="Calibri"/>
          <w:color w:val="000000"/>
          <w:sz w:val="22"/>
          <w:szCs w:val="22"/>
        </w:rPr>
      </w:pP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2099"/>
        <w:gridCol w:w="1841"/>
        <w:gridCol w:w="1842"/>
      </w:tblGrid>
      <w:tr w:rsidR="00400E42" w:rsidRPr="002F3648" w:rsidTr="00A92FFC">
        <w:trPr>
          <w:trHeight w:val="500"/>
          <w:jc w:val="center"/>
        </w:trPr>
        <w:tc>
          <w:tcPr>
            <w:tcW w:w="8399" w:type="dxa"/>
            <w:gridSpan w:val="4"/>
          </w:tcPr>
          <w:p w:rsidR="00400E42" w:rsidRPr="002F3648" w:rsidRDefault="00400E42" w:rsidP="00C33429">
            <w:pPr>
              <w:jc w:val="center"/>
              <w:rPr>
                <w:rFonts w:ascii="Calibri" w:hAnsi="Calibri"/>
                <w:b/>
                <w:szCs w:val="22"/>
              </w:rPr>
            </w:pPr>
            <w:r w:rsidRPr="002F3648">
              <w:rPr>
                <w:rFonts w:ascii="Calibri" w:hAnsi="Calibri"/>
                <w:b/>
                <w:sz w:val="22"/>
                <w:szCs w:val="22"/>
              </w:rPr>
              <w:t xml:space="preserve">Table </w:t>
            </w:r>
            <w:r>
              <w:rPr>
                <w:rFonts w:ascii="Calibri" w:hAnsi="Calibri"/>
                <w:b/>
                <w:sz w:val="22"/>
                <w:szCs w:val="22"/>
              </w:rPr>
              <w:t>KEY4.</w:t>
            </w:r>
            <w:r w:rsidRPr="002F3648">
              <w:rPr>
                <w:rFonts w:ascii="Calibri" w:hAnsi="Calibri"/>
                <w:b/>
                <w:sz w:val="22"/>
                <w:szCs w:val="22"/>
              </w:rPr>
              <w:t>3: Odds R</w:t>
            </w:r>
            <w:r w:rsidR="0050537B">
              <w:rPr>
                <w:rFonts w:ascii="Calibri" w:hAnsi="Calibri"/>
                <w:b/>
                <w:sz w:val="22"/>
                <w:szCs w:val="22"/>
              </w:rPr>
              <w:t>atios for Opioid Overdoses (</w:t>
            </w:r>
            <w:r w:rsidRPr="002F3648">
              <w:rPr>
                <w:rFonts w:ascii="Calibri" w:hAnsi="Calibri"/>
                <w:b/>
                <w:sz w:val="22"/>
                <w:szCs w:val="22"/>
              </w:rPr>
              <w:t>2013-2014</w:t>
            </w:r>
            <w:r w:rsidR="0050537B">
              <w:rPr>
                <w:rFonts w:ascii="Calibri" w:hAnsi="Calibri"/>
                <w:b/>
                <w:sz w:val="22"/>
                <w:szCs w:val="22"/>
              </w:rPr>
              <w:t>)</w:t>
            </w:r>
          </w:p>
          <w:p w:rsidR="00400E42" w:rsidRPr="002F3648" w:rsidRDefault="00400E42" w:rsidP="00C33429">
            <w:pPr>
              <w:jc w:val="center"/>
              <w:rPr>
                <w:rFonts w:ascii="Calibri" w:hAnsi="Calibri"/>
                <w:szCs w:val="22"/>
              </w:rPr>
            </w:pPr>
          </w:p>
        </w:tc>
      </w:tr>
      <w:tr w:rsidR="00400E42" w:rsidRPr="002F3648" w:rsidTr="00A92FFC">
        <w:trPr>
          <w:trHeight w:val="491"/>
          <w:jc w:val="center"/>
        </w:trPr>
        <w:tc>
          <w:tcPr>
            <w:tcW w:w="2618" w:type="dxa"/>
          </w:tcPr>
          <w:p w:rsidR="00400E42" w:rsidRPr="002F3648" w:rsidRDefault="00400E42" w:rsidP="00C33429">
            <w:pPr>
              <w:rPr>
                <w:rFonts w:ascii="Calibri" w:hAnsi="Calibri" w:cs="Arial"/>
                <w:b/>
                <w:bCs/>
                <w:szCs w:val="22"/>
              </w:rPr>
            </w:pPr>
            <w:r w:rsidRPr="002F3648">
              <w:rPr>
                <w:rFonts w:ascii="Calibri" w:hAnsi="Calibri" w:cs="Arial"/>
                <w:b/>
                <w:bCs/>
                <w:sz w:val="22"/>
                <w:szCs w:val="22"/>
              </w:rPr>
              <w:t>Effect</w:t>
            </w:r>
          </w:p>
        </w:tc>
        <w:tc>
          <w:tcPr>
            <w:tcW w:w="2099" w:type="dxa"/>
          </w:tcPr>
          <w:p w:rsidR="00400E42" w:rsidRPr="002F3648" w:rsidRDefault="00400E42" w:rsidP="00C33429">
            <w:pPr>
              <w:jc w:val="center"/>
              <w:rPr>
                <w:rFonts w:ascii="Calibri" w:hAnsi="Calibri" w:cs="Arial"/>
                <w:b/>
                <w:bCs/>
                <w:szCs w:val="22"/>
              </w:rPr>
            </w:pPr>
            <w:r w:rsidRPr="002F3648">
              <w:rPr>
                <w:rFonts w:ascii="Calibri" w:hAnsi="Calibri" w:cs="Arial"/>
                <w:b/>
                <w:bCs/>
                <w:sz w:val="22"/>
                <w:szCs w:val="22"/>
              </w:rPr>
              <w:t>Point Estimate</w:t>
            </w:r>
          </w:p>
        </w:tc>
        <w:tc>
          <w:tcPr>
            <w:tcW w:w="3683" w:type="dxa"/>
            <w:gridSpan w:val="2"/>
          </w:tcPr>
          <w:p w:rsidR="00400E42" w:rsidRPr="002F3648" w:rsidRDefault="00400E42" w:rsidP="00C33429">
            <w:pPr>
              <w:jc w:val="center"/>
              <w:rPr>
                <w:rFonts w:ascii="Calibri" w:hAnsi="Calibri"/>
                <w:szCs w:val="22"/>
              </w:rPr>
            </w:pPr>
            <w:r w:rsidRPr="002F3648">
              <w:rPr>
                <w:rFonts w:ascii="Calibri" w:hAnsi="Calibri" w:cs="Arial"/>
                <w:b/>
                <w:bCs/>
                <w:sz w:val="22"/>
                <w:szCs w:val="22"/>
              </w:rPr>
              <w:t xml:space="preserve">95% </w:t>
            </w:r>
            <w:r w:rsidRPr="002F3648">
              <w:rPr>
                <w:rFonts w:ascii="Calibri" w:hAnsi="Calibri" w:cs="Arial"/>
                <w:b/>
                <w:bCs/>
                <w:sz w:val="22"/>
                <w:szCs w:val="22"/>
              </w:rPr>
              <w:br/>
              <w:t>Confidence Limits</w:t>
            </w:r>
          </w:p>
        </w:tc>
      </w:tr>
      <w:tr w:rsidR="00400E42" w:rsidRPr="002F3648" w:rsidTr="00A92FFC">
        <w:trPr>
          <w:trHeight w:val="250"/>
          <w:jc w:val="center"/>
        </w:trPr>
        <w:tc>
          <w:tcPr>
            <w:tcW w:w="2618" w:type="dxa"/>
          </w:tcPr>
          <w:p w:rsidR="00400E42" w:rsidRPr="002F3648" w:rsidRDefault="00400E42" w:rsidP="00C33429">
            <w:pPr>
              <w:rPr>
                <w:rFonts w:ascii="Calibri" w:hAnsi="Calibri" w:cs="Arial"/>
                <w:b/>
                <w:bCs/>
                <w:szCs w:val="22"/>
              </w:rPr>
            </w:pPr>
            <w:r w:rsidRPr="002F3648">
              <w:rPr>
                <w:rFonts w:ascii="Calibri" w:hAnsi="Calibri" w:cs="Arial"/>
                <w:b/>
                <w:bCs/>
                <w:sz w:val="22"/>
                <w:szCs w:val="22"/>
              </w:rPr>
              <w:t>Male vs. Female</w:t>
            </w:r>
          </w:p>
        </w:tc>
        <w:tc>
          <w:tcPr>
            <w:tcW w:w="2099"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0.8</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0.5</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1.4</w:t>
            </w:r>
          </w:p>
        </w:tc>
      </w:tr>
      <w:tr w:rsidR="00400E42" w:rsidRPr="002F3648" w:rsidTr="00A92FFC">
        <w:trPr>
          <w:trHeight w:val="250"/>
          <w:jc w:val="center"/>
        </w:trPr>
        <w:tc>
          <w:tcPr>
            <w:tcW w:w="2618" w:type="dxa"/>
          </w:tcPr>
          <w:p w:rsidR="00400E42" w:rsidRPr="002F3648" w:rsidRDefault="00400E42" w:rsidP="00C33429">
            <w:pPr>
              <w:rPr>
                <w:rFonts w:ascii="Calibri" w:hAnsi="Calibri" w:cs="Arial"/>
                <w:b/>
                <w:bCs/>
                <w:szCs w:val="22"/>
              </w:rPr>
            </w:pPr>
          </w:p>
        </w:tc>
        <w:tc>
          <w:tcPr>
            <w:tcW w:w="2099" w:type="dxa"/>
          </w:tcPr>
          <w:p w:rsidR="00400E42" w:rsidRPr="002F3648" w:rsidRDefault="00400E42" w:rsidP="00C33429">
            <w:pPr>
              <w:jc w:val="center"/>
              <w:rPr>
                <w:rFonts w:ascii="Calibri" w:hAnsi="Calibri" w:cs="Arial"/>
                <w:szCs w:val="22"/>
              </w:rPr>
            </w:pPr>
          </w:p>
        </w:tc>
        <w:tc>
          <w:tcPr>
            <w:tcW w:w="1841" w:type="dxa"/>
          </w:tcPr>
          <w:p w:rsidR="00400E42" w:rsidRPr="002F3648" w:rsidRDefault="00400E42" w:rsidP="00C33429">
            <w:pPr>
              <w:jc w:val="center"/>
              <w:rPr>
                <w:rFonts w:ascii="Calibri" w:hAnsi="Calibri" w:cs="Arial"/>
                <w:szCs w:val="22"/>
              </w:rPr>
            </w:pPr>
          </w:p>
        </w:tc>
        <w:tc>
          <w:tcPr>
            <w:tcW w:w="1841" w:type="dxa"/>
          </w:tcPr>
          <w:p w:rsidR="00400E42" w:rsidRPr="002F3648" w:rsidRDefault="00400E42" w:rsidP="00C33429">
            <w:pPr>
              <w:jc w:val="center"/>
              <w:rPr>
                <w:rFonts w:ascii="Calibri" w:hAnsi="Calibri" w:cs="Arial"/>
                <w:szCs w:val="22"/>
              </w:rPr>
            </w:pPr>
          </w:p>
        </w:tc>
      </w:tr>
      <w:tr w:rsidR="00400E42" w:rsidRPr="002F3648" w:rsidTr="00A92FFC">
        <w:trPr>
          <w:trHeight w:val="250"/>
          <w:jc w:val="center"/>
        </w:trPr>
        <w:tc>
          <w:tcPr>
            <w:tcW w:w="2618" w:type="dxa"/>
          </w:tcPr>
          <w:p w:rsidR="00400E42" w:rsidRPr="002F3648" w:rsidRDefault="00400E42" w:rsidP="00C33429">
            <w:pPr>
              <w:rPr>
                <w:rFonts w:ascii="Calibri" w:hAnsi="Calibri" w:cs="Arial"/>
                <w:b/>
                <w:bCs/>
                <w:szCs w:val="22"/>
              </w:rPr>
            </w:pPr>
            <w:r w:rsidRPr="002F3648">
              <w:rPr>
                <w:rFonts w:ascii="Calibri" w:hAnsi="Calibri" w:cs="Courier New"/>
                <w:b/>
                <w:bCs/>
                <w:sz w:val="22"/>
                <w:szCs w:val="22"/>
                <w:shd w:val="clear" w:color="auto" w:fill="FFFFFF"/>
              </w:rPr>
              <w:t xml:space="preserve">18-24 </w:t>
            </w:r>
            <w:r w:rsidRPr="002F3648">
              <w:rPr>
                <w:rFonts w:ascii="Calibri" w:hAnsi="Calibri" w:cs="Arial"/>
                <w:b/>
                <w:bCs/>
                <w:sz w:val="22"/>
                <w:szCs w:val="22"/>
              </w:rPr>
              <w:t>vs. 45+</w:t>
            </w:r>
          </w:p>
        </w:tc>
        <w:tc>
          <w:tcPr>
            <w:tcW w:w="2099"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9.4</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3.0</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29.5</w:t>
            </w:r>
          </w:p>
        </w:tc>
      </w:tr>
      <w:tr w:rsidR="00400E42" w:rsidRPr="002F3648" w:rsidTr="00A92FFC">
        <w:trPr>
          <w:trHeight w:val="250"/>
          <w:jc w:val="center"/>
        </w:trPr>
        <w:tc>
          <w:tcPr>
            <w:tcW w:w="2618" w:type="dxa"/>
          </w:tcPr>
          <w:p w:rsidR="00400E42" w:rsidRPr="002F3648" w:rsidRDefault="00400E42" w:rsidP="00C33429">
            <w:pPr>
              <w:rPr>
                <w:rFonts w:ascii="Calibri" w:hAnsi="Calibri" w:cs="Arial"/>
                <w:b/>
                <w:bCs/>
                <w:szCs w:val="22"/>
              </w:rPr>
            </w:pPr>
            <w:r w:rsidRPr="002F3648">
              <w:rPr>
                <w:rFonts w:ascii="Calibri" w:hAnsi="Calibri" w:cs="Arial"/>
                <w:b/>
                <w:bCs/>
                <w:sz w:val="22"/>
                <w:szCs w:val="22"/>
              </w:rPr>
              <w:t>25-35 vs. 45+ years</w:t>
            </w:r>
          </w:p>
        </w:tc>
        <w:tc>
          <w:tcPr>
            <w:tcW w:w="2099"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3.9</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2.0</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7.6</w:t>
            </w:r>
          </w:p>
        </w:tc>
      </w:tr>
      <w:tr w:rsidR="00400E42" w:rsidRPr="002F3648" w:rsidTr="00A92FFC">
        <w:trPr>
          <w:trHeight w:val="250"/>
          <w:jc w:val="center"/>
        </w:trPr>
        <w:tc>
          <w:tcPr>
            <w:tcW w:w="2618" w:type="dxa"/>
          </w:tcPr>
          <w:p w:rsidR="00400E42" w:rsidRPr="002F3648" w:rsidRDefault="00400E42" w:rsidP="00C33429">
            <w:pPr>
              <w:rPr>
                <w:rFonts w:ascii="Calibri" w:hAnsi="Calibri" w:cs="Arial"/>
                <w:b/>
                <w:bCs/>
                <w:szCs w:val="22"/>
              </w:rPr>
            </w:pPr>
            <w:r w:rsidRPr="002F3648">
              <w:rPr>
                <w:rFonts w:ascii="Calibri" w:hAnsi="Calibri" w:cs="Arial"/>
                <w:b/>
                <w:bCs/>
                <w:sz w:val="22"/>
                <w:szCs w:val="22"/>
              </w:rPr>
              <w:t>35-44 vs. 45+ years</w:t>
            </w:r>
          </w:p>
        </w:tc>
        <w:tc>
          <w:tcPr>
            <w:tcW w:w="2099"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3.5</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1.6</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7.6</w:t>
            </w:r>
          </w:p>
        </w:tc>
      </w:tr>
      <w:tr w:rsidR="00400E42" w:rsidRPr="002F3648" w:rsidTr="00A92FFC">
        <w:trPr>
          <w:trHeight w:val="250"/>
          <w:jc w:val="center"/>
        </w:trPr>
        <w:tc>
          <w:tcPr>
            <w:tcW w:w="2618" w:type="dxa"/>
          </w:tcPr>
          <w:p w:rsidR="00400E42" w:rsidRPr="002F3648" w:rsidRDefault="00400E42" w:rsidP="00C33429">
            <w:pPr>
              <w:rPr>
                <w:rFonts w:ascii="Calibri" w:hAnsi="Calibri" w:cs="Arial"/>
                <w:b/>
                <w:bCs/>
                <w:szCs w:val="22"/>
              </w:rPr>
            </w:pPr>
          </w:p>
        </w:tc>
        <w:tc>
          <w:tcPr>
            <w:tcW w:w="2099" w:type="dxa"/>
          </w:tcPr>
          <w:p w:rsidR="00400E42" w:rsidRPr="002F3648" w:rsidRDefault="00400E42" w:rsidP="00C33429">
            <w:pPr>
              <w:jc w:val="center"/>
              <w:rPr>
                <w:rFonts w:ascii="Calibri" w:hAnsi="Calibri" w:cs="Arial"/>
                <w:szCs w:val="22"/>
              </w:rPr>
            </w:pPr>
          </w:p>
        </w:tc>
        <w:tc>
          <w:tcPr>
            <w:tcW w:w="1841" w:type="dxa"/>
          </w:tcPr>
          <w:p w:rsidR="00400E42" w:rsidRPr="002F3648" w:rsidRDefault="00400E42" w:rsidP="00C33429">
            <w:pPr>
              <w:jc w:val="center"/>
              <w:rPr>
                <w:rFonts w:ascii="Calibri" w:hAnsi="Calibri" w:cs="Arial"/>
                <w:szCs w:val="22"/>
              </w:rPr>
            </w:pPr>
          </w:p>
        </w:tc>
        <w:tc>
          <w:tcPr>
            <w:tcW w:w="1841" w:type="dxa"/>
          </w:tcPr>
          <w:p w:rsidR="00400E42" w:rsidRPr="002F3648" w:rsidRDefault="00400E42" w:rsidP="00C33429">
            <w:pPr>
              <w:jc w:val="center"/>
              <w:rPr>
                <w:rFonts w:ascii="Calibri" w:hAnsi="Calibri" w:cs="Arial"/>
                <w:szCs w:val="22"/>
              </w:rPr>
            </w:pPr>
          </w:p>
        </w:tc>
      </w:tr>
      <w:tr w:rsidR="00400E42" w:rsidRPr="002F3648" w:rsidTr="00A92FFC">
        <w:trPr>
          <w:trHeight w:val="476"/>
          <w:jc w:val="center"/>
        </w:trPr>
        <w:tc>
          <w:tcPr>
            <w:tcW w:w="2618" w:type="dxa"/>
          </w:tcPr>
          <w:p w:rsidR="00400E42" w:rsidRPr="002F3648" w:rsidRDefault="00400E42" w:rsidP="00C33429">
            <w:pPr>
              <w:rPr>
                <w:rFonts w:ascii="Calibri" w:hAnsi="Calibri" w:cs="Arial"/>
                <w:b/>
                <w:bCs/>
                <w:szCs w:val="22"/>
              </w:rPr>
            </w:pPr>
            <w:r w:rsidRPr="002F3648">
              <w:rPr>
                <w:rFonts w:ascii="Calibri" w:hAnsi="Calibri" w:cs="Arial"/>
                <w:b/>
                <w:bCs/>
                <w:sz w:val="22"/>
                <w:szCs w:val="22"/>
              </w:rPr>
              <w:t>White non-Hispanics vs. All others</w:t>
            </w:r>
          </w:p>
        </w:tc>
        <w:tc>
          <w:tcPr>
            <w:tcW w:w="2099"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1.7</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0.3</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8.8</w:t>
            </w:r>
          </w:p>
        </w:tc>
      </w:tr>
      <w:tr w:rsidR="00400E42" w:rsidRPr="002F3648" w:rsidTr="00A92FFC">
        <w:trPr>
          <w:trHeight w:val="250"/>
          <w:jc w:val="center"/>
        </w:trPr>
        <w:tc>
          <w:tcPr>
            <w:tcW w:w="2618" w:type="dxa"/>
          </w:tcPr>
          <w:p w:rsidR="00400E42" w:rsidRPr="002F3648" w:rsidRDefault="00400E42" w:rsidP="00C33429">
            <w:pPr>
              <w:rPr>
                <w:rFonts w:ascii="Calibri" w:hAnsi="Calibri" w:cs="Arial"/>
                <w:b/>
                <w:bCs/>
                <w:szCs w:val="22"/>
              </w:rPr>
            </w:pPr>
          </w:p>
        </w:tc>
        <w:tc>
          <w:tcPr>
            <w:tcW w:w="2099" w:type="dxa"/>
          </w:tcPr>
          <w:p w:rsidR="00400E42" w:rsidRPr="002F3648" w:rsidRDefault="00400E42" w:rsidP="00C33429">
            <w:pPr>
              <w:jc w:val="center"/>
              <w:rPr>
                <w:rFonts w:ascii="Calibri" w:hAnsi="Calibri" w:cs="Arial"/>
                <w:szCs w:val="22"/>
              </w:rPr>
            </w:pPr>
          </w:p>
        </w:tc>
        <w:tc>
          <w:tcPr>
            <w:tcW w:w="1841" w:type="dxa"/>
          </w:tcPr>
          <w:p w:rsidR="00400E42" w:rsidRPr="002F3648" w:rsidRDefault="00400E42" w:rsidP="00C33429">
            <w:pPr>
              <w:jc w:val="center"/>
              <w:rPr>
                <w:rFonts w:ascii="Calibri" w:hAnsi="Calibri" w:cs="Arial"/>
                <w:szCs w:val="22"/>
              </w:rPr>
            </w:pPr>
          </w:p>
        </w:tc>
        <w:tc>
          <w:tcPr>
            <w:tcW w:w="1841" w:type="dxa"/>
          </w:tcPr>
          <w:p w:rsidR="00400E42" w:rsidRPr="002F3648" w:rsidRDefault="00400E42" w:rsidP="00C33429">
            <w:pPr>
              <w:jc w:val="center"/>
              <w:rPr>
                <w:rFonts w:ascii="Calibri" w:hAnsi="Calibri" w:cs="Arial"/>
                <w:szCs w:val="22"/>
              </w:rPr>
            </w:pPr>
          </w:p>
        </w:tc>
      </w:tr>
      <w:tr w:rsidR="00400E42" w:rsidRPr="002F3648" w:rsidTr="00A92FFC">
        <w:trPr>
          <w:trHeight w:val="260"/>
          <w:jc w:val="center"/>
        </w:trPr>
        <w:tc>
          <w:tcPr>
            <w:tcW w:w="2618" w:type="dxa"/>
          </w:tcPr>
          <w:p w:rsidR="00400E42" w:rsidRPr="002F3648" w:rsidRDefault="00400E42" w:rsidP="00C33429">
            <w:pPr>
              <w:rPr>
                <w:rFonts w:ascii="Calibri" w:hAnsi="Calibri" w:cs="Arial"/>
                <w:b/>
                <w:bCs/>
                <w:szCs w:val="22"/>
              </w:rPr>
            </w:pPr>
            <w:r w:rsidRPr="002F3648">
              <w:rPr>
                <w:rFonts w:ascii="Calibri" w:hAnsi="Calibri" w:cs="Arial"/>
                <w:b/>
                <w:bCs/>
                <w:sz w:val="22"/>
                <w:szCs w:val="22"/>
              </w:rPr>
              <w:t>2 vs. 1 incarceration</w:t>
            </w:r>
          </w:p>
        </w:tc>
        <w:tc>
          <w:tcPr>
            <w:tcW w:w="2099"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0.8</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0.4</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1.5</w:t>
            </w:r>
          </w:p>
        </w:tc>
      </w:tr>
      <w:tr w:rsidR="00400E42" w:rsidRPr="002F3648" w:rsidTr="00A92FFC">
        <w:trPr>
          <w:trHeight w:val="287"/>
          <w:jc w:val="center"/>
        </w:trPr>
        <w:tc>
          <w:tcPr>
            <w:tcW w:w="2618" w:type="dxa"/>
          </w:tcPr>
          <w:p w:rsidR="00400E42" w:rsidRPr="002F3648" w:rsidRDefault="00400E42" w:rsidP="00C33429">
            <w:pPr>
              <w:rPr>
                <w:rFonts w:ascii="Calibri" w:hAnsi="Calibri" w:cs="Arial"/>
                <w:b/>
                <w:bCs/>
                <w:szCs w:val="22"/>
              </w:rPr>
            </w:pPr>
            <w:r w:rsidRPr="002F3648">
              <w:rPr>
                <w:rFonts w:ascii="Calibri" w:hAnsi="Calibri" w:cs="Arial"/>
                <w:b/>
                <w:bCs/>
                <w:sz w:val="22"/>
                <w:szCs w:val="22"/>
              </w:rPr>
              <w:t>3+ vs. 1 incarceration</w:t>
            </w:r>
          </w:p>
        </w:tc>
        <w:tc>
          <w:tcPr>
            <w:tcW w:w="2099"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1.0</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0.3</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3.0</w:t>
            </w:r>
          </w:p>
        </w:tc>
      </w:tr>
      <w:tr w:rsidR="00400E42" w:rsidRPr="002F3648" w:rsidTr="00A92FFC">
        <w:trPr>
          <w:trHeight w:val="250"/>
          <w:jc w:val="center"/>
        </w:trPr>
        <w:tc>
          <w:tcPr>
            <w:tcW w:w="2618" w:type="dxa"/>
          </w:tcPr>
          <w:p w:rsidR="00400E42" w:rsidRPr="002F3648" w:rsidRDefault="00400E42" w:rsidP="00C33429">
            <w:pPr>
              <w:rPr>
                <w:rFonts w:ascii="Calibri" w:hAnsi="Calibri" w:cs="Arial"/>
                <w:b/>
                <w:bCs/>
                <w:szCs w:val="22"/>
              </w:rPr>
            </w:pPr>
          </w:p>
        </w:tc>
        <w:tc>
          <w:tcPr>
            <w:tcW w:w="2099" w:type="dxa"/>
          </w:tcPr>
          <w:p w:rsidR="00400E42" w:rsidRPr="002F3648" w:rsidRDefault="00400E42" w:rsidP="00C33429">
            <w:pPr>
              <w:jc w:val="center"/>
              <w:rPr>
                <w:rFonts w:ascii="Calibri" w:hAnsi="Calibri" w:cs="Arial"/>
                <w:szCs w:val="22"/>
              </w:rPr>
            </w:pPr>
          </w:p>
        </w:tc>
        <w:tc>
          <w:tcPr>
            <w:tcW w:w="1841" w:type="dxa"/>
          </w:tcPr>
          <w:p w:rsidR="00400E42" w:rsidRPr="002F3648" w:rsidRDefault="00400E42" w:rsidP="00C33429">
            <w:pPr>
              <w:jc w:val="center"/>
              <w:rPr>
                <w:rFonts w:ascii="Calibri" w:hAnsi="Calibri" w:cs="Arial"/>
                <w:szCs w:val="22"/>
              </w:rPr>
            </w:pPr>
          </w:p>
        </w:tc>
        <w:tc>
          <w:tcPr>
            <w:tcW w:w="1841" w:type="dxa"/>
          </w:tcPr>
          <w:p w:rsidR="00400E42" w:rsidRPr="002F3648" w:rsidRDefault="00400E42" w:rsidP="00C33429">
            <w:pPr>
              <w:jc w:val="center"/>
              <w:rPr>
                <w:rFonts w:ascii="Calibri" w:hAnsi="Calibri" w:cs="Arial"/>
                <w:szCs w:val="22"/>
              </w:rPr>
            </w:pPr>
          </w:p>
        </w:tc>
      </w:tr>
      <w:tr w:rsidR="00400E42" w:rsidRPr="002F3648" w:rsidTr="00A92FFC">
        <w:trPr>
          <w:trHeight w:val="750"/>
          <w:jc w:val="center"/>
        </w:trPr>
        <w:tc>
          <w:tcPr>
            <w:tcW w:w="2618" w:type="dxa"/>
          </w:tcPr>
          <w:p w:rsidR="00400E42" w:rsidRPr="002F3648" w:rsidRDefault="00400E42" w:rsidP="00C33429">
            <w:pPr>
              <w:rPr>
                <w:rFonts w:ascii="Calibri" w:hAnsi="Calibri" w:cs="Arial"/>
                <w:b/>
                <w:bCs/>
                <w:szCs w:val="22"/>
              </w:rPr>
            </w:pPr>
            <w:r w:rsidRPr="002F3648">
              <w:rPr>
                <w:rFonts w:ascii="Calibri" w:hAnsi="Calibri" w:cs="Arial"/>
                <w:b/>
                <w:bCs/>
                <w:sz w:val="22"/>
                <w:szCs w:val="22"/>
              </w:rPr>
              <w:t>More than 1 month vs. Under 1 month in prison</w:t>
            </w:r>
          </w:p>
        </w:tc>
        <w:tc>
          <w:tcPr>
            <w:tcW w:w="2099"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1.4</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0.8</w:t>
            </w:r>
          </w:p>
        </w:tc>
        <w:tc>
          <w:tcPr>
            <w:tcW w:w="1841" w:type="dxa"/>
          </w:tcPr>
          <w:p w:rsidR="00400E42" w:rsidRPr="002F3648" w:rsidRDefault="00400E42" w:rsidP="00C33429">
            <w:pPr>
              <w:jc w:val="center"/>
              <w:rPr>
                <w:rFonts w:ascii="Calibri" w:hAnsi="Calibri" w:cs="Arial"/>
                <w:szCs w:val="22"/>
              </w:rPr>
            </w:pPr>
            <w:r w:rsidRPr="002F3648">
              <w:rPr>
                <w:rFonts w:ascii="Calibri" w:hAnsi="Calibri" w:cs="Arial"/>
                <w:sz w:val="22"/>
                <w:szCs w:val="22"/>
              </w:rPr>
              <w:t>1.4</w:t>
            </w:r>
          </w:p>
        </w:tc>
      </w:tr>
    </w:tbl>
    <w:p w:rsidR="00400E42" w:rsidRDefault="00400E42" w:rsidP="00400E42">
      <w:pPr>
        <w:spacing w:line="480" w:lineRule="auto"/>
        <w:rPr>
          <w:rFonts w:ascii="Calibri" w:hAnsi="Calibri" w:cs="Calibri"/>
          <w:b/>
          <w:sz w:val="22"/>
          <w:szCs w:val="22"/>
        </w:rPr>
      </w:pPr>
    </w:p>
    <w:p w:rsidR="00B45C0A" w:rsidRDefault="00400E42" w:rsidP="002D6E20">
      <w:pPr>
        <w:pStyle w:val="PBody"/>
      </w:pPr>
      <w:r w:rsidRPr="00DD4AFB">
        <w:rPr>
          <w:b/>
        </w:rPr>
        <w:t>Limitations:</w:t>
      </w:r>
      <w:r w:rsidRPr="00DD4AFB">
        <w:t xml:space="preserve"> </w:t>
      </w:r>
      <w:r w:rsidR="00B45C0A">
        <w:t xml:space="preserve">There are some limitations associated with using DoC data to better understand the intersection of Opioid overdoses and criminal justice involvement in the Commonwealth. Even though there is a large overlap between those that are criminally involved and those that have a SUD, there is a large assumption in this analysis - not everyone who is incarcerated is in need of substance abuse treatment. </w:t>
      </w:r>
    </w:p>
    <w:p w:rsidR="00B45C0A" w:rsidRDefault="00B45C0A" w:rsidP="002D6E20">
      <w:pPr>
        <w:pStyle w:val="PBody"/>
      </w:pPr>
      <w:r>
        <w:t>The treatment indicator within the DoC data does not specify the type of treatment an individual received, and it may in fact include self-help groups. The indicator also does not specify the date when the treatment was received; therefore, it is hard to determine for those that had a lengthy sentence, whether the treatment was received closer to the beginning or end of a sentence, which may impact the overdose outcome.</w:t>
      </w:r>
    </w:p>
    <w:p w:rsidR="00400E42" w:rsidRDefault="00B45C0A" w:rsidP="002D6E20">
      <w:pPr>
        <w:pStyle w:val="PBody"/>
      </w:pPr>
      <w:r>
        <w:t xml:space="preserve">DoC data includes incarcerations for those in prison and does not include data for people in jails or houses of correction (HoC). The data from DoC used in this analyses (e.g. those incarcerated during the study period and released) is only a subset of the individuals incarcerated within Massachusetts during this study period. This analysis does not included individuals that were not released during the study period, and it does not include individuals incarcerated within Hoc. HoC servers a higher volume of inmates per year in comparison to DoC, primarily due to shorter sentences and those waiting trial within Hoc. Due to this limitation, using DOC data to understand the intersection between fatal </w:t>
      </w:r>
      <w:r w:rsidR="00BA3381">
        <w:t>opioid</w:t>
      </w:r>
      <w:r>
        <w:t xml:space="preserve"> </w:t>
      </w:r>
      <w:r>
        <w:lastRenderedPageBreak/>
        <w:t>overdoses and the criminal justice system in Massachusetts does not provide a full picture to determine associated risks. An additional limitation arises if residents of Massachusetts are incarcerated outside of Massachusetts as that data is not captured by the DoC.</w:t>
      </w:r>
      <w:r w:rsidR="00400E42" w:rsidRPr="00DD4AFB">
        <w:t xml:space="preserve">  </w:t>
      </w:r>
    </w:p>
    <w:p w:rsidR="00400E42" w:rsidRPr="00AE76EB" w:rsidRDefault="00400E42" w:rsidP="00400E42">
      <w:pPr>
        <w:widowControl w:val="0"/>
        <w:autoSpaceDE w:val="0"/>
        <w:autoSpaceDN w:val="0"/>
        <w:adjustRightInd w:val="0"/>
        <w:spacing w:after="120" w:line="276" w:lineRule="auto"/>
        <w:rPr>
          <w:rFonts w:ascii="Calibri" w:hAnsi="Calibri" w:cs="Arial"/>
          <w:b/>
          <w:color w:val="000000"/>
          <w:sz w:val="22"/>
          <w:szCs w:val="22"/>
        </w:rPr>
      </w:pPr>
      <w:r w:rsidRPr="00AE76EB">
        <w:rPr>
          <w:rFonts w:ascii="Calibri" w:hAnsi="Calibri" w:cs="Arial"/>
          <w:b/>
          <w:color w:val="000000"/>
          <w:sz w:val="22"/>
          <w:szCs w:val="22"/>
        </w:rPr>
        <w:t xml:space="preserve">Implications and recommendations based on </w:t>
      </w:r>
      <w:r>
        <w:rPr>
          <w:rFonts w:ascii="Calibri" w:hAnsi="Calibri" w:cs="Arial"/>
          <w:b/>
          <w:color w:val="000000"/>
          <w:sz w:val="22"/>
          <w:szCs w:val="22"/>
        </w:rPr>
        <w:t>Analysis</w:t>
      </w:r>
      <w:r w:rsidRPr="00AE76EB">
        <w:rPr>
          <w:rFonts w:ascii="Calibri" w:hAnsi="Calibri" w:cs="Arial"/>
          <w:b/>
          <w:color w:val="000000"/>
          <w:sz w:val="22"/>
          <w:szCs w:val="22"/>
        </w:rPr>
        <w:t xml:space="preserve"> #4:</w:t>
      </w:r>
    </w:p>
    <w:p w:rsidR="00400E42" w:rsidRPr="00A2031E" w:rsidRDefault="00400E42" w:rsidP="00400E42">
      <w:pPr>
        <w:numPr>
          <w:ilvl w:val="0"/>
          <w:numId w:val="32"/>
        </w:numPr>
        <w:tabs>
          <w:tab w:val="clear" w:pos="360"/>
          <w:tab w:val="num" w:pos="540"/>
        </w:tabs>
        <w:autoSpaceDE w:val="0"/>
        <w:autoSpaceDN w:val="0"/>
        <w:adjustRightInd w:val="0"/>
        <w:spacing w:after="120" w:line="276" w:lineRule="auto"/>
        <w:ind w:left="540" w:hanging="324"/>
        <w:rPr>
          <w:rFonts w:ascii="Calibri" w:hAnsi="Calibri"/>
          <w:color w:val="000000"/>
          <w:sz w:val="22"/>
          <w:szCs w:val="22"/>
        </w:rPr>
      </w:pPr>
      <w:r w:rsidRPr="00AE76EB">
        <w:rPr>
          <w:rFonts w:ascii="Calibri" w:hAnsi="Calibri" w:cs="Arial"/>
          <w:color w:val="000000"/>
          <w:sz w:val="22"/>
          <w:szCs w:val="22"/>
        </w:rPr>
        <w:t>Of the 25,209 inmates released</w:t>
      </w:r>
      <w:r>
        <w:rPr>
          <w:rFonts w:ascii="Calibri" w:hAnsi="Calibri" w:cs="Arial"/>
          <w:color w:val="000000"/>
          <w:sz w:val="22"/>
          <w:szCs w:val="22"/>
        </w:rPr>
        <w:t xml:space="preserve"> 13,918</w:t>
      </w:r>
      <w:r w:rsidRPr="00AE76EB">
        <w:rPr>
          <w:rFonts w:ascii="Calibri" w:hAnsi="Calibri" w:cs="Arial"/>
          <w:color w:val="000000"/>
          <w:sz w:val="22"/>
          <w:szCs w:val="22"/>
        </w:rPr>
        <w:t xml:space="preserve"> were released </w:t>
      </w:r>
      <w:r>
        <w:rPr>
          <w:rFonts w:ascii="Calibri" w:hAnsi="Calibri" w:cs="Arial"/>
          <w:color w:val="000000"/>
          <w:sz w:val="22"/>
          <w:szCs w:val="22"/>
        </w:rPr>
        <w:t>during</w:t>
      </w:r>
      <w:r w:rsidRPr="00AE76EB">
        <w:rPr>
          <w:rFonts w:ascii="Calibri" w:hAnsi="Calibri" w:cs="Arial"/>
          <w:color w:val="000000"/>
          <w:sz w:val="22"/>
          <w:szCs w:val="22"/>
        </w:rPr>
        <w:t xml:space="preserve"> 2013 </w:t>
      </w:r>
      <w:r>
        <w:rPr>
          <w:rFonts w:ascii="Calibri" w:hAnsi="Calibri" w:cs="Arial"/>
          <w:color w:val="000000"/>
          <w:sz w:val="22"/>
          <w:szCs w:val="22"/>
        </w:rPr>
        <w:t xml:space="preserve">and </w:t>
      </w:r>
      <w:r w:rsidRPr="00AE76EB">
        <w:rPr>
          <w:rFonts w:ascii="Calibri" w:hAnsi="Calibri" w:cs="Arial"/>
          <w:color w:val="000000"/>
          <w:sz w:val="22"/>
          <w:szCs w:val="22"/>
        </w:rPr>
        <w:t>2014</w:t>
      </w:r>
      <w:r w:rsidR="00301E0D">
        <w:rPr>
          <w:rFonts w:ascii="Calibri" w:hAnsi="Calibri" w:cs="Arial"/>
          <w:color w:val="000000"/>
          <w:sz w:val="22"/>
          <w:szCs w:val="22"/>
        </w:rPr>
        <w:t>.  O</w:t>
      </w:r>
      <w:r>
        <w:rPr>
          <w:rFonts w:ascii="Calibri" w:hAnsi="Calibri" w:cs="Arial"/>
          <w:color w:val="000000"/>
          <w:sz w:val="22"/>
          <w:szCs w:val="22"/>
        </w:rPr>
        <w:t xml:space="preserve">f these, 287 </w:t>
      </w:r>
      <w:r w:rsidRPr="00AE76EB">
        <w:rPr>
          <w:rFonts w:ascii="Calibri" w:hAnsi="Calibri" w:cs="Arial"/>
          <w:color w:val="000000"/>
          <w:sz w:val="22"/>
          <w:szCs w:val="22"/>
        </w:rPr>
        <w:t xml:space="preserve">died during the </w:t>
      </w:r>
      <w:r>
        <w:rPr>
          <w:rFonts w:ascii="Calibri" w:hAnsi="Calibri" w:cs="Arial"/>
          <w:color w:val="000000"/>
          <w:sz w:val="22"/>
          <w:szCs w:val="22"/>
        </w:rPr>
        <w:t>same time period</w:t>
      </w:r>
      <w:r w:rsidR="00301E0D">
        <w:rPr>
          <w:rFonts w:ascii="Calibri" w:hAnsi="Calibri" w:cs="Arial"/>
          <w:color w:val="000000"/>
          <w:sz w:val="22"/>
          <w:szCs w:val="22"/>
        </w:rPr>
        <w:t>.  I</w:t>
      </w:r>
      <w:r w:rsidRPr="00AE76EB">
        <w:rPr>
          <w:rFonts w:ascii="Calibri" w:hAnsi="Calibri" w:cs="Arial"/>
          <w:color w:val="000000"/>
          <w:sz w:val="22"/>
          <w:szCs w:val="22"/>
        </w:rPr>
        <w:t xml:space="preserve">n this group, </w:t>
      </w:r>
      <w:r>
        <w:rPr>
          <w:rFonts w:ascii="Calibri" w:hAnsi="Calibri" w:cs="Arial"/>
          <w:color w:val="000000"/>
          <w:sz w:val="22"/>
          <w:szCs w:val="22"/>
        </w:rPr>
        <w:t>42.2</w:t>
      </w:r>
      <w:r w:rsidRPr="00AE76EB">
        <w:rPr>
          <w:rFonts w:ascii="Calibri" w:hAnsi="Calibri" w:cs="Arial"/>
          <w:color w:val="000000"/>
          <w:sz w:val="22"/>
          <w:szCs w:val="22"/>
        </w:rPr>
        <w:t>% (n=</w:t>
      </w:r>
      <w:r>
        <w:rPr>
          <w:rFonts w:ascii="Calibri" w:hAnsi="Calibri" w:cs="Arial"/>
          <w:color w:val="000000"/>
          <w:sz w:val="22"/>
          <w:szCs w:val="22"/>
        </w:rPr>
        <w:t>121</w:t>
      </w:r>
      <w:r w:rsidRPr="00AE76EB">
        <w:rPr>
          <w:rFonts w:ascii="Calibri" w:hAnsi="Calibri" w:cs="Arial"/>
          <w:color w:val="000000"/>
          <w:sz w:val="22"/>
          <w:szCs w:val="22"/>
        </w:rPr>
        <w:t>) died from an opioid-related overdose.  In comparison, for the total population in the state, opioid</w:t>
      </w:r>
      <w:r>
        <w:rPr>
          <w:rFonts w:ascii="Calibri" w:hAnsi="Calibri" w:cs="Arial"/>
          <w:color w:val="000000"/>
          <w:sz w:val="22"/>
          <w:szCs w:val="22"/>
        </w:rPr>
        <w:t>-relat</w:t>
      </w:r>
      <w:r w:rsidRPr="00AE76EB">
        <w:rPr>
          <w:rFonts w:ascii="Calibri" w:hAnsi="Calibri" w:cs="Arial"/>
          <w:color w:val="000000"/>
          <w:sz w:val="22"/>
          <w:szCs w:val="22"/>
        </w:rPr>
        <w:t>ed deaths accounted for only 2.1% (n=2,192)</w:t>
      </w:r>
      <w:r>
        <w:rPr>
          <w:rFonts w:ascii="Calibri" w:hAnsi="Calibri" w:cs="Arial"/>
          <w:color w:val="000000"/>
          <w:sz w:val="22"/>
          <w:szCs w:val="22"/>
        </w:rPr>
        <w:t xml:space="preserve"> of deaths</w:t>
      </w:r>
      <w:r w:rsidRPr="00AE76EB">
        <w:rPr>
          <w:rFonts w:ascii="Calibri" w:hAnsi="Calibri" w:cs="Arial"/>
          <w:color w:val="000000"/>
          <w:sz w:val="22"/>
          <w:szCs w:val="22"/>
        </w:rPr>
        <w:t>.</w:t>
      </w:r>
      <w:r>
        <w:rPr>
          <w:rFonts w:ascii="Calibri" w:hAnsi="Calibri" w:cs="Arial"/>
          <w:color w:val="000000"/>
          <w:sz w:val="22"/>
          <w:szCs w:val="22"/>
        </w:rPr>
        <w:t xml:space="preserve"> </w:t>
      </w:r>
    </w:p>
    <w:p w:rsidR="00400E42" w:rsidRPr="00A2031E" w:rsidRDefault="00400E42" w:rsidP="00400E42">
      <w:pPr>
        <w:numPr>
          <w:ilvl w:val="0"/>
          <w:numId w:val="32"/>
        </w:numPr>
        <w:tabs>
          <w:tab w:val="clear" w:pos="360"/>
          <w:tab w:val="num" w:pos="540"/>
        </w:tabs>
        <w:autoSpaceDE w:val="0"/>
        <w:autoSpaceDN w:val="0"/>
        <w:adjustRightInd w:val="0"/>
        <w:spacing w:after="120" w:line="276" w:lineRule="auto"/>
        <w:ind w:left="540" w:hanging="324"/>
        <w:rPr>
          <w:rFonts w:ascii="Calibri" w:hAnsi="Calibri"/>
          <w:color w:val="000000"/>
          <w:sz w:val="22"/>
          <w:szCs w:val="22"/>
        </w:rPr>
      </w:pPr>
      <w:r w:rsidRPr="004A7BF5">
        <w:rPr>
          <w:rFonts w:ascii="Calibri" w:hAnsi="Calibri" w:cs="Arial"/>
          <w:sz w:val="22"/>
          <w:szCs w:val="22"/>
        </w:rPr>
        <w:t>Opioid</w:t>
      </w:r>
      <w:r>
        <w:rPr>
          <w:rFonts w:ascii="Calibri" w:hAnsi="Calibri" w:cs="Arial"/>
          <w:sz w:val="22"/>
          <w:szCs w:val="22"/>
        </w:rPr>
        <w:t>-related</w:t>
      </w:r>
      <w:r w:rsidRPr="004A7BF5">
        <w:rPr>
          <w:rFonts w:ascii="Calibri" w:hAnsi="Calibri" w:cs="Arial"/>
          <w:sz w:val="22"/>
          <w:szCs w:val="22"/>
        </w:rPr>
        <w:t xml:space="preserve"> overdose deaths in former inmates accounted for 5.5% of all opioid</w:t>
      </w:r>
      <w:r>
        <w:rPr>
          <w:rFonts w:ascii="Calibri" w:hAnsi="Calibri" w:cs="Arial"/>
          <w:sz w:val="22"/>
          <w:szCs w:val="22"/>
        </w:rPr>
        <w:t>-related</w:t>
      </w:r>
      <w:r w:rsidRPr="004A7BF5">
        <w:rPr>
          <w:rFonts w:ascii="Calibri" w:hAnsi="Calibri" w:cs="Arial"/>
          <w:sz w:val="22"/>
          <w:szCs w:val="22"/>
        </w:rPr>
        <w:t xml:space="preserve"> deaths in the time period</w:t>
      </w:r>
      <w:r w:rsidR="00301E0D">
        <w:rPr>
          <w:rFonts w:ascii="Calibri" w:hAnsi="Calibri" w:cs="Arial"/>
          <w:sz w:val="22"/>
          <w:szCs w:val="22"/>
        </w:rPr>
        <w:t>.  F</w:t>
      </w:r>
      <w:r w:rsidRPr="004A7BF5">
        <w:rPr>
          <w:rFonts w:ascii="Calibri" w:hAnsi="Calibri" w:cs="Arial"/>
          <w:color w:val="000000"/>
          <w:sz w:val="22"/>
          <w:szCs w:val="22"/>
        </w:rPr>
        <w:t>ormer</w:t>
      </w:r>
      <w:r w:rsidRPr="004A7BF5">
        <w:rPr>
          <w:rFonts w:ascii="Calibri" w:hAnsi="Calibri"/>
          <w:sz w:val="22"/>
          <w:szCs w:val="22"/>
        </w:rPr>
        <w:t xml:space="preserve"> inmates who died from opioid</w:t>
      </w:r>
      <w:r>
        <w:rPr>
          <w:rFonts w:ascii="Calibri" w:hAnsi="Calibri"/>
          <w:sz w:val="22"/>
          <w:szCs w:val="22"/>
        </w:rPr>
        <w:t>-related</w:t>
      </w:r>
      <w:r w:rsidRPr="004A7BF5">
        <w:rPr>
          <w:rFonts w:ascii="Calibri" w:hAnsi="Calibri"/>
          <w:sz w:val="22"/>
          <w:szCs w:val="22"/>
        </w:rPr>
        <w:t xml:space="preserve"> overdoses were on average younger, more likely to have a High School education or less, and less likely to be married at or around the time of death, compared with those who died from all other reportable causes.  </w:t>
      </w:r>
    </w:p>
    <w:p w:rsidR="00400E42" w:rsidRPr="00A2031E" w:rsidRDefault="00400E42" w:rsidP="00400E42">
      <w:pPr>
        <w:numPr>
          <w:ilvl w:val="0"/>
          <w:numId w:val="32"/>
        </w:numPr>
        <w:tabs>
          <w:tab w:val="clear" w:pos="360"/>
          <w:tab w:val="num" w:pos="540"/>
        </w:tabs>
        <w:autoSpaceDE w:val="0"/>
        <w:autoSpaceDN w:val="0"/>
        <w:adjustRightInd w:val="0"/>
        <w:spacing w:after="120" w:line="276" w:lineRule="auto"/>
        <w:ind w:left="540" w:hanging="324"/>
        <w:rPr>
          <w:rFonts w:ascii="Calibri" w:hAnsi="Calibri"/>
          <w:color w:val="000000"/>
          <w:sz w:val="22"/>
          <w:szCs w:val="22"/>
        </w:rPr>
      </w:pPr>
      <w:r>
        <w:rPr>
          <w:rFonts w:ascii="Calibri" w:hAnsi="Calibri"/>
          <w:sz w:val="22"/>
          <w:szCs w:val="22"/>
        </w:rPr>
        <w:t>These findings</w:t>
      </w:r>
      <w:r w:rsidRPr="004A7BF5">
        <w:rPr>
          <w:rFonts w:ascii="Calibri" w:hAnsi="Calibri"/>
          <w:sz w:val="22"/>
          <w:szCs w:val="22"/>
        </w:rPr>
        <w:t xml:space="preserve"> corroborate previous studies </w:t>
      </w:r>
      <w:r>
        <w:rPr>
          <w:rFonts w:ascii="Calibri" w:hAnsi="Calibri"/>
          <w:sz w:val="22"/>
          <w:szCs w:val="22"/>
        </w:rPr>
        <w:t xml:space="preserve">indicating that </w:t>
      </w:r>
      <w:r w:rsidRPr="004A7BF5">
        <w:rPr>
          <w:rFonts w:ascii="Calibri" w:hAnsi="Calibri"/>
          <w:sz w:val="22"/>
          <w:szCs w:val="22"/>
        </w:rPr>
        <w:t>recently released prisoners are at increased risk for death following their release, particularly in the early period</w:t>
      </w:r>
      <w:r>
        <w:rPr>
          <w:rFonts w:ascii="Calibri" w:hAnsi="Calibri"/>
          <w:sz w:val="22"/>
          <w:szCs w:val="22"/>
        </w:rPr>
        <w:t xml:space="preserve"> and particularly younger released prisoners</w:t>
      </w:r>
      <w:r w:rsidRPr="004A7BF5">
        <w:rPr>
          <w:rFonts w:ascii="Calibri" w:hAnsi="Calibri"/>
          <w:sz w:val="22"/>
          <w:szCs w:val="22"/>
        </w:rPr>
        <w:t xml:space="preserve">. </w:t>
      </w:r>
    </w:p>
    <w:p w:rsidR="00400E42" w:rsidRPr="00B45C0A" w:rsidRDefault="00B45C0A" w:rsidP="00400E42">
      <w:pPr>
        <w:numPr>
          <w:ilvl w:val="0"/>
          <w:numId w:val="32"/>
        </w:numPr>
        <w:tabs>
          <w:tab w:val="clear" w:pos="360"/>
          <w:tab w:val="num" w:pos="540"/>
        </w:tabs>
        <w:autoSpaceDE w:val="0"/>
        <w:autoSpaceDN w:val="0"/>
        <w:adjustRightInd w:val="0"/>
        <w:spacing w:after="120" w:line="276" w:lineRule="auto"/>
        <w:ind w:left="540" w:hanging="324"/>
        <w:rPr>
          <w:rFonts w:ascii="Calibri" w:hAnsi="Calibri"/>
          <w:color w:val="000000"/>
          <w:sz w:val="22"/>
          <w:szCs w:val="22"/>
        </w:rPr>
      </w:pPr>
      <w:r>
        <w:rPr>
          <w:rFonts w:ascii="Calibri" w:hAnsi="Calibri"/>
          <w:sz w:val="22"/>
          <w:szCs w:val="22"/>
        </w:rPr>
        <w:t>Ensuring treatment behind the walls and a</w:t>
      </w:r>
      <w:r w:rsidR="00400E42" w:rsidRPr="004A7BF5">
        <w:rPr>
          <w:rFonts w:ascii="Calibri" w:hAnsi="Calibri"/>
          <w:sz w:val="22"/>
          <w:szCs w:val="22"/>
        </w:rPr>
        <w:t>ftercare planning for released prisoners could potentially</w:t>
      </w:r>
      <w:r w:rsidR="00400E42" w:rsidRPr="00DD4AFB">
        <w:rPr>
          <w:rFonts w:ascii="Calibri" w:hAnsi="Calibri"/>
          <w:sz w:val="22"/>
          <w:szCs w:val="22"/>
        </w:rPr>
        <w:t xml:space="preserve"> have a large public health impact. </w:t>
      </w:r>
    </w:p>
    <w:p w:rsidR="00B45C0A" w:rsidRPr="00B45C0A" w:rsidRDefault="00B45C0A" w:rsidP="00400E42">
      <w:pPr>
        <w:numPr>
          <w:ilvl w:val="0"/>
          <w:numId w:val="32"/>
        </w:numPr>
        <w:tabs>
          <w:tab w:val="clear" w:pos="360"/>
          <w:tab w:val="num" w:pos="540"/>
        </w:tabs>
        <w:autoSpaceDE w:val="0"/>
        <w:autoSpaceDN w:val="0"/>
        <w:adjustRightInd w:val="0"/>
        <w:spacing w:after="120" w:line="276" w:lineRule="auto"/>
        <w:ind w:left="540" w:hanging="324"/>
        <w:rPr>
          <w:rFonts w:ascii="Calibri" w:hAnsi="Calibri"/>
          <w:color w:val="000000"/>
          <w:sz w:val="22"/>
          <w:szCs w:val="22"/>
        </w:rPr>
      </w:pPr>
      <w:r w:rsidRPr="00B45C0A">
        <w:rPr>
          <w:rFonts w:ascii="Calibri" w:hAnsi="Calibri"/>
          <w:color w:val="000000"/>
          <w:sz w:val="22"/>
          <w:szCs w:val="22"/>
        </w:rPr>
        <w:t>Increase education for overdose prevention (e.g. abstinence while incarcerated and relapsing upon release poses a risk for overdose</w:t>
      </w:r>
      <w:r>
        <w:rPr>
          <w:rFonts w:ascii="Calibri" w:hAnsi="Calibri"/>
          <w:color w:val="000000"/>
          <w:sz w:val="22"/>
          <w:szCs w:val="22"/>
        </w:rPr>
        <w:t>.</w:t>
      </w:r>
    </w:p>
    <w:p w:rsidR="007D21BB" w:rsidRDefault="00400E42" w:rsidP="007D21BB">
      <w:pPr>
        <w:numPr>
          <w:ilvl w:val="0"/>
          <w:numId w:val="32"/>
        </w:numPr>
        <w:tabs>
          <w:tab w:val="clear" w:pos="360"/>
          <w:tab w:val="num" w:pos="540"/>
        </w:tabs>
        <w:autoSpaceDE w:val="0"/>
        <w:autoSpaceDN w:val="0"/>
        <w:adjustRightInd w:val="0"/>
        <w:spacing w:after="120" w:line="276" w:lineRule="auto"/>
        <w:ind w:left="540" w:hanging="324"/>
        <w:rPr>
          <w:rFonts w:ascii="Calibri" w:hAnsi="Calibri"/>
          <w:sz w:val="22"/>
          <w:szCs w:val="22"/>
        </w:rPr>
      </w:pPr>
      <w:r w:rsidRPr="00DD4AFB">
        <w:rPr>
          <w:rFonts w:ascii="Calibri" w:hAnsi="Calibri"/>
          <w:sz w:val="22"/>
          <w:szCs w:val="22"/>
        </w:rPr>
        <w:t xml:space="preserve">Further research is </w:t>
      </w:r>
      <w:r>
        <w:rPr>
          <w:rFonts w:ascii="Calibri" w:hAnsi="Calibri"/>
          <w:sz w:val="22"/>
          <w:szCs w:val="22"/>
        </w:rPr>
        <w:t xml:space="preserve">also </w:t>
      </w:r>
      <w:r w:rsidRPr="00DD4AFB">
        <w:rPr>
          <w:rFonts w:ascii="Calibri" w:hAnsi="Calibri"/>
          <w:sz w:val="22"/>
          <w:szCs w:val="22"/>
        </w:rPr>
        <w:t xml:space="preserve">warranted to identify </w:t>
      </w:r>
      <w:r>
        <w:rPr>
          <w:rFonts w:ascii="Calibri" w:hAnsi="Calibri"/>
          <w:sz w:val="22"/>
          <w:szCs w:val="22"/>
        </w:rPr>
        <w:t>other</w:t>
      </w:r>
      <w:r w:rsidRPr="00DD4AFB">
        <w:rPr>
          <w:rFonts w:ascii="Calibri" w:hAnsi="Calibri"/>
          <w:sz w:val="22"/>
          <w:szCs w:val="22"/>
        </w:rPr>
        <w:t xml:space="preserve"> specific risk factors associated with this increased risk.</w:t>
      </w:r>
      <w:r>
        <w:rPr>
          <w:rFonts w:ascii="Calibri" w:hAnsi="Calibri"/>
          <w:sz w:val="22"/>
          <w:szCs w:val="22"/>
        </w:rPr>
        <w:t xml:space="preserve"> </w:t>
      </w:r>
      <w:r w:rsidR="007D21BB">
        <w:rPr>
          <w:rFonts w:ascii="Calibri" w:hAnsi="Calibri"/>
          <w:sz w:val="22"/>
          <w:szCs w:val="22"/>
        </w:rPr>
        <w:br w:type="page"/>
      </w:r>
    </w:p>
    <w:p w:rsidR="00400E42" w:rsidRPr="00363536" w:rsidRDefault="00400E42" w:rsidP="007D21BB">
      <w:pPr>
        <w:pStyle w:val="Heading1"/>
      </w:pPr>
      <w:bookmarkStart w:id="19" w:name="_Toc452726668"/>
      <w:bookmarkStart w:id="20" w:name="_Toc453664359"/>
      <w:bookmarkStart w:id="21" w:name="_Toc454724771"/>
      <w:r w:rsidRPr="00400E42">
        <w:lastRenderedPageBreak/>
        <w:t>Conclusions</w:t>
      </w:r>
      <w:bookmarkEnd w:id="19"/>
      <w:bookmarkEnd w:id="20"/>
      <w:bookmarkEnd w:id="21"/>
    </w:p>
    <w:p w:rsidR="00400E42" w:rsidRPr="00F240EB" w:rsidRDefault="00400E42" w:rsidP="002D6E20">
      <w:pPr>
        <w:pStyle w:val="PBody"/>
      </w:pPr>
      <w:r w:rsidRPr="00F240EB">
        <w:t xml:space="preserve">The rate of opioid-related deaths in Massachusetts has increased </w:t>
      </w:r>
      <w:r>
        <w:t>sharply</w:t>
      </w:r>
      <w:r w:rsidRPr="00F240EB">
        <w:t xml:space="preserve"> in recent years</w:t>
      </w:r>
      <w:r w:rsidR="00301E0D">
        <w:t>.  S</w:t>
      </w:r>
      <w:r w:rsidRPr="00F240EB">
        <w:t xml:space="preserve">ome communities have been very hard hit by this public health crisis, but all communities have felt the burden of deaths, nonfatal overdoses, job loss, poor health, disintegrated family structures, or disrupted neighborhoods.  </w:t>
      </w:r>
      <w:r>
        <w:t>Important findings</w:t>
      </w:r>
      <w:r w:rsidRPr="00F240EB">
        <w:t xml:space="preserve"> described in this report </w:t>
      </w:r>
      <w:r>
        <w:t>include the fact</w:t>
      </w:r>
      <w:r w:rsidRPr="00F240EB">
        <w:t xml:space="preserve"> that i</w:t>
      </w:r>
      <w:r w:rsidRPr="00F240EB">
        <w:rPr>
          <w:bCs/>
          <w:color w:val="000000"/>
        </w:rPr>
        <w:t xml:space="preserve">llicit drugs, not prescription drugs, are much more commonly present in post-mortem toxicology.  As a result, increasing the availability of </w:t>
      </w:r>
      <w:r w:rsidRPr="00F240EB">
        <w:rPr>
          <w:rFonts w:cs="Calibri"/>
        </w:rPr>
        <w:t>interventions that address Heroin, Fentanyl</w:t>
      </w:r>
      <w:r>
        <w:rPr>
          <w:rFonts w:cs="Calibri"/>
        </w:rPr>
        <w:t>,</w:t>
      </w:r>
      <w:r w:rsidRPr="00F240EB">
        <w:rPr>
          <w:rFonts w:cs="Calibri"/>
        </w:rPr>
        <w:t xml:space="preserve"> and polysubstance use (especially benzodiazepines and </w:t>
      </w:r>
      <w:r>
        <w:rPr>
          <w:rFonts w:cs="Calibri"/>
        </w:rPr>
        <w:t>Cocaine</w:t>
      </w:r>
      <w:r w:rsidRPr="00F240EB">
        <w:rPr>
          <w:rFonts w:cs="Calibri"/>
        </w:rPr>
        <w:t>) could significantly reduce the opioid-related death rate</w:t>
      </w:r>
      <w:r w:rsidR="00301E0D">
        <w:rPr>
          <w:rFonts w:cs="Calibri"/>
        </w:rPr>
        <w:t>.  A</w:t>
      </w:r>
      <w:r w:rsidRPr="00F240EB">
        <w:rPr>
          <w:rFonts w:cs="Calibri"/>
        </w:rPr>
        <w:t>lso, o</w:t>
      </w:r>
      <w:r w:rsidRPr="00F240EB">
        <w:t>pioid agonist treatment</w:t>
      </w:r>
      <w:r>
        <w:t xml:space="preserve"> (OAT)</w:t>
      </w:r>
      <w:r w:rsidRPr="00F240EB">
        <w:t xml:space="preserve"> like </w:t>
      </w:r>
      <w:r w:rsidR="00667C4C">
        <w:t>methadone</w:t>
      </w:r>
      <w:r w:rsidRPr="00F240EB">
        <w:t xml:space="preserve"> or </w:t>
      </w:r>
      <w:r w:rsidR="00667C4C">
        <w:t>bup</w:t>
      </w:r>
      <w:r w:rsidRPr="00F240EB">
        <w:t xml:space="preserve">renorphine was found to be associated with a significantly lower risk of fatal opioid overdose following a previous nonfatal opioid overdose.  A comprehensive plan for delivering </w:t>
      </w:r>
      <w:r>
        <w:t>OAT</w:t>
      </w:r>
      <w:r w:rsidRPr="00F240EB">
        <w:t xml:space="preserve"> could significantly lower the death rate.  This study also determined that women are more likely than men to obtain prescription opioids and to have prescription opioids present in post-mortem toxicology.  While legal and illegal opioids pose a risk for men and women alike, prescribers should be educated to utilize the PDMP database to identify any active or past prescriptions for their patients, particularly females, and to provide coordinated care</w:t>
      </w:r>
      <w:r w:rsidR="00301E0D">
        <w:t>.  T</w:t>
      </w:r>
      <w:r w:rsidRPr="00F240EB">
        <w:t xml:space="preserve">o further reduce the </w:t>
      </w:r>
      <w:r>
        <w:t xml:space="preserve">opioid-related </w:t>
      </w:r>
      <w:r w:rsidRPr="00F240EB">
        <w:t>death rate, particular focus could be paid to the population of individuals being released from Massachusetts prisons.  Their short-term risk of death from</w:t>
      </w:r>
      <w:r w:rsidRPr="00F240EB">
        <w:rPr>
          <w:bCs/>
        </w:rPr>
        <w:t xml:space="preserve"> opioid</w:t>
      </w:r>
      <w:r>
        <w:rPr>
          <w:bCs/>
        </w:rPr>
        <w:t>-related</w:t>
      </w:r>
      <w:r w:rsidRPr="00F240EB">
        <w:rPr>
          <w:bCs/>
        </w:rPr>
        <w:t xml:space="preserve"> overdose is 5</w:t>
      </w:r>
      <w:r>
        <w:rPr>
          <w:bCs/>
        </w:rPr>
        <w:t>6</w:t>
      </w:r>
      <w:r w:rsidRPr="00F240EB">
        <w:rPr>
          <w:bCs/>
        </w:rPr>
        <w:t xml:space="preserve"> times higher than for the general public.  </w:t>
      </w:r>
      <w:r w:rsidRPr="00F240EB">
        <w:rPr>
          <w:rFonts w:cs="Arial"/>
        </w:rPr>
        <w:t>Given the high risk of death in this population, better care coordination should also reduce the number of deaths.</w:t>
      </w:r>
    </w:p>
    <w:p w:rsidR="00400E42" w:rsidRPr="00F240EB" w:rsidRDefault="00400E42" w:rsidP="002D6E20">
      <w:pPr>
        <w:pStyle w:val="PBody"/>
      </w:pPr>
      <w:r w:rsidRPr="00F240EB">
        <w:t xml:space="preserve">The Chapter 55 </w:t>
      </w:r>
      <w:r>
        <w:t xml:space="preserve">legislation </w:t>
      </w:r>
      <w:r w:rsidRPr="00F240EB">
        <w:t xml:space="preserve">permitted the development and examination of </w:t>
      </w:r>
      <w:r w:rsidRPr="00F240EB">
        <w:rPr>
          <w:color w:val="444444"/>
        </w:rPr>
        <w:t xml:space="preserve">a </w:t>
      </w:r>
      <w:r w:rsidRPr="00F240EB">
        <w:t>first</w:t>
      </w:r>
      <w:r>
        <w:t xml:space="preserve"> </w:t>
      </w:r>
      <w:r w:rsidRPr="00F240EB">
        <w:t>ever cross-sector, linked</w:t>
      </w:r>
      <w:r>
        <w:t xml:space="preserve"> dataset</w:t>
      </w:r>
      <w:r w:rsidRPr="00F240EB">
        <w:t xml:space="preserve"> related to opioid deaths.  The insights highlighted in this report would not have been possible without the capacity to create a confidential and secure </w:t>
      </w:r>
      <w:r>
        <w:t>dataset</w:t>
      </w:r>
      <w:r w:rsidRPr="00F240EB">
        <w:t xml:space="preserve"> which was developed under the authority of Chapter 55.  This approach also holds promise for other critical public health concerns.  The unique partnership forged between government, academia, and industry to address a critical public health problem could form the roadmap for conducting complex analytic work in the future.</w:t>
      </w:r>
    </w:p>
    <w:p w:rsidR="00400E42" w:rsidRPr="00363536" w:rsidRDefault="00400E42" w:rsidP="00400E42">
      <w:pPr>
        <w:rPr>
          <w:rFonts w:ascii="Calibri" w:hAnsi="Calibri"/>
          <w:b/>
          <w:sz w:val="22"/>
          <w:szCs w:val="22"/>
        </w:rPr>
      </w:pPr>
      <w:r w:rsidRPr="002F261A">
        <w:rPr>
          <w:rFonts w:ascii="Calibri" w:hAnsi="Calibri"/>
          <w:b/>
          <w:sz w:val="22"/>
          <w:szCs w:val="22"/>
        </w:rPr>
        <w:br w:type="page"/>
      </w:r>
    </w:p>
    <w:p w:rsidR="00400E42" w:rsidRPr="00F27C03" w:rsidRDefault="00400E42" w:rsidP="007D21BB">
      <w:pPr>
        <w:pStyle w:val="Heading1"/>
      </w:pPr>
      <w:bookmarkStart w:id="22" w:name="_Toc452726669"/>
      <w:bookmarkStart w:id="23" w:name="_Toc453664360"/>
      <w:bookmarkStart w:id="24" w:name="_Toc454724772"/>
      <w:r w:rsidRPr="00F27C03">
        <w:lastRenderedPageBreak/>
        <w:t xml:space="preserve">Appendix A: The </w:t>
      </w:r>
      <w:r>
        <w:t xml:space="preserve">Seven </w:t>
      </w:r>
      <w:r w:rsidRPr="00F27C03">
        <w:t>Ch</w:t>
      </w:r>
      <w:r>
        <w:t>apter</w:t>
      </w:r>
      <w:r w:rsidRPr="00F27C03">
        <w:t xml:space="preserve"> 55 </w:t>
      </w:r>
      <w:r w:rsidR="00BA3381">
        <w:t>Statutory</w:t>
      </w:r>
      <w:r w:rsidR="00BA3381" w:rsidRPr="00F27C03">
        <w:t xml:space="preserve"> </w:t>
      </w:r>
      <w:r w:rsidRPr="00F27C03">
        <w:t>Questions</w:t>
      </w:r>
      <w:bookmarkEnd w:id="22"/>
      <w:bookmarkEnd w:id="23"/>
      <w:bookmarkEnd w:id="24"/>
    </w:p>
    <w:p w:rsidR="00FB160F" w:rsidRDefault="00FB160F" w:rsidP="00FB160F">
      <w:pPr>
        <w:spacing w:after="120" w:line="276" w:lineRule="auto"/>
        <w:ind w:firstLine="720"/>
        <w:rPr>
          <w:rFonts w:ascii="Calibri" w:hAnsi="Calibri"/>
          <w:sz w:val="22"/>
          <w:szCs w:val="22"/>
        </w:rPr>
      </w:pPr>
      <w:r w:rsidRPr="00E77264">
        <w:rPr>
          <w:rFonts w:ascii="Calibri" w:hAnsi="Calibri"/>
          <w:sz w:val="22"/>
          <w:szCs w:val="22"/>
        </w:rPr>
        <w:t xml:space="preserve">This section presents the original </w:t>
      </w:r>
      <w:r w:rsidR="00BA3381">
        <w:rPr>
          <w:rFonts w:ascii="Calibri" w:hAnsi="Calibri"/>
          <w:sz w:val="22"/>
          <w:szCs w:val="22"/>
        </w:rPr>
        <w:t>statutory language of each</w:t>
      </w:r>
      <w:r w:rsidRPr="00E77264">
        <w:rPr>
          <w:rFonts w:ascii="Calibri" w:hAnsi="Calibri"/>
          <w:sz w:val="22"/>
          <w:szCs w:val="22"/>
        </w:rPr>
        <w:t xml:space="preserve"> question, restates it </w:t>
      </w:r>
      <w:r>
        <w:rPr>
          <w:rFonts w:ascii="Calibri" w:hAnsi="Calibri"/>
          <w:sz w:val="22"/>
          <w:szCs w:val="22"/>
        </w:rPr>
        <w:t>as a specific question</w:t>
      </w:r>
      <w:r w:rsidRPr="00E77264">
        <w:rPr>
          <w:rFonts w:ascii="Calibri" w:hAnsi="Calibri"/>
          <w:sz w:val="22"/>
          <w:szCs w:val="22"/>
        </w:rPr>
        <w:t>, discusses its significance, presents results, and discusses findings</w:t>
      </w:r>
      <w:r w:rsidR="00301E0D">
        <w:rPr>
          <w:rFonts w:ascii="Calibri" w:hAnsi="Calibri"/>
          <w:sz w:val="22"/>
          <w:szCs w:val="22"/>
        </w:rPr>
        <w:t>.  T</w:t>
      </w:r>
      <w:r w:rsidRPr="00E77264">
        <w:rPr>
          <w:rFonts w:ascii="Calibri" w:hAnsi="Calibri"/>
          <w:sz w:val="22"/>
          <w:szCs w:val="22"/>
        </w:rPr>
        <w:t>he analytic restatement is seen as an opportunity for the researchers to confirm they understand the underlying intent motivating the questions as presented in the legislation.</w:t>
      </w:r>
      <w:r>
        <w:rPr>
          <w:rFonts w:ascii="Calibri" w:hAnsi="Calibri"/>
          <w:sz w:val="22"/>
          <w:szCs w:val="22"/>
        </w:rPr>
        <w:t xml:space="preserve"> </w:t>
      </w:r>
    </w:p>
    <w:p w:rsidR="00FB160F" w:rsidRPr="001141BB" w:rsidRDefault="00FB160F" w:rsidP="00FB160F">
      <w:pPr>
        <w:spacing w:after="120" w:line="276" w:lineRule="auto"/>
        <w:rPr>
          <w:rFonts w:ascii="Calibri" w:hAnsi="Calibri"/>
          <w:i/>
          <w:sz w:val="22"/>
          <w:szCs w:val="22"/>
        </w:rPr>
      </w:pPr>
      <w:r w:rsidRPr="001141BB">
        <w:rPr>
          <w:rFonts w:ascii="Calibri" w:hAnsi="Calibri"/>
          <w:b/>
          <w:i/>
          <w:sz w:val="22"/>
          <w:szCs w:val="22"/>
        </w:rPr>
        <w:t xml:space="preserve">Note: </w:t>
      </w:r>
      <w:r w:rsidRPr="001141BB">
        <w:rPr>
          <w:rFonts w:ascii="Calibri" w:hAnsi="Calibri"/>
          <w:i/>
          <w:sz w:val="22"/>
          <w:szCs w:val="22"/>
        </w:rPr>
        <w:t xml:space="preserve">For privacy purposes, the data sets used for Chapter 55 analyses record information in the month of occurrence.  No exact dates are used.  In most cases, the presence or absence of </w:t>
      </w:r>
      <w:r w:rsidRPr="001141BB">
        <w:rPr>
          <w:rFonts w:ascii="Calibri" w:hAnsi="Calibri"/>
          <w:i/>
          <w:sz w:val="22"/>
          <w:szCs w:val="22"/>
          <w:u w:val="single"/>
        </w:rPr>
        <w:t>any</w:t>
      </w:r>
      <w:r w:rsidRPr="001141BB">
        <w:rPr>
          <w:rFonts w:ascii="Calibri" w:hAnsi="Calibri"/>
          <w:i/>
          <w:sz w:val="22"/>
          <w:szCs w:val="22"/>
        </w:rPr>
        <w:t xml:space="preserve"> event was recorded </w:t>
      </w:r>
      <w:r>
        <w:rPr>
          <w:rFonts w:ascii="Calibri" w:hAnsi="Calibri"/>
          <w:i/>
          <w:sz w:val="22"/>
          <w:szCs w:val="22"/>
        </w:rPr>
        <w:t xml:space="preserve">in the month </w:t>
      </w:r>
      <w:r w:rsidRPr="001141BB">
        <w:rPr>
          <w:rFonts w:ascii="Calibri" w:hAnsi="Calibri"/>
          <w:i/>
          <w:sz w:val="22"/>
          <w:szCs w:val="22"/>
          <w:u w:val="single"/>
        </w:rPr>
        <w:t>not the count</w:t>
      </w:r>
      <w:r w:rsidRPr="001141BB">
        <w:rPr>
          <w:rFonts w:ascii="Calibri" w:hAnsi="Calibri"/>
          <w:i/>
          <w:sz w:val="22"/>
          <w:szCs w:val="22"/>
        </w:rPr>
        <w:t xml:space="preserve"> of those events.  Therefore, statements made about these data cannot directly be interpreted as averages but instead as the average number of months that any type of event occurred.</w:t>
      </w:r>
    </w:p>
    <w:p w:rsidR="00FB160F" w:rsidRPr="006523D5" w:rsidRDefault="00BA3381" w:rsidP="00FB160F">
      <w:pPr>
        <w:spacing w:after="120" w:line="276" w:lineRule="auto"/>
        <w:rPr>
          <w:rFonts w:ascii="Calibri" w:hAnsi="Calibri"/>
          <w:i/>
          <w:sz w:val="22"/>
          <w:szCs w:val="22"/>
        </w:rPr>
      </w:pPr>
      <w:r>
        <w:rPr>
          <w:rFonts w:ascii="Calibri" w:hAnsi="Calibri"/>
          <w:b/>
          <w:sz w:val="22"/>
          <w:szCs w:val="22"/>
          <w:u w:val="single"/>
        </w:rPr>
        <w:t>Statutory</w:t>
      </w:r>
      <w:r w:rsidR="00FB160F" w:rsidRPr="006523D5">
        <w:rPr>
          <w:rFonts w:ascii="Calibri" w:hAnsi="Calibri"/>
          <w:b/>
          <w:sz w:val="22"/>
          <w:szCs w:val="22"/>
          <w:u w:val="single"/>
        </w:rPr>
        <w:t xml:space="preserve"> Question 1:</w:t>
      </w:r>
      <w:r w:rsidR="00FB160F" w:rsidRPr="006523D5">
        <w:rPr>
          <w:rFonts w:ascii="Calibri" w:hAnsi="Calibri"/>
          <w:sz w:val="22"/>
          <w:szCs w:val="22"/>
        </w:rPr>
        <w:t xml:space="preserve"> </w:t>
      </w:r>
      <w:r w:rsidR="00FB160F" w:rsidRPr="006523D5">
        <w:rPr>
          <w:rFonts w:ascii="Calibri" w:hAnsi="Calibri"/>
          <w:i/>
          <w:sz w:val="22"/>
          <w:szCs w:val="22"/>
        </w:rPr>
        <w:t>“Instances of multiple provider episodes, meaning a single patient having access to opiate prescriptions from more than 1 provider”</w:t>
      </w:r>
    </w:p>
    <w:p w:rsidR="00FB160F" w:rsidRPr="006523D5" w:rsidRDefault="00FB160F" w:rsidP="00FB160F">
      <w:pPr>
        <w:spacing w:after="120" w:line="276" w:lineRule="auto"/>
        <w:rPr>
          <w:rFonts w:ascii="Calibri" w:hAnsi="Calibri"/>
          <w:sz w:val="22"/>
          <w:szCs w:val="22"/>
        </w:rPr>
      </w:pPr>
      <w:r w:rsidRPr="006523D5">
        <w:rPr>
          <w:rFonts w:ascii="Calibri" w:hAnsi="Calibri"/>
          <w:b/>
          <w:sz w:val="22"/>
          <w:szCs w:val="22"/>
        </w:rPr>
        <w:t>Analytic Question 1:</w:t>
      </w:r>
      <w:r w:rsidRPr="006523D5">
        <w:rPr>
          <w:rFonts w:ascii="Calibri" w:hAnsi="Calibri"/>
          <w:sz w:val="22"/>
          <w:szCs w:val="22"/>
        </w:rPr>
        <w:t xml:space="preserve"> </w:t>
      </w:r>
      <w:r w:rsidRPr="006523D5">
        <w:rPr>
          <w:rFonts w:ascii="Calibri" w:hAnsi="Calibri"/>
          <w:i/>
          <w:sz w:val="22"/>
          <w:szCs w:val="22"/>
        </w:rPr>
        <w:t xml:space="preserve">“Does </w:t>
      </w:r>
      <w:r>
        <w:rPr>
          <w:rFonts w:ascii="Calibri" w:hAnsi="Calibri"/>
          <w:i/>
          <w:sz w:val="22"/>
          <w:szCs w:val="22"/>
        </w:rPr>
        <w:t>having multiple</w:t>
      </w:r>
      <w:r w:rsidRPr="006523D5">
        <w:rPr>
          <w:rFonts w:ascii="Calibri" w:hAnsi="Calibri"/>
          <w:i/>
          <w:sz w:val="22"/>
          <w:szCs w:val="22"/>
        </w:rPr>
        <w:t xml:space="preserve"> prescrib</w:t>
      </w:r>
      <w:r>
        <w:rPr>
          <w:rFonts w:ascii="Calibri" w:hAnsi="Calibri"/>
          <w:i/>
          <w:sz w:val="22"/>
          <w:szCs w:val="22"/>
        </w:rPr>
        <w:t>ers</w:t>
      </w:r>
      <w:r w:rsidRPr="006523D5">
        <w:rPr>
          <w:rFonts w:ascii="Calibri" w:hAnsi="Calibri"/>
          <w:i/>
          <w:sz w:val="22"/>
          <w:szCs w:val="22"/>
        </w:rPr>
        <w:t xml:space="preserve"> increase a patient’s risk of fatal </w:t>
      </w:r>
      <w:r>
        <w:rPr>
          <w:rFonts w:ascii="Calibri" w:hAnsi="Calibri"/>
          <w:i/>
          <w:sz w:val="22"/>
          <w:szCs w:val="22"/>
        </w:rPr>
        <w:t xml:space="preserve">opioid-related </w:t>
      </w:r>
      <w:r w:rsidRPr="006523D5">
        <w:rPr>
          <w:rFonts w:ascii="Calibri" w:hAnsi="Calibri"/>
          <w:i/>
          <w:sz w:val="22"/>
          <w:szCs w:val="22"/>
        </w:rPr>
        <w:t>overdose?”</w:t>
      </w:r>
    </w:p>
    <w:p w:rsidR="00FB160F" w:rsidRDefault="00FB160F" w:rsidP="00FB160F">
      <w:pPr>
        <w:spacing w:after="120" w:line="276" w:lineRule="auto"/>
        <w:ind w:firstLine="720"/>
        <w:rPr>
          <w:rFonts w:ascii="Calibri" w:hAnsi="Calibri"/>
          <w:sz w:val="22"/>
          <w:szCs w:val="22"/>
        </w:rPr>
      </w:pPr>
      <w:r w:rsidRPr="003D75D4">
        <w:rPr>
          <w:rFonts w:ascii="Calibri" w:hAnsi="Calibri"/>
          <w:sz w:val="22"/>
          <w:szCs w:val="22"/>
        </w:rPr>
        <w:t xml:space="preserve">Individuals who obtain prescriptions for opioids from more than one </w:t>
      </w:r>
      <w:r>
        <w:rPr>
          <w:rFonts w:ascii="Calibri" w:hAnsi="Calibri"/>
          <w:sz w:val="22"/>
          <w:szCs w:val="22"/>
        </w:rPr>
        <w:t>prescriber</w:t>
      </w:r>
      <w:r w:rsidRPr="003D75D4">
        <w:rPr>
          <w:rFonts w:ascii="Calibri" w:hAnsi="Calibri"/>
          <w:sz w:val="22"/>
          <w:szCs w:val="22"/>
        </w:rPr>
        <w:t xml:space="preserve"> may be at greater risk of death.  </w:t>
      </w:r>
      <w:r>
        <w:rPr>
          <w:rFonts w:ascii="Calibri" w:hAnsi="Calibri"/>
          <w:sz w:val="22"/>
          <w:szCs w:val="22"/>
        </w:rPr>
        <w:t>Receiving prescription opioids from multiple prescribers with the intent of deceiving the prescriber about the volume of opioids received</w:t>
      </w:r>
      <w:r w:rsidRPr="003D75D4">
        <w:rPr>
          <w:rFonts w:ascii="Calibri" w:hAnsi="Calibri"/>
          <w:sz w:val="22"/>
          <w:szCs w:val="22"/>
        </w:rPr>
        <w:t xml:space="preserve"> is often referred to as "doctor shopping."  While there is general acceptance that this is a risk factor for death, it is actually unknown how many persons in Massachusetts have died of an opioid</w:t>
      </w:r>
      <w:r>
        <w:rPr>
          <w:rFonts w:ascii="Calibri" w:hAnsi="Calibri"/>
          <w:sz w:val="22"/>
          <w:szCs w:val="22"/>
        </w:rPr>
        <w:t>-related</w:t>
      </w:r>
      <w:r w:rsidRPr="003D75D4">
        <w:rPr>
          <w:rFonts w:ascii="Calibri" w:hAnsi="Calibri"/>
          <w:sz w:val="22"/>
          <w:szCs w:val="22"/>
        </w:rPr>
        <w:t xml:space="preserve"> overdose who also obtained prescriptions from more than one health care provider.  This analysis provides an opportunity to examine the assumption that persons going to multiple providers for </w:t>
      </w:r>
      <w:r>
        <w:rPr>
          <w:rFonts w:ascii="Calibri" w:hAnsi="Calibri"/>
          <w:sz w:val="22"/>
          <w:szCs w:val="22"/>
        </w:rPr>
        <w:t>opioid</w:t>
      </w:r>
      <w:r w:rsidRPr="003D75D4">
        <w:rPr>
          <w:rFonts w:ascii="Calibri" w:hAnsi="Calibri"/>
          <w:sz w:val="22"/>
          <w:szCs w:val="22"/>
        </w:rPr>
        <w:t xml:space="preserve"> prescriptions</w:t>
      </w:r>
      <w:r>
        <w:rPr>
          <w:rFonts w:ascii="Calibri" w:hAnsi="Calibri"/>
          <w:sz w:val="22"/>
          <w:szCs w:val="22"/>
        </w:rPr>
        <w:t xml:space="preserve"> are at</w:t>
      </w:r>
      <w:r w:rsidRPr="003D75D4">
        <w:rPr>
          <w:rFonts w:ascii="Calibri" w:hAnsi="Calibri"/>
          <w:sz w:val="22"/>
          <w:szCs w:val="22"/>
        </w:rPr>
        <w:t xml:space="preserve"> increased </w:t>
      </w:r>
      <w:r>
        <w:rPr>
          <w:rFonts w:ascii="Calibri" w:hAnsi="Calibri"/>
          <w:sz w:val="22"/>
          <w:szCs w:val="22"/>
        </w:rPr>
        <w:t xml:space="preserve">risk of </w:t>
      </w:r>
      <w:r w:rsidRPr="003D75D4">
        <w:rPr>
          <w:rFonts w:ascii="Calibri" w:hAnsi="Calibri"/>
          <w:sz w:val="22"/>
          <w:szCs w:val="22"/>
        </w:rPr>
        <w:t>death from opioid</w:t>
      </w:r>
      <w:r>
        <w:rPr>
          <w:rFonts w:ascii="Calibri" w:hAnsi="Calibri"/>
          <w:sz w:val="22"/>
          <w:szCs w:val="22"/>
        </w:rPr>
        <w:t>-related</w:t>
      </w:r>
      <w:r w:rsidRPr="003D75D4">
        <w:rPr>
          <w:rFonts w:ascii="Calibri" w:hAnsi="Calibri"/>
          <w:sz w:val="22"/>
          <w:szCs w:val="22"/>
        </w:rPr>
        <w:t xml:space="preserve"> overdose</w:t>
      </w:r>
      <w:r w:rsidR="00301E0D">
        <w:rPr>
          <w:rFonts w:ascii="Calibri" w:hAnsi="Calibri"/>
          <w:sz w:val="22"/>
          <w:szCs w:val="22"/>
        </w:rPr>
        <w:t>.  T</w:t>
      </w:r>
      <w:r w:rsidRPr="003D75D4">
        <w:rPr>
          <w:rFonts w:ascii="Calibri" w:hAnsi="Calibri"/>
          <w:sz w:val="22"/>
          <w:szCs w:val="22"/>
        </w:rPr>
        <w:t xml:space="preserve">o answer this question, the </w:t>
      </w:r>
      <w:r>
        <w:rPr>
          <w:rFonts w:ascii="Calibri" w:hAnsi="Calibri"/>
          <w:sz w:val="22"/>
          <w:szCs w:val="22"/>
        </w:rPr>
        <w:t>Prescription Drug Monitoring Program (PDMP)</w:t>
      </w:r>
      <w:r w:rsidRPr="003D75D4">
        <w:rPr>
          <w:rFonts w:ascii="Calibri" w:hAnsi="Calibri"/>
          <w:sz w:val="22"/>
          <w:szCs w:val="22"/>
        </w:rPr>
        <w:t xml:space="preserve"> </w:t>
      </w:r>
      <w:r>
        <w:rPr>
          <w:rFonts w:ascii="Calibri" w:hAnsi="Calibri"/>
          <w:sz w:val="22"/>
          <w:szCs w:val="22"/>
        </w:rPr>
        <w:t>dataset was</w:t>
      </w:r>
      <w:r w:rsidRPr="003D75D4">
        <w:rPr>
          <w:rFonts w:ascii="Calibri" w:hAnsi="Calibri"/>
          <w:sz w:val="22"/>
          <w:szCs w:val="22"/>
        </w:rPr>
        <w:t xml:space="preserve"> linked </w:t>
      </w:r>
      <w:r>
        <w:rPr>
          <w:rFonts w:ascii="Calibri" w:hAnsi="Calibri"/>
          <w:sz w:val="22"/>
          <w:szCs w:val="22"/>
        </w:rPr>
        <w:t xml:space="preserve">to </w:t>
      </w:r>
      <w:r w:rsidRPr="003D75D4">
        <w:rPr>
          <w:rFonts w:ascii="Calibri" w:hAnsi="Calibri"/>
          <w:sz w:val="22"/>
          <w:szCs w:val="22"/>
        </w:rPr>
        <w:t>death certificates where the causes of death were noted</w:t>
      </w:r>
      <w:r w:rsidR="00301E0D">
        <w:rPr>
          <w:rFonts w:ascii="Calibri" w:hAnsi="Calibri"/>
          <w:sz w:val="22"/>
          <w:szCs w:val="22"/>
        </w:rPr>
        <w:t xml:space="preserve">.  </w:t>
      </w:r>
      <w:r w:rsidRPr="003D75D4">
        <w:rPr>
          <w:rFonts w:ascii="Calibri" w:hAnsi="Calibri"/>
          <w:sz w:val="22"/>
          <w:szCs w:val="22"/>
        </w:rPr>
        <w:t xml:space="preserve">The linked </w:t>
      </w:r>
      <w:r>
        <w:rPr>
          <w:rFonts w:ascii="Calibri" w:hAnsi="Calibri"/>
          <w:sz w:val="22"/>
          <w:szCs w:val="22"/>
        </w:rPr>
        <w:t>dataset</w:t>
      </w:r>
      <w:r w:rsidRPr="003D75D4">
        <w:rPr>
          <w:rFonts w:ascii="Calibri" w:hAnsi="Calibri"/>
          <w:sz w:val="22"/>
          <w:szCs w:val="22"/>
        </w:rPr>
        <w:t xml:space="preserve"> w</w:t>
      </w:r>
      <w:r>
        <w:rPr>
          <w:rFonts w:ascii="Calibri" w:hAnsi="Calibri"/>
          <w:sz w:val="22"/>
          <w:szCs w:val="22"/>
        </w:rPr>
        <w:t xml:space="preserve">as </w:t>
      </w:r>
      <w:r w:rsidRPr="003D75D4">
        <w:rPr>
          <w:rFonts w:ascii="Calibri" w:hAnsi="Calibri"/>
          <w:sz w:val="22"/>
          <w:szCs w:val="22"/>
        </w:rPr>
        <w:t>analyzed for opioid prescriptions by patient, their demographics (age, gender, race, marital status, employment,</w:t>
      </w:r>
      <w:r>
        <w:rPr>
          <w:rFonts w:ascii="Calibri" w:hAnsi="Calibri"/>
          <w:sz w:val="22"/>
          <w:szCs w:val="22"/>
        </w:rPr>
        <w:t xml:space="preserve"> and </w:t>
      </w:r>
      <w:r w:rsidRPr="003D75D4">
        <w:rPr>
          <w:rFonts w:ascii="Calibri" w:hAnsi="Calibri"/>
          <w:sz w:val="22"/>
          <w:szCs w:val="22"/>
        </w:rPr>
        <w:t>geography), the number of prescribers, and the outcome (</w:t>
      </w:r>
      <w:r>
        <w:rPr>
          <w:rFonts w:ascii="Calibri" w:hAnsi="Calibri"/>
          <w:sz w:val="22"/>
          <w:szCs w:val="22"/>
        </w:rPr>
        <w:t>opioid-related</w:t>
      </w:r>
      <w:r w:rsidRPr="003D75D4">
        <w:rPr>
          <w:rFonts w:ascii="Calibri" w:hAnsi="Calibri"/>
          <w:sz w:val="22"/>
          <w:szCs w:val="22"/>
        </w:rPr>
        <w:t xml:space="preserve"> death, any death, or still living- no death)</w:t>
      </w:r>
      <w:r w:rsidR="00301E0D">
        <w:rPr>
          <w:rFonts w:ascii="Calibri" w:hAnsi="Calibri"/>
          <w:sz w:val="22"/>
          <w:szCs w:val="22"/>
        </w:rPr>
        <w:t>.  T</w:t>
      </w:r>
      <w:r>
        <w:rPr>
          <w:rFonts w:ascii="Calibri" w:hAnsi="Calibri"/>
          <w:sz w:val="22"/>
          <w:szCs w:val="22"/>
        </w:rPr>
        <w:t>he analysis was conducted to determine the</w:t>
      </w:r>
      <w:r w:rsidRPr="003D75D4">
        <w:rPr>
          <w:rFonts w:ascii="Calibri" w:hAnsi="Calibri"/>
          <w:sz w:val="22"/>
          <w:szCs w:val="22"/>
        </w:rPr>
        <w:t xml:space="preserve"> relationship between</w:t>
      </w:r>
      <w:r>
        <w:rPr>
          <w:rFonts w:ascii="Calibri" w:hAnsi="Calibri"/>
          <w:sz w:val="22"/>
          <w:szCs w:val="22"/>
        </w:rPr>
        <w:t xml:space="preserve"> the</w:t>
      </w:r>
      <w:r w:rsidRPr="003D75D4">
        <w:rPr>
          <w:rFonts w:ascii="Calibri" w:hAnsi="Calibri"/>
          <w:sz w:val="22"/>
          <w:szCs w:val="22"/>
        </w:rPr>
        <w:t xml:space="preserve"> number of prescribers and likelihood of dying</w:t>
      </w:r>
      <w:r>
        <w:rPr>
          <w:rFonts w:ascii="Calibri" w:hAnsi="Calibri"/>
          <w:sz w:val="22"/>
          <w:szCs w:val="22"/>
        </w:rPr>
        <w:t xml:space="preserve"> of an opioid-related overdose</w:t>
      </w:r>
      <w:r w:rsidRPr="003D75D4">
        <w:rPr>
          <w:rFonts w:ascii="Calibri" w:hAnsi="Calibri"/>
          <w:sz w:val="22"/>
          <w:szCs w:val="22"/>
        </w:rPr>
        <w:t>.</w:t>
      </w:r>
    </w:p>
    <w:p w:rsidR="00FB160F" w:rsidRDefault="00FB160F" w:rsidP="00FB160F">
      <w:pPr>
        <w:spacing w:after="120" w:line="276" w:lineRule="auto"/>
        <w:rPr>
          <w:rFonts w:ascii="Calibri" w:hAnsi="Calibri"/>
          <w:b/>
          <w:sz w:val="22"/>
          <w:szCs w:val="22"/>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898"/>
        <w:gridCol w:w="2160"/>
        <w:gridCol w:w="2124"/>
        <w:gridCol w:w="2394"/>
      </w:tblGrid>
      <w:tr w:rsidR="00FB160F" w:rsidTr="001C267C">
        <w:tc>
          <w:tcPr>
            <w:tcW w:w="9576" w:type="dxa"/>
            <w:gridSpan w:val="4"/>
            <w:vAlign w:val="center"/>
          </w:tcPr>
          <w:p w:rsidR="00FB160F" w:rsidRPr="00570FB0" w:rsidRDefault="00301E0D" w:rsidP="001C267C">
            <w:pPr>
              <w:jc w:val="center"/>
              <w:rPr>
                <w:rFonts w:ascii="Calibri" w:hAnsi="Calibri"/>
                <w:b/>
                <w:bCs/>
                <w:szCs w:val="22"/>
              </w:rPr>
            </w:pPr>
            <w:r>
              <w:rPr>
                <w:rFonts w:ascii="Calibri" w:hAnsi="Calibri"/>
                <w:b/>
                <w:bCs/>
                <w:sz w:val="22"/>
                <w:szCs w:val="22"/>
              </w:rPr>
              <w:t>Table A</w:t>
            </w:r>
            <w:r w:rsidR="00FB160F" w:rsidRPr="00570FB0">
              <w:rPr>
                <w:rFonts w:ascii="Calibri" w:hAnsi="Calibri"/>
                <w:b/>
                <w:bCs/>
                <w:sz w:val="22"/>
                <w:szCs w:val="22"/>
              </w:rPr>
              <w:t xml:space="preserve">1: Relative Risk of Opioid-Related Overdose </w:t>
            </w:r>
            <w:r w:rsidR="0050537B">
              <w:rPr>
                <w:rFonts w:ascii="Calibri" w:hAnsi="Calibri"/>
                <w:b/>
                <w:bCs/>
                <w:sz w:val="22"/>
                <w:szCs w:val="22"/>
              </w:rPr>
              <w:t xml:space="preserve">(2013-2014) </w:t>
            </w:r>
            <w:r w:rsidR="00FB160F" w:rsidRPr="00570FB0">
              <w:rPr>
                <w:rFonts w:ascii="Calibri" w:hAnsi="Calibri"/>
                <w:b/>
                <w:bCs/>
                <w:sz w:val="22"/>
                <w:szCs w:val="22"/>
              </w:rPr>
              <w:t>by Number of Prescribers in a Three Month Period</w:t>
            </w:r>
            <w:r w:rsidR="0050537B">
              <w:rPr>
                <w:rFonts w:ascii="Calibri" w:hAnsi="Calibri"/>
                <w:b/>
                <w:bCs/>
                <w:sz w:val="22"/>
                <w:szCs w:val="22"/>
              </w:rPr>
              <w:t xml:space="preserve"> (2011-2014)</w:t>
            </w:r>
          </w:p>
        </w:tc>
      </w:tr>
      <w:tr w:rsidR="00E11012" w:rsidTr="001C267C">
        <w:tc>
          <w:tcPr>
            <w:tcW w:w="2898" w:type="dxa"/>
            <w:shd w:val="clear" w:color="auto" w:fill="F2F2F2"/>
            <w:vAlign w:val="center"/>
          </w:tcPr>
          <w:p w:rsidR="00E11012" w:rsidRPr="00E11012" w:rsidRDefault="00E11012" w:rsidP="001C267C">
            <w:pPr>
              <w:rPr>
                <w:rFonts w:ascii="Calibri" w:hAnsi="Calibri"/>
                <w:b/>
                <w:bCs/>
                <w:szCs w:val="22"/>
              </w:rPr>
            </w:pPr>
            <w:r w:rsidRPr="00E11012">
              <w:rPr>
                <w:rFonts w:ascii="Calibri" w:hAnsi="Calibri"/>
                <w:b/>
                <w:bCs/>
                <w:sz w:val="22"/>
                <w:szCs w:val="22"/>
              </w:rPr>
              <w:t>Number of Prescribers vs. Risk of Fatal Opioid-Related Overdose</w:t>
            </w:r>
          </w:p>
        </w:tc>
        <w:tc>
          <w:tcPr>
            <w:tcW w:w="2160" w:type="dxa"/>
            <w:shd w:val="clear" w:color="auto" w:fill="F2F2F2"/>
            <w:vAlign w:val="center"/>
          </w:tcPr>
          <w:p w:rsidR="00E11012" w:rsidRPr="00E11012" w:rsidRDefault="00E11012" w:rsidP="001C267C">
            <w:pPr>
              <w:jc w:val="center"/>
              <w:rPr>
                <w:rFonts w:ascii="Calibri" w:hAnsi="Calibri"/>
                <w:szCs w:val="22"/>
              </w:rPr>
            </w:pPr>
            <w:r w:rsidRPr="00E11012">
              <w:rPr>
                <w:rFonts w:ascii="Calibri" w:hAnsi="Calibri"/>
                <w:sz w:val="22"/>
                <w:szCs w:val="22"/>
              </w:rPr>
              <w:t>1 – 2 Prescribers</w:t>
            </w:r>
          </w:p>
        </w:tc>
        <w:tc>
          <w:tcPr>
            <w:tcW w:w="2124" w:type="dxa"/>
            <w:shd w:val="clear" w:color="auto" w:fill="F2F2F2"/>
            <w:vAlign w:val="center"/>
          </w:tcPr>
          <w:p w:rsidR="00E11012" w:rsidRPr="00E11012" w:rsidRDefault="00E11012" w:rsidP="001C267C">
            <w:pPr>
              <w:jc w:val="center"/>
              <w:rPr>
                <w:rFonts w:ascii="Calibri" w:hAnsi="Calibri"/>
                <w:szCs w:val="22"/>
              </w:rPr>
            </w:pPr>
            <w:r w:rsidRPr="00E11012">
              <w:rPr>
                <w:rFonts w:ascii="Calibri" w:hAnsi="Calibri"/>
                <w:sz w:val="22"/>
                <w:szCs w:val="22"/>
              </w:rPr>
              <w:t>3+ Prescribers</w:t>
            </w:r>
          </w:p>
        </w:tc>
        <w:tc>
          <w:tcPr>
            <w:tcW w:w="2394" w:type="dxa"/>
            <w:shd w:val="clear" w:color="auto" w:fill="F2F2F2"/>
            <w:vAlign w:val="center"/>
          </w:tcPr>
          <w:p w:rsidR="00E11012" w:rsidRPr="00570FB0" w:rsidRDefault="00E11012" w:rsidP="001C267C">
            <w:pPr>
              <w:jc w:val="center"/>
              <w:rPr>
                <w:rFonts w:ascii="Calibri" w:hAnsi="Calibri"/>
                <w:szCs w:val="22"/>
              </w:rPr>
            </w:pPr>
            <w:r w:rsidRPr="00570FB0">
              <w:rPr>
                <w:rFonts w:ascii="Calibri" w:hAnsi="Calibri"/>
                <w:sz w:val="22"/>
                <w:szCs w:val="22"/>
              </w:rPr>
              <w:t>Relative Risk Ratio</w:t>
            </w:r>
          </w:p>
        </w:tc>
      </w:tr>
      <w:tr w:rsidR="00E11012" w:rsidTr="001C267C">
        <w:tc>
          <w:tcPr>
            <w:tcW w:w="2898" w:type="dxa"/>
          </w:tcPr>
          <w:p w:rsidR="00E11012" w:rsidRPr="00E11012" w:rsidRDefault="00E11012" w:rsidP="001C267C">
            <w:pPr>
              <w:rPr>
                <w:rFonts w:ascii="Calibri" w:hAnsi="Calibri"/>
                <w:b/>
                <w:bCs/>
                <w:szCs w:val="22"/>
              </w:rPr>
            </w:pPr>
            <w:r w:rsidRPr="00E11012">
              <w:rPr>
                <w:rFonts w:ascii="Calibri" w:hAnsi="Calibri"/>
                <w:b/>
                <w:bCs/>
                <w:sz w:val="22"/>
                <w:szCs w:val="22"/>
              </w:rPr>
              <w:t>Total Fatal Overdoses</w:t>
            </w:r>
          </w:p>
        </w:tc>
        <w:tc>
          <w:tcPr>
            <w:tcW w:w="2160" w:type="dxa"/>
          </w:tcPr>
          <w:p w:rsidR="00E11012" w:rsidRPr="00E11012" w:rsidRDefault="00E11012" w:rsidP="001C267C">
            <w:pPr>
              <w:tabs>
                <w:tab w:val="left" w:pos="750"/>
                <w:tab w:val="center" w:pos="972"/>
              </w:tabs>
              <w:rPr>
                <w:rFonts w:asciiTheme="minorHAnsi" w:hAnsiTheme="minorHAnsi"/>
                <w:sz w:val="22"/>
                <w:szCs w:val="22"/>
              </w:rPr>
            </w:pPr>
            <w:r w:rsidRPr="00E11012">
              <w:rPr>
                <w:rFonts w:asciiTheme="minorHAnsi" w:hAnsiTheme="minorHAnsi"/>
                <w:sz w:val="22"/>
                <w:szCs w:val="22"/>
              </w:rPr>
              <w:tab/>
            </w:r>
            <w:r w:rsidRPr="00E11012">
              <w:rPr>
                <w:rFonts w:asciiTheme="minorHAnsi" w:hAnsiTheme="minorHAnsi"/>
                <w:sz w:val="22"/>
                <w:szCs w:val="22"/>
              </w:rPr>
              <w:tab/>
              <w:t>648</w:t>
            </w:r>
          </w:p>
        </w:tc>
        <w:tc>
          <w:tcPr>
            <w:tcW w:w="2124" w:type="dxa"/>
          </w:tcPr>
          <w:p w:rsidR="00E11012" w:rsidRPr="00E11012" w:rsidRDefault="00E11012" w:rsidP="001C267C">
            <w:pPr>
              <w:jc w:val="center"/>
              <w:rPr>
                <w:rFonts w:asciiTheme="minorHAnsi" w:hAnsiTheme="minorHAnsi"/>
                <w:sz w:val="22"/>
                <w:szCs w:val="22"/>
              </w:rPr>
            </w:pPr>
            <w:r w:rsidRPr="00E11012">
              <w:rPr>
                <w:rFonts w:asciiTheme="minorHAnsi" w:hAnsiTheme="minorHAnsi"/>
                <w:sz w:val="22"/>
                <w:szCs w:val="22"/>
              </w:rPr>
              <w:t>808</w:t>
            </w:r>
          </w:p>
        </w:tc>
        <w:tc>
          <w:tcPr>
            <w:tcW w:w="2394" w:type="dxa"/>
          </w:tcPr>
          <w:p w:rsidR="00E11012" w:rsidRPr="00570FB0" w:rsidRDefault="00E11012" w:rsidP="001C267C">
            <w:pPr>
              <w:jc w:val="center"/>
              <w:rPr>
                <w:rFonts w:ascii="Calibri" w:hAnsi="Calibri"/>
                <w:szCs w:val="22"/>
              </w:rPr>
            </w:pPr>
          </w:p>
        </w:tc>
      </w:tr>
      <w:tr w:rsidR="00E11012" w:rsidTr="001C267C">
        <w:tc>
          <w:tcPr>
            <w:tcW w:w="2898" w:type="dxa"/>
            <w:shd w:val="clear" w:color="auto" w:fill="F2F2F2"/>
          </w:tcPr>
          <w:p w:rsidR="00E11012" w:rsidRPr="00E11012" w:rsidRDefault="00E11012" w:rsidP="001C267C">
            <w:pPr>
              <w:rPr>
                <w:rFonts w:ascii="Calibri" w:hAnsi="Calibri"/>
                <w:b/>
                <w:bCs/>
                <w:szCs w:val="22"/>
              </w:rPr>
            </w:pPr>
            <w:r w:rsidRPr="00E11012">
              <w:rPr>
                <w:rFonts w:ascii="Calibri" w:hAnsi="Calibri"/>
                <w:b/>
                <w:bCs/>
                <w:sz w:val="22"/>
                <w:szCs w:val="22"/>
              </w:rPr>
              <w:t>Total Individuals with at least 1 opioid prescription</w:t>
            </w:r>
          </w:p>
        </w:tc>
        <w:tc>
          <w:tcPr>
            <w:tcW w:w="2160" w:type="dxa"/>
            <w:shd w:val="clear" w:color="auto" w:fill="F2F2F2"/>
          </w:tcPr>
          <w:p w:rsidR="00E11012" w:rsidRPr="00E11012" w:rsidRDefault="00E11012" w:rsidP="001C267C">
            <w:pPr>
              <w:jc w:val="center"/>
              <w:rPr>
                <w:rFonts w:asciiTheme="minorHAnsi" w:hAnsiTheme="minorHAnsi"/>
                <w:sz w:val="22"/>
                <w:szCs w:val="22"/>
              </w:rPr>
            </w:pPr>
            <w:r w:rsidRPr="00E11012">
              <w:rPr>
                <w:rFonts w:asciiTheme="minorHAnsi" w:hAnsiTheme="minorHAnsi"/>
                <w:sz w:val="22"/>
                <w:szCs w:val="22"/>
              </w:rPr>
              <w:t>~2.1M</w:t>
            </w:r>
          </w:p>
        </w:tc>
        <w:tc>
          <w:tcPr>
            <w:tcW w:w="2124" w:type="dxa"/>
            <w:shd w:val="clear" w:color="auto" w:fill="F2F2F2"/>
          </w:tcPr>
          <w:p w:rsidR="00E11012" w:rsidRPr="00E11012" w:rsidRDefault="00E11012" w:rsidP="001C267C">
            <w:pPr>
              <w:jc w:val="center"/>
              <w:rPr>
                <w:rFonts w:asciiTheme="minorHAnsi" w:hAnsiTheme="minorHAnsi"/>
                <w:sz w:val="22"/>
                <w:szCs w:val="22"/>
              </w:rPr>
            </w:pPr>
            <w:r w:rsidRPr="00E11012">
              <w:rPr>
                <w:rFonts w:asciiTheme="minorHAnsi" w:hAnsiTheme="minorHAnsi"/>
                <w:sz w:val="22"/>
                <w:szCs w:val="22"/>
              </w:rPr>
              <w:t>~400,000</w:t>
            </w:r>
          </w:p>
        </w:tc>
        <w:tc>
          <w:tcPr>
            <w:tcW w:w="2394" w:type="dxa"/>
            <w:shd w:val="clear" w:color="auto" w:fill="F2F2F2"/>
          </w:tcPr>
          <w:p w:rsidR="00E11012" w:rsidRPr="00570FB0" w:rsidRDefault="00E11012" w:rsidP="001C267C">
            <w:pPr>
              <w:jc w:val="center"/>
              <w:rPr>
                <w:rFonts w:ascii="Calibri" w:hAnsi="Calibri"/>
                <w:szCs w:val="22"/>
              </w:rPr>
            </w:pPr>
          </w:p>
        </w:tc>
      </w:tr>
      <w:tr w:rsidR="00E11012" w:rsidTr="001C267C">
        <w:tc>
          <w:tcPr>
            <w:tcW w:w="2898" w:type="dxa"/>
          </w:tcPr>
          <w:p w:rsidR="00E11012" w:rsidRPr="00E11012" w:rsidRDefault="00E11012" w:rsidP="001C267C">
            <w:pPr>
              <w:rPr>
                <w:rFonts w:ascii="Calibri" w:hAnsi="Calibri"/>
                <w:b/>
                <w:bCs/>
                <w:szCs w:val="22"/>
              </w:rPr>
            </w:pPr>
            <w:r w:rsidRPr="00E11012">
              <w:rPr>
                <w:rFonts w:ascii="Calibri" w:hAnsi="Calibri"/>
                <w:b/>
                <w:bCs/>
                <w:sz w:val="22"/>
                <w:szCs w:val="22"/>
              </w:rPr>
              <w:t>Incidence</w:t>
            </w:r>
          </w:p>
        </w:tc>
        <w:tc>
          <w:tcPr>
            <w:tcW w:w="2160" w:type="dxa"/>
          </w:tcPr>
          <w:p w:rsidR="00E11012" w:rsidRPr="00E11012" w:rsidRDefault="00E11012" w:rsidP="001C267C">
            <w:pPr>
              <w:jc w:val="center"/>
              <w:rPr>
                <w:rFonts w:asciiTheme="minorHAnsi" w:hAnsiTheme="minorHAnsi"/>
                <w:sz w:val="22"/>
                <w:szCs w:val="22"/>
              </w:rPr>
            </w:pPr>
            <w:r w:rsidRPr="00E11012">
              <w:rPr>
                <w:rFonts w:asciiTheme="minorHAnsi" w:hAnsiTheme="minorHAnsi"/>
                <w:sz w:val="22"/>
                <w:szCs w:val="22"/>
              </w:rPr>
              <w:t>~1.5 per 10,000 per year</w:t>
            </w:r>
          </w:p>
        </w:tc>
        <w:tc>
          <w:tcPr>
            <w:tcW w:w="2124" w:type="dxa"/>
          </w:tcPr>
          <w:p w:rsidR="00E11012" w:rsidRPr="00E11012" w:rsidRDefault="00E11012" w:rsidP="001C267C">
            <w:pPr>
              <w:jc w:val="center"/>
              <w:rPr>
                <w:rFonts w:asciiTheme="minorHAnsi" w:hAnsiTheme="minorHAnsi"/>
                <w:sz w:val="22"/>
                <w:szCs w:val="22"/>
              </w:rPr>
            </w:pPr>
            <w:r w:rsidRPr="00E11012">
              <w:rPr>
                <w:rFonts w:asciiTheme="minorHAnsi" w:hAnsiTheme="minorHAnsi"/>
                <w:sz w:val="22"/>
                <w:szCs w:val="22"/>
              </w:rPr>
              <w:t>~10.1 per 10,000 per year</w:t>
            </w:r>
          </w:p>
        </w:tc>
        <w:tc>
          <w:tcPr>
            <w:tcW w:w="2394" w:type="dxa"/>
          </w:tcPr>
          <w:p w:rsidR="00E11012" w:rsidRPr="00570FB0" w:rsidRDefault="00E11012" w:rsidP="001C267C">
            <w:pPr>
              <w:jc w:val="center"/>
              <w:rPr>
                <w:rFonts w:ascii="Calibri" w:hAnsi="Calibri"/>
                <w:szCs w:val="22"/>
              </w:rPr>
            </w:pPr>
            <w:r w:rsidRPr="00570FB0">
              <w:rPr>
                <w:rFonts w:ascii="Calibri" w:hAnsi="Calibri"/>
                <w:sz w:val="22"/>
                <w:szCs w:val="22"/>
              </w:rPr>
              <w:t>~7</w:t>
            </w:r>
          </w:p>
        </w:tc>
      </w:tr>
      <w:tr w:rsidR="00FB160F" w:rsidTr="001C267C">
        <w:tc>
          <w:tcPr>
            <w:tcW w:w="2898" w:type="dxa"/>
            <w:shd w:val="clear" w:color="auto" w:fill="F2F2F2"/>
          </w:tcPr>
          <w:p w:rsidR="00FB160F" w:rsidRPr="00570FB0" w:rsidRDefault="00FB160F" w:rsidP="001C267C">
            <w:pPr>
              <w:rPr>
                <w:rFonts w:ascii="Calibri" w:hAnsi="Calibri"/>
                <w:b/>
                <w:bCs/>
                <w:szCs w:val="22"/>
              </w:rPr>
            </w:pPr>
            <w:r w:rsidRPr="00570FB0">
              <w:rPr>
                <w:rFonts w:ascii="Calibri" w:hAnsi="Calibri"/>
                <w:b/>
                <w:bCs/>
                <w:sz w:val="22"/>
                <w:szCs w:val="22"/>
              </w:rPr>
              <w:t>Summary</w:t>
            </w:r>
          </w:p>
        </w:tc>
        <w:tc>
          <w:tcPr>
            <w:tcW w:w="6678" w:type="dxa"/>
            <w:gridSpan w:val="3"/>
            <w:shd w:val="clear" w:color="auto" w:fill="F2F2F2"/>
          </w:tcPr>
          <w:p w:rsidR="00FB160F" w:rsidRPr="00570FB0" w:rsidRDefault="00FB160F" w:rsidP="001C267C">
            <w:pPr>
              <w:rPr>
                <w:rFonts w:ascii="Calibri" w:hAnsi="Calibri"/>
                <w:szCs w:val="22"/>
              </w:rPr>
            </w:pPr>
            <w:r w:rsidRPr="00570FB0">
              <w:rPr>
                <w:rFonts w:ascii="Calibri" w:hAnsi="Calibri"/>
                <w:sz w:val="22"/>
                <w:szCs w:val="22"/>
              </w:rPr>
              <w:t xml:space="preserve">Based on observed data, the use of 3 or more prescribers associated </w:t>
            </w:r>
            <w:r w:rsidRPr="00570FB0">
              <w:rPr>
                <w:rFonts w:ascii="Calibri" w:hAnsi="Calibri"/>
                <w:sz w:val="22"/>
                <w:szCs w:val="22"/>
              </w:rPr>
              <w:lastRenderedPageBreak/>
              <w:t>with a 7-fold increase in risk of fatal opioid</w:t>
            </w:r>
            <w:r>
              <w:rPr>
                <w:rFonts w:ascii="Calibri" w:hAnsi="Calibri"/>
                <w:sz w:val="22"/>
                <w:szCs w:val="22"/>
              </w:rPr>
              <w:t>-related</w:t>
            </w:r>
            <w:r w:rsidRPr="00570FB0">
              <w:rPr>
                <w:rFonts w:ascii="Calibri" w:hAnsi="Calibri"/>
                <w:sz w:val="22"/>
                <w:szCs w:val="22"/>
              </w:rPr>
              <w:t xml:space="preserve"> overdose</w:t>
            </w:r>
          </w:p>
        </w:tc>
      </w:tr>
    </w:tbl>
    <w:p w:rsidR="00FB160F" w:rsidRDefault="00FB160F" w:rsidP="00FB160F">
      <w:pPr>
        <w:spacing w:after="120" w:line="276" w:lineRule="auto"/>
        <w:rPr>
          <w:rFonts w:ascii="Calibri" w:hAnsi="Calibri"/>
          <w:b/>
          <w:sz w:val="22"/>
          <w:szCs w:val="22"/>
        </w:rPr>
      </w:pPr>
    </w:p>
    <w:p w:rsidR="00FB160F" w:rsidRDefault="00FB160F" w:rsidP="00FB160F">
      <w:pPr>
        <w:spacing w:after="120" w:line="276" w:lineRule="auto"/>
        <w:rPr>
          <w:rFonts w:ascii="Calibri" w:hAnsi="Calibri"/>
          <w:sz w:val="22"/>
          <w:szCs w:val="22"/>
        </w:rPr>
      </w:pPr>
      <w:r>
        <w:rPr>
          <w:rFonts w:ascii="Calibri" w:hAnsi="Calibri"/>
          <w:b/>
          <w:sz w:val="22"/>
          <w:szCs w:val="22"/>
        </w:rPr>
        <w:t xml:space="preserve">Discussion:  </w:t>
      </w:r>
      <w:r>
        <w:rPr>
          <w:rFonts w:ascii="Calibri" w:hAnsi="Calibri"/>
          <w:sz w:val="22"/>
          <w:szCs w:val="22"/>
        </w:rPr>
        <w:t>Having three or more prescribers does not necessarily or automatically imply the patient is exhibiting the behavior colloquially known as “doctor shopping.” There are no</w:t>
      </w:r>
      <w:r w:rsidR="00301E0D">
        <w:rPr>
          <w:rFonts w:ascii="Calibri" w:hAnsi="Calibri"/>
          <w:sz w:val="22"/>
          <w:szCs w:val="22"/>
        </w:rPr>
        <w:t xml:space="preserve">table </w:t>
      </w:r>
      <w:r>
        <w:rPr>
          <w:rFonts w:ascii="Calibri" w:hAnsi="Calibri"/>
          <w:sz w:val="22"/>
          <w:szCs w:val="22"/>
        </w:rPr>
        <w:t>exceptions, such as multi-provider practices in which prescriptions could be written for a single patient by multiple providers as part of normal operations</w:t>
      </w:r>
      <w:r w:rsidR="00301E0D">
        <w:rPr>
          <w:rFonts w:ascii="Calibri" w:hAnsi="Calibri"/>
          <w:sz w:val="22"/>
          <w:szCs w:val="22"/>
        </w:rPr>
        <w:t>.  H</w:t>
      </w:r>
      <w:r>
        <w:rPr>
          <w:rFonts w:ascii="Calibri" w:hAnsi="Calibri"/>
          <w:sz w:val="22"/>
          <w:szCs w:val="22"/>
        </w:rPr>
        <w:t>aving said that, there is still a clear pattern supported by the data that once three or more prescribers write prescriptions for opioids in a three-month window there is a marked increase in the likelihood of an opioid-related overdose.  It should be noted that the three-month period that defined a multi-prescriber event did not have to occur within any specific amount of time prior to death.  The relationship examined was whether any multi-prescriber event (i.e., 3 or more prescribers) was associated with an increased risk of death</w:t>
      </w:r>
      <w:r w:rsidRPr="001141BB">
        <w:rPr>
          <w:rFonts w:ascii="Calibri" w:hAnsi="Calibri"/>
          <w:sz w:val="22"/>
          <w:szCs w:val="22"/>
        </w:rPr>
        <w:t xml:space="preserve"> </w:t>
      </w:r>
      <w:r>
        <w:rPr>
          <w:rFonts w:ascii="Calibri" w:hAnsi="Calibri"/>
          <w:sz w:val="22"/>
          <w:szCs w:val="22"/>
        </w:rPr>
        <w:t>of an opioid-related overdose.</w:t>
      </w:r>
    </w:p>
    <w:p w:rsidR="00FB160F" w:rsidRDefault="00FB160F" w:rsidP="00FB160F">
      <w:pPr>
        <w:spacing w:after="120" w:line="276" w:lineRule="auto"/>
        <w:rPr>
          <w:rFonts w:ascii="Calibri" w:hAnsi="Calibri"/>
          <w:sz w:val="22"/>
          <w:szCs w:val="22"/>
        </w:rPr>
      </w:pPr>
      <w:r w:rsidRPr="001141BB">
        <w:rPr>
          <w:rFonts w:ascii="Calibri" w:hAnsi="Calibri"/>
          <w:b/>
          <w:sz w:val="22"/>
          <w:szCs w:val="22"/>
        </w:rPr>
        <w:t>Limitations:</w:t>
      </w:r>
      <w:r>
        <w:rPr>
          <w:rFonts w:ascii="Calibri" w:hAnsi="Calibri"/>
          <w:sz w:val="22"/>
          <w:szCs w:val="22"/>
        </w:rPr>
        <w:t xml:space="preserve"> The identifiers in the PDMP data set are imperfect.  As such, it is highly likely that the multi-prescribers events are underestimated.  That said, there is no reason seen in these data to suggest that these undetected cases would substantially alter the conclusions drawn here.  If anything, individuals using multiple forms of identification might logically be assumed to be at higher risk than those not attempting to avoid detection.</w:t>
      </w:r>
    </w:p>
    <w:p w:rsidR="00FB160F" w:rsidRDefault="00FB160F" w:rsidP="00FB160F">
      <w:pPr>
        <w:spacing w:after="120" w:line="276" w:lineRule="auto"/>
        <w:rPr>
          <w:rFonts w:ascii="Calibri" w:hAnsi="Calibri"/>
          <w:sz w:val="22"/>
          <w:szCs w:val="22"/>
        </w:rPr>
      </w:pPr>
    </w:p>
    <w:p w:rsidR="00FB160F" w:rsidRDefault="00FB160F" w:rsidP="00FB160F">
      <w:pPr>
        <w:spacing w:after="120" w:line="276" w:lineRule="auto"/>
        <w:rPr>
          <w:rFonts w:ascii="Calibri" w:hAnsi="Calibri"/>
          <w:sz w:val="22"/>
          <w:szCs w:val="22"/>
        </w:rPr>
      </w:pPr>
    </w:p>
    <w:p w:rsidR="00FB160F" w:rsidRDefault="00FB160F" w:rsidP="00FB160F">
      <w:pPr>
        <w:rPr>
          <w:rFonts w:ascii="Calibri" w:hAnsi="Calibri"/>
          <w:b/>
          <w:sz w:val="22"/>
          <w:szCs w:val="22"/>
          <w:u w:val="single"/>
        </w:rPr>
      </w:pPr>
      <w:r>
        <w:rPr>
          <w:rFonts w:ascii="Calibri" w:hAnsi="Calibri"/>
          <w:b/>
          <w:sz w:val="22"/>
          <w:szCs w:val="22"/>
          <w:u w:val="single"/>
        </w:rPr>
        <w:br w:type="page"/>
      </w:r>
    </w:p>
    <w:p w:rsidR="00FB160F" w:rsidRPr="006523D5" w:rsidRDefault="00BA3381" w:rsidP="00FB160F">
      <w:pPr>
        <w:spacing w:after="120" w:line="276" w:lineRule="auto"/>
        <w:rPr>
          <w:rFonts w:ascii="Calibri" w:hAnsi="Calibri"/>
          <w:i/>
          <w:sz w:val="22"/>
          <w:szCs w:val="22"/>
        </w:rPr>
      </w:pPr>
      <w:r>
        <w:rPr>
          <w:rFonts w:ascii="Calibri" w:hAnsi="Calibri"/>
          <w:b/>
          <w:sz w:val="22"/>
          <w:szCs w:val="22"/>
          <w:u w:val="single"/>
        </w:rPr>
        <w:lastRenderedPageBreak/>
        <w:t>Statutory</w:t>
      </w:r>
      <w:r w:rsidR="00FB160F" w:rsidRPr="006523D5">
        <w:rPr>
          <w:rFonts w:ascii="Calibri" w:hAnsi="Calibri"/>
          <w:b/>
          <w:sz w:val="22"/>
          <w:szCs w:val="22"/>
          <w:u w:val="single"/>
        </w:rPr>
        <w:t xml:space="preserve"> Question 2:</w:t>
      </w:r>
      <w:r w:rsidR="00FB160F" w:rsidRPr="006523D5">
        <w:rPr>
          <w:rFonts w:ascii="Calibri" w:hAnsi="Calibri"/>
          <w:sz w:val="22"/>
          <w:szCs w:val="22"/>
        </w:rPr>
        <w:t xml:space="preserve"> </w:t>
      </w:r>
      <w:r w:rsidR="00FB160F" w:rsidRPr="006523D5">
        <w:rPr>
          <w:rFonts w:ascii="Calibri" w:hAnsi="Calibri"/>
          <w:i/>
          <w:sz w:val="22"/>
          <w:szCs w:val="22"/>
        </w:rPr>
        <w:t xml:space="preserve">“Instances of poly-substance access, meaning a patient having simultaneous prescriptions for an opiate and a benzodiazepine or for an opiate and another drug which may enhance the effects or the risks of drug abuse or overdose” </w:t>
      </w:r>
    </w:p>
    <w:p w:rsidR="00FB160F" w:rsidRPr="006523D5" w:rsidRDefault="00FB160F" w:rsidP="00FB160F">
      <w:pPr>
        <w:spacing w:after="120" w:line="276" w:lineRule="auto"/>
        <w:rPr>
          <w:rFonts w:ascii="Calibri" w:hAnsi="Calibri"/>
          <w:sz w:val="22"/>
          <w:szCs w:val="22"/>
        </w:rPr>
      </w:pPr>
      <w:r w:rsidRPr="006523D5">
        <w:rPr>
          <w:rFonts w:ascii="Calibri" w:hAnsi="Calibri"/>
          <w:b/>
          <w:sz w:val="22"/>
          <w:szCs w:val="22"/>
        </w:rPr>
        <w:t>Analytic Question 2:</w:t>
      </w:r>
      <w:r w:rsidRPr="006523D5">
        <w:rPr>
          <w:rFonts w:ascii="Calibri" w:hAnsi="Calibri"/>
          <w:sz w:val="22"/>
          <w:szCs w:val="22"/>
        </w:rPr>
        <w:t xml:space="preserve"> </w:t>
      </w:r>
      <w:r w:rsidRPr="006523D5">
        <w:rPr>
          <w:rFonts w:ascii="Calibri" w:hAnsi="Calibri"/>
          <w:i/>
          <w:sz w:val="22"/>
          <w:szCs w:val="22"/>
        </w:rPr>
        <w:t xml:space="preserve">“Does the addition of </w:t>
      </w:r>
      <w:r>
        <w:rPr>
          <w:rFonts w:ascii="Calibri" w:hAnsi="Calibri"/>
          <w:i/>
          <w:sz w:val="22"/>
          <w:szCs w:val="22"/>
        </w:rPr>
        <w:t xml:space="preserve">a prescription </w:t>
      </w:r>
      <w:r w:rsidRPr="006523D5">
        <w:rPr>
          <w:rFonts w:ascii="Calibri" w:hAnsi="Calibri"/>
          <w:i/>
          <w:sz w:val="22"/>
          <w:szCs w:val="22"/>
        </w:rPr>
        <w:t>benzodiazepine to opioids increase the risk of fatal opioid</w:t>
      </w:r>
      <w:r>
        <w:rPr>
          <w:rFonts w:ascii="Calibri" w:hAnsi="Calibri"/>
          <w:i/>
          <w:sz w:val="22"/>
          <w:szCs w:val="22"/>
        </w:rPr>
        <w:t>-related</w:t>
      </w:r>
      <w:r w:rsidRPr="006523D5">
        <w:rPr>
          <w:rFonts w:ascii="Calibri" w:hAnsi="Calibri"/>
          <w:i/>
          <w:sz w:val="22"/>
          <w:szCs w:val="22"/>
        </w:rPr>
        <w:t xml:space="preserve"> overdose relative to taking opioids alone?” </w:t>
      </w:r>
    </w:p>
    <w:p w:rsidR="00FB160F" w:rsidRDefault="00FB160F" w:rsidP="00FB160F">
      <w:pPr>
        <w:spacing w:after="120" w:line="276" w:lineRule="auto"/>
        <w:ind w:firstLine="720"/>
        <w:rPr>
          <w:rFonts w:ascii="Calibri" w:hAnsi="Calibri"/>
          <w:sz w:val="22"/>
          <w:szCs w:val="22"/>
        </w:rPr>
      </w:pPr>
      <w:r w:rsidRPr="003D75D4">
        <w:rPr>
          <w:rFonts w:ascii="Calibri" w:hAnsi="Calibri"/>
          <w:sz w:val="22"/>
          <w:szCs w:val="22"/>
        </w:rPr>
        <w:t xml:space="preserve">It is generally thought that there are more deaths from overdose in people who use more than one type of </w:t>
      </w:r>
      <w:r>
        <w:rPr>
          <w:rFonts w:ascii="Calibri" w:hAnsi="Calibri"/>
          <w:sz w:val="22"/>
          <w:szCs w:val="22"/>
        </w:rPr>
        <w:t>central nervous system depressant</w:t>
      </w:r>
      <w:r w:rsidR="00301E0D">
        <w:rPr>
          <w:rFonts w:ascii="Calibri" w:hAnsi="Calibri"/>
          <w:sz w:val="22"/>
          <w:szCs w:val="22"/>
        </w:rPr>
        <w:t>.  T</w:t>
      </w:r>
      <w:r w:rsidRPr="003D75D4">
        <w:rPr>
          <w:rFonts w:ascii="Calibri" w:hAnsi="Calibri"/>
          <w:sz w:val="22"/>
          <w:szCs w:val="22"/>
        </w:rPr>
        <w:t>o confirm this hypothesis</w:t>
      </w:r>
      <w:r>
        <w:rPr>
          <w:rFonts w:ascii="Calibri" w:hAnsi="Calibri"/>
          <w:sz w:val="22"/>
          <w:szCs w:val="22"/>
        </w:rPr>
        <w:t>,</w:t>
      </w:r>
      <w:r w:rsidRPr="003D75D4">
        <w:rPr>
          <w:rFonts w:ascii="Calibri" w:hAnsi="Calibri"/>
          <w:sz w:val="22"/>
          <w:szCs w:val="22"/>
        </w:rPr>
        <w:t xml:space="preserve"> the </w:t>
      </w:r>
      <w:r>
        <w:rPr>
          <w:rFonts w:ascii="Calibri" w:hAnsi="Calibri"/>
          <w:sz w:val="22"/>
          <w:szCs w:val="22"/>
        </w:rPr>
        <w:t>PDMP</w:t>
      </w:r>
      <w:r w:rsidRPr="003D75D4">
        <w:rPr>
          <w:rFonts w:ascii="Calibri" w:hAnsi="Calibri"/>
          <w:sz w:val="22"/>
          <w:szCs w:val="22"/>
        </w:rPr>
        <w:t xml:space="preserve"> </w:t>
      </w:r>
      <w:r>
        <w:rPr>
          <w:rFonts w:ascii="Calibri" w:hAnsi="Calibri"/>
          <w:sz w:val="22"/>
          <w:szCs w:val="22"/>
        </w:rPr>
        <w:t>dataset</w:t>
      </w:r>
      <w:r w:rsidRPr="003D75D4">
        <w:rPr>
          <w:rFonts w:ascii="Calibri" w:hAnsi="Calibri"/>
          <w:sz w:val="22"/>
          <w:szCs w:val="22"/>
        </w:rPr>
        <w:t xml:space="preserve"> was linked to death certificates to analyze the death rates for those concurrently using opi</w:t>
      </w:r>
      <w:r>
        <w:rPr>
          <w:rFonts w:ascii="Calibri" w:hAnsi="Calibri"/>
          <w:sz w:val="22"/>
          <w:szCs w:val="22"/>
        </w:rPr>
        <w:t>oid</w:t>
      </w:r>
      <w:r w:rsidRPr="003D75D4">
        <w:rPr>
          <w:rFonts w:ascii="Calibri" w:hAnsi="Calibri"/>
          <w:sz w:val="22"/>
          <w:szCs w:val="22"/>
        </w:rPr>
        <w:t xml:space="preserve"> and benzodiazepines </w:t>
      </w:r>
      <w:r>
        <w:rPr>
          <w:rFonts w:ascii="Calibri" w:hAnsi="Calibri"/>
          <w:sz w:val="22"/>
          <w:szCs w:val="22"/>
        </w:rPr>
        <w:t>versus</w:t>
      </w:r>
      <w:r w:rsidRPr="003D75D4">
        <w:rPr>
          <w:rFonts w:ascii="Calibri" w:hAnsi="Calibri"/>
          <w:sz w:val="22"/>
          <w:szCs w:val="22"/>
        </w:rPr>
        <w:t xml:space="preserve"> opioids only</w:t>
      </w:r>
      <w:r w:rsidR="00301E0D">
        <w:rPr>
          <w:rFonts w:ascii="Calibri" w:hAnsi="Calibri"/>
          <w:sz w:val="22"/>
          <w:szCs w:val="22"/>
        </w:rPr>
        <w:t>.  T</w:t>
      </w:r>
      <w:r w:rsidRPr="003D75D4">
        <w:rPr>
          <w:rFonts w:ascii="Calibri" w:hAnsi="Calibri"/>
          <w:sz w:val="22"/>
          <w:szCs w:val="22"/>
        </w:rPr>
        <w:t xml:space="preserve">he analysis was further refined with demographic break outs to allow for the relationships between drug combinations and demographic data.  The linked </w:t>
      </w:r>
      <w:r>
        <w:rPr>
          <w:rFonts w:ascii="Calibri" w:hAnsi="Calibri"/>
          <w:sz w:val="22"/>
          <w:szCs w:val="22"/>
        </w:rPr>
        <w:t>dataset</w:t>
      </w:r>
      <w:r w:rsidRPr="003D75D4">
        <w:rPr>
          <w:rFonts w:ascii="Calibri" w:hAnsi="Calibri"/>
          <w:sz w:val="22"/>
          <w:szCs w:val="22"/>
        </w:rPr>
        <w:t xml:space="preserve"> w</w:t>
      </w:r>
      <w:r>
        <w:rPr>
          <w:rFonts w:ascii="Calibri" w:hAnsi="Calibri"/>
          <w:sz w:val="22"/>
          <w:szCs w:val="22"/>
        </w:rPr>
        <w:t>as</w:t>
      </w:r>
      <w:r w:rsidRPr="003D75D4">
        <w:rPr>
          <w:rFonts w:ascii="Calibri" w:hAnsi="Calibri"/>
          <w:sz w:val="22"/>
          <w:szCs w:val="22"/>
        </w:rPr>
        <w:t xml:space="preserve"> analyzed for </w:t>
      </w:r>
      <w:r>
        <w:rPr>
          <w:rFonts w:ascii="Calibri" w:hAnsi="Calibri"/>
          <w:sz w:val="22"/>
          <w:szCs w:val="22"/>
        </w:rPr>
        <w:t xml:space="preserve">concurrent </w:t>
      </w:r>
      <w:r w:rsidRPr="003D75D4">
        <w:rPr>
          <w:rFonts w:ascii="Calibri" w:hAnsi="Calibri"/>
          <w:sz w:val="22"/>
          <w:szCs w:val="22"/>
        </w:rPr>
        <w:t xml:space="preserve">opioid </w:t>
      </w:r>
      <w:r>
        <w:rPr>
          <w:rFonts w:ascii="Calibri" w:hAnsi="Calibri"/>
          <w:sz w:val="22"/>
          <w:szCs w:val="22"/>
        </w:rPr>
        <w:t xml:space="preserve">and benzodiazepine </w:t>
      </w:r>
      <w:r w:rsidRPr="003D75D4">
        <w:rPr>
          <w:rFonts w:ascii="Calibri" w:hAnsi="Calibri"/>
          <w:sz w:val="22"/>
          <w:szCs w:val="22"/>
        </w:rPr>
        <w:t xml:space="preserve">prescriptions by individual and their demographics (age, gender, race, marital status, employment, </w:t>
      </w:r>
      <w:r>
        <w:rPr>
          <w:rFonts w:ascii="Calibri" w:hAnsi="Calibri"/>
          <w:sz w:val="22"/>
          <w:szCs w:val="22"/>
        </w:rPr>
        <w:t xml:space="preserve">and </w:t>
      </w:r>
      <w:r w:rsidRPr="003D75D4">
        <w:rPr>
          <w:rFonts w:ascii="Calibri" w:hAnsi="Calibri"/>
          <w:sz w:val="22"/>
          <w:szCs w:val="22"/>
        </w:rPr>
        <w:t xml:space="preserve">geography) to identify any relationship between the number and type of </w:t>
      </w:r>
      <w:r>
        <w:rPr>
          <w:rFonts w:ascii="Calibri" w:hAnsi="Calibri"/>
          <w:sz w:val="22"/>
          <w:szCs w:val="22"/>
        </w:rPr>
        <w:t>depressants taken</w:t>
      </w:r>
      <w:r w:rsidRPr="003D75D4">
        <w:rPr>
          <w:rFonts w:ascii="Calibri" w:hAnsi="Calibri"/>
          <w:sz w:val="22"/>
          <w:szCs w:val="22"/>
        </w:rPr>
        <w:t xml:space="preserve"> and the likelihood of dying.  </w:t>
      </w:r>
    </w:p>
    <w:p w:rsidR="00FB160F" w:rsidRDefault="00FB160F" w:rsidP="00FB160F">
      <w:pPr>
        <w:spacing w:after="120" w:line="276" w:lineRule="auto"/>
        <w:ind w:firstLine="720"/>
        <w:rPr>
          <w:rFonts w:ascii="Calibri" w:hAnsi="Calibri"/>
          <w:sz w:val="22"/>
          <w:szCs w:val="22"/>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3078"/>
        <w:gridCol w:w="1980"/>
        <w:gridCol w:w="2124"/>
        <w:gridCol w:w="2394"/>
      </w:tblGrid>
      <w:tr w:rsidR="00FB160F" w:rsidTr="001C267C">
        <w:tc>
          <w:tcPr>
            <w:tcW w:w="9576" w:type="dxa"/>
            <w:gridSpan w:val="4"/>
            <w:vAlign w:val="center"/>
          </w:tcPr>
          <w:p w:rsidR="00FB160F" w:rsidRPr="00570FB0" w:rsidRDefault="00301E0D" w:rsidP="001C267C">
            <w:pPr>
              <w:spacing w:line="276" w:lineRule="auto"/>
              <w:jc w:val="center"/>
              <w:rPr>
                <w:rFonts w:ascii="Calibri" w:hAnsi="Calibri"/>
                <w:b/>
                <w:bCs/>
                <w:szCs w:val="22"/>
              </w:rPr>
            </w:pPr>
            <w:r>
              <w:rPr>
                <w:rFonts w:ascii="Calibri" w:hAnsi="Calibri"/>
                <w:b/>
                <w:bCs/>
                <w:sz w:val="22"/>
                <w:szCs w:val="22"/>
              </w:rPr>
              <w:t>Table A</w:t>
            </w:r>
            <w:r w:rsidR="00FB160F" w:rsidRPr="00570FB0">
              <w:rPr>
                <w:rFonts w:ascii="Calibri" w:hAnsi="Calibri"/>
                <w:b/>
                <w:bCs/>
                <w:sz w:val="22"/>
                <w:szCs w:val="22"/>
              </w:rPr>
              <w:t>2: Relative Risk of Opioid-Related Overdose</w:t>
            </w:r>
            <w:r w:rsidR="0050537B">
              <w:rPr>
                <w:rFonts w:ascii="Calibri" w:hAnsi="Calibri"/>
                <w:b/>
                <w:bCs/>
                <w:sz w:val="22"/>
                <w:szCs w:val="22"/>
              </w:rPr>
              <w:t xml:space="preserve"> (2013-2014)</w:t>
            </w:r>
            <w:r w:rsidR="00FB160F" w:rsidRPr="00570FB0">
              <w:rPr>
                <w:rFonts w:ascii="Calibri" w:hAnsi="Calibri"/>
                <w:b/>
                <w:bCs/>
                <w:sz w:val="22"/>
                <w:szCs w:val="22"/>
              </w:rPr>
              <w:t xml:space="preserve"> by Presence of Benzodiazepine in PDMP Records</w:t>
            </w:r>
            <w:r w:rsidR="0050537B">
              <w:rPr>
                <w:rFonts w:ascii="Calibri" w:hAnsi="Calibri"/>
                <w:b/>
                <w:bCs/>
                <w:sz w:val="22"/>
                <w:szCs w:val="22"/>
              </w:rPr>
              <w:t xml:space="preserve"> (2011-2014)</w:t>
            </w:r>
          </w:p>
        </w:tc>
      </w:tr>
      <w:tr w:rsidR="00FB160F" w:rsidTr="001C267C">
        <w:tc>
          <w:tcPr>
            <w:tcW w:w="3078" w:type="dxa"/>
            <w:shd w:val="clear" w:color="auto" w:fill="F2F2F2"/>
            <w:vAlign w:val="center"/>
          </w:tcPr>
          <w:p w:rsidR="00FB160F" w:rsidRPr="00570FB0" w:rsidRDefault="00FB160F" w:rsidP="001C267C">
            <w:pPr>
              <w:spacing w:line="276" w:lineRule="auto"/>
              <w:jc w:val="center"/>
              <w:rPr>
                <w:rFonts w:ascii="Calibri" w:hAnsi="Calibri"/>
                <w:b/>
                <w:bCs/>
                <w:szCs w:val="22"/>
              </w:rPr>
            </w:pPr>
            <w:r w:rsidRPr="00570FB0">
              <w:rPr>
                <w:rFonts w:ascii="Calibri" w:hAnsi="Calibri"/>
                <w:b/>
                <w:bCs/>
                <w:sz w:val="22"/>
                <w:szCs w:val="22"/>
              </w:rPr>
              <w:t xml:space="preserve">Presence of Benzodiazepine </w:t>
            </w:r>
            <w:r>
              <w:rPr>
                <w:rFonts w:ascii="Calibri" w:hAnsi="Calibri"/>
                <w:b/>
                <w:bCs/>
                <w:sz w:val="22"/>
                <w:szCs w:val="22"/>
              </w:rPr>
              <w:t xml:space="preserve">vs. </w:t>
            </w:r>
            <w:r w:rsidRPr="00570FB0">
              <w:rPr>
                <w:rFonts w:ascii="Calibri" w:hAnsi="Calibri"/>
                <w:b/>
                <w:bCs/>
                <w:sz w:val="22"/>
                <w:szCs w:val="22"/>
              </w:rPr>
              <w:t>Risk of Fatal Opioid-Related Overdose</w:t>
            </w:r>
          </w:p>
        </w:tc>
        <w:tc>
          <w:tcPr>
            <w:tcW w:w="1980" w:type="dxa"/>
            <w:shd w:val="clear" w:color="auto" w:fill="F2F2F2"/>
            <w:vAlign w:val="center"/>
          </w:tcPr>
          <w:p w:rsidR="00FB160F" w:rsidRPr="00570FB0" w:rsidRDefault="00FB160F" w:rsidP="001C267C">
            <w:pPr>
              <w:spacing w:line="276" w:lineRule="auto"/>
              <w:jc w:val="center"/>
              <w:rPr>
                <w:rFonts w:ascii="Calibri" w:hAnsi="Calibri"/>
                <w:szCs w:val="22"/>
              </w:rPr>
            </w:pPr>
            <w:r w:rsidRPr="00570FB0">
              <w:rPr>
                <w:rFonts w:ascii="Calibri" w:hAnsi="Calibri"/>
                <w:sz w:val="22"/>
                <w:szCs w:val="22"/>
              </w:rPr>
              <w:t>Opioids Only</w:t>
            </w:r>
          </w:p>
        </w:tc>
        <w:tc>
          <w:tcPr>
            <w:tcW w:w="2124" w:type="dxa"/>
            <w:shd w:val="clear" w:color="auto" w:fill="F2F2F2"/>
            <w:vAlign w:val="center"/>
          </w:tcPr>
          <w:p w:rsidR="00FB160F" w:rsidRPr="00570FB0" w:rsidRDefault="00FB160F" w:rsidP="001C267C">
            <w:pPr>
              <w:spacing w:line="276" w:lineRule="auto"/>
              <w:jc w:val="center"/>
              <w:rPr>
                <w:rFonts w:ascii="Calibri" w:hAnsi="Calibri"/>
                <w:szCs w:val="22"/>
              </w:rPr>
            </w:pPr>
            <w:r w:rsidRPr="00570FB0">
              <w:rPr>
                <w:rFonts w:ascii="Calibri" w:hAnsi="Calibri"/>
                <w:sz w:val="22"/>
                <w:szCs w:val="22"/>
              </w:rPr>
              <w:t>Opioids + Benzodiazepines</w:t>
            </w:r>
          </w:p>
        </w:tc>
        <w:tc>
          <w:tcPr>
            <w:tcW w:w="2394" w:type="dxa"/>
            <w:shd w:val="clear" w:color="auto" w:fill="F2F2F2"/>
            <w:vAlign w:val="center"/>
          </w:tcPr>
          <w:p w:rsidR="00FB160F" w:rsidRPr="00570FB0" w:rsidRDefault="00FB160F" w:rsidP="001C267C">
            <w:pPr>
              <w:spacing w:line="276" w:lineRule="auto"/>
              <w:jc w:val="center"/>
              <w:rPr>
                <w:rFonts w:ascii="Calibri" w:hAnsi="Calibri"/>
                <w:szCs w:val="22"/>
              </w:rPr>
            </w:pPr>
            <w:r w:rsidRPr="00570FB0">
              <w:rPr>
                <w:rFonts w:ascii="Calibri" w:hAnsi="Calibri"/>
                <w:sz w:val="22"/>
                <w:szCs w:val="22"/>
              </w:rPr>
              <w:t>Relative Risk Ratio</w:t>
            </w:r>
          </w:p>
        </w:tc>
      </w:tr>
      <w:tr w:rsidR="00FB160F" w:rsidTr="001C267C">
        <w:tc>
          <w:tcPr>
            <w:tcW w:w="3078" w:type="dxa"/>
            <w:vAlign w:val="center"/>
          </w:tcPr>
          <w:p w:rsidR="00FB160F" w:rsidRPr="00570FB0" w:rsidRDefault="00FB160F" w:rsidP="001C267C">
            <w:pPr>
              <w:spacing w:line="276" w:lineRule="auto"/>
              <w:rPr>
                <w:rFonts w:ascii="Calibri" w:hAnsi="Calibri"/>
                <w:b/>
                <w:bCs/>
                <w:szCs w:val="22"/>
              </w:rPr>
            </w:pPr>
            <w:r w:rsidRPr="00570FB0">
              <w:rPr>
                <w:rFonts w:ascii="Calibri" w:hAnsi="Calibri"/>
                <w:b/>
                <w:bCs/>
                <w:sz w:val="22"/>
                <w:szCs w:val="22"/>
              </w:rPr>
              <w:t>Fatal Overdoses</w:t>
            </w:r>
          </w:p>
        </w:tc>
        <w:tc>
          <w:tcPr>
            <w:tcW w:w="1980" w:type="dxa"/>
          </w:tcPr>
          <w:p w:rsidR="00FB160F" w:rsidRPr="00570FB0" w:rsidRDefault="00FB160F" w:rsidP="001C267C">
            <w:pPr>
              <w:spacing w:line="276" w:lineRule="auto"/>
              <w:jc w:val="center"/>
              <w:rPr>
                <w:rFonts w:ascii="Calibri" w:hAnsi="Calibri"/>
                <w:szCs w:val="22"/>
              </w:rPr>
            </w:pPr>
            <w:r w:rsidRPr="00570FB0">
              <w:rPr>
                <w:rFonts w:ascii="Calibri" w:hAnsi="Calibri"/>
                <w:sz w:val="22"/>
                <w:szCs w:val="22"/>
              </w:rPr>
              <w:t>812</w:t>
            </w:r>
          </w:p>
        </w:tc>
        <w:tc>
          <w:tcPr>
            <w:tcW w:w="2124" w:type="dxa"/>
          </w:tcPr>
          <w:p w:rsidR="00FB160F" w:rsidRPr="00570FB0" w:rsidRDefault="00FB160F" w:rsidP="001C267C">
            <w:pPr>
              <w:spacing w:line="276" w:lineRule="auto"/>
              <w:jc w:val="center"/>
              <w:rPr>
                <w:rFonts w:ascii="Calibri" w:hAnsi="Calibri"/>
                <w:szCs w:val="22"/>
              </w:rPr>
            </w:pPr>
            <w:r w:rsidRPr="00570FB0">
              <w:rPr>
                <w:rFonts w:ascii="Calibri" w:hAnsi="Calibri"/>
                <w:sz w:val="22"/>
                <w:szCs w:val="22"/>
              </w:rPr>
              <w:t>692</w:t>
            </w:r>
          </w:p>
        </w:tc>
        <w:tc>
          <w:tcPr>
            <w:tcW w:w="2394" w:type="dxa"/>
          </w:tcPr>
          <w:p w:rsidR="00FB160F" w:rsidRPr="00570FB0" w:rsidRDefault="00FB160F" w:rsidP="001C267C">
            <w:pPr>
              <w:spacing w:line="276" w:lineRule="auto"/>
              <w:jc w:val="center"/>
              <w:rPr>
                <w:rFonts w:ascii="Calibri" w:hAnsi="Calibri"/>
                <w:szCs w:val="22"/>
              </w:rPr>
            </w:pPr>
          </w:p>
        </w:tc>
      </w:tr>
      <w:tr w:rsidR="00FB160F" w:rsidTr="001C267C">
        <w:tc>
          <w:tcPr>
            <w:tcW w:w="3078" w:type="dxa"/>
            <w:shd w:val="clear" w:color="auto" w:fill="F2F2F2"/>
            <w:vAlign w:val="center"/>
          </w:tcPr>
          <w:p w:rsidR="00FB160F" w:rsidRPr="00570FB0" w:rsidRDefault="00FB160F" w:rsidP="001C267C">
            <w:pPr>
              <w:spacing w:line="276" w:lineRule="auto"/>
              <w:rPr>
                <w:rFonts w:ascii="Calibri" w:hAnsi="Calibri"/>
                <w:b/>
                <w:bCs/>
                <w:szCs w:val="22"/>
              </w:rPr>
            </w:pPr>
            <w:r w:rsidRPr="00570FB0">
              <w:rPr>
                <w:rFonts w:ascii="Calibri" w:hAnsi="Calibri"/>
                <w:b/>
                <w:bCs/>
                <w:sz w:val="22"/>
                <w:szCs w:val="22"/>
              </w:rPr>
              <w:t xml:space="preserve">Total </w:t>
            </w:r>
            <w:r>
              <w:rPr>
                <w:rFonts w:ascii="Calibri" w:hAnsi="Calibri"/>
                <w:b/>
                <w:bCs/>
                <w:sz w:val="22"/>
                <w:szCs w:val="22"/>
              </w:rPr>
              <w:t>Individuals</w:t>
            </w:r>
          </w:p>
        </w:tc>
        <w:tc>
          <w:tcPr>
            <w:tcW w:w="1980" w:type="dxa"/>
            <w:shd w:val="clear" w:color="auto" w:fill="F2F2F2"/>
          </w:tcPr>
          <w:p w:rsidR="00FB160F" w:rsidRPr="00570FB0" w:rsidRDefault="00FB160F" w:rsidP="001C267C">
            <w:pPr>
              <w:spacing w:line="276" w:lineRule="auto"/>
              <w:jc w:val="center"/>
              <w:rPr>
                <w:rFonts w:ascii="Calibri" w:hAnsi="Calibri"/>
                <w:szCs w:val="22"/>
              </w:rPr>
            </w:pPr>
            <w:r w:rsidRPr="00570FB0">
              <w:rPr>
                <w:rFonts w:ascii="Calibri" w:hAnsi="Calibri"/>
                <w:sz w:val="22"/>
                <w:szCs w:val="22"/>
              </w:rPr>
              <w:t>~2.1M</w:t>
            </w:r>
          </w:p>
        </w:tc>
        <w:tc>
          <w:tcPr>
            <w:tcW w:w="2124" w:type="dxa"/>
            <w:shd w:val="clear" w:color="auto" w:fill="F2F2F2"/>
          </w:tcPr>
          <w:p w:rsidR="00FB160F" w:rsidRPr="00570FB0" w:rsidRDefault="00FB160F" w:rsidP="001C267C">
            <w:pPr>
              <w:spacing w:line="276" w:lineRule="auto"/>
              <w:jc w:val="center"/>
              <w:rPr>
                <w:rFonts w:ascii="Calibri" w:hAnsi="Calibri"/>
                <w:szCs w:val="22"/>
              </w:rPr>
            </w:pPr>
            <w:r w:rsidRPr="00570FB0">
              <w:rPr>
                <w:rFonts w:ascii="Calibri" w:hAnsi="Calibri"/>
                <w:sz w:val="22"/>
                <w:szCs w:val="22"/>
              </w:rPr>
              <w:t>~0.4M</w:t>
            </w:r>
          </w:p>
        </w:tc>
        <w:tc>
          <w:tcPr>
            <w:tcW w:w="2394" w:type="dxa"/>
            <w:shd w:val="clear" w:color="auto" w:fill="F2F2F2"/>
          </w:tcPr>
          <w:p w:rsidR="00FB160F" w:rsidRPr="00570FB0" w:rsidRDefault="00FB160F" w:rsidP="001C267C">
            <w:pPr>
              <w:spacing w:line="276" w:lineRule="auto"/>
              <w:jc w:val="center"/>
              <w:rPr>
                <w:rFonts w:ascii="Calibri" w:hAnsi="Calibri"/>
                <w:szCs w:val="22"/>
              </w:rPr>
            </w:pPr>
          </w:p>
        </w:tc>
      </w:tr>
      <w:tr w:rsidR="00FB160F" w:rsidTr="001C267C">
        <w:tc>
          <w:tcPr>
            <w:tcW w:w="3078" w:type="dxa"/>
            <w:vAlign w:val="center"/>
          </w:tcPr>
          <w:p w:rsidR="00FB160F" w:rsidRPr="00570FB0" w:rsidRDefault="00FB160F" w:rsidP="001C267C">
            <w:pPr>
              <w:spacing w:line="276" w:lineRule="auto"/>
              <w:rPr>
                <w:rFonts w:ascii="Calibri" w:hAnsi="Calibri"/>
                <w:b/>
                <w:bCs/>
                <w:szCs w:val="22"/>
              </w:rPr>
            </w:pPr>
            <w:r w:rsidRPr="00570FB0">
              <w:rPr>
                <w:rFonts w:ascii="Calibri" w:hAnsi="Calibri"/>
                <w:b/>
                <w:bCs/>
                <w:sz w:val="22"/>
                <w:szCs w:val="22"/>
              </w:rPr>
              <w:t>Incidence</w:t>
            </w:r>
          </w:p>
        </w:tc>
        <w:tc>
          <w:tcPr>
            <w:tcW w:w="1980" w:type="dxa"/>
          </w:tcPr>
          <w:p w:rsidR="00FB160F" w:rsidRPr="00570FB0" w:rsidRDefault="00FB160F" w:rsidP="001C267C">
            <w:pPr>
              <w:spacing w:line="276" w:lineRule="auto"/>
              <w:jc w:val="center"/>
              <w:rPr>
                <w:rFonts w:ascii="Calibri" w:hAnsi="Calibri"/>
                <w:szCs w:val="22"/>
              </w:rPr>
            </w:pPr>
            <w:r w:rsidRPr="00570FB0">
              <w:rPr>
                <w:rFonts w:ascii="Calibri" w:hAnsi="Calibri"/>
                <w:sz w:val="22"/>
                <w:szCs w:val="22"/>
              </w:rPr>
              <w:t>~2.0 per 10,000 per year</w:t>
            </w:r>
          </w:p>
        </w:tc>
        <w:tc>
          <w:tcPr>
            <w:tcW w:w="2124" w:type="dxa"/>
          </w:tcPr>
          <w:p w:rsidR="00FB160F" w:rsidRPr="00570FB0" w:rsidRDefault="00FB160F" w:rsidP="001C267C">
            <w:pPr>
              <w:spacing w:line="276" w:lineRule="auto"/>
              <w:jc w:val="center"/>
              <w:rPr>
                <w:rFonts w:ascii="Calibri" w:hAnsi="Calibri"/>
                <w:szCs w:val="22"/>
              </w:rPr>
            </w:pPr>
            <w:r w:rsidRPr="00570FB0">
              <w:rPr>
                <w:rFonts w:ascii="Calibri" w:hAnsi="Calibri"/>
                <w:sz w:val="22"/>
                <w:szCs w:val="22"/>
              </w:rPr>
              <w:t>~8.4 per 10,000</w:t>
            </w:r>
          </w:p>
        </w:tc>
        <w:tc>
          <w:tcPr>
            <w:tcW w:w="2394" w:type="dxa"/>
          </w:tcPr>
          <w:p w:rsidR="00FB160F" w:rsidRPr="00570FB0" w:rsidRDefault="00FB160F" w:rsidP="001C267C">
            <w:pPr>
              <w:spacing w:line="276" w:lineRule="auto"/>
              <w:jc w:val="center"/>
              <w:rPr>
                <w:rFonts w:ascii="Calibri" w:hAnsi="Calibri"/>
                <w:szCs w:val="22"/>
              </w:rPr>
            </w:pPr>
            <w:r w:rsidRPr="00570FB0">
              <w:rPr>
                <w:rFonts w:ascii="Calibri" w:hAnsi="Calibri"/>
                <w:sz w:val="22"/>
                <w:szCs w:val="22"/>
              </w:rPr>
              <w:t>~4.2</w:t>
            </w:r>
          </w:p>
        </w:tc>
      </w:tr>
      <w:tr w:rsidR="00FB160F" w:rsidTr="001C267C">
        <w:tc>
          <w:tcPr>
            <w:tcW w:w="3078" w:type="dxa"/>
            <w:shd w:val="clear" w:color="auto" w:fill="F2F2F2"/>
            <w:vAlign w:val="center"/>
          </w:tcPr>
          <w:p w:rsidR="00FB160F" w:rsidRPr="00570FB0" w:rsidRDefault="00FB160F" w:rsidP="001C267C">
            <w:pPr>
              <w:spacing w:line="276" w:lineRule="auto"/>
              <w:rPr>
                <w:rFonts w:ascii="Calibri" w:hAnsi="Calibri"/>
                <w:b/>
                <w:bCs/>
                <w:szCs w:val="22"/>
              </w:rPr>
            </w:pPr>
            <w:r w:rsidRPr="00570FB0">
              <w:rPr>
                <w:rFonts w:ascii="Calibri" w:hAnsi="Calibri"/>
                <w:b/>
                <w:bCs/>
                <w:sz w:val="22"/>
                <w:szCs w:val="22"/>
              </w:rPr>
              <w:t>Summary</w:t>
            </w:r>
          </w:p>
        </w:tc>
        <w:tc>
          <w:tcPr>
            <w:tcW w:w="6498" w:type="dxa"/>
            <w:gridSpan w:val="3"/>
            <w:shd w:val="clear" w:color="auto" w:fill="F2F2F2"/>
          </w:tcPr>
          <w:p w:rsidR="00FB160F" w:rsidRPr="00570FB0" w:rsidRDefault="00FB160F" w:rsidP="001C267C">
            <w:pPr>
              <w:spacing w:line="276" w:lineRule="auto"/>
              <w:rPr>
                <w:rFonts w:ascii="Calibri" w:hAnsi="Calibri"/>
                <w:szCs w:val="22"/>
              </w:rPr>
            </w:pPr>
            <w:r w:rsidRPr="00570FB0">
              <w:rPr>
                <w:rFonts w:ascii="Calibri" w:hAnsi="Calibri"/>
                <w:sz w:val="22"/>
                <w:szCs w:val="22"/>
              </w:rPr>
              <w:t xml:space="preserve">Based on observed data, the history of benzodiazepine concurrent </w:t>
            </w:r>
            <w:r>
              <w:rPr>
                <w:rFonts w:ascii="Calibri" w:hAnsi="Calibri"/>
                <w:sz w:val="22"/>
                <w:szCs w:val="22"/>
              </w:rPr>
              <w:t>with</w:t>
            </w:r>
            <w:r w:rsidRPr="00570FB0">
              <w:rPr>
                <w:rFonts w:ascii="Calibri" w:hAnsi="Calibri"/>
                <w:sz w:val="22"/>
                <w:szCs w:val="22"/>
              </w:rPr>
              <w:t xml:space="preserve"> opioid prescriptions is associated with a 4-fold increase in risk of fatal opioid</w:t>
            </w:r>
            <w:r>
              <w:rPr>
                <w:rFonts w:ascii="Calibri" w:hAnsi="Calibri"/>
                <w:sz w:val="22"/>
                <w:szCs w:val="22"/>
              </w:rPr>
              <w:t>-related</w:t>
            </w:r>
            <w:r w:rsidRPr="00570FB0">
              <w:rPr>
                <w:rFonts w:ascii="Calibri" w:hAnsi="Calibri"/>
                <w:sz w:val="22"/>
                <w:szCs w:val="22"/>
              </w:rPr>
              <w:t xml:space="preserve"> overdose</w:t>
            </w:r>
          </w:p>
        </w:tc>
      </w:tr>
    </w:tbl>
    <w:p w:rsidR="00FB160F" w:rsidRDefault="00FB160F" w:rsidP="00FB160F">
      <w:pPr>
        <w:spacing w:after="120" w:line="276" w:lineRule="auto"/>
        <w:rPr>
          <w:rFonts w:ascii="Calibri" w:hAnsi="Calibri"/>
          <w:b/>
          <w:sz w:val="22"/>
          <w:szCs w:val="22"/>
        </w:rPr>
      </w:pPr>
    </w:p>
    <w:p w:rsidR="00FB160F" w:rsidRDefault="00FB160F" w:rsidP="00FB160F">
      <w:pPr>
        <w:spacing w:after="120" w:line="276" w:lineRule="auto"/>
        <w:rPr>
          <w:rFonts w:ascii="Calibri" w:hAnsi="Calibri"/>
          <w:sz w:val="22"/>
          <w:szCs w:val="22"/>
        </w:rPr>
      </w:pPr>
      <w:r>
        <w:rPr>
          <w:rFonts w:ascii="Calibri" w:hAnsi="Calibri"/>
          <w:b/>
          <w:sz w:val="22"/>
          <w:szCs w:val="22"/>
        </w:rPr>
        <w:t xml:space="preserve">Discussion:  </w:t>
      </w:r>
      <w:r>
        <w:rPr>
          <w:rFonts w:ascii="Calibri" w:hAnsi="Calibri"/>
          <w:sz w:val="22"/>
          <w:szCs w:val="22"/>
        </w:rPr>
        <w:t>Preliminary findings support the hypothesis of increased risk of fatal opioid-related overdose associated with concurrent prescriptions for opioids and benzodiazepines.  This risk factor should be clearly communicated to all prescribers and dispensers</w:t>
      </w:r>
      <w:r w:rsidR="00301E0D">
        <w:rPr>
          <w:rFonts w:ascii="Calibri" w:hAnsi="Calibri"/>
          <w:sz w:val="22"/>
          <w:szCs w:val="22"/>
        </w:rPr>
        <w:t>.  F</w:t>
      </w:r>
      <w:r>
        <w:rPr>
          <w:rFonts w:ascii="Calibri" w:hAnsi="Calibri"/>
          <w:sz w:val="22"/>
          <w:szCs w:val="22"/>
        </w:rPr>
        <w:t>urther analysis should be undertaken to see if mediating factors like demographics, previous treatment history, and co-morbid conditions like mental health histories increase or decrease this risk.</w:t>
      </w:r>
    </w:p>
    <w:p w:rsidR="00FB160F" w:rsidRDefault="00FB160F" w:rsidP="00FB160F">
      <w:pPr>
        <w:spacing w:after="120" w:line="276" w:lineRule="auto"/>
        <w:rPr>
          <w:rFonts w:ascii="Calibri" w:hAnsi="Calibri"/>
          <w:b/>
          <w:sz w:val="22"/>
          <w:szCs w:val="22"/>
          <w:u w:val="single"/>
        </w:rPr>
      </w:pPr>
      <w:r w:rsidRPr="001141BB">
        <w:rPr>
          <w:rFonts w:ascii="Calibri" w:hAnsi="Calibri"/>
          <w:b/>
          <w:sz w:val="22"/>
          <w:szCs w:val="22"/>
        </w:rPr>
        <w:t>Limitations:</w:t>
      </w:r>
      <w:r>
        <w:rPr>
          <w:rFonts w:ascii="Calibri" w:hAnsi="Calibri"/>
          <w:sz w:val="22"/>
          <w:szCs w:val="22"/>
        </w:rPr>
        <w:t xml:space="preserve"> The identifiers in the PDMP data set are imperfect.  As such, it is highly likely that the instances of concurrent prescriptions for opioids and benzodiazepines are underestimated.  There is no reason seen in the data that these undetected cases would substantially alter the conclusions drawn here.  If anything, individuals using multiple forms of identification might logically be assumed to be at higher risk than those not attempting to avoid detection.</w:t>
      </w:r>
      <w:r>
        <w:rPr>
          <w:rFonts w:ascii="Calibri" w:hAnsi="Calibri"/>
          <w:b/>
          <w:sz w:val="22"/>
          <w:szCs w:val="22"/>
          <w:u w:val="single"/>
        </w:rPr>
        <w:br w:type="page"/>
      </w:r>
    </w:p>
    <w:p w:rsidR="00FB160F" w:rsidRPr="006523D5" w:rsidRDefault="00BA3381" w:rsidP="00FB160F">
      <w:pPr>
        <w:spacing w:after="120" w:line="276" w:lineRule="auto"/>
        <w:rPr>
          <w:rFonts w:ascii="Calibri" w:hAnsi="Calibri"/>
          <w:i/>
          <w:sz w:val="22"/>
          <w:szCs w:val="22"/>
        </w:rPr>
      </w:pPr>
      <w:r>
        <w:rPr>
          <w:rFonts w:ascii="Calibri" w:hAnsi="Calibri"/>
          <w:b/>
          <w:sz w:val="22"/>
          <w:szCs w:val="22"/>
          <w:u w:val="single"/>
        </w:rPr>
        <w:lastRenderedPageBreak/>
        <w:t>Statutory</w:t>
      </w:r>
      <w:r w:rsidRPr="006523D5">
        <w:rPr>
          <w:rFonts w:ascii="Calibri" w:hAnsi="Calibri"/>
          <w:b/>
          <w:sz w:val="22"/>
          <w:szCs w:val="22"/>
          <w:u w:val="single"/>
        </w:rPr>
        <w:t xml:space="preserve"> </w:t>
      </w:r>
      <w:r w:rsidR="00FB160F" w:rsidRPr="006523D5">
        <w:rPr>
          <w:rFonts w:ascii="Calibri" w:hAnsi="Calibri"/>
          <w:b/>
          <w:sz w:val="22"/>
          <w:szCs w:val="22"/>
          <w:u w:val="single"/>
        </w:rPr>
        <w:t>Question 3:</w:t>
      </w:r>
      <w:r w:rsidR="00FB160F" w:rsidRPr="006523D5">
        <w:rPr>
          <w:rFonts w:ascii="Calibri" w:hAnsi="Calibri"/>
          <w:sz w:val="22"/>
          <w:szCs w:val="22"/>
        </w:rPr>
        <w:t xml:space="preserve"> </w:t>
      </w:r>
      <w:r w:rsidR="00FB160F" w:rsidRPr="006523D5">
        <w:rPr>
          <w:rFonts w:ascii="Calibri" w:hAnsi="Calibri"/>
          <w:i/>
          <w:sz w:val="22"/>
          <w:szCs w:val="22"/>
        </w:rPr>
        <w:t xml:space="preserve">“The overall opiate prescription history of the individuals, including whether the individuals had access to legal prescriptions for opiate drugs at the time of their deaths”  </w:t>
      </w:r>
    </w:p>
    <w:p w:rsidR="00FB160F" w:rsidRDefault="00FB160F" w:rsidP="00FB160F">
      <w:pPr>
        <w:spacing w:after="120" w:line="276" w:lineRule="auto"/>
        <w:rPr>
          <w:rFonts w:ascii="Calibri" w:hAnsi="Calibri"/>
          <w:i/>
          <w:color w:val="FF0000"/>
          <w:sz w:val="22"/>
          <w:szCs w:val="22"/>
        </w:rPr>
      </w:pPr>
      <w:r w:rsidRPr="006523D5">
        <w:rPr>
          <w:rFonts w:ascii="Calibri" w:hAnsi="Calibri"/>
          <w:b/>
          <w:sz w:val="22"/>
          <w:szCs w:val="22"/>
        </w:rPr>
        <w:t>Analytic Question 3:</w:t>
      </w:r>
      <w:r w:rsidRPr="006523D5">
        <w:rPr>
          <w:rFonts w:ascii="Calibri" w:hAnsi="Calibri"/>
          <w:sz w:val="22"/>
          <w:szCs w:val="22"/>
        </w:rPr>
        <w:t xml:space="preserve"> </w:t>
      </w:r>
      <w:r w:rsidRPr="006523D5">
        <w:rPr>
          <w:rFonts w:ascii="Calibri" w:hAnsi="Calibri"/>
          <w:i/>
          <w:sz w:val="22"/>
          <w:szCs w:val="22"/>
        </w:rPr>
        <w:t>“Did opioid</w:t>
      </w:r>
      <w:r>
        <w:rPr>
          <w:rFonts w:ascii="Calibri" w:hAnsi="Calibri"/>
          <w:i/>
          <w:sz w:val="22"/>
          <w:szCs w:val="22"/>
        </w:rPr>
        <w:t xml:space="preserve">-related </w:t>
      </w:r>
      <w:r w:rsidRPr="006523D5">
        <w:rPr>
          <w:rFonts w:ascii="Calibri" w:hAnsi="Calibri"/>
          <w:i/>
          <w:sz w:val="22"/>
          <w:szCs w:val="22"/>
        </w:rPr>
        <w:t xml:space="preserve">overdose decedents have access to legal opioids, defined as a prescription filled around time of death?”  </w:t>
      </w:r>
    </w:p>
    <w:p w:rsidR="00FB160F" w:rsidRDefault="00FB160F" w:rsidP="00FB160F">
      <w:pPr>
        <w:spacing w:after="120" w:line="276" w:lineRule="auto"/>
        <w:ind w:firstLine="720"/>
        <w:rPr>
          <w:rFonts w:ascii="Calibri" w:hAnsi="Calibri"/>
          <w:sz w:val="22"/>
          <w:szCs w:val="22"/>
        </w:rPr>
      </w:pPr>
      <w:r w:rsidRPr="003D75D4">
        <w:rPr>
          <w:rFonts w:ascii="Calibri" w:hAnsi="Calibri"/>
          <w:sz w:val="22"/>
          <w:szCs w:val="22"/>
        </w:rPr>
        <w:t xml:space="preserve">It is not known if there are more overdose deaths from misuse of prescribed medications or illegal drug use - drugs consumed by people for </w:t>
      </w:r>
      <w:r>
        <w:rPr>
          <w:rFonts w:ascii="Calibri" w:hAnsi="Calibri"/>
          <w:sz w:val="22"/>
          <w:szCs w:val="22"/>
        </w:rPr>
        <w:t>whom</w:t>
      </w:r>
      <w:r w:rsidRPr="003D75D4">
        <w:rPr>
          <w:rFonts w:ascii="Calibri" w:hAnsi="Calibri"/>
          <w:sz w:val="22"/>
          <w:szCs w:val="22"/>
        </w:rPr>
        <w:t xml:space="preserve"> they were not prescribed</w:t>
      </w:r>
      <w:r w:rsidR="00301E0D">
        <w:rPr>
          <w:rFonts w:ascii="Calibri" w:hAnsi="Calibri"/>
          <w:sz w:val="22"/>
          <w:szCs w:val="22"/>
        </w:rPr>
        <w:t>.  T</w:t>
      </w:r>
      <w:r w:rsidRPr="003D75D4">
        <w:rPr>
          <w:rFonts w:ascii="Calibri" w:hAnsi="Calibri"/>
          <w:sz w:val="22"/>
          <w:szCs w:val="22"/>
        </w:rPr>
        <w:t xml:space="preserve">o ascertain the difference, the </w:t>
      </w:r>
      <w:r>
        <w:rPr>
          <w:rFonts w:ascii="Calibri" w:hAnsi="Calibri"/>
          <w:sz w:val="22"/>
          <w:szCs w:val="22"/>
        </w:rPr>
        <w:t>PDMP</w:t>
      </w:r>
      <w:r w:rsidRPr="003D75D4">
        <w:rPr>
          <w:rFonts w:ascii="Calibri" w:hAnsi="Calibri"/>
          <w:sz w:val="22"/>
          <w:szCs w:val="22"/>
        </w:rPr>
        <w:t xml:space="preserve"> </w:t>
      </w:r>
      <w:r>
        <w:rPr>
          <w:rFonts w:ascii="Calibri" w:hAnsi="Calibri"/>
          <w:sz w:val="22"/>
          <w:szCs w:val="22"/>
        </w:rPr>
        <w:t>dataset</w:t>
      </w:r>
      <w:r w:rsidRPr="003D75D4">
        <w:rPr>
          <w:rFonts w:ascii="Calibri" w:hAnsi="Calibri"/>
          <w:sz w:val="22"/>
          <w:szCs w:val="22"/>
        </w:rPr>
        <w:t xml:space="preserve"> was linked to death certificates to analyze the death rates for individuals with no scheduled medications</w:t>
      </w:r>
      <w:r>
        <w:rPr>
          <w:rStyle w:val="FootnoteReference"/>
          <w:szCs w:val="22"/>
        </w:rPr>
        <w:footnoteReference w:id="41"/>
      </w:r>
      <w:r w:rsidR="00301E0D">
        <w:rPr>
          <w:rFonts w:ascii="Calibri" w:hAnsi="Calibri"/>
          <w:sz w:val="22"/>
          <w:szCs w:val="22"/>
        </w:rPr>
        <w:t>.  T</w:t>
      </w:r>
      <w:r w:rsidRPr="003D75D4">
        <w:rPr>
          <w:rFonts w:ascii="Calibri" w:hAnsi="Calibri"/>
          <w:sz w:val="22"/>
          <w:szCs w:val="22"/>
        </w:rPr>
        <w:t xml:space="preserve">he analysis was further refined with demographic break outs </w:t>
      </w:r>
      <w:r>
        <w:rPr>
          <w:rFonts w:ascii="Calibri" w:hAnsi="Calibri"/>
          <w:sz w:val="22"/>
          <w:szCs w:val="22"/>
        </w:rPr>
        <w:t>so</w:t>
      </w:r>
      <w:r w:rsidRPr="003D75D4">
        <w:rPr>
          <w:rFonts w:ascii="Calibri" w:hAnsi="Calibri"/>
          <w:sz w:val="22"/>
          <w:szCs w:val="22"/>
        </w:rPr>
        <w:t xml:space="preserve"> relationships with demographic data</w:t>
      </w:r>
      <w:r>
        <w:rPr>
          <w:rFonts w:ascii="Calibri" w:hAnsi="Calibri"/>
          <w:sz w:val="22"/>
          <w:szCs w:val="22"/>
        </w:rPr>
        <w:t xml:space="preserve"> could be examined</w:t>
      </w:r>
      <w:r w:rsidRPr="003D75D4">
        <w:rPr>
          <w:rFonts w:ascii="Calibri" w:hAnsi="Calibri"/>
          <w:sz w:val="22"/>
          <w:szCs w:val="22"/>
        </w:rPr>
        <w:t xml:space="preserve">.  As in Question 2, the linked </w:t>
      </w:r>
      <w:r>
        <w:rPr>
          <w:rFonts w:ascii="Calibri" w:hAnsi="Calibri"/>
          <w:sz w:val="22"/>
          <w:szCs w:val="22"/>
        </w:rPr>
        <w:t>dataset</w:t>
      </w:r>
      <w:r w:rsidRPr="003D75D4">
        <w:rPr>
          <w:rFonts w:ascii="Calibri" w:hAnsi="Calibri"/>
          <w:sz w:val="22"/>
          <w:szCs w:val="22"/>
        </w:rPr>
        <w:t xml:space="preserve"> w</w:t>
      </w:r>
      <w:r>
        <w:rPr>
          <w:rFonts w:ascii="Calibri" w:hAnsi="Calibri"/>
          <w:sz w:val="22"/>
          <w:szCs w:val="22"/>
        </w:rPr>
        <w:t>as</w:t>
      </w:r>
      <w:r w:rsidRPr="003D75D4">
        <w:rPr>
          <w:rFonts w:ascii="Calibri" w:hAnsi="Calibri"/>
          <w:sz w:val="22"/>
          <w:szCs w:val="22"/>
        </w:rPr>
        <w:t xml:space="preserve"> analyzed for opioid prescriptions by individual and their demographics (age, gender, race, marital status, employment, </w:t>
      </w:r>
      <w:r>
        <w:rPr>
          <w:rFonts w:ascii="Calibri" w:hAnsi="Calibri"/>
          <w:sz w:val="22"/>
          <w:szCs w:val="22"/>
        </w:rPr>
        <w:t xml:space="preserve">and </w:t>
      </w:r>
      <w:r w:rsidRPr="003D75D4">
        <w:rPr>
          <w:rFonts w:ascii="Calibri" w:hAnsi="Calibri"/>
          <w:sz w:val="22"/>
          <w:szCs w:val="22"/>
        </w:rPr>
        <w:t>geography) to identify any relationship between the number, type of opi</w:t>
      </w:r>
      <w:r>
        <w:rPr>
          <w:rFonts w:ascii="Calibri" w:hAnsi="Calibri"/>
          <w:sz w:val="22"/>
          <w:szCs w:val="22"/>
        </w:rPr>
        <w:t>oid,</w:t>
      </w:r>
      <w:r w:rsidRPr="003D75D4">
        <w:rPr>
          <w:rFonts w:ascii="Calibri" w:hAnsi="Calibri"/>
          <w:sz w:val="22"/>
          <w:szCs w:val="22"/>
        </w:rPr>
        <w:t xml:space="preserve"> and use of non-prescribed medication and the likelihood of dying</w:t>
      </w:r>
      <w:r>
        <w:rPr>
          <w:rFonts w:ascii="Calibri" w:hAnsi="Calibri"/>
          <w:sz w:val="22"/>
          <w:szCs w:val="22"/>
        </w:rPr>
        <w:t xml:space="preserve"> of an opioid-related overdose</w:t>
      </w:r>
      <w:r w:rsidRPr="003D75D4">
        <w:rPr>
          <w:rFonts w:ascii="Calibri" w:hAnsi="Calibri"/>
          <w:sz w:val="22"/>
          <w:szCs w:val="22"/>
        </w:rPr>
        <w:t xml:space="preserve">.  </w:t>
      </w:r>
    </w:p>
    <w:p w:rsidR="00FB160F" w:rsidRDefault="00FB160F" w:rsidP="00FB160F">
      <w:pPr>
        <w:spacing w:after="120" w:line="276" w:lineRule="auto"/>
        <w:ind w:firstLine="720"/>
        <w:rPr>
          <w:rFonts w:ascii="Calibri" w:hAnsi="Calibri"/>
          <w:sz w:val="22"/>
          <w:szCs w:val="22"/>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3258"/>
        <w:gridCol w:w="1800"/>
        <w:gridCol w:w="2124"/>
        <w:gridCol w:w="2394"/>
      </w:tblGrid>
      <w:tr w:rsidR="00FB160F" w:rsidTr="001C267C">
        <w:tc>
          <w:tcPr>
            <w:tcW w:w="9576" w:type="dxa"/>
            <w:gridSpan w:val="4"/>
            <w:vAlign w:val="center"/>
          </w:tcPr>
          <w:p w:rsidR="00FB160F" w:rsidRPr="00570FB0" w:rsidRDefault="00301E0D" w:rsidP="001C267C">
            <w:pPr>
              <w:jc w:val="center"/>
              <w:rPr>
                <w:rFonts w:ascii="Calibri" w:hAnsi="Calibri"/>
                <w:b/>
                <w:bCs/>
                <w:szCs w:val="22"/>
              </w:rPr>
            </w:pPr>
            <w:r>
              <w:rPr>
                <w:rFonts w:ascii="Calibri" w:hAnsi="Calibri"/>
                <w:b/>
                <w:bCs/>
                <w:sz w:val="22"/>
                <w:szCs w:val="22"/>
              </w:rPr>
              <w:t>Table A</w:t>
            </w:r>
            <w:r w:rsidR="00FB160F" w:rsidRPr="00570FB0">
              <w:rPr>
                <w:rFonts w:ascii="Calibri" w:hAnsi="Calibri"/>
                <w:b/>
                <w:bCs/>
                <w:sz w:val="22"/>
                <w:szCs w:val="22"/>
              </w:rPr>
              <w:t>3a: Proportion of Opioid</w:t>
            </w:r>
            <w:r w:rsidR="00FB160F">
              <w:rPr>
                <w:rFonts w:ascii="Calibri" w:hAnsi="Calibri"/>
                <w:b/>
                <w:bCs/>
                <w:sz w:val="22"/>
                <w:szCs w:val="22"/>
              </w:rPr>
              <w:t>-Related</w:t>
            </w:r>
            <w:r w:rsidR="00FB160F" w:rsidRPr="00570FB0">
              <w:rPr>
                <w:rFonts w:ascii="Calibri" w:hAnsi="Calibri"/>
                <w:b/>
                <w:bCs/>
                <w:sz w:val="22"/>
                <w:szCs w:val="22"/>
              </w:rPr>
              <w:t xml:space="preserve"> Overdose Decedents</w:t>
            </w:r>
            <w:r w:rsidR="0050537B">
              <w:rPr>
                <w:rFonts w:ascii="Calibri" w:hAnsi="Calibri"/>
                <w:b/>
                <w:bCs/>
                <w:sz w:val="22"/>
                <w:szCs w:val="22"/>
              </w:rPr>
              <w:t xml:space="preserve"> (2013-2014)</w:t>
            </w:r>
            <w:r w:rsidR="00FB160F" w:rsidRPr="00570FB0">
              <w:rPr>
                <w:rFonts w:ascii="Calibri" w:hAnsi="Calibri"/>
                <w:b/>
                <w:bCs/>
                <w:sz w:val="22"/>
                <w:szCs w:val="22"/>
              </w:rPr>
              <w:t xml:space="preserve"> with Prescription for Opioids</w:t>
            </w:r>
            <w:r w:rsidR="0050537B">
              <w:rPr>
                <w:rFonts w:ascii="Calibri" w:hAnsi="Calibri"/>
                <w:b/>
                <w:bCs/>
                <w:sz w:val="22"/>
                <w:szCs w:val="22"/>
              </w:rPr>
              <w:t xml:space="preserve"> (2011-2014)</w:t>
            </w:r>
          </w:p>
        </w:tc>
      </w:tr>
      <w:tr w:rsidR="00FB160F" w:rsidTr="001C267C">
        <w:tc>
          <w:tcPr>
            <w:tcW w:w="3258" w:type="dxa"/>
            <w:shd w:val="clear" w:color="auto" w:fill="F2F2F2"/>
            <w:vAlign w:val="center"/>
          </w:tcPr>
          <w:p w:rsidR="00FB160F" w:rsidRPr="00570FB0" w:rsidRDefault="00FB160F" w:rsidP="001C267C">
            <w:pPr>
              <w:rPr>
                <w:rFonts w:ascii="Calibri" w:hAnsi="Calibri"/>
                <w:b/>
                <w:bCs/>
                <w:szCs w:val="22"/>
              </w:rPr>
            </w:pPr>
            <w:r w:rsidRPr="00570FB0">
              <w:rPr>
                <w:rFonts w:ascii="Calibri" w:hAnsi="Calibri"/>
                <w:b/>
                <w:bCs/>
                <w:sz w:val="22"/>
                <w:szCs w:val="22"/>
              </w:rPr>
              <w:t>Prescription in Same Month of Death vs</w:t>
            </w:r>
            <w:r>
              <w:rPr>
                <w:rFonts w:ascii="Calibri" w:hAnsi="Calibri"/>
                <w:b/>
                <w:bCs/>
                <w:sz w:val="22"/>
                <w:szCs w:val="22"/>
              </w:rPr>
              <w:t>.</w:t>
            </w:r>
            <w:r w:rsidRPr="00570FB0">
              <w:rPr>
                <w:rFonts w:ascii="Calibri" w:hAnsi="Calibri"/>
                <w:b/>
                <w:bCs/>
                <w:sz w:val="22"/>
                <w:szCs w:val="22"/>
              </w:rPr>
              <w:t xml:space="preserve"> No Known Prescription</w:t>
            </w:r>
          </w:p>
        </w:tc>
        <w:tc>
          <w:tcPr>
            <w:tcW w:w="1800" w:type="dxa"/>
            <w:shd w:val="clear" w:color="auto" w:fill="F2F2F2"/>
            <w:vAlign w:val="center"/>
          </w:tcPr>
          <w:p w:rsidR="00FB160F" w:rsidRPr="00570FB0" w:rsidRDefault="00FB160F" w:rsidP="001C267C">
            <w:pPr>
              <w:jc w:val="center"/>
              <w:rPr>
                <w:rFonts w:ascii="Calibri" w:hAnsi="Calibri"/>
                <w:szCs w:val="22"/>
              </w:rPr>
            </w:pPr>
            <w:r w:rsidRPr="00570FB0">
              <w:rPr>
                <w:rFonts w:ascii="Calibri" w:hAnsi="Calibri"/>
                <w:sz w:val="22"/>
                <w:szCs w:val="22"/>
              </w:rPr>
              <w:t>Rx in Month of Death</w:t>
            </w:r>
          </w:p>
        </w:tc>
        <w:tc>
          <w:tcPr>
            <w:tcW w:w="2124" w:type="dxa"/>
            <w:shd w:val="clear" w:color="auto" w:fill="F2F2F2"/>
            <w:vAlign w:val="center"/>
          </w:tcPr>
          <w:p w:rsidR="00FB160F" w:rsidRPr="00570FB0" w:rsidRDefault="00FB160F" w:rsidP="001C267C">
            <w:pPr>
              <w:jc w:val="center"/>
              <w:rPr>
                <w:rFonts w:ascii="Calibri" w:hAnsi="Calibri"/>
                <w:szCs w:val="22"/>
              </w:rPr>
            </w:pPr>
            <w:r w:rsidRPr="00570FB0">
              <w:rPr>
                <w:rFonts w:ascii="Calibri" w:hAnsi="Calibri"/>
                <w:sz w:val="22"/>
                <w:szCs w:val="22"/>
              </w:rPr>
              <w:t>No Known Rx in Month of Death</w:t>
            </w:r>
          </w:p>
        </w:tc>
        <w:tc>
          <w:tcPr>
            <w:tcW w:w="2394" w:type="dxa"/>
            <w:shd w:val="clear" w:color="auto" w:fill="F2F2F2"/>
            <w:vAlign w:val="center"/>
          </w:tcPr>
          <w:p w:rsidR="00FB160F" w:rsidRPr="00570FB0" w:rsidRDefault="00FB160F" w:rsidP="001C267C">
            <w:pPr>
              <w:jc w:val="center"/>
              <w:rPr>
                <w:rFonts w:ascii="Calibri" w:hAnsi="Calibri"/>
                <w:szCs w:val="22"/>
              </w:rPr>
            </w:pPr>
            <w:r w:rsidRPr="00570FB0">
              <w:rPr>
                <w:rFonts w:ascii="Calibri" w:hAnsi="Calibri"/>
                <w:sz w:val="22"/>
                <w:szCs w:val="22"/>
              </w:rPr>
              <w:t>Proportion</w:t>
            </w:r>
          </w:p>
        </w:tc>
      </w:tr>
      <w:tr w:rsidR="00FB160F" w:rsidTr="001C267C">
        <w:tc>
          <w:tcPr>
            <w:tcW w:w="3258" w:type="dxa"/>
            <w:vAlign w:val="center"/>
          </w:tcPr>
          <w:p w:rsidR="00FB160F" w:rsidRPr="00570FB0" w:rsidRDefault="00FB160F" w:rsidP="001C267C">
            <w:pPr>
              <w:rPr>
                <w:rFonts w:ascii="Calibri" w:hAnsi="Calibri"/>
                <w:b/>
                <w:bCs/>
                <w:szCs w:val="22"/>
              </w:rPr>
            </w:pPr>
            <w:r w:rsidRPr="00570FB0">
              <w:rPr>
                <w:rFonts w:ascii="Calibri" w:hAnsi="Calibri"/>
                <w:b/>
                <w:bCs/>
                <w:sz w:val="22"/>
                <w:szCs w:val="22"/>
              </w:rPr>
              <w:t>Fatal Overdoses</w:t>
            </w:r>
          </w:p>
        </w:tc>
        <w:tc>
          <w:tcPr>
            <w:tcW w:w="1800" w:type="dxa"/>
          </w:tcPr>
          <w:p w:rsidR="00FB160F" w:rsidRPr="00570FB0" w:rsidRDefault="00FB160F" w:rsidP="001C267C">
            <w:pPr>
              <w:jc w:val="center"/>
              <w:rPr>
                <w:rFonts w:ascii="Calibri" w:hAnsi="Calibri"/>
                <w:szCs w:val="22"/>
              </w:rPr>
            </w:pPr>
            <w:r w:rsidRPr="00570FB0">
              <w:rPr>
                <w:rFonts w:ascii="Calibri" w:hAnsi="Calibri"/>
                <w:sz w:val="22"/>
                <w:szCs w:val="22"/>
              </w:rPr>
              <w:t>183</w:t>
            </w:r>
          </w:p>
        </w:tc>
        <w:tc>
          <w:tcPr>
            <w:tcW w:w="2124" w:type="dxa"/>
          </w:tcPr>
          <w:p w:rsidR="00FB160F" w:rsidRPr="00570FB0" w:rsidRDefault="00FB160F" w:rsidP="001C267C">
            <w:pPr>
              <w:jc w:val="center"/>
              <w:rPr>
                <w:rFonts w:ascii="Calibri" w:hAnsi="Calibri"/>
                <w:szCs w:val="22"/>
              </w:rPr>
            </w:pPr>
            <w:r w:rsidRPr="00570FB0">
              <w:rPr>
                <w:rFonts w:ascii="Calibri" w:hAnsi="Calibri"/>
                <w:sz w:val="22"/>
                <w:szCs w:val="22"/>
              </w:rPr>
              <w:t>2009</w:t>
            </w:r>
          </w:p>
        </w:tc>
        <w:tc>
          <w:tcPr>
            <w:tcW w:w="2394" w:type="dxa"/>
          </w:tcPr>
          <w:p w:rsidR="00FB160F" w:rsidRPr="00570FB0" w:rsidRDefault="00FB160F" w:rsidP="001C267C">
            <w:pPr>
              <w:jc w:val="center"/>
              <w:rPr>
                <w:rFonts w:ascii="Calibri" w:hAnsi="Calibri"/>
                <w:szCs w:val="22"/>
              </w:rPr>
            </w:pPr>
            <w:r w:rsidRPr="00570FB0">
              <w:rPr>
                <w:rFonts w:ascii="Calibri" w:hAnsi="Calibri"/>
                <w:sz w:val="22"/>
                <w:szCs w:val="22"/>
              </w:rPr>
              <w:t>8.3%</w:t>
            </w:r>
          </w:p>
        </w:tc>
      </w:tr>
      <w:tr w:rsidR="00FB160F" w:rsidTr="001C267C">
        <w:tc>
          <w:tcPr>
            <w:tcW w:w="3258" w:type="dxa"/>
            <w:shd w:val="clear" w:color="auto" w:fill="F2F2F2"/>
            <w:vAlign w:val="center"/>
          </w:tcPr>
          <w:p w:rsidR="00FB160F" w:rsidRPr="00570FB0" w:rsidRDefault="00FB160F" w:rsidP="001C267C">
            <w:pPr>
              <w:rPr>
                <w:rFonts w:ascii="Calibri" w:hAnsi="Calibri"/>
                <w:b/>
                <w:bCs/>
                <w:szCs w:val="22"/>
              </w:rPr>
            </w:pPr>
            <w:r w:rsidRPr="00570FB0">
              <w:rPr>
                <w:rFonts w:ascii="Calibri" w:hAnsi="Calibri"/>
                <w:b/>
                <w:bCs/>
                <w:sz w:val="22"/>
                <w:szCs w:val="22"/>
              </w:rPr>
              <w:t>Summary</w:t>
            </w:r>
          </w:p>
        </w:tc>
        <w:tc>
          <w:tcPr>
            <w:tcW w:w="6318" w:type="dxa"/>
            <w:gridSpan w:val="3"/>
            <w:shd w:val="clear" w:color="auto" w:fill="F2F2F2"/>
          </w:tcPr>
          <w:p w:rsidR="00FB160F" w:rsidRPr="00570FB0" w:rsidRDefault="00FB160F" w:rsidP="001C267C">
            <w:pPr>
              <w:rPr>
                <w:rFonts w:ascii="Calibri" w:hAnsi="Calibri"/>
                <w:szCs w:val="22"/>
              </w:rPr>
            </w:pPr>
            <w:r w:rsidRPr="00570FB0">
              <w:rPr>
                <w:rFonts w:ascii="Calibri" w:hAnsi="Calibri"/>
                <w:sz w:val="22"/>
                <w:szCs w:val="22"/>
              </w:rPr>
              <w:t>Based on observed data, 8.3% of opioid</w:t>
            </w:r>
            <w:r>
              <w:rPr>
                <w:rFonts w:ascii="Calibri" w:hAnsi="Calibri"/>
                <w:sz w:val="22"/>
                <w:szCs w:val="22"/>
              </w:rPr>
              <w:t>-related</w:t>
            </w:r>
            <w:r w:rsidRPr="00570FB0">
              <w:rPr>
                <w:rFonts w:ascii="Calibri" w:hAnsi="Calibri"/>
                <w:sz w:val="22"/>
                <w:szCs w:val="22"/>
              </w:rPr>
              <w:t xml:space="preserve"> overdose decedents had an opioid prescription in the same month as their death</w:t>
            </w:r>
          </w:p>
        </w:tc>
      </w:tr>
    </w:tbl>
    <w:p w:rsidR="00FB160F" w:rsidRDefault="00FB160F" w:rsidP="00FB160F">
      <w:pPr>
        <w:rPr>
          <w:rFonts w:ascii="Calibri" w:hAnsi="Calibri"/>
          <w:b/>
          <w:sz w:val="22"/>
          <w:szCs w:val="22"/>
        </w:rPr>
      </w:pPr>
    </w:p>
    <w:p w:rsidR="00FB160F" w:rsidRDefault="00FB160F" w:rsidP="00FB160F">
      <w:pPr>
        <w:rPr>
          <w:rFonts w:ascii="Calibri" w:hAnsi="Calibri"/>
          <w:b/>
          <w:sz w:val="22"/>
          <w:szCs w:val="22"/>
        </w:rPr>
      </w:pPr>
    </w:p>
    <w:p w:rsidR="00FB160F" w:rsidRDefault="00FB160F" w:rsidP="00FB160F">
      <w:pPr>
        <w:rPr>
          <w:rFonts w:ascii="Calibri" w:hAnsi="Calibri"/>
          <w:b/>
          <w:sz w:val="22"/>
          <w:szCs w:val="22"/>
        </w:rPr>
      </w:pPr>
    </w:p>
    <w:tbl>
      <w:tblPr>
        <w:tblW w:w="955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3168"/>
        <w:gridCol w:w="3417"/>
        <w:gridCol w:w="2973"/>
      </w:tblGrid>
      <w:tr w:rsidR="00FB160F" w:rsidRPr="003652BE" w:rsidTr="001C267C">
        <w:trPr>
          <w:trHeight w:val="629"/>
        </w:trPr>
        <w:tc>
          <w:tcPr>
            <w:tcW w:w="9558" w:type="dxa"/>
            <w:gridSpan w:val="3"/>
            <w:vAlign w:val="center"/>
          </w:tcPr>
          <w:p w:rsidR="0050537B" w:rsidRDefault="00301E0D" w:rsidP="001C267C">
            <w:pPr>
              <w:jc w:val="center"/>
              <w:rPr>
                <w:rFonts w:ascii="Calibri" w:hAnsi="Calibri"/>
                <w:b/>
                <w:bCs/>
                <w:sz w:val="22"/>
                <w:szCs w:val="22"/>
              </w:rPr>
            </w:pPr>
            <w:r>
              <w:rPr>
                <w:rFonts w:ascii="Calibri" w:hAnsi="Calibri"/>
                <w:b/>
                <w:bCs/>
                <w:sz w:val="22"/>
                <w:szCs w:val="22"/>
              </w:rPr>
              <w:t>Table A</w:t>
            </w:r>
            <w:r w:rsidR="00FB160F" w:rsidRPr="00570FB0">
              <w:rPr>
                <w:rFonts w:ascii="Calibri" w:hAnsi="Calibri"/>
                <w:b/>
                <w:bCs/>
                <w:sz w:val="22"/>
                <w:szCs w:val="22"/>
              </w:rPr>
              <w:t>3b: Proportion of Opioid</w:t>
            </w:r>
            <w:r w:rsidR="00FB160F">
              <w:rPr>
                <w:rFonts w:ascii="Calibri" w:hAnsi="Calibri"/>
                <w:b/>
                <w:bCs/>
                <w:sz w:val="22"/>
                <w:szCs w:val="22"/>
              </w:rPr>
              <w:t>-Related</w:t>
            </w:r>
            <w:r w:rsidR="00FB160F" w:rsidRPr="00570FB0">
              <w:rPr>
                <w:rFonts w:ascii="Calibri" w:hAnsi="Calibri"/>
                <w:b/>
                <w:bCs/>
                <w:sz w:val="22"/>
                <w:szCs w:val="22"/>
              </w:rPr>
              <w:t xml:space="preserve"> Overdose Deaths by Toxicology Report </w:t>
            </w:r>
            <w:r w:rsidR="00FB160F">
              <w:rPr>
                <w:rFonts w:ascii="Calibri" w:hAnsi="Calibri"/>
                <w:b/>
                <w:bCs/>
                <w:sz w:val="22"/>
                <w:szCs w:val="22"/>
              </w:rPr>
              <w:t xml:space="preserve">Findings </w:t>
            </w:r>
            <w:r w:rsidR="0050537B">
              <w:rPr>
                <w:rFonts w:ascii="Calibri" w:hAnsi="Calibri"/>
                <w:b/>
                <w:bCs/>
                <w:sz w:val="22"/>
                <w:szCs w:val="22"/>
              </w:rPr>
              <w:t>(2013-2014)</w:t>
            </w:r>
          </w:p>
          <w:p w:rsidR="00FB160F" w:rsidRPr="00570FB0" w:rsidRDefault="00FB160F" w:rsidP="001C267C">
            <w:pPr>
              <w:jc w:val="center"/>
              <w:rPr>
                <w:rFonts w:ascii="Calibri" w:hAnsi="Calibri"/>
                <w:b/>
                <w:bCs/>
                <w:color w:val="000000"/>
              </w:rPr>
            </w:pPr>
            <w:r w:rsidRPr="00570FB0">
              <w:rPr>
                <w:rFonts w:ascii="Calibri" w:hAnsi="Calibri"/>
                <w:b/>
                <w:bCs/>
                <w:sz w:val="22"/>
                <w:szCs w:val="22"/>
              </w:rPr>
              <w:t>(Mutually Exclusive Groups)</w:t>
            </w:r>
          </w:p>
        </w:tc>
      </w:tr>
      <w:tr w:rsidR="00FB160F" w:rsidRPr="003652BE" w:rsidTr="001C267C">
        <w:trPr>
          <w:trHeight w:val="629"/>
        </w:trPr>
        <w:tc>
          <w:tcPr>
            <w:tcW w:w="3168" w:type="dxa"/>
            <w:shd w:val="clear" w:color="auto" w:fill="F2F2F2"/>
            <w:vAlign w:val="center"/>
          </w:tcPr>
          <w:p w:rsidR="00FB160F" w:rsidRPr="00570FB0" w:rsidRDefault="00FB160F" w:rsidP="001C267C">
            <w:pPr>
              <w:jc w:val="center"/>
              <w:rPr>
                <w:rFonts w:ascii="Calibri" w:hAnsi="Calibri"/>
                <w:b/>
                <w:bCs/>
                <w:color w:val="000000"/>
              </w:rPr>
            </w:pPr>
            <w:r w:rsidRPr="00570FB0">
              <w:rPr>
                <w:rFonts w:ascii="Calibri" w:hAnsi="Calibri"/>
                <w:b/>
                <w:bCs/>
                <w:color w:val="000000"/>
                <w:sz w:val="22"/>
              </w:rPr>
              <w:t>Proportion of Opioid-Related Overdoses by Toxicology Report Findings</w:t>
            </w:r>
          </w:p>
        </w:tc>
        <w:tc>
          <w:tcPr>
            <w:tcW w:w="3417" w:type="dxa"/>
            <w:shd w:val="clear" w:color="auto" w:fill="F2F2F2"/>
            <w:vAlign w:val="center"/>
          </w:tcPr>
          <w:p w:rsidR="00FB160F" w:rsidRPr="00570FB0" w:rsidRDefault="00FB160F" w:rsidP="001C267C">
            <w:pPr>
              <w:jc w:val="center"/>
              <w:rPr>
                <w:rFonts w:ascii="Calibri" w:hAnsi="Calibri"/>
                <w:b/>
                <w:bCs/>
                <w:color w:val="000000"/>
              </w:rPr>
            </w:pPr>
            <w:r w:rsidRPr="00570FB0">
              <w:rPr>
                <w:rFonts w:ascii="Calibri" w:hAnsi="Calibri"/>
                <w:color w:val="000000"/>
                <w:sz w:val="22"/>
              </w:rPr>
              <w:t>Fatal Overdoses</w:t>
            </w:r>
          </w:p>
        </w:tc>
        <w:tc>
          <w:tcPr>
            <w:tcW w:w="2973" w:type="dxa"/>
            <w:shd w:val="clear" w:color="auto" w:fill="F2F2F2"/>
            <w:vAlign w:val="center"/>
          </w:tcPr>
          <w:p w:rsidR="00FB160F" w:rsidRPr="00570FB0" w:rsidRDefault="00FB160F" w:rsidP="001C267C">
            <w:pPr>
              <w:jc w:val="center"/>
              <w:rPr>
                <w:rFonts w:ascii="Calibri" w:hAnsi="Calibri"/>
                <w:b/>
                <w:bCs/>
                <w:color w:val="000000"/>
              </w:rPr>
            </w:pPr>
            <w:r w:rsidRPr="00570FB0">
              <w:rPr>
                <w:rFonts w:ascii="Calibri" w:hAnsi="Calibri"/>
                <w:color w:val="000000"/>
                <w:sz w:val="22"/>
              </w:rPr>
              <w:t>Percent of Fatal Overdoses</w:t>
            </w:r>
          </w:p>
        </w:tc>
      </w:tr>
      <w:tr w:rsidR="00FB160F" w:rsidRPr="003652BE" w:rsidTr="001C267C">
        <w:trPr>
          <w:trHeight w:val="307"/>
        </w:trPr>
        <w:tc>
          <w:tcPr>
            <w:tcW w:w="3168" w:type="dxa"/>
          </w:tcPr>
          <w:p w:rsidR="00FB160F" w:rsidRPr="00570FB0" w:rsidRDefault="00FB160F" w:rsidP="001C267C">
            <w:pPr>
              <w:rPr>
                <w:rFonts w:ascii="Calibri" w:hAnsi="Calibri"/>
                <w:b/>
                <w:bCs/>
                <w:color w:val="000000"/>
              </w:rPr>
            </w:pPr>
            <w:r w:rsidRPr="00570FB0">
              <w:rPr>
                <w:rFonts w:ascii="Calibri" w:hAnsi="Calibri"/>
                <w:b/>
                <w:bCs/>
                <w:color w:val="000000"/>
                <w:sz w:val="22"/>
              </w:rPr>
              <w:t xml:space="preserve">Fentanyl + Definite Heroin </w:t>
            </w:r>
          </w:p>
        </w:tc>
        <w:tc>
          <w:tcPr>
            <w:tcW w:w="3417" w:type="dxa"/>
          </w:tcPr>
          <w:p w:rsidR="00FB160F" w:rsidRPr="00570FB0" w:rsidRDefault="00FB160F" w:rsidP="001C267C">
            <w:pPr>
              <w:jc w:val="center"/>
              <w:rPr>
                <w:rFonts w:ascii="Calibri" w:hAnsi="Calibri"/>
                <w:color w:val="000000"/>
              </w:rPr>
            </w:pPr>
            <w:r w:rsidRPr="00570FB0">
              <w:rPr>
                <w:rFonts w:ascii="Calibri" w:hAnsi="Calibri"/>
                <w:color w:val="000000"/>
                <w:sz w:val="22"/>
              </w:rPr>
              <w:t>166</w:t>
            </w:r>
          </w:p>
        </w:tc>
        <w:tc>
          <w:tcPr>
            <w:tcW w:w="2973" w:type="dxa"/>
          </w:tcPr>
          <w:p w:rsidR="00FB160F" w:rsidRPr="00570FB0" w:rsidRDefault="00FB160F" w:rsidP="001C267C">
            <w:pPr>
              <w:jc w:val="center"/>
              <w:rPr>
                <w:rFonts w:ascii="Calibri" w:hAnsi="Calibri"/>
                <w:color w:val="000000"/>
              </w:rPr>
            </w:pPr>
            <w:r w:rsidRPr="00570FB0">
              <w:rPr>
                <w:rFonts w:ascii="Calibri" w:hAnsi="Calibri"/>
                <w:color w:val="000000"/>
                <w:sz w:val="22"/>
              </w:rPr>
              <w:t>9.8%</w:t>
            </w:r>
          </w:p>
        </w:tc>
      </w:tr>
      <w:tr w:rsidR="00FB160F" w:rsidRPr="003652BE" w:rsidTr="001C267C">
        <w:trPr>
          <w:trHeight w:val="307"/>
        </w:trPr>
        <w:tc>
          <w:tcPr>
            <w:tcW w:w="3168" w:type="dxa"/>
            <w:shd w:val="clear" w:color="auto" w:fill="F2F2F2"/>
          </w:tcPr>
          <w:p w:rsidR="00FB160F" w:rsidRPr="00570FB0" w:rsidRDefault="00FB160F" w:rsidP="001C267C">
            <w:pPr>
              <w:rPr>
                <w:rFonts w:ascii="Calibri" w:hAnsi="Calibri"/>
                <w:b/>
                <w:bCs/>
                <w:color w:val="000000"/>
              </w:rPr>
            </w:pPr>
            <w:r w:rsidRPr="00570FB0">
              <w:rPr>
                <w:rFonts w:ascii="Calibri" w:hAnsi="Calibri"/>
                <w:b/>
                <w:bCs/>
                <w:color w:val="000000"/>
                <w:sz w:val="22"/>
              </w:rPr>
              <w:t xml:space="preserve">Fentanyl + Likely Heroin </w:t>
            </w:r>
          </w:p>
        </w:tc>
        <w:tc>
          <w:tcPr>
            <w:tcW w:w="3417" w:type="dxa"/>
            <w:shd w:val="clear" w:color="auto" w:fill="F2F2F2"/>
          </w:tcPr>
          <w:p w:rsidR="00FB160F" w:rsidRPr="00570FB0" w:rsidRDefault="00FB160F" w:rsidP="001C267C">
            <w:pPr>
              <w:jc w:val="center"/>
              <w:rPr>
                <w:rFonts w:ascii="Calibri" w:hAnsi="Calibri"/>
                <w:color w:val="000000"/>
              </w:rPr>
            </w:pPr>
            <w:r w:rsidRPr="00570FB0">
              <w:rPr>
                <w:rFonts w:ascii="Calibri" w:hAnsi="Calibri"/>
                <w:color w:val="000000"/>
                <w:sz w:val="22"/>
              </w:rPr>
              <w:t>83</w:t>
            </w:r>
          </w:p>
        </w:tc>
        <w:tc>
          <w:tcPr>
            <w:tcW w:w="2973" w:type="dxa"/>
            <w:shd w:val="clear" w:color="auto" w:fill="F2F2F2"/>
          </w:tcPr>
          <w:p w:rsidR="00FB160F" w:rsidRPr="00570FB0" w:rsidRDefault="00FB160F" w:rsidP="001C267C">
            <w:pPr>
              <w:jc w:val="center"/>
              <w:rPr>
                <w:rFonts w:ascii="Calibri" w:hAnsi="Calibri"/>
                <w:color w:val="000000"/>
              </w:rPr>
            </w:pPr>
            <w:r w:rsidRPr="00570FB0">
              <w:rPr>
                <w:rFonts w:ascii="Calibri" w:hAnsi="Calibri"/>
                <w:color w:val="000000"/>
                <w:sz w:val="22"/>
              </w:rPr>
              <w:t>4.9%</w:t>
            </w:r>
          </w:p>
        </w:tc>
      </w:tr>
      <w:tr w:rsidR="00FB160F" w:rsidRPr="003652BE" w:rsidTr="001C267C">
        <w:trPr>
          <w:trHeight w:val="307"/>
        </w:trPr>
        <w:tc>
          <w:tcPr>
            <w:tcW w:w="3168" w:type="dxa"/>
          </w:tcPr>
          <w:p w:rsidR="00FB160F" w:rsidRPr="00570FB0" w:rsidRDefault="00FB160F" w:rsidP="001C267C">
            <w:pPr>
              <w:rPr>
                <w:rFonts w:ascii="Calibri" w:hAnsi="Calibri"/>
                <w:b/>
                <w:bCs/>
                <w:color w:val="000000"/>
              </w:rPr>
            </w:pPr>
            <w:r w:rsidRPr="00570FB0">
              <w:rPr>
                <w:rFonts w:ascii="Calibri" w:hAnsi="Calibri"/>
                <w:b/>
                <w:bCs/>
                <w:color w:val="000000"/>
                <w:sz w:val="22"/>
              </w:rPr>
              <w:t xml:space="preserve">Fentanyl </w:t>
            </w:r>
          </w:p>
        </w:tc>
        <w:tc>
          <w:tcPr>
            <w:tcW w:w="3417" w:type="dxa"/>
          </w:tcPr>
          <w:p w:rsidR="00FB160F" w:rsidRPr="00570FB0" w:rsidRDefault="00FB160F" w:rsidP="001C267C">
            <w:pPr>
              <w:jc w:val="center"/>
              <w:rPr>
                <w:rFonts w:ascii="Calibri" w:hAnsi="Calibri"/>
                <w:color w:val="000000"/>
              </w:rPr>
            </w:pPr>
            <w:r w:rsidRPr="00570FB0">
              <w:rPr>
                <w:rFonts w:ascii="Calibri" w:hAnsi="Calibri"/>
                <w:color w:val="000000"/>
                <w:sz w:val="22"/>
              </w:rPr>
              <w:t>288</w:t>
            </w:r>
          </w:p>
        </w:tc>
        <w:tc>
          <w:tcPr>
            <w:tcW w:w="2973" w:type="dxa"/>
          </w:tcPr>
          <w:p w:rsidR="00FB160F" w:rsidRPr="00570FB0" w:rsidRDefault="00FB160F" w:rsidP="001C267C">
            <w:pPr>
              <w:jc w:val="center"/>
              <w:rPr>
                <w:rFonts w:ascii="Calibri" w:hAnsi="Calibri"/>
                <w:color w:val="000000"/>
              </w:rPr>
            </w:pPr>
            <w:r w:rsidRPr="00570FB0">
              <w:rPr>
                <w:rFonts w:ascii="Calibri" w:hAnsi="Calibri"/>
                <w:color w:val="000000"/>
                <w:sz w:val="22"/>
              </w:rPr>
              <w:t>17.0%</w:t>
            </w:r>
          </w:p>
        </w:tc>
      </w:tr>
      <w:tr w:rsidR="00FB160F" w:rsidRPr="003652BE" w:rsidTr="001C267C">
        <w:trPr>
          <w:trHeight w:val="307"/>
        </w:trPr>
        <w:tc>
          <w:tcPr>
            <w:tcW w:w="3168" w:type="dxa"/>
            <w:shd w:val="clear" w:color="auto" w:fill="F2F2F2"/>
          </w:tcPr>
          <w:p w:rsidR="00FB160F" w:rsidRPr="00570FB0" w:rsidRDefault="00FB160F" w:rsidP="001C267C">
            <w:pPr>
              <w:rPr>
                <w:rFonts w:ascii="Calibri" w:hAnsi="Calibri"/>
                <w:b/>
                <w:bCs/>
                <w:color w:val="000000"/>
              </w:rPr>
            </w:pPr>
            <w:r w:rsidRPr="00570FB0">
              <w:rPr>
                <w:rFonts w:ascii="Calibri" w:hAnsi="Calibri"/>
                <w:b/>
                <w:bCs/>
                <w:color w:val="000000"/>
                <w:sz w:val="22"/>
              </w:rPr>
              <w:t xml:space="preserve">Definite Heroin </w:t>
            </w:r>
          </w:p>
        </w:tc>
        <w:tc>
          <w:tcPr>
            <w:tcW w:w="3417" w:type="dxa"/>
            <w:shd w:val="clear" w:color="auto" w:fill="F2F2F2"/>
          </w:tcPr>
          <w:p w:rsidR="00FB160F" w:rsidRPr="00570FB0" w:rsidRDefault="00FB160F" w:rsidP="001C267C">
            <w:pPr>
              <w:jc w:val="center"/>
              <w:rPr>
                <w:rFonts w:ascii="Calibri" w:hAnsi="Calibri"/>
                <w:color w:val="000000"/>
              </w:rPr>
            </w:pPr>
            <w:r w:rsidRPr="00570FB0">
              <w:rPr>
                <w:rFonts w:ascii="Calibri" w:hAnsi="Calibri"/>
                <w:color w:val="000000"/>
                <w:sz w:val="22"/>
              </w:rPr>
              <w:t>547</w:t>
            </w:r>
          </w:p>
        </w:tc>
        <w:tc>
          <w:tcPr>
            <w:tcW w:w="2973" w:type="dxa"/>
            <w:shd w:val="clear" w:color="auto" w:fill="F2F2F2"/>
          </w:tcPr>
          <w:p w:rsidR="00FB160F" w:rsidRPr="00570FB0" w:rsidRDefault="00FB160F" w:rsidP="001C267C">
            <w:pPr>
              <w:jc w:val="center"/>
              <w:rPr>
                <w:rFonts w:ascii="Calibri" w:hAnsi="Calibri"/>
                <w:color w:val="000000"/>
              </w:rPr>
            </w:pPr>
            <w:r w:rsidRPr="00570FB0">
              <w:rPr>
                <w:rFonts w:ascii="Calibri" w:hAnsi="Calibri"/>
                <w:color w:val="000000"/>
                <w:sz w:val="22"/>
              </w:rPr>
              <w:t>32.3%</w:t>
            </w:r>
          </w:p>
        </w:tc>
      </w:tr>
      <w:tr w:rsidR="00FB160F" w:rsidRPr="003652BE" w:rsidTr="001C267C">
        <w:trPr>
          <w:trHeight w:val="307"/>
        </w:trPr>
        <w:tc>
          <w:tcPr>
            <w:tcW w:w="3168" w:type="dxa"/>
          </w:tcPr>
          <w:p w:rsidR="00FB160F" w:rsidRPr="00570FB0" w:rsidRDefault="00FB160F" w:rsidP="001C267C">
            <w:pPr>
              <w:rPr>
                <w:rFonts w:ascii="Calibri" w:hAnsi="Calibri"/>
                <w:b/>
                <w:bCs/>
                <w:color w:val="000000"/>
              </w:rPr>
            </w:pPr>
            <w:r w:rsidRPr="00570FB0">
              <w:rPr>
                <w:rFonts w:ascii="Calibri" w:hAnsi="Calibri"/>
                <w:b/>
                <w:bCs/>
                <w:color w:val="000000"/>
                <w:sz w:val="22"/>
              </w:rPr>
              <w:t xml:space="preserve">Likely Heroin </w:t>
            </w:r>
          </w:p>
        </w:tc>
        <w:tc>
          <w:tcPr>
            <w:tcW w:w="3417" w:type="dxa"/>
          </w:tcPr>
          <w:p w:rsidR="00FB160F" w:rsidRPr="00570FB0" w:rsidRDefault="00FB160F" w:rsidP="001C267C">
            <w:pPr>
              <w:jc w:val="center"/>
              <w:rPr>
                <w:rFonts w:ascii="Calibri" w:hAnsi="Calibri"/>
                <w:color w:val="000000"/>
              </w:rPr>
            </w:pPr>
            <w:r w:rsidRPr="00570FB0">
              <w:rPr>
                <w:rFonts w:ascii="Calibri" w:hAnsi="Calibri"/>
                <w:color w:val="000000"/>
                <w:sz w:val="22"/>
              </w:rPr>
              <w:t>320</w:t>
            </w:r>
          </w:p>
        </w:tc>
        <w:tc>
          <w:tcPr>
            <w:tcW w:w="2973" w:type="dxa"/>
          </w:tcPr>
          <w:p w:rsidR="00FB160F" w:rsidRPr="00570FB0" w:rsidRDefault="00FB160F" w:rsidP="001C267C">
            <w:pPr>
              <w:jc w:val="center"/>
              <w:rPr>
                <w:rFonts w:ascii="Calibri" w:hAnsi="Calibri"/>
                <w:color w:val="000000"/>
              </w:rPr>
            </w:pPr>
            <w:r w:rsidRPr="00570FB0">
              <w:rPr>
                <w:rFonts w:ascii="Calibri" w:hAnsi="Calibri"/>
                <w:color w:val="000000"/>
                <w:sz w:val="22"/>
              </w:rPr>
              <w:t>18.9%</w:t>
            </w:r>
          </w:p>
        </w:tc>
      </w:tr>
      <w:tr w:rsidR="00FB160F" w:rsidRPr="003652BE" w:rsidTr="001C267C">
        <w:trPr>
          <w:trHeight w:val="307"/>
        </w:trPr>
        <w:tc>
          <w:tcPr>
            <w:tcW w:w="3168" w:type="dxa"/>
            <w:shd w:val="clear" w:color="auto" w:fill="F2F2F2"/>
          </w:tcPr>
          <w:p w:rsidR="00FB160F" w:rsidRPr="00570FB0" w:rsidRDefault="00FB160F" w:rsidP="001C267C">
            <w:pPr>
              <w:rPr>
                <w:rFonts w:ascii="Calibri" w:hAnsi="Calibri"/>
                <w:b/>
                <w:bCs/>
                <w:color w:val="000000"/>
              </w:rPr>
            </w:pPr>
            <w:r w:rsidRPr="00570FB0">
              <w:rPr>
                <w:rFonts w:ascii="Calibri" w:hAnsi="Calibri"/>
                <w:b/>
                <w:bCs/>
                <w:color w:val="000000"/>
                <w:sz w:val="22"/>
              </w:rPr>
              <w:t xml:space="preserve">Methadone </w:t>
            </w:r>
          </w:p>
        </w:tc>
        <w:tc>
          <w:tcPr>
            <w:tcW w:w="3417" w:type="dxa"/>
            <w:shd w:val="clear" w:color="auto" w:fill="F2F2F2"/>
          </w:tcPr>
          <w:p w:rsidR="00FB160F" w:rsidRPr="00570FB0" w:rsidRDefault="00FB160F" w:rsidP="001C267C">
            <w:pPr>
              <w:jc w:val="center"/>
              <w:rPr>
                <w:rFonts w:ascii="Calibri" w:hAnsi="Calibri"/>
                <w:color w:val="000000"/>
              </w:rPr>
            </w:pPr>
            <w:r w:rsidRPr="00570FB0">
              <w:rPr>
                <w:rFonts w:ascii="Calibri" w:hAnsi="Calibri"/>
                <w:color w:val="000000"/>
                <w:sz w:val="22"/>
              </w:rPr>
              <w:t>84</w:t>
            </w:r>
          </w:p>
        </w:tc>
        <w:tc>
          <w:tcPr>
            <w:tcW w:w="2973" w:type="dxa"/>
            <w:shd w:val="clear" w:color="auto" w:fill="F2F2F2"/>
          </w:tcPr>
          <w:p w:rsidR="00FB160F" w:rsidRPr="00570FB0" w:rsidRDefault="00FB160F" w:rsidP="001C267C">
            <w:pPr>
              <w:jc w:val="center"/>
              <w:rPr>
                <w:rFonts w:ascii="Calibri" w:hAnsi="Calibri"/>
                <w:color w:val="000000"/>
              </w:rPr>
            </w:pPr>
            <w:r w:rsidRPr="00570FB0">
              <w:rPr>
                <w:rFonts w:ascii="Calibri" w:hAnsi="Calibri"/>
                <w:color w:val="000000"/>
                <w:sz w:val="22"/>
              </w:rPr>
              <w:t>5.0%</w:t>
            </w:r>
          </w:p>
        </w:tc>
      </w:tr>
      <w:tr w:rsidR="00FB160F" w:rsidRPr="003652BE" w:rsidTr="001C267C">
        <w:trPr>
          <w:trHeight w:val="307"/>
        </w:trPr>
        <w:tc>
          <w:tcPr>
            <w:tcW w:w="3168" w:type="dxa"/>
          </w:tcPr>
          <w:p w:rsidR="00FB160F" w:rsidRPr="00570FB0" w:rsidRDefault="00FB160F" w:rsidP="001C267C">
            <w:pPr>
              <w:rPr>
                <w:rFonts w:ascii="Calibri" w:hAnsi="Calibri"/>
                <w:b/>
                <w:bCs/>
                <w:color w:val="000000"/>
                <w:vertAlign w:val="superscript"/>
              </w:rPr>
            </w:pPr>
            <w:r w:rsidRPr="00570FB0">
              <w:rPr>
                <w:rFonts w:ascii="Calibri" w:hAnsi="Calibri"/>
                <w:b/>
                <w:bCs/>
                <w:color w:val="000000"/>
                <w:sz w:val="22"/>
              </w:rPr>
              <w:t>Other RX</w:t>
            </w:r>
            <w:r w:rsidRPr="00570FB0">
              <w:rPr>
                <w:rFonts w:ascii="Calibri" w:hAnsi="Calibri"/>
                <w:b/>
                <w:bCs/>
                <w:color w:val="000000"/>
                <w:sz w:val="22"/>
                <w:vertAlign w:val="superscript"/>
              </w:rPr>
              <w:t>1</w:t>
            </w:r>
          </w:p>
        </w:tc>
        <w:tc>
          <w:tcPr>
            <w:tcW w:w="3417" w:type="dxa"/>
          </w:tcPr>
          <w:p w:rsidR="00FB160F" w:rsidRPr="00570FB0" w:rsidRDefault="00FB160F" w:rsidP="001C267C">
            <w:pPr>
              <w:jc w:val="center"/>
              <w:rPr>
                <w:rFonts w:ascii="Calibri" w:hAnsi="Calibri"/>
                <w:color w:val="000000"/>
              </w:rPr>
            </w:pPr>
            <w:r w:rsidRPr="00570FB0">
              <w:rPr>
                <w:rFonts w:ascii="Calibri" w:hAnsi="Calibri"/>
                <w:color w:val="000000"/>
                <w:sz w:val="22"/>
              </w:rPr>
              <w:t>154</w:t>
            </w:r>
          </w:p>
        </w:tc>
        <w:tc>
          <w:tcPr>
            <w:tcW w:w="2973" w:type="dxa"/>
          </w:tcPr>
          <w:p w:rsidR="00FB160F" w:rsidRPr="00570FB0" w:rsidRDefault="00FB160F" w:rsidP="001C267C">
            <w:pPr>
              <w:jc w:val="center"/>
              <w:rPr>
                <w:rFonts w:ascii="Calibri" w:hAnsi="Calibri"/>
                <w:color w:val="000000"/>
              </w:rPr>
            </w:pPr>
            <w:r w:rsidRPr="00570FB0">
              <w:rPr>
                <w:rFonts w:ascii="Calibri" w:hAnsi="Calibri"/>
                <w:color w:val="000000"/>
                <w:sz w:val="22"/>
              </w:rPr>
              <w:t>9.1%</w:t>
            </w:r>
          </w:p>
        </w:tc>
      </w:tr>
      <w:tr w:rsidR="00FB160F" w:rsidRPr="003652BE" w:rsidTr="001C267C">
        <w:trPr>
          <w:trHeight w:val="307"/>
        </w:trPr>
        <w:tc>
          <w:tcPr>
            <w:tcW w:w="3168" w:type="dxa"/>
            <w:shd w:val="clear" w:color="auto" w:fill="F2F2F2"/>
          </w:tcPr>
          <w:p w:rsidR="00FB160F" w:rsidRPr="00570FB0" w:rsidRDefault="00FB160F" w:rsidP="001C267C">
            <w:pPr>
              <w:rPr>
                <w:rFonts w:ascii="Calibri" w:hAnsi="Calibri"/>
                <w:b/>
                <w:bCs/>
                <w:color w:val="000000"/>
              </w:rPr>
            </w:pPr>
            <w:r w:rsidRPr="00570FB0">
              <w:rPr>
                <w:rFonts w:ascii="Calibri" w:hAnsi="Calibri"/>
                <w:b/>
                <w:bCs/>
                <w:color w:val="000000"/>
                <w:sz w:val="22"/>
              </w:rPr>
              <w:t>Buprenorphine</w:t>
            </w:r>
          </w:p>
        </w:tc>
        <w:tc>
          <w:tcPr>
            <w:tcW w:w="3417" w:type="dxa"/>
            <w:shd w:val="clear" w:color="auto" w:fill="F2F2F2"/>
          </w:tcPr>
          <w:p w:rsidR="00FB160F" w:rsidRPr="00570FB0" w:rsidRDefault="00FB160F" w:rsidP="001C267C">
            <w:pPr>
              <w:jc w:val="center"/>
              <w:rPr>
                <w:rFonts w:ascii="Calibri" w:hAnsi="Calibri"/>
                <w:color w:val="000000"/>
              </w:rPr>
            </w:pPr>
            <w:r w:rsidRPr="00570FB0">
              <w:rPr>
                <w:rFonts w:ascii="Calibri" w:hAnsi="Calibri"/>
                <w:color w:val="000000"/>
                <w:sz w:val="22"/>
              </w:rPr>
              <w:t>15</w:t>
            </w:r>
          </w:p>
        </w:tc>
        <w:tc>
          <w:tcPr>
            <w:tcW w:w="2973" w:type="dxa"/>
            <w:shd w:val="clear" w:color="auto" w:fill="F2F2F2"/>
          </w:tcPr>
          <w:p w:rsidR="00FB160F" w:rsidRPr="00570FB0" w:rsidRDefault="00FB160F" w:rsidP="001C267C">
            <w:pPr>
              <w:jc w:val="center"/>
              <w:rPr>
                <w:rFonts w:ascii="Calibri" w:hAnsi="Calibri"/>
                <w:color w:val="000000"/>
              </w:rPr>
            </w:pPr>
            <w:r w:rsidRPr="00570FB0">
              <w:rPr>
                <w:rFonts w:ascii="Calibri" w:hAnsi="Calibri"/>
                <w:color w:val="000000"/>
                <w:sz w:val="22"/>
              </w:rPr>
              <w:t>0.9%</w:t>
            </w:r>
          </w:p>
        </w:tc>
      </w:tr>
      <w:tr w:rsidR="00FB160F" w:rsidRPr="003652BE" w:rsidTr="001C267C">
        <w:trPr>
          <w:trHeight w:val="307"/>
        </w:trPr>
        <w:tc>
          <w:tcPr>
            <w:tcW w:w="3168" w:type="dxa"/>
          </w:tcPr>
          <w:p w:rsidR="00FB160F" w:rsidRPr="00570FB0" w:rsidRDefault="00FB160F" w:rsidP="001C267C">
            <w:pPr>
              <w:rPr>
                <w:rFonts w:ascii="Calibri" w:hAnsi="Calibri"/>
                <w:b/>
                <w:bCs/>
                <w:color w:val="000000"/>
                <w:vertAlign w:val="superscript"/>
              </w:rPr>
            </w:pPr>
            <w:r w:rsidRPr="00570FB0">
              <w:rPr>
                <w:rFonts w:ascii="Calibri" w:hAnsi="Calibri"/>
                <w:b/>
                <w:bCs/>
                <w:color w:val="000000"/>
                <w:sz w:val="22"/>
              </w:rPr>
              <w:lastRenderedPageBreak/>
              <w:t>Remainder</w:t>
            </w:r>
            <w:r w:rsidRPr="00570FB0">
              <w:rPr>
                <w:rFonts w:ascii="Calibri" w:hAnsi="Calibri"/>
                <w:b/>
                <w:bCs/>
                <w:color w:val="000000"/>
                <w:sz w:val="22"/>
                <w:vertAlign w:val="superscript"/>
              </w:rPr>
              <w:t>2</w:t>
            </w:r>
          </w:p>
        </w:tc>
        <w:tc>
          <w:tcPr>
            <w:tcW w:w="3417" w:type="dxa"/>
          </w:tcPr>
          <w:p w:rsidR="00FB160F" w:rsidRPr="00570FB0" w:rsidRDefault="00FB160F" w:rsidP="001C267C">
            <w:pPr>
              <w:jc w:val="center"/>
              <w:rPr>
                <w:rFonts w:ascii="Calibri" w:hAnsi="Calibri"/>
                <w:color w:val="000000"/>
              </w:rPr>
            </w:pPr>
            <w:r w:rsidRPr="00570FB0">
              <w:rPr>
                <w:rFonts w:ascii="Calibri" w:hAnsi="Calibri"/>
                <w:color w:val="000000"/>
                <w:sz w:val="22"/>
              </w:rPr>
              <w:t>35</w:t>
            </w:r>
          </w:p>
        </w:tc>
        <w:tc>
          <w:tcPr>
            <w:tcW w:w="2973" w:type="dxa"/>
          </w:tcPr>
          <w:p w:rsidR="00FB160F" w:rsidRPr="00570FB0" w:rsidRDefault="00FB160F" w:rsidP="001C267C">
            <w:pPr>
              <w:jc w:val="center"/>
              <w:rPr>
                <w:rFonts w:ascii="Calibri" w:hAnsi="Calibri"/>
                <w:color w:val="000000"/>
              </w:rPr>
            </w:pPr>
            <w:r w:rsidRPr="00570FB0">
              <w:rPr>
                <w:rFonts w:ascii="Calibri" w:hAnsi="Calibri"/>
                <w:color w:val="000000"/>
                <w:sz w:val="22"/>
              </w:rPr>
              <w:t>2.1%</w:t>
            </w:r>
          </w:p>
        </w:tc>
      </w:tr>
      <w:tr w:rsidR="00FB160F" w:rsidRPr="003652BE" w:rsidTr="001C267C">
        <w:trPr>
          <w:trHeight w:val="307"/>
        </w:trPr>
        <w:tc>
          <w:tcPr>
            <w:tcW w:w="3168" w:type="dxa"/>
            <w:shd w:val="clear" w:color="auto" w:fill="F2F2F2"/>
          </w:tcPr>
          <w:p w:rsidR="00FB160F" w:rsidRPr="00570FB0" w:rsidRDefault="00FB160F" w:rsidP="001C267C">
            <w:pPr>
              <w:rPr>
                <w:rFonts w:ascii="Calibri" w:hAnsi="Calibri"/>
                <w:b/>
                <w:bCs/>
                <w:color w:val="000000"/>
              </w:rPr>
            </w:pPr>
            <w:r w:rsidRPr="00570FB0">
              <w:rPr>
                <w:rFonts w:ascii="Calibri" w:hAnsi="Calibri"/>
                <w:b/>
                <w:bCs/>
                <w:color w:val="000000"/>
                <w:sz w:val="22"/>
              </w:rPr>
              <w:t>Summary</w:t>
            </w:r>
          </w:p>
        </w:tc>
        <w:tc>
          <w:tcPr>
            <w:tcW w:w="6390" w:type="dxa"/>
            <w:gridSpan w:val="2"/>
            <w:shd w:val="clear" w:color="auto" w:fill="F2F2F2"/>
            <w:vAlign w:val="center"/>
          </w:tcPr>
          <w:p w:rsidR="00FB160F" w:rsidRPr="00570FB0" w:rsidRDefault="00FB160F" w:rsidP="001C267C">
            <w:pPr>
              <w:rPr>
                <w:rFonts w:ascii="Calibri" w:hAnsi="Calibri"/>
                <w:color w:val="000000"/>
              </w:rPr>
            </w:pPr>
            <w:r w:rsidRPr="00570FB0">
              <w:rPr>
                <w:rFonts w:ascii="Calibri" w:hAnsi="Calibri"/>
                <w:color w:val="000000"/>
                <w:sz w:val="22"/>
              </w:rPr>
              <w:t>Based on observed data</w:t>
            </w:r>
            <w:r>
              <w:rPr>
                <w:rFonts w:ascii="Calibri" w:hAnsi="Calibri"/>
                <w:color w:val="000000"/>
                <w:sz w:val="22"/>
              </w:rPr>
              <w:t xml:space="preserve"> of</w:t>
            </w:r>
            <w:r w:rsidRPr="00570FB0">
              <w:rPr>
                <w:rFonts w:ascii="Calibri" w:hAnsi="Calibri"/>
                <w:color w:val="000000"/>
                <w:sz w:val="22"/>
              </w:rPr>
              <w:t xml:space="preserve"> opioid</w:t>
            </w:r>
            <w:r>
              <w:rPr>
                <w:rFonts w:ascii="Calibri" w:hAnsi="Calibri"/>
                <w:color w:val="000000"/>
                <w:sz w:val="22"/>
              </w:rPr>
              <w:t>-related</w:t>
            </w:r>
            <w:r w:rsidRPr="00570FB0">
              <w:rPr>
                <w:rFonts w:ascii="Calibri" w:hAnsi="Calibri"/>
                <w:color w:val="000000"/>
                <w:sz w:val="22"/>
              </w:rPr>
              <w:t xml:space="preserve"> decedents with toxicology report</w:t>
            </w:r>
            <w:r>
              <w:rPr>
                <w:rFonts w:ascii="Calibri" w:hAnsi="Calibri"/>
                <w:color w:val="000000"/>
                <w:sz w:val="22"/>
              </w:rPr>
              <w:t xml:space="preserve"> findings</w:t>
            </w:r>
            <w:r w:rsidRPr="00570FB0">
              <w:rPr>
                <w:rFonts w:ascii="Calibri" w:hAnsi="Calibri"/>
                <w:color w:val="000000"/>
                <w:sz w:val="22"/>
              </w:rPr>
              <w:t xml:space="preserve"> approximately 83% had illicit or likely illicit substances in their system at time of death</w:t>
            </w:r>
          </w:p>
        </w:tc>
      </w:tr>
    </w:tbl>
    <w:p w:rsidR="00FB160F" w:rsidRPr="00F978E0" w:rsidRDefault="00FB160F" w:rsidP="00FB160F">
      <w:pPr>
        <w:spacing w:before="100" w:beforeAutospacing="1" w:after="120" w:line="276" w:lineRule="auto"/>
        <w:rPr>
          <w:rFonts w:ascii="Calibri" w:hAnsi="Calibri"/>
          <w:sz w:val="18"/>
        </w:rPr>
      </w:pPr>
      <w:r w:rsidRPr="00F978E0">
        <w:rPr>
          <w:rFonts w:ascii="Calibri" w:hAnsi="Calibri"/>
          <w:sz w:val="18"/>
        </w:rPr>
        <w:t xml:space="preserve">1.  Other RX includes: </w:t>
      </w:r>
      <w:r>
        <w:rPr>
          <w:rFonts w:ascii="Calibri" w:hAnsi="Calibri"/>
          <w:sz w:val="18"/>
        </w:rPr>
        <w:t>C</w:t>
      </w:r>
      <w:r w:rsidRPr="00F978E0">
        <w:rPr>
          <w:rFonts w:ascii="Calibri" w:hAnsi="Calibri"/>
          <w:sz w:val="18"/>
        </w:rPr>
        <w:t xml:space="preserve">odeine (without </w:t>
      </w:r>
      <w:r>
        <w:rPr>
          <w:rFonts w:ascii="Calibri" w:hAnsi="Calibri"/>
          <w:sz w:val="18"/>
        </w:rPr>
        <w:t>M</w:t>
      </w:r>
      <w:r w:rsidRPr="00F978E0">
        <w:rPr>
          <w:rFonts w:ascii="Calibri" w:hAnsi="Calibri"/>
          <w:sz w:val="18"/>
        </w:rPr>
        <w:t xml:space="preserve">orphine), </w:t>
      </w:r>
      <w:r>
        <w:rPr>
          <w:rFonts w:ascii="Calibri" w:hAnsi="Calibri"/>
          <w:sz w:val="18"/>
        </w:rPr>
        <w:t>H</w:t>
      </w:r>
      <w:r w:rsidRPr="00F978E0">
        <w:rPr>
          <w:rFonts w:ascii="Calibri" w:hAnsi="Calibri"/>
          <w:sz w:val="18"/>
        </w:rPr>
        <w:t xml:space="preserve">ydrocodone, </w:t>
      </w:r>
      <w:r>
        <w:rPr>
          <w:rFonts w:ascii="Calibri" w:hAnsi="Calibri"/>
          <w:sz w:val="18"/>
        </w:rPr>
        <w:t>H</w:t>
      </w:r>
      <w:r w:rsidRPr="00F978E0">
        <w:rPr>
          <w:rFonts w:ascii="Calibri" w:hAnsi="Calibri"/>
          <w:sz w:val="18"/>
        </w:rPr>
        <w:t xml:space="preserve">ydromorphone, </w:t>
      </w:r>
      <w:r>
        <w:rPr>
          <w:rFonts w:ascii="Calibri" w:hAnsi="Calibri"/>
          <w:sz w:val="18"/>
        </w:rPr>
        <w:t>O</w:t>
      </w:r>
      <w:r w:rsidRPr="00F978E0">
        <w:rPr>
          <w:rFonts w:ascii="Calibri" w:hAnsi="Calibri"/>
          <w:sz w:val="18"/>
        </w:rPr>
        <w:t xml:space="preserve">xycodone, </w:t>
      </w:r>
      <w:r>
        <w:rPr>
          <w:rFonts w:ascii="Calibri" w:hAnsi="Calibri"/>
          <w:sz w:val="18"/>
        </w:rPr>
        <w:t>O</w:t>
      </w:r>
      <w:r w:rsidRPr="00F978E0">
        <w:rPr>
          <w:rFonts w:ascii="Calibri" w:hAnsi="Calibri"/>
          <w:sz w:val="18"/>
        </w:rPr>
        <w:t xml:space="preserve">xymorphone, and </w:t>
      </w:r>
      <w:r>
        <w:rPr>
          <w:rFonts w:ascii="Calibri" w:hAnsi="Calibri"/>
          <w:sz w:val="18"/>
        </w:rPr>
        <w:t>T</w:t>
      </w:r>
      <w:r w:rsidRPr="00F978E0">
        <w:rPr>
          <w:rFonts w:ascii="Calibri" w:hAnsi="Calibri"/>
          <w:sz w:val="18"/>
        </w:rPr>
        <w:t xml:space="preserve">ramadol </w:t>
      </w:r>
      <w:r w:rsidRPr="00F978E0">
        <w:rPr>
          <w:rFonts w:ascii="Calibri" w:hAnsi="Calibri"/>
          <w:sz w:val="18"/>
        </w:rPr>
        <w:br/>
        <w:t xml:space="preserve">2. Remainder includes: toxicology screen only included a non-specific “opiate” test and no specific drugs were mentioned and toxicology screen did not include an opiate </w:t>
      </w:r>
    </w:p>
    <w:p w:rsidR="00FB160F" w:rsidRPr="001B5A84" w:rsidRDefault="00FB160F" w:rsidP="00FB160F">
      <w:pPr>
        <w:spacing w:before="100" w:beforeAutospacing="1" w:after="120" w:line="276" w:lineRule="auto"/>
        <w:rPr>
          <w:rFonts w:ascii="Calibri" w:hAnsi="Calibri"/>
          <w:b/>
          <w:sz w:val="22"/>
          <w:szCs w:val="22"/>
        </w:rPr>
      </w:pPr>
    </w:p>
    <w:tbl>
      <w:tblPr>
        <w:tblW w:w="955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808"/>
        <w:gridCol w:w="3237"/>
        <w:gridCol w:w="3513"/>
      </w:tblGrid>
      <w:tr w:rsidR="00FB160F" w:rsidRPr="003652BE" w:rsidTr="001C267C">
        <w:trPr>
          <w:trHeight w:val="638"/>
        </w:trPr>
        <w:tc>
          <w:tcPr>
            <w:tcW w:w="9558" w:type="dxa"/>
            <w:gridSpan w:val="3"/>
            <w:vAlign w:val="center"/>
          </w:tcPr>
          <w:p w:rsidR="00FB160F" w:rsidRPr="00570FB0" w:rsidRDefault="00301E0D" w:rsidP="001C267C">
            <w:pPr>
              <w:jc w:val="center"/>
              <w:rPr>
                <w:rFonts w:ascii="Calibri" w:hAnsi="Calibri"/>
                <w:b/>
                <w:bCs/>
                <w:color w:val="000000"/>
              </w:rPr>
            </w:pPr>
            <w:r>
              <w:rPr>
                <w:rFonts w:ascii="Calibri" w:hAnsi="Calibri"/>
                <w:b/>
                <w:bCs/>
                <w:sz w:val="22"/>
                <w:szCs w:val="22"/>
              </w:rPr>
              <w:t>Table A</w:t>
            </w:r>
            <w:r w:rsidR="00FB160F" w:rsidRPr="00570FB0">
              <w:rPr>
                <w:rFonts w:ascii="Calibri" w:hAnsi="Calibri"/>
                <w:b/>
                <w:bCs/>
                <w:sz w:val="22"/>
                <w:szCs w:val="22"/>
              </w:rPr>
              <w:t>3c: Contribution of Specific Drugs in Toxicology Reports</w:t>
            </w:r>
            <w:r w:rsidR="0050537B">
              <w:rPr>
                <w:rFonts w:ascii="Calibri" w:hAnsi="Calibri"/>
                <w:b/>
                <w:bCs/>
                <w:sz w:val="22"/>
                <w:szCs w:val="22"/>
              </w:rPr>
              <w:t xml:space="preserve"> (2013-2014)</w:t>
            </w:r>
          </w:p>
        </w:tc>
      </w:tr>
      <w:tr w:rsidR="00FB160F" w:rsidRPr="003652BE" w:rsidTr="001C267C">
        <w:trPr>
          <w:trHeight w:val="638"/>
        </w:trPr>
        <w:tc>
          <w:tcPr>
            <w:tcW w:w="2808" w:type="dxa"/>
            <w:shd w:val="clear" w:color="auto" w:fill="F2F2F2"/>
            <w:vAlign w:val="center"/>
          </w:tcPr>
          <w:p w:rsidR="00FB160F" w:rsidRPr="00570FB0" w:rsidRDefault="00FB160F" w:rsidP="001C267C">
            <w:pPr>
              <w:rPr>
                <w:rFonts w:ascii="Calibri" w:hAnsi="Calibri"/>
                <w:b/>
                <w:bCs/>
                <w:color w:val="000000"/>
              </w:rPr>
            </w:pPr>
            <w:r w:rsidRPr="00570FB0">
              <w:rPr>
                <w:rFonts w:ascii="Calibri" w:hAnsi="Calibri"/>
                <w:b/>
                <w:bCs/>
                <w:color w:val="000000"/>
                <w:sz w:val="22"/>
              </w:rPr>
              <w:t>Contribution of Specific Drugs in Toxicology Reports</w:t>
            </w:r>
          </w:p>
        </w:tc>
        <w:tc>
          <w:tcPr>
            <w:tcW w:w="3237" w:type="dxa"/>
            <w:shd w:val="clear" w:color="auto" w:fill="F2F2F2"/>
            <w:vAlign w:val="center"/>
          </w:tcPr>
          <w:p w:rsidR="00FB160F" w:rsidRPr="00570FB0" w:rsidRDefault="00FB160F" w:rsidP="001C267C">
            <w:pPr>
              <w:jc w:val="center"/>
              <w:rPr>
                <w:rFonts w:ascii="Calibri" w:hAnsi="Calibri"/>
                <w:b/>
                <w:bCs/>
                <w:color w:val="000000"/>
              </w:rPr>
            </w:pPr>
            <w:r w:rsidRPr="00570FB0">
              <w:rPr>
                <w:rFonts w:ascii="Calibri" w:hAnsi="Calibri"/>
                <w:color w:val="000000"/>
                <w:sz w:val="22"/>
              </w:rPr>
              <w:t>Fatal Overdoses</w:t>
            </w:r>
          </w:p>
        </w:tc>
        <w:tc>
          <w:tcPr>
            <w:tcW w:w="3513" w:type="dxa"/>
            <w:shd w:val="clear" w:color="auto" w:fill="F2F2F2"/>
            <w:vAlign w:val="center"/>
          </w:tcPr>
          <w:p w:rsidR="00FB160F" w:rsidRPr="00570FB0" w:rsidRDefault="00FB160F" w:rsidP="001C267C">
            <w:pPr>
              <w:jc w:val="center"/>
              <w:rPr>
                <w:rFonts w:ascii="Calibri" w:hAnsi="Calibri"/>
                <w:b/>
                <w:bCs/>
                <w:color w:val="000000"/>
                <w:vertAlign w:val="superscript"/>
              </w:rPr>
            </w:pPr>
            <w:r w:rsidRPr="00570FB0">
              <w:rPr>
                <w:rFonts w:ascii="Calibri" w:hAnsi="Calibri"/>
                <w:color w:val="000000"/>
                <w:sz w:val="22"/>
              </w:rPr>
              <w:t>Percent of Fatal Overdoses</w:t>
            </w:r>
            <w:r w:rsidRPr="00570FB0">
              <w:rPr>
                <w:rFonts w:ascii="Calibri" w:hAnsi="Calibri"/>
                <w:color w:val="000000"/>
                <w:sz w:val="22"/>
                <w:vertAlign w:val="superscript"/>
              </w:rPr>
              <w:t>2</w:t>
            </w:r>
          </w:p>
        </w:tc>
      </w:tr>
      <w:tr w:rsidR="00FB160F" w:rsidRPr="003652BE" w:rsidTr="001C267C">
        <w:trPr>
          <w:trHeight w:val="300"/>
        </w:trPr>
        <w:tc>
          <w:tcPr>
            <w:tcW w:w="2808" w:type="dxa"/>
          </w:tcPr>
          <w:p w:rsidR="00FB160F" w:rsidRPr="00570FB0" w:rsidRDefault="00FB160F" w:rsidP="001C267C">
            <w:pPr>
              <w:rPr>
                <w:rFonts w:ascii="Calibri" w:hAnsi="Calibri"/>
                <w:b/>
                <w:bCs/>
                <w:color w:val="000000"/>
              </w:rPr>
            </w:pPr>
            <w:r w:rsidRPr="00570FB0">
              <w:rPr>
                <w:rFonts w:ascii="Calibri" w:hAnsi="Calibri"/>
                <w:b/>
                <w:bCs/>
                <w:color w:val="000000"/>
                <w:sz w:val="22"/>
              </w:rPr>
              <w:t xml:space="preserve">Fentanyl </w:t>
            </w:r>
          </w:p>
        </w:tc>
        <w:tc>
          <w:tcPr>
            <w:tcW w:w="3237" w:type="dxa"/>
          </w:tcPr>
          <w:p w:rsidR="00FB160F" w:rsidRPr="00570FB0" w:rsidRDefault="00FB160F" w:rsidP="001C267C">
            <w:pPr>
              <w:jc w:val="center"/>
              <w:rPr>
                <w:rFonts w:ascii="Calibri" w:hAnsi="Calibri"/>
                <w:color w:val="000000"/>
              </w:rPr>
            </w:pPr>
            <w:r w:rsidRPr="00570FB0">
              <w:rPr>
                <w:rFonts w:ascii="Calibri" w:hAnsi="Calibri"/>
                <w:color w:val="000000"/>
                <w:sz w:val="22"/>
              </w:rPr>
              <w:t>537</w:t>
            </w:r>
          </w:p>
        </w:tc>
        <w:tc>
          <w:tcPr>
            <w:tcW w:w="3513" w:type="dxa"/>
          </w:tcPr>
          <w:p w:rsidR="00FB160F" w:rsidRPr="00570FB0" w:rsidRDefault="00FB160F" w:rsidP="001C267C">
            <w:pPr>
              <w:jc w:val="center"/>
              <w:rPr>
                <w:rFonts w:ascii="Calibri" w:hAnsi="Calibri"/>
                <w:color w:val="000000"/>
              </w:rPr>
            </w:pPr>
            <w:r w:rsidRPr="00570FB0">
              <w:rPr>
                <w:rFonts w:ascii="Calibri" w:hAnsi="Calibri"/>
                <w:color w:val="000000"/>
                <w:sz w:val="22"/>
              </w:rPr>
              <w:t>31.7%</w:t>
            </w:r>
          </w:p>
        </w:tc>
      </w:tr>
      <w:tr w:rsidR="00FB160F" w:rsidRPr="003652BE" w:rsidTr="001C267C">
        <w:trPr>
          <w:trHeight w:val="300"/>
        </w:trPr>
        <w:tc>
          <w:tcPr>
            <w:tcW w:w="2808" w:type="dxa"/>
            <w:shd w:val="clear" w:color="auto" w:fill="F2F2F2"/>
          </w:tcPr>
          <w:p w:rsidR="00FB160F" w:rsidRPr="00570FB0" w:rsidRDefault="00FB160F" w:rsidP="001C267C">
            <w:pPr>
              <w:rPr>
                <w:rFonts w:ascii="Calibri" w:hAnsi="Calibri"/>
                <w:b/>
                <w:bCs/>
                <w:color w:val="000000"/>
              </w:rPr>
            </w:pPr>
            <w:r w:rsidRPr="00570FB0">
              <w:rPr>
                <w:rFonts w:ascii="Calibri" w:hAnsi="Calibri"/>
                <w:b/>
                <w:bCs/>
                <w:color w:val="000000"/>
                <w:sz w:val="22"/>
              </w:rPr>
              <w:t xml:space="preserve">Definite Heroin </w:t>
            </w:r>
          </w:p>
        </w:tc>
        <w:tc>
          <w:tcPr>
            <w:tcW w:w="3237" w:type="dxa"/>
            <w:shd w:val="clear" w:color="auto" w:fill="F2F2F2"/>
          </w:tcPr>
          <w:p w:rsidR="00FB160F" w:rsidRPr="00570FB0" w:rsidRDefault="00FB160F" w:rsidP="001C267C">
            <w:pPr>
              <w:jc w:val="center"/>
              <w:rPr>
                <w:rFonts w:ascii="Calibri" w:hAnsi="Calibri"/>
                <w:color w:val="000000"/>
              </w:rPr>
            </w:pPr>
            <w:r w:rsidRPr="00570FB0">
              <w:rPr>
                <w:rFonts w:ascii="Calibri" w:hAnsi="Calibri"/>
                <w:color w:val="000000"/>
                <w:sz w:val="22"/>
              </w:rPr>
              <w:t>713</w:t>
            </w:r>
          </w:p>
        </w:tc>
        <w:tc>
          <w:tcPr>
            <w:tcW w:w="3513" w:type="dxa"/>
            <w:shd w:val="clear" w:color="auto" w:fill="F2F2F2"/>
          </w:tcPr>
          <w:p w:rsidR="00FB160F" w:rsidRPr="00570FB0" w:rsidRDefault="00FB160F" w:rsidP="001C267C">
            <w:pPr>
              <w:jc w:val="center"/>
              <w:rPr>
                <w:rFonts w:ascii="Calibri" w:hAnsi="Calibri"/>
                <w:color w:val="000000"/>
              </w:rPr>
            </w:pPr>
            <w:r w:rsidRPr="00570FB0">
              <w:rPr>
                <w:rFonts w:ascii="Calibri" w:hAnsi="Calibri"/>
                <w:color w:val="000000"/>
                <w:sz w:val="22"/>
              </w:rPr>
              <w:t>42.1%</w:t>
            </w:r>
          </w:p>
        </w:tc>
      </w:tr>
      <w:tr w:rsidR="00FB160F" w:rsidRPr="003652BE" w:rsidTr="001C267C">
        <w:trPr>
          <w:trHeight w:val="300"/>
        </w:trPr>
        <w:tc>
          <w:tcPr>
            <w:tcW w:w="2808" w:type="dxa"/>
          </w:tcPr>
          <w:p w:rsidR="00FB160F" w:rsidRPr="00570FB0" w:rsidRDefault="00FB160F" w:rsidP="001C267C">
            <w:pPr>
              <w:rPr>
                <w:rFonts w:ascii="Calibri" w:hAnsi="Calibri"/>
                <w:b/>
                <w:bCs/>
                <w:color w:val="000000"/>
              </w:rPr>
            </w:pPr>
            <w:r w:rsidRPr="00570FB0">
              <w:rPr>
                <w:rFonts w:ascii="Calibri" w:hAnsi="Calibri"/>
                <w:b/>
                <w:bCs/>
                <w:color w:val="000000"/>
                <w:sz w:val="22"/>
              </w:rPr>
              <w:t xml:space="preserve">Likely Heroin </w:t>
            </w:r>
          </w:p>
        </w:tc>
        <w:tc>
          <w:tcPr>
            <w:tcW w:w="3237" w:type="dxa"/>
          </w:tcPr>
          <w:p w:rsidR="00FB160F" w:rsidRPr="00570FB0" w:rsidRDefault="00FB160F" w:rsidP="001C267C">
            <w:pPr>
              <w:jc w:val="center"/>
              <w:rPr>
                <w:rFonts w:ascii="Calibri" w:hAnsi="Calibri"/>
                <w:color w:val="000000"/>
              </w:rPr>
            </w:pPr>
            <w:r w:rsidRPr="00570FB0">
              <w:rPr>
                <w:rFonts w:ascii="Calibri" w:hAnsi="Calibri"/>
                <w:color w:val="000000"/>
                <w:sz w:val="22"/>
              </w:rPr>
              <w:t>772</w:t>
            </w:r>
          </w:p>
        </w:tc>
        <w:tc>
          <w:tcPr>
            <w:tcW w:w="3513" w:type="dxa"/>
          </w:tcPr>
          <w:p w:rsidR="00FB160F" w:rsidRPr="00570FB0" w:rsidRDefault="00FB160F" w:rsidP="001C267C">
            <w:pPr>
              <w:jc w:val="center"/>
              <w:rPr>
                <w:rFonts w:ascii="Calibri" w:hAnsi="Calibri"/>
                <w:color w:val="000000"/>
              </w:rPr>
            </w:pPr>
            <w:r w:rsidRPr="00570FB0">
              <w:rPr>
                <w:rFonts w:ascii="Calibri" w:hAnsi="Calibri"/>
                <w:color w:val="000000"/>
                <w:sz w:val="22"/>
              </w:rPr>
              <w:t>45.6%</w:t>
            </w:r>
          </w:p>
        </w:tc>
      </w:tr>
      <w:tr w:rsidR="00FB160F" w:rsidRPr="003652BE" w:rsidTr="001C267C">
        <w:trPr>
          <w:trHeight w:val="300"/>
        </w:trPr>
        <w:tc>
          <w:tcPr>
            <w:tcW w:w="2808" w:type="dxa"/>
            <w:shd w:val="clear" w:color="auto" w:fill="F2F2F2"/>
          </w:tcPr>
          <w:p w:rsidR="00FB160F" w:rsidRPr="00570FB0" w:rsidRDefault="00FB160F" w:rsidP="001C267C">
            <w:pPr>
              <w:rPr>
                <w:rFonts w:ascii="Calibri" w:hAnsi="Calibri"/>
                <w:b/>
                <w:bCs/>
                <w:color w:val="000000"/>
              </w:rPr>
            </w:pPr>
            <w:r w:rsidRPr="00570FB0">
              <w:rPr>
                <w:rFonts w:ascii="Calibri" w:hAnsi="Calibri"/>
                <w:b/>
                <w:bCs/>
                <w:color w:val="000000"/>
                <w:sz w:val="22"/>
              </w:rPr>
              <w:t xml:space="preserve">Methadone </w:t>
            </w:r>
          </w:p>
        </w:tc>
        <w:tc>
          <w:tcPr>
            <w:tcW w:w="3237" w:type="dxa"/>
            <w:shd w:val="clear" w:color="auto" w:fill="F2F2F2"/>
          </w:tcPr>
          <w:p w:rsidR="00FB160F" w:rsidRPr="00570FB0" w:rsidRDefault="00FB160F" w:rsidP="001C267C">
            <w:pPr>
              <w:jc w:val="center"/>
              <w:rPr>
                <w:rFonts w:ascii="Calibri" w:hAnsi="Calibri"/>
                <w:color w:val="000000"/>
              </w:rPr>
            </w:pPr>
            <w:r w:rsidRPr="00570FB0">
              <w:rPr>
                <w:rFonts w:ascii="Calibri" w:hAnsi="Calibri"/>
                <w:color w:val="000000"/>
                <w:sz w:val="22"/>
              </w:rPr>
              <w:t>138</w:t>
            </w:r>
          </w:p>
        </w:tc>
        <w:tc>
          <w:tcPr>
            <w:tcW w:w="3513" w:type="dxa"/>
            <w:shd w:val="clear" w:color="auto" w:fill="F2F2F2"/>
          </w:tcPr>
          <w:p w:rsidR="00FB160F" w:rsidRPr="00570FB0" w:rsidRDefault="00FB160F" w:rsidP="001C267C">
            <w:pPr>
              <w:jc w:val="center"/>
              <w:rPr>
                <w:rFonts w:ascii="Calibri" w:hAnsi="Calibri"/>
                <w:color w:val="000000"/>
              </w:rPr>
            </w:pPr>
            <w:r>
              <w:rPr>
                <w:rFonts w:ascii="Calibri" w:hAnsi="Calibri"/>
                <w:color w:val="000000"/>
                <w:sz w:val="22"/>
              </w:rPr>
              <w:t>8.2</w:t>
            </w:r>
            <w:r w:rsidRPr="00570FB0">
              <w:rPr>
                <w:rFonts w:ascii="Calibri" w:hAnsi="Calibri"/>
                <w:color w:val="000000"/>
                <w:sz w:val="22"/>
              </w:rPr>
              <w:t>%</w:t>
            </w:r>
          </w:p>
        </w:tc>
      </w:tr>
      <w:tr w:rsidR="00FB160F" w:rsidRPr="003652BE" w:rsidTr="001C267C">
        <w:trPr>
          <w:trHeight w:val="300"/>
        </w:trPr>
        <w:tc>
          <w:tcPr>
            <w:tcW w:w="2808" w:type="dxa"/>
          </w:tcPr>
          <w:p w:rsidR="00FB160F" w:rsidRPr="00570FB0" w:rsidRDefault="00FB160F" w:rsidP="001C267C">
            <w:pPr>
              <w:rPr>
                <w:rFonts w:ascii="Calibri" w:hAnsi="Calibri"/>
                <w:b/>
                <w:bCs/>
                <w:color w:val="000000"/>
                <w:vertAlign w:val="superscript"/>
              </w:rPr>
            </w:pPr>
            <w:r w:rsidRPr="00570FB0">
              <w:rPr>
                <w:rFonts w:ascii="Calibri" w:hAnsi="Calibri"/>
                <w:b/>
                <w:bCs/>
                <w:color w:val="000000"/>
                <w:sz w:val="22"/>
              </w:rPr>
              <w:t>Other RX</w:t>
            </w:r>
            <w:r w:rsidRPr="00570FB0">
              <w:rPr>
                <w:rFonts w:ascii="Calibri" w:hAnsi="Calibri"/>
                <w:b/>
                <w:bCs/>
                <w:color w:val="000000"/>
                <w:sz w:val="22"/>
                <w:vertAlign w:val="superscript"/>
              </w:rPr>
              <w:t>1</w:t>
            </w:r>
          </w:p>
        </w:tc>
        <w:tc>
          <w:tcPr>
            <w:tcW w:w="3237" w:type="dxa"/>
          </w:tcPr>
          <w:p w:rsidR="00FB160F" w:rsidRPr="00570FB0" w:rsidRDefault="00FB160F" w:rsidP="001C267C">
            <w:pPr>
              <w:jc w:val="center"/>
              <w:rPr>
                <w:rFonts w:ascii="Calibri" w:hAnsi="Calibri"/>
                <w:color w:val="000000"/>
              </w:rPr>
            </w:pPr>
            <w:r w:rsidRPr="00570FB0">
              <w:rPr>
                <w:rFonts w:ascii="Calibri" w:hAnsi="Calibri"/>
                <w:color w:val="000000"/>
                <w:sz w:val="22"/>
              </w:rPr>
              <w:t>358</w:t>
            </w:r>
          </w:p>
        </w:tc>
        <w:tc>
          <w:tcPr>
            <w:tcW w:w="3513" w:type="dxa"/>
          </w:tcPr>
          <w:p w:rsidR="00FB160F" w:rsidRPr="00570FB0" w:rsidRDefault="00FB160F" w:rsidP="001C267C">
            <w:pPr>
              <w:jc w:val="center"/>
              <w:rPr>
                <w:rFonts w:ascii="Calibri" w:hAnsi="Calibri"/>
                <w:color w:val="000000"/>
              </w:rPr>
            </w:pPr>
            <w:r w:rsidRPr="00570FB0">
              <w:rPr>
                <w:rFonts w:ascii="Calibri" w:hAnsi="Calibri"/>
                <w:color w:val="000000"/>
                <w:sz w:val="22"/>
              </w:rPr>
              <w:t>2</w:t>
            </w:r>
            <w:r>
              <w:rPr>
                <w:rFonts w:ascii="Calibri" w:hAnsi="Calibri"/>
                <w:color w:val="000000"/>
                <w:sz w:val="22"/>
              </w:rPr>
              <w:t>1.2</w:t>
            </w:r>
            <w:r w:rsidRPr="00570FB0">
              <w:rPr>
                <w:rFonts w:ascii="Calibri" w:hAnsi="Calibri"/>
                <w:color w:val="000000"/>
                <w:sz w:val="22"/>
              </w:rPr>
              <w:t>%</w:t>
            </w:r>
          </w:p>
        </w:tc>
      </w:tr>
      <w:tr w:rsidR="00FB160F" w:rsidRPr="003652BE" w:rsidTr="001C267C">
        <w:trPr>
          <w:trHeight w:val="300"/>
        </w:trPr>
        <w:tc>
          <w:tcPr>
            <w:tcW w:w="2808" w:type="dxa"/>
            <w:shd w:val="clear" w:color="auto" w:fill="F2F2F2"/>
          </w:tcPr>
          <w:p w:rsidR="00FB160F" w:rsidRPr="00570FB0" w:rsidRDefault="00FB160F" w:rsidP="001C267C">
            <w:pPr>
              <w:rPr>
                <w:rFonts w:ascii="Calibri" w:hAnsi="Calibri"/>
                <w:b/>
                <w:bCs/>
                <w:color w:val="000000"/>
              </w:rPr>
            </w:pPr>
            <w:r w:rsidRPr="00570FB0">
              <w:rPr>
                <w:rFonts w:ascii="Calibri" w:hAnsi="Calibri"/>
                <w:b/>
                <w:bCs/>
                <w:color w:val="000000"/>
                <w:sz w:val="22"/>
              </w:rPr>
              <w:t>Buprenorphine</w:t>
            </w:r>
          </w:p>
        </w:tc>
        <w:tc>
          <w:tcPr>
            <w:tcW w:w="3237" w:type="dxa"/>
            <w:shd w:val="clear" w:color="auto" w:fill="F2F2F2"/>
          </w:tcPr>
          <w:p w:rsidR="00FB160F" w:rsidRPr="00570FB0" w:rsidRDefault="00FB160F" w:rsidP="001C267C">
            <w:pPr>
              <w:jc w:val="center"/>
              <w:rPr>
                <w:rFonts w:ascii="Calibri" w:hAnsi="Calibri"/>
                <w:color w:val="000000"/>
              </w:rPr>
            </w:pPr>
            <w:r w:rsidRPr="00570FB0">
              <w:rPr>
                <w:rFonts w:ascii="Calibri" w:hAnsi="Calibri"/>
                <w:color w:val="000000"/>
                <w:sz w:val="22"/>
              </w:rPr>
              <w:t>122</w:t>
            </w:r>
          </w:p>
        </w:tc>
        <w:tc>
          <w:tcPr>
            <w:tcW w:w="3513" w:type="dxa"/>
            <w:shd w:val="clear" w:color="auto" w:fill="F2F2F2"/>
          </w:tcPr>
          <w:p w:rsidR="00FB160F" w:rsidRPr="00570FB0" w:rsidRDefault="00FB160F" w:rsidP="001C267C">
            <w:pPr>
              <w:jc w:val="center"/>
              <w:rPr>
                <w:rFonts w:ascii="Calibri" w:hAnsi="Calibri"/>
                <w:color w:val="000000"/>
              </w:rPr>
            </w:pPr>
            <w:r w:rsidRPr="00570FB0">
              <w:rPr>
                <w:rFonts w:ascii="Calibri" w:hAnsi="Calibri"/>
                <w:color w:val="000000"/>
                <w:sz w:val="22"/>
              </w:rPr>
              <w:t>7.2%</w:t>
            </w:r>
          </w:p>
        </w:tc>
      </w:tr>
      <w:tr w:rsidR="00FB160F" w:rsidRPr="003652BE" w:rsidTr="001C267C">
        <w:trPr>
          <w:trHeight w:val="300"/>
        </w:trPr>
        <w:tc>
          <w:tcPr>
            <w:tcW w:w="2808" w:type="dxa"/>
          </w:tcPr>
          <w:p w:rsidR="00FB160F" w:rsidRPr="00570FB0" w:rsidRDefault="00FB160F" w:rsidP="001C267C">
            <w:pPr>
              <w:rPr>
                <w:rFonts w:ascii="Calibri" w:hAnsi="Calibri"/>
                <w:b/>
                <w:bCs/>
                <w:color w:val="000000"/>
              </w:rPr>
            </w:pPr>
            <w:r w:rsidRPr="00570FB0">
              <w:rPr>
                <w:rFonts w:ascii="Calibri" w:hAnsi="Calibri"/>
                <w:b/>
                <w:bCs/>
                <w:color w:val="000000"/>
                <w:sz w:val="22"/>
              </w:rPr>
              <w:t>Summary</w:t>
            </w:r>
          </w:p>
        </w:tc>
        <w:tc>
          <w:tcPr>
            <w:tcW w:w="6750" w:type="dxa"/>
            <w:gridSpan w:val="2"/>
          </w:tcPr>
          <w:p w:rsidR="00FB160F" w:rsidRPr="00570FB0" w:rsidRDefault="00FB160F" w:rsidP="001C267C">
            <w:pPr>
              <w:rPr>
                <w:rFonts w:ascii="Calibri" w:hAnsi="Calibri"/>
                <w:color w:val="000000"/>
              </w:rPr>
            </w:pPr>
            <w:r w:rsidRPr="00570FB0">
              <w:rPr>
                <w:rFonts w:ascii="Calibri" w:hAnsi="Calibri"/>
                <w:color w:val="000000"/>
                <w:sz w:val="22"/>
              </w:rPr>
              <w:t>Based on observed data, opioid</w:t>
            </w:r>
            <w:r>
              <w:rPr>
                <w:rFonts w:ascii="Calibri" w:hAnsi="Calibri"/>
                <w:color w:val="000000"/>
                <w:sz w:val="22"/>
              </w:rPr>
              <w:t>-related</w:t>
            </w:r>
            <w:r w:rsidRPr="00570FB0">
              <w:rPr>
                <w:rFonts w:ascii="Calibri" w:hAnsi="Calibri"/>
                <w:color w:val="000000"/>
                <w:sz w:val="22"/>
              </w:rPr>
              <w:t xml:space="preserve"> decedents with toxicology reports, this table agrees with Table 3b in that greater proportions of opioid-related deaths contain illicit or likely illicit substances even after relaxing the mutual exclusivity constraint.</w:t>
            </w:r>
          </w:p>
        </w:tc>
      </w:tr>
    </w:tbl>
    <w:p w:rsidR="00FB160F" w:rsidRPr="001642C2" w:rsidRDefault="00FB160F" w:rsidP="00FB160F">
      <w:pPr>
        <w:spacing w:before="100" w:beforeAutospacing="1" w:after="120" w:line="276" w:lineRule="auto"/>
        <w:rPr>
          <w:rFonts w:ascii="Calibri" w:hAnsi="Calibri"/>
          <w:sz w:val="18"/>
        </w:rPr>
      </w:pPr>
      <w:r w:rsidRPr="001642C2">
        <w:rPr>
          <w:rFonts w:ascii="Calibri" w:hAnsi="Calibri"/>
          <w:sz w:val="18"/>
        </w:rPr>
        <w:t xml:space="preserve">1. Other RX includes: </w:t>
      </w:r>
      <w:r>
        <w:rPr>
          <w:rFonts w:ascii="Calibri" w:hAnsi="Calibri"/>
          <w:sz w:val="18"/>
        </w:rPr>
        <w:t>codeine</w:t>
      </w:r>
      <w:r w:rsidRPr="001642C2">
        <w:rPr>
          <w:rFonts w:ascii="Calibri" w:hAnsi="Calibri"/>
          <w:sz w:val="18"/>
        </w:rPr>
        <w:t xml:space="preserve"> (without </w:t>
      </w:r>
      <w:r>
        <w:rPr>
          <w:rFonts w:ascii="Calibri" w:hAnsi="Calibri"/>
          <w:sz w:val="18"/>
        </w:rPr>
        <w:t>morphine</w:t>
      </w:r>
      <w:r w:rsidRPr="001642C2">
        <w:rPr>
          <w:rFonts w:ascii="Calibri" w:hAnsi="Calibri"/>
          <w:sz w:val="18"/>
        </w:rPr>
        <w:t xml:space="preserve">), </w:t>
      </w:r>
      <w:r>
        <w:rPr>
          <w:rFonts w:ascii="Calibri" w:hAnsi="Calibri"/>
          <w:sz w:val="18"/>
        </w:rPr>
        <w:t>H</w:t>
      </w:r>
      <w:r w:rsidRPr="001642C2">
        <w:rPr>
          <w:rFonts w:ascii="Calibri" w:hAnsi="Calibri"/>
          <w:sz w:val="18"/>
        </w:rPr>
        <w:t xml:space="preserve">ydrocodone, </w:t>
      </w:r>
      <w:r>
        <w:rPr>
          <w:rFonts w:ascii="Calibri" w:hAnsi="Calibri"/>
          <w:sz w:val="18"/>
        </w:rPr>
        <w:t>H</w:t>
      </w:r>
      <w:r w:rsidRPr="001642C2">
        <w:rPr>
          <w:rFonts w:ascii="Calibri" w:hAnsi="Calibri"/>
          <w:sz w:val="18"/>
        </w:rPr>
        <w:t xml:space="preserve">ydromorphone, </w:t>
      </w:r>
      <w:r>
        <w:rPr>
          <w:rFonts w:ascii="Calibri" w:hAnsi="Calibri"/>
          <w:sz w:val="18"/>
        </w:rPr>
        <w:t>Oxycodone</w:t>
      </w:r>
      <w:r w:rsidRPr="001642C2">
        <w:rPr>
          <w:rFonts w:ascii="Calibri" w:hAnsi="Calibri"/>
          <w:sz w:val="18"/>
        </w:rPr>
        <w:t xml:space="preserve">, </w:t>
      </w:r>
      <w:r>
        <w:rPr>
          <w:rFonts w:ascii="Calibri" w:hAnsi="Calibri"/>
          <w:sz w:val="18"/>
        </w:rPr>
        <w:t>O</w:t>
      </w:r>
      <w:r w:rsidRPr="001642C2">
        <w:rPr>
          <w:rFonts w:ascii="Calibri" w:hAnsi="Calibri"/>
          <w:sz w:val="18"/>
        </w:rPr>
        <w:t xml:space="preserve">xymorphone, and </w:t>
      </w:r>
      <w:r>
        <w:rPr>
          <w:rFonts w:ascii="Calibri" w:hAnsi="Calibri"/>
          <w:sz w:val="18"/>
        </w:rPr>
        <w:t>Tramadol</w:t>
      </w:r>
      <w:r w:rsidRPr="001642C2">
        <w:rPr>
          <w:rFonts w:ascii="Calibri" w:hAnsi="Calibri"/>
          <w:sz w:val="18"/>
        </w:rPr>
        <w:br/>
        <w:t>2. These are not mutually exclusive categories so this column adds to more than 100%</w:t>
      </w:r>
    </w:p>
    <w:p w:rsidR="00FB160F" w:rsidRDefault="00FB160F" w:rsidP="00FB160F">
      <w:pPr>
        <w:spacing w:after="120" w:line="276" w:lineRule="auto"/>
        <w:rPr>
          <w:rFonts w:ascii="Calibri" w:hAnsi="Calibri"/>
          <w:b/>
          <w:sz w:val="22"/>
          <w:szCs w:val="22"/>
        </w:rPr>
      </w:pPr>
    </w:p>
    <w:p w:rsidR="00FB160F" w:rsidRDefault="00FB160F" w:rsidP="00FB160F">
      <w:pPr>
        <w:spacing w:after="120" w:line="276" w:lineRule="auto"/>
        <w:rPr>
          <w:rFonts w:ascii="Calibri" w:hAnsi="Calibri"/>
          <w:sz w:val="22"/>
          <w:szCs w:val="22"/>
        </w:rPr>
      </w:pPr>
      <w:r>
        <w:rPr>
          <w:rFonts w:ascii="Calibri" w:hAnsi="Calibri"/>
          <w:b/>
          <w:sz w:val="22"/>
          <w:szCs w:val="22"/>
        </w:rPr>
        <w:t xml:space="preserve">Discussion: </w:t>
      </w:r>
      <w:r>
        <w:rPr>
          <w:rFonts w:ascii="Calibri" w:hAnsi="Calibri"/>
          <w:sz w:val="22"/>
          <w:szCs w:val="22"/>
        </w:rPr>
        <w:t>These three tables are used to estimate the proportion of opioid-related fatal overdoses that are attributable to prescriptions</w:t>
      </w:r>
      <w:r w:rsidR="00301E0D">
        <w:rPr>
          <w:rFonts w:ascii="Calibri" w:hAnsi="Calibri"/>
          <w:sz w:val="22"/>
          <w:szCs w:val="22"/>
        </w:rPr>
        <w:t>.  Table A</w:t>
      </w:r>
      <w:r>
        <w:rPr>
          <w:rFonts w:ascii="Calibri" w:hAnsi="Calibri"/>
          <w:sz w:val="22"/>
          <w:szCs w:val="22"/>
        </w:rPr>
        <w:t xml:space="preserve">3a examines prescription history in the same month of death as a way to infer if the decedent had “legal access to opioids” at time of death.  </w:t>
      </w:r>
      <w:r w:rsidR="00301E0D">
        <w:rPr>
          <w:rFonts w:ascii="Calibri" w:hAnsi="Calibri"/>
          <w:sz w:val="22"/>
          <w:szCs w:val="22"/>
        </w:rPr>
        <w:t>Table A</w:t>
      </w:r>
      <w:r>
        <w:rPr>
          <w:rFonts w:ascii="Calibri" w:hAnsi="Calibri"/>
          <w:sz w:val="22"/>
          <w:szCs w:val="22"/>
        </w:rPr>
        <w:t xml:space="preserve">3b notes chemicals found in toxicology screen and </w:t>
      </w:r>
      <w:r w:rsidRPr="001B5A84">
        <w:rPr>
          <w:rFonts w:ascii="Calibri" w:hAnsi="Calibri"/>
          <w:sz w:val="22"/>
          <w:szCs w:val="22"/>
        </w:rPr>
        <w:t>is presented in decreasing order of deadliness of the specific drugs</w:t>
      </w:r>
      <w:r>
        <w:rPr>
          <w:rStyle w:val="FootnoteReference"/>
          <w:szCs w:val="22"/>
        </w:rPr>
        <w:footnoteReference w:id="42"/>
      </w:r>
      <w:r w:rsidRPr="001B5A84">
        <w:rPr>
          <w:rFonts w:ascii="Calibri" w:hAnsi="Calibri"/>
          <w:sz w:val="22"/>
          <w:szCs w:val="22"/>
        </w:rPr>
        <w:t xml:space="preserve"> (Fentanyl</w:t>
      </w:r>
      <w:r>
        <w:rPr>
          <w:rFonts w:ascii="Calibri" w:hAnsi="Calibri"/>
          <w:sz w:val="22"/>
          <w:szCs w:val="22"/>
        </w:rPr>
        <w:t xml:space="preserve"> and/or Heroin</w:t>
      </w:r>
      <w:r w:rsidR="000750F1">
        <w:rPr>
          <w:rFonts w:ascii="Calibri" w:hAnsi="Calibri"/>
          <w:sz w:val="22"/>
          <w:szCs w:val="22"/>
        </w:rPr>
        <w:t xml:space="preserve"> </w:t>
      </w:r>
      <w:r>
        <w:rPr>
          <w:rFonts w:ascii="Calibri" w:hAnsi="Calibri"/>
          <w:sz w:val="22"/>
          <w:szCs w:val="22"/>
        </w:rPr>
        <w:t>&gt;</w:t>
      </w:r>
      <w:r w:rsidR="000750F1">
        <w:rPr>
          <w:rFonts w:ascii="Calibri" w:hAnsi="Calibri"/>
          <w:sz w:val="22"/>
          <w:szCs w:val="22"/>
        </w:rPr>
        <w:t xml:space="preserve"> </w:t>
      </w:r>
      <w:r w:rsidR="00667C4C">
        <w:rPr>
          <w:rFonts w:ascii="Calibri" w:hAnsi="Calibri"/>
          <w:sz w:val="22"/>
          <w:szCs w:val="22"/>
        </w:rPr>
        <w:t>methadone</w:t>
      </w:r>
      <w:r w:rsidR="000750F1">
        <w:rPr>
          <w:rFonts w:ascii="Calibri" w:hAnsi="Calibri"/>
          <w:sz w:val="22"/>
          <w:szCs w:val="22"/>
        </w:rPr>
        <w:t xml:space="preserve"> </w:t>
      </w:r>
      <w:r>
        <w:rPr>
          <w:rFonts w:ascii="Calibri" w:hAnsi="Calibri"/>
          <w:sz w:val="22"/>
          <w:szCs w:val="22"/>
        </w:rPr>
        <w:t>&gt;</w:t>
      </w:r>
      <w:r w:rsidR="000750F1">
        <w:rPr>
          <w:rFonts w:ascii="Calibri" w:hAnsi="Calibri"/>
          <w:sz w:val="22"/>
          <w:szCs w:val="22"/>
        </w:rPr>
        <w:t xml:space="preserve"> o</w:t>
      </w:r>
      <w:r>
        <w:rPr>
          <w:rFonts w:ascii="Calibri" w:hAnsi="Calibri"/>
          <w:sz w:val="22"/>
          <w:szCs w:val="22"/>
        </w:rPr>
        <w:t xml:space="preserve">ther </w:t>
      </w:r>
      <w:r w:rsidR="00BA3381">
        <w:rPr>
          <w:rFonts w:ascii="Calibri" w:hAnsi="Calibri"/>
          <w:sz w:val="22"/>
          <w:szCs w:val="22"/>
        </w:rPr>
        <w:t>Rx</w:t>
      </w:r>
      <w:r w:rsidR="000750F1">
        <w:rPr>
          <w:rFonts w:ascii="Calibri" w:hAnsi="Calibri"/>
          <w:sz w:val="22"/>
          <w:szCs w:val="22"/>
        </w:rPr>
        <w:t xml:space="preserve"> </w:t>
      </w:r>
      <w:r w:rsidRPr="001B5A84">
        <w:rPr>
          <w:rFonts w:ascii="Calibri" w:hAnsi="Calibri"/>
          <w:sz w:val="22"/>
          <w:szCs w:val="22"/>
        </w:rPr>
        <w:t>&gt;</w:t>
      </w:r>
      <w:r w:rsidR="000750F1">
        <w:rPr>
          <w:rFonts w:ascii="Calibri" w:hAnsi="Calibri"/>
          <w:sz w:val="22"/>
          <w:szCs w:val="22"/>
        </w:rPr>
        <w:t xml:space="preserve"> </w:t>
      </w:r>
      <w:r w:rsidR="00667C4C">
        <w:rPr>
          <w:rFonts w:ascii="Calibri" w:hAnsi="Calibri"/>
          <w:sz w:val="22"/>
          <w:szCs w:val="22"/>
        </w:rPr>
        <w:t>bup</w:t>
      </w:r>
      <w:r w:rsidRPr="001B5A84">
        <w:rPr>
          <w:rFonts w:ascii="Calibri" w:hAnsi="Calibri"/>
          <w:sz w:val="22"/>
          <w:szCs w:val="22"/>
        </w:rPr>
        <w:t>renorphine) present in the results.  A person was put into a category based on the most deadly drug present in the results, regardless of the presence of other drugs</w:t>
      </w:r>
      <w:r w:rsidR="00301E0D">
        <w:rPr>
          <w:rFonts w:ascii="Calibri" w:hAnsi="Calibri"/>
          <w:sz w:val="22"/>
          <w:szCs w:val="22"/>
        </w:rPr>
        <w:t>.  F</w:t>
      </w:r>
      <w:r w:rsidRPr="001B5A84">
        <w:rPr>
          <w:rFonts w:ascii="Calibri" w:hAnsi="Calibri"/>
          <w:sz w:val="22"/>
          <w:szCs w:val="22"/>
        </w:rPr>
        <w:t xml:space="preserve">or example, if someone had </w:t>
      </w:r>
      <w:r>
        <w:rPr>
          <w:rFonts w:ascii="Calibri" w:hAnsi="Calibri"/>
          <w:sz w:val="22"/>
          <w:szCs w:val="22"/>
        </w:rPr>
        <w:t>F</w:t>
      </w:r>
      <w:r w:rsidRPr="001B5A84">
        <w:rPr>
          <w:rFonts w:ascii="Calibri" w:hAnsi="Calibri"/>
          <w:sz w:val="22"/>
          <w:szCs w:val="22"/>
        </w:rPr>
        <w:t xml:space="preserve">entanyl and </w:t>
      </w:r>
      <w:r w:rsidR="00667C4C">
        <w:rPr>
          <w:rFonts w:ascii="Calibri" w:hAnsi="Calibri"/>
          <w:sz w:val="22"/>
          <w:szCs w:val="22"/>
        </w:rPr>
        <w:t>methadone</w:t>
      </w:r>
      <w:r w:rsidRPr="001B5A84">
        <w:rPr>
          <w:rFonts w:ascii="Calibri" w:hAnsi="Calibri"/>
          <w:sz w:val="22"/>
          <w:szCs w:val="22"/>
        </w:rPr>
        <w:t xml:space="preserve"> present, they would be in the “Fentanyl” group</w:t>
      </w:r>
      <w:r w:rsidR="00301E0D">
        <w:rPr>
          <w:rFonts w:ascii="Calibri" w:hAnsi="Calibri"/>
          <w:sz w:val="22"/>
          <w:szCs w:val="22"/>
        </w:rPr>
        <w:t>.  T</w:t>
      </w:r>
      <w:r w:rsidRPr="001B5A84">
        <w:rPr>
          <w:rFonts w:ascii="Calibri" w:hAnsi="Calibri"/>
          <w:sz w:val="22"/>
          <w:szCs w:val="22"/>
        </w:rPr>
        <w:t>hese groups are mutually exclusive</w:t>
      </w:r>
      <w:r w:rsidR="00301E0D">
        <w:rPr>
          <w:rFonts w:ascii="Calibri" w:hAnsi="Calibri"/>
          <w:sz w:val="22"/>
          <w:szCs w:val="22"/>
        </w:rPr>
        <w:t>.  F</w:t>
      </w:r>
      <w:r>
        <w:rPr>
          <w:rFonts w:ascii="Calibri" w:hAnsi="Calibri"/>
          <w:sz w:val="22"/>
          <w:szCs w:val="22"/>
        </w:rPr>
        <w:t>or clarification, “likely Heroin” is determined b</w:t>
      </w:r>
      <w:r w:rsidRPr="001B5A84">
        <w:rPr>
          <w:rFonts w:ascii="Calibri" w:hAnsi="Calibri"/>
          <w:sz w:val="22"/>
          <w:szCs w:val="22"/>
        </w:rPr>
        <w:t>ased on evaluation of the toxicology data in combination with information on prescr</w:t>
      </w:r>
      <w:r>
        <w:rPr>
          <w:rFonts w:ascii="Calibri" w:hAnsi="Calibri"/>
          <w:sz w:val="22"/>
          <w:szCs w:val="22"/>
        </w:rPr>
        <w:t>ibing of Morphine from the PDMP</w:t>
      </w:r>
      <w:r w:rsidR="00301E0D">
        <w:rPr>
          <w:rFonts w:ascii="Calibri" w:hAnsi="Calibri"/>
          <w:sz w:val="22"/>
          <w:szCs w:val="22"/>
        </w:rPr>
        <w:t>.  T</w:t>
      </w:r>
      <w:r w:rsidRPr="001B5A84">
        <w:rPr>
          <w:rFonts w:ascii="Calibri" w:hAnsi="Calibri"/>
          <w:sz w:val="22"/>
          <w:szCs w:val="22"/>
        </w:rPr>
        <w:t xml:space="preserve">oxicology screens </w:t>
      </w:r>
      <w:r>
        <w:rPr>
          <w:rFonts w:ascii="Calibri" w:hAnsi="Calibri"/>
          <w:sz w:val="22"/>
          <w:szCs w:val="22"/>
        </w:rPr>
        <w:t xml:space="preserve">were considered </w:t>
      </w:r>
      <w:r w:rsidRPr="001B5A84">
        <w:rPr>
          <w:rFonts w:ascii="Calibri" w:hAnsi="Calibri"/>
          <w:sz w:val="22"/>
          <w:szCs w:val="22"/>
        </w:rPr>
        <w:t xml:space="preserve">where </w:t>
      </w:r>
      <w:r>
        <w:rPr>
          <w:rFonts w:ascii="Calibri" w:hAnsi="Calibri"/>
          <w:sz w:val="22"/>
          <w:szCs w:val="22"/>
        </w:rPr>
        <w:t>M</w:t>
      </w:r>
      <w:r w:rsidRPr="001B5A84">
        <w:rPr>
          <w:rFonts w:ascii="Calibri" w:hAnsi="Calibri"/>
          <w:sz w:val="22"/>
          <w:szCs w:val="22"/>
        </w:rPr>
        <w:t xml:space="preserve">orphine was present in the </w:t>
      </w:r>
      <w:r w:rsidRPr="001B5A84">
        <w:rPr>
          <w:rFonts w:ascii="Calibri" w:hAnsi="Calibri"/>
          <w:sz w:val="22"/>
          <w:szCs w:val="22"/>
        </w:rPr>
        <w:lastRenderedPageBreak/>
        <w:t xml:space="preserve">absence of </w:t>
      </w:r>
      <w:r>
        <w:rPr>
          <w:rFonts w:ascii="Calibri" w:hAnsi="Calibri"/>
          <w:sz w:val="22"/>
          <w:szCs w:val="22"/>
        </w:rPr>
        <w:t>C</w:t>
      </w:r>
      <w:r w:rsidRPr="001B5A84">
        <w:rPr>
          <w:rFonts w:ascii="Calibri" w:hAnsi="Calibri"/>
          <w:sz w:val="22"/>
          <w:szCs w:val="22"/>
        </w:rPr>
        <w:t xml:space="preserve">odeine to indicate that the </w:t>
      </w:r>
      <w:r>
        <w:rPr>
          <w:rFonts w:ascii="Calibri" w:hAnsi="Calibri"/>
          <w:sz w:val="22"/>
          <w:szCs w:val="22"/>
        </w:rPr>
        <w:t>M</w:t>
      </w:r>
      <w:r w:rsidRPr="001B5A84">
        <w:rPr>
          <w:rFonts w:ascii="Calibri" w:hAnsi="Calibri"/>
          <w:sz w:val="22"/>
          <w:szCs w:val="22"/>
        </w:rPr>
        <w:t xml:space="preserve">orphine present was likely a metabolite of </w:t>
      </w:r>
      <w:r>
        <w:rPr>
          <w:rFonts w:ascii="Calibri" w:hAnsi="Calibri"/>
          <w:sz w:val="22"/>
          <w:szCs w:val="22"/>
        </w:rPr>
        <w:t>H</w:t>
      </w:r>
      <w:r w:rsidRPr="001B5A84">
        <w:rPr>
          <w:rFonts w:ascii="Calibri" w:hAnsi="Calibri"/>
          <w:sz w:val="22"/>
          <w:szCs w:val="22"/>
        </w:rPr>
        <w:t xml:space="preserve">eroin (and not prescription </w:t>
      </w:r>
      <w:r>
        <w:rPr>
          <w:rFonts w:ascii="Calibri" w:hAnsi="Calibri"/>
          <w:sz w:val="22"/>
          <w:szCs w:val="22"/>
        </w:rPr>
        <w:t>M</w:t>
      </w:r>
      <w:r w:rsidRPr="001B5A84">
        <w:rPr>
          <w:rFonts w:ascii="Calibri" w:hAnsi="Calibri"/>
          <w:sz w:val="22"/>
          <w:szCs w:val="22"/>
        </w:rPr>
        <w:t xml:space="preserve">orphine).  </w:t>
      </w:r>
      <w:r>
        <w:rPr>
          <w:rFonts w:ascii="Calibri" w:hAnsi="Calibri"/>
          <w:sz w:val="22"/>
          <w:szCs w:val="22"/>
        </w:rPr>
        <w:t>A final</w:t>
      </w:r>
      <w:r w:rsidRPr="001B5A84">
        <w:rPr>
          <w:rFonts w:ascii="Calibri" w:hAnsi="Calibri"/>
          <w:sz w:val="22"/>
          <w:szCs w:val="22"/>
        </w:rPr>
        <w:t xml:space="preserve"> important note</w:t>
      </w:r>
      <w:r>
        <w:rPr>
          <w:rFonts w:ascii="Calibri" w:hAnsi="Calibri"/>
          <w:sz w:val="22"/>
          <w:szCs w:val="22"/>
        </w:rPr>
        <w:t xml:space="preserve"> regarding </w:t>
      </w:r>
      <w:r w:rsidR="00301E0D">
        <w:rPr>
          <w:rFonts w:ascii="Calibri" w:hAnsi="Calibri"/>
          <w:sz w:val="22"/>
          <w:szCs w:val="22"/>
        </w:rPr>
        <w:t>Table A</w:t>
      </w:r>
      <w:r>
        <w:rPr>
          <w:rFonts w:ascii="Calibri" w:hAnsi="Calibri"/>
          <w:sz w:val="22"/>
          <w:szCs w:val="22"/>
        </w:rPr>
        <w:t>3b</w:t>
      </w:r>
      <w:r w:rsidRPr="001B5A84">
        <w:rPr>
          <w:rFonts w:ascii="Calibri" w:hAnsi="Calibri"/>
          <w:sz w:val="22"/>
          <w:szCs w:val="22"/>
        </w:rPr>
        <w:t xml:space="preserve"> is that in 14 of the 15 deaths where Buprenorphine was the only opioid present, the toxicology result was also positive for a benzodiazepine</w:t>
      </w:r>
      <w:r w:rsidR="00301E0D">
        <w:rPr>
          <w:rFonts w:ascii="Calibri" w:hAnsi="Calibri"/>
          <w:sz w:val="22"/>
          <w:szCs w:val="22"/>
        </w:rPr>
        <w:t>.  Table A</w:t>
      </w:r>
      <w:r>
        <w:rPr>
          <w:rFonts w:ascii="Calibri" w:hAnsi="Calibri"/>
          <w:sz w:val="22"/>
          <w:szCs w:val="22"/>
        </w:rPr>
        <w:t>3c uses a similar identification methodology but relaxes the mutual exclusivity constraint</w:t>
      </w:r>
      <w:r w:rsidR="00301E0D">
        <w:rPr>
          <w:rFonts w:ascii="Calibri" w:hAnsi="Calibri"/>
          <w:sz w:val="22"/>
          <w:szCs w:val="22"/>
        </w:rPr>
        <w:t>.  B</w:t>
      </w:r>
      <w:r>
        <w:rPr>
          <w:rFonts w:ascii="Calibri" w:hAnsi="Calibri"/>
          <w:sz w:val="22"/>
          <w:szCs w:val="22"/>
        </w:rPr>
        <w:t>oth 3b and 3c, in tandem with 3a, lend support to an emerging hypothesis that illicit substances are the driving force behind opioid-related deaths.</w:t>
      </w:r>
    </w:p>
    <w:p w:rsidR="00FB160F" w:rsidRPr="001141BB" w:rsidRDefault="00FB160F" w:rsidP="00FB160F">
      <w:pPr>
        <w:spacing w:after="120" w:line="276" w:lineRule="auto"/>
        <w:rPr>
          <w:rFonts w:ascii="Calibri" w:hAnsi="Calibri"/>
          <w:b/>
          <w:sz w:val="22"/>
          <w:szCs w:val="22"/>
        </w:rPr>
      </w:pPr>
      <w:r w:rsidRPr="001141BB">
        <w:rPr>
          <w:rFonts w:ascii="Calibri" w:hAnsi="Calibri"/>
          <w:b/>
          <w:sz w:val="22"/>
          <w:szCs w:val="22"/>
        </w:rPr>
        <w:t xml:space="preserve">Limitations: </w:t>
      </w:r>
      <w:r>
        <w:rPr>
          <w:rFonts w:ascii="Calibri" w:hAnsi="Calibri"/>
          <w:sz w:val="22"/>
          <w:szCs w:val="22"/>
        </w:rPr>
        <w:t>The identifiers in the PDMP data set are imperfect.  As such, it is highly likely that the opioid prescription histories for some individuals are incomplete</w:t>
      </w:r>
      <w:r w:rsidR="00301E0D">
        <w:rPr>
          <w:rFonts w:ascii="Calibri" w:hAnsi="Calibri"/>
          <w:sz w:val="22"/>
          <w:szCs w:val="22"/>
        </w:rPr>
        <w:t>.  T</w:t>
      </w:r>
      <w:r>
        <w:rPr>
          <w:rFonts w:ascii="Calibri" w:hAnsi="Calibri"/>
          <w:sz w:val="22"/>
          <w:szCs w:val="22"/>
        </w:rPr>
        <w:t>oxicology data also does not precisely identify all drugs</w:t>
      </w:r>
      <w:r w:rsidR="00301E0D">
        <w:rPr>
          <w:rFonts w:ascii="Calibri" w:hAnsi="Calibri"/>
          <w:sz w:val="22"/>
          <w:szCs w:val="22"/>
        </w:rPr>
        <w:t>.  I</w:t>
      </w:r>
      <w:r>
        <w:rPr>
          <w:rFonts w:ascii="Calibri" w:hAnsi="Calibri"/>
          <w:sz w:val="22"/>
          <w:szCs w:val="22"/>
        </w:rPr>
        <w:t xml:space="preserve">n some cases, metabolites of opioids may suggest that either a legal or illegal drug was ingested.  However, there is no reason seen in the data that these limitations would substantially alter the conclusions drawn here. </w:t>
      </w:r>
    </w:p>
    <w:p w:rsidR="00FB160F" w:rsidRDefault="00FB160F" w:rsidP="00FB160F">
      <w:pPr>
        <w:spacing w:after="120" w:line="276" w:lineRule="auto"/>
        <w:rPr>
          <w:rFonts w:ascii="Calibri" w:hAnsi="Calibri"/>
          <w:b/>
          <w:sz w:val="22"/>
          <w:szCs w:val="22"/>
          <w:u w:val="single"/>
        </w:rPr>
      </w:pPr>
    </w:p>
    <w:p w:rsidR="00FB160F" w:rsidRDefault="00FB160F" w:rsidP="00FB160F">
      <w:pPr>
        <w:spacing w:after="120" w:line="276" w:lineRule="auto"/>
        <w:rPr>
          <w:rFonts w:ascii="Calibri" w:hAnsi="Calibri"/>
          <w:b/>
          <w:sz w:val="22"/>
          <w:szCs w:val="22"/>
          <w:u w:val="single"/>
        </w:rPr>
      </w:pPr>
    </w:p>
    <w:p w:rsidR="00FB160F" w:rsidRDefault="00FB160F" w:rsidP="00FB160F">
      <w:pPr>
        <w:rPr>
          <w:rFonts w:ascii="Calibri" w:hAnsi="Calibri"/>
          <w:b/>
          <w:sz w:val="22"/>
          <w:szCs w:val="22"/>
          <w:u w:val="single"/>
        </w:rPr>
      </w:pPr>
      <w:r>
        <w:rPr>
          <w:rFonts w:ascii="Calibri" w:hAnsi="Calibri"/>
          <w:b/>
          <w:sz w:val="22"/>
          <w:szCs w:val="22"/>
          <w:u w:val="single"/>
        </w:rPr>
        <w:br w:type="page"/>
      </w:r>
    </w:p>
    <w:p w:rsidR="00FB160F" w:rsidRPr="00F978E0" w:rsidRDefault="00BA3381" w:rsidP="00FB160F">
      <w:pPr>
        <w:spacing w:after="120" w:line="276" w:lineRule="auto"/>
        <w:rPr>
          <w:rFonts w:ascii="Calibri" w:hAnsi="Calibri"/>
          <w:b/>
          <w:sz w:val="22"/>
          <w:szCs w:val="22"/>
        </w:rPr>
      </w:pPr>
      <w:r>
        <w:rPr>
          <w:rFonts w:ascii="Calibri" w:hAnsi="Calibri"/>
          <w:b/>
          <w:sz w:val="22"/>
          <w:szCs w:val="22"/>
          <w:u w:val="single"/>
        </w:rPr>
        <w:lastRenderedPageBreak/>
        <w:t>Statutory</w:t>
      </w:r>
      <w:r w:rsidRPr="00F978E0">
        <w:rPr>
          <w:rFonts w:ascii="Calibri" w:hAnsi="Calibri"/>
          <w:b/>
          <w:sz w:val="22"/>
          <w:szCs w:val="22"/>
          <w:u w:val="single"/>
        </w:rPr>
        <w:t xml:space="preserve"> </w:t>
      </w:r>
      <w:r w:rsidR="00FB160F" w:rsidRPr="00F978E0">
        <w:rPr>
          <w:rFonts w:ascii="Calibri" w:hAnsi="Calibri"/>
          <w:b/>
          <w:sz w:val="22"/>
          <w:szCs w:val="22"/>
          <w:u w:val="single"/>
        </w:rPr>
        <w:t>Question 4:</w:t>
      </w:r>
      <w:r w:rsidR="00FB160F" w:rsidRPr="00F978E0">
        <w:rPr>
          <w:rFonts w:ascii="Calibri" w:hAnsi="Calibri"/>
          <w:sz w:val="22"/>
          <w:szCs w:val="22"/>
        </w:rPr>
        <w:t xml:space="preserve"> </w:t>
      </w:r>
      <w:r w:rsidR="00FB160F" w:rsidRPr="00F978E0">
        <w:rPr>
          <w:rFonts w:ascii="Calibri" w:hAnsi="Calibri"/>
          <w:i/>
          <w:sz w:val="22"/>
          <w:szCs w:val="22"/>
        </w:rPr>
        <w:t xml:space="preserve">“Whether the individuals had previously undergone voluntary or involuntary treatment for substance addiction or behavioral health.” </w:t>
      </w:r>
    </w:p>
    <w:p w:rsidR="00FB160F" w:rsidRPr="00F978E0" w:rsidRDefault="00FB160F" w:rsidP="00FB160F">
      <w:pPr>
        <w:spacing w:after="120" w:line="276" w:lineRule="auto"/>
        <w:rPr>
          <w:rFonts w:ascii="Calibri" w:hAnsi="Calibri"/>
          <w:i/>
          <w:sz w:val="22"/>
          <w:szCs w:val="22"/>
        </w:rPr>
      </w:pPr>
      <w:r w:rsidRPr="00F978E0">
        <w:rPr>
          <w:rFonts w:ascii="Calibri" w:hAnsi="Calibri"/>
          <w:b/>
          <w:sz w:val="22"/>
          <w:szCs w:val="22"/>
        </w:rPr>
        <w:t>Analytic Question 4:</w:t>
      </w:r>
      <w:r w:rsidRPr="00F978E0">
        <w:rPr>
          <w:rFonts w:ascii="Calibri" w:hAnsi="Calibri"/>
          <w:sz w:val="22"/>
          <w:szCs w:val="22"/>
        </w:rPr>
        <w:t xml:space="preserve"> </w:t>
      </w:r>
      <w:r w:rsidRPr="00F978E0">
        <w:rPr>
          <w:rFonts w:ascii="Calibri" w:hAnsi="Calibri"/>
          <w:i/>
          <w:sz w:val="22"/>
          <w:szCs w:val="22"/>
        </w:rPr>
        <w:t xml:space="preserve">“Substance abuse treatment history (voluntary and involuntary) of Massachusetts residents who died of </w:t>
      </w:r>
      <w:r>
        <w:rPr>
          <w:rFonts w:ascii="Calibri" w:hAnsi="Calibri"/>
          <w:i/>
          <w:sz w:val="22"/>
          <w:szCs w:val="22"/>
        </w:rPr>
        <w:t>o</w:t>
      </w:r>
      <w:r w:rsidRPr="00F978E0">
        <w:rPr>
          <w:rFonts w:ascii="Calibri" w:hAnsi="Calibri"/>
          <w:i/>
          <w:sz w:val="22"/>
          <w:szCs w:val="22"/>
        </w:rPr>
        <w:t>pi</w:t>
      </w:r>
      <w:r>
        <w:rPr>
          <w:rFonts w:ascii="Calibri" w:hAnsi="Calibri"/>
          <w:i/>
          <w:sz w:val="22"/>
          <w:szCs w:val="22"/>
        </w:rPr>
        <w:t xml:space="preserve">oid-related </w:t>
      </w:r>
      <w:r w:rsidRPr="00F978E0">
        <w:rPr>
          <w:rFonts w:ascii="Calibri" w:hAnsi="Calibri"/>
          <w:i/>
          <w:sz w:val="22"/>
          <w:szCs w:val="22"/>
        </w:rPr>
        <w:t xml:space="preserve">overdose” </w:t>
      </w:r>
    </w:p>
    <w:p w:rsidR="00FB160F" w:rsidRDefault="00FB160F" w:rsidP="00FB160F">
      <w:pPr>
        <w:spacing w:after="120" w:line="276" w:lineRule="auto"/>
        <w:ind w:firstLine="720"/>
        <w:rPr>
          <w:rFonts w:ascii="Calibri" w:hAnsi="Calibri"/>
          <w:sz w:val="22"/>
          <w:szCs w:val="22"/>
        </w:rPr>
      </w:pPr>
      <w:r w:rsidRPr="00F978E0">
        <w:rPr>
          <w:rFonts w:ascii="Calibri" w:hAnsi="Calibri"/>
          <w:sz w:val="22"/>
          <w:szCs w:val="22"/>
          <w:highlight w:val="white"/>
        </w:rPr>
        <w:t>Addiction treatment is intended to help individuals stop compulsive drug seeking and use by providing them with medication and behavioral coping skills as tools</w:t>
      </w:r>
      <w:r w:rsidR="00301E0D">
        <w:rPr>
          <w:rFonts w:ascii="Calibri" w:hAnsi="Calibri"/>
          <w:sz w:val="22"/>
          <w:szCs w:val="22"/>
          <w:highlight w:val="white"/>
        </w:rPr>
        <w:t>.  T</w:t>
      </w:r>
      <w:r w:rsidRPr="00F978E0">
        <w:rPr>
          <w:rFonts w:ascii="Calibri" w:hAnsi="Calibri"/>
          <w:sz w:val="22"/>
          <w:szCs w:val="22"/>
          <w:highlight w:val="white"/>
        </w:rPr>
        <w:t>reatment can occur in a variety of settings, take many different forms, and last for different lengths of time</w:t>
      </w:r>
      <w:r w:rsidR="00301E0D">
        <w:rPr>
          <w:rFonts w:ascii="Calibri" w:hAnsi="Calibri"/>
          <w:sz w:val="22"/>
          <w:szCs w:val="22"/>
          <w:highlight w:val="white"/>
        </w:rPr>
        <w:t>.  B</w:t>
      </w:r>
      <w:r w:rsidRPr="00F978E0">
        <w:rPr>
          <w:rFonts w:ascii="Calibri" w:hAnsi="Calibri"/>
          <w:sz w:val="22"/>
          <w:szCs w:val="22"/>
          <w:highlight w:val="white"/>
        </w:rPr>
        <w:t>ecause addiction is typically a chronic disorder characterized by occasional relapses, a short-term, one-time treatment is usually not sufficient</w:t>
      </w:r>
      <w:r w:rsidR="00301E0D">
        <w:rPr>
          <w:rFonts w:ascii="Calibri" w:hAnsi="Calibri"/>
          <w:sz w:val="22"/>
          <w:szCs w:val="22"/>
          <w:highlight w:val="white"/>
        </w:rPr>
        <w:t>.  F</w:t>
      </w:r>
      <w:r w:rsidRPr="00F978E0">
        <w:rPr>
          <w:rFonts w:ascii="Calibri" w:hAnsi="Calibri"/>
          <w:sz w:val="22"/>
          <w:szCs w:val="22"/>
          <w:highlight w:val="white"/>
        </w:rPr>
        <w:t>or many, treatment is a long-term process that involves multiple interventions and regular monitoring</w:t>
      </w:r>
      <w:r w:rsidR="00301E0D">
        <w:rPr>
          <w:rFonts w:ascii="Calibri" w:hAnsi="Calibri"/>
          <w:sz w:val="22"/>
          <w:szCs w:val="22"/>
          <w:highlight w:val="white"/>
        </w:rPr>
        <w:t>.  T</w:t>
      </w:r>
      <w:r w:rsidRPr="00F978E0">
        <w:rPr>
          <w:rFonts w:ascii="Calibri" w:hAnsi="Calibri"/>
          <w:sz w:val="22"/>
          <w:szCs w:val="22"/>
          <w:highlight w:val="white"/>
        </w:rPr>
        <w:t>here are a variety of evidence-based approaches to treating addiction</w:t>
      </w:r>
      <w:r w:rsidR="00301E0D">
        <w:rPr>
          <w:rFonts w:ascii="Calibri" w:hAnsi="Calibri"/>
          <w:sz w:val="22"/>
          <w:szCs w:val="22"/>
          <w:highlight w:val="white"/>
        </w:rPr>
        <w:t>.  T</w:t>
      </w:r>
      <w:r w:rsidRPr="00F978E0">
        <w:rPr>
          <w:rFonts w:ascii="Calibri" w:hAnsi="Calibri"/>
          <w:sz w:val="22"/>
          <w:szCs w:val="22"/>
          <w:highlight w:val="white"/>
        </w:rPr>
        <w:t>reatment can include behavioral therapy (e.g. cognitive-behavioral therapy or contingency management), medications, or their combination</w:t>
      </w:r>
      <w:r w:rsidR="00301E0D">
        <w:rPr>
          <w:rFonts w:ascii="Calibri" w:hAnsi="Calibri"/>
          <w:sz w:val="22"/>
          <w:szCs w:val="22"/>
          <w:highlight w:val="white"/>
        </w:rPr>
        <w:t>.  T</w:t>
      </w:r>
      <w:r w:rsidRPr="00F978E0">
        <w:rPr>
          <w:rFonts w:ascii="Calibri" w:hAnsi="Calibri"/>
          <w:sz w:val="22"/>
          <w:szCs w:val="22"/>
          <w:highlight w:val="white"/>
        </w:rPr>
        <w:t>he setting for service delivery may be inpatient or outpatient</w:t>
      </w:r>
      <w:r w:rsidR="00301E0D">
        <w:rPr>
          <w:rFonts w:ascii="Calibri" w:hAnsi="Calibri"/>
          <w:sz w:val="22"/>
          <w:szCs w:val="22"/>
          <w:highlight w:val="white"/>
        </w:rPr>
        <w:t>.  A</w:t>
      </w:r>
      <w:r w:rsidRPr="00F978E0">
        <w:rPr>
          <w:rFonts w:ascii="Calibri" w:hAnsi="Calibri"/>
          <w:sz w:val="22"/>
          <w:szCs w:val="22"/>
          <w:highlight w:val="white"/>
        </w:rPr>
        <w:t xml:space="preserve"> clinical recommendation for treatment depends on the individualistic needs of a client.</w:t>
      </w:r>
      <w:r>
        <w:rPr>
          <w:rStyle w:val="FootnoteReference"/>
          <w:szCs w:val="22"/>
          <w:highlight w:val="white"/>
        </w:rPr>
        <w:footnoteReference w:id="43"/>
      </w:r>
    </w:p>
    <w:p w:rsidR="00FB160F" w:rsidRPr="00F978E0" w:rsidRDefault="00FB160F" w:rsidP="00FB160F">
      <w:pPr>
        <w:spacing w:after="120" w:line="276" w:lineRule="auto"/>
        <w:ind w:firstLine="720"/>
        <w:rPr>
          <w:rFonts w:ascii="Calibri" w:hAnsi="Calibri"/>
          <w:sz w:val="22"/>
          <w:szCs w:val="22"/>
        </w:rPr>
      </w:pPr>
      <w:r w:rsidRPr="00F978E0">
        <w:rPr>
          <w:rFonts w:ascii="Calibri" w:hAnsi="Calibri"/>
          <w:sz w:val="22"/>
          <w:szCs w:val="22"/>
        </w:rPr>
        <w:t>While most clients enter treatment voluntarily, some are committed to treatment through the court system</w:t>
      </w:r>
      <w:r w:rsidR="00301E0D">
        <w:rPr>
          <w:rFonts w:ascii="Calibri" w:hAnsi="Calibri"/>
          <w:sz w:val="22"/>
          <w:szCs w:val="22"/>
        </w:rPr>
        <w:t>.  S</w:t>
      </w:r>
      <w:r w:rsidRPr="00F978E0">
        <w:rPr>
          <w:rFonts w:ascii="Calibri" w:hAnsi="Calibri"/>
          <w:sz w:val="22"/>
          <w:szCs w:val="22"/>
        </w:rPr>
        <w:t>ection 35 of Chapter 123 of the Massachusetts General Laws provides a mechanism for a family member, police officer, physician, or court official to petition for a person whose alcohol or drug use puts themsel</w:t>
      </w:r>
      <w:r>
        <w:rPr>
          <w:rFonts w:ascii="Calibri" w:hAnsi="Calibri"/>
          <w:sz w:val="22"/>
          <w:szCs w:val="22"/>
        </w:rPr>
        <w:t>ves</w:t>
      </w:r>
      <w:r w:rsidRPr="00F978E0">
        <w:rPr>
          <w:rFonts w:ascii="Calibri" w:hAnsi="Calibri"/>
          <w:sz w:val="22"/>
          <w:szCs w:val="22"/>
        </w:rPr>
        <w:t xml:space="preserve"> or others at risk to be involuntarily committed for substance abuse treatment</w:t>
      </w:r>
      <w:r w:rsidR="00301E0D">
        <w:rPr>
          <w:rFonts w:ascii="Calibri" w:hAnsi="Calibri"/>
          <w:sz w:val="22"/>
          <w:szCs w:val="22"/>
        </w:rPr>
        <w:t>.  I</w:t>
      </w:r>
      <w:r w:rsidRPr="00F978E0">
        <w:rPr>
          <w:rFonts w:ascii="Calibri" w:hAnsi="Calibri"/>
          <w:sz w:val="22"/>
          <w:szCs w:val="22"/>
        </w:rPr>
        <w:t>f the court approves the petition, the person is sent to the Women’s Addiction Treatment Center</w:t>
      </w:r>
      <w:r>
        <w:rPr>
          <w:rFonts w:ascii="Calibri" w:hAnsi="Calibri"/>
          <w:sz w:val="22"/>
          <w:szCs w:val="22"/>
        </w:rPr>
        <w:t xml:space="preserve"> (WATC)</w:t>
      </w:r>
      <w:r w:rsidRPr="00F978E0">
        <w:rPr>
          <w:rFonts w:ascii="Calibri" w:hAnsi="Calibri"/>
          <w:sz w:val="22"/>
          <w:szCs w:val="22"/>
        </w:rPr>
        <w:t xml:space="preserve"> in New Bedford or the Men’s Addiction Treatment Center</w:t>
      </w:r>
      <w:r>
        <w:rPr>
          <w:rFonts w:ascii="Calibri" w:hAnsi="Calibri"/>
          <w:sz w:val="22"/>
          <w:szCs w:val="22"/>
        </w:rPr>
        <w:t xml:space="preserve"> (MATC)</w:t>
      </w:r>
      <w:r w:rsidRPr="00F978E0">
        <w:rPr>
          <w:rFonts w:ascii="Calibri" w:hAnsi="Calibri"/>
          <w:sz w:val="22"/>
          <w:szCs w:val="22"/>
        </w:rPr>
        <w:t xml:space="preserve"> in Brockton to receive up to 90 days of inpatient substance abuse treatment similar to a combination of Acute Treatment Services (detoxification) and Clinical Stabilization Services</w:t>
      </w:r>
      <w:r w:rsidR="00301E0D">
        <w:rPr>
          <w:rFonts w:ascii="Calibri" w:hAnsi="Calibri"/>
          <w:sz w:val="22"/>
          <w:szCs w:val="22"/>
        </w:rPr>
        <w:t>.  T</w:t>
      </w:r>
      <w:r w:rsidRPr="00F978E0">
        <w:rPr>
          <w:rFonts w:ascii="Calibri" w:hAnsi="Calibri"/>
          <w:sz w:val="22"/>
          <w:szCs w:val="22"/>
        </w:rPr>
        <w:t>here has been a significant increase in the number of commitments through Section 35 in recent years</w:t>
      </w:r>
      <w:r w:rsidR="00301E0D">
        <w:rPr>
          <w:rFonts w:ascii="Calibri" w:hAnsi="Calibri"/>
          <w:sz w:val="22"/>
          <w:szCs w:val="22"/>
        </w:rPr>
        <w:t>.  I</w:t>
      </w:r>
      <w:r w:rsidRPr="00F978E0">
        <w:rPr>
          <w:rFonts w:ascii="Calibri" w:hAnsi="Calibri"/>
          <w:sz w:val="22"/>
          <w:szCs w:val="22"/>
        </w:rPr>
        <w:t>n 2007 there were 1,086 individuals committed through Section 35</w:t>
      </w:r>
      <w:r w:rsidR="00301E0D">
        <w:rPr>
          <w:rFonts w:ascii="Calibri" w:hAnsi="Calibri"/>
          <w:sz w:val="22"/>
          <w:szCs w:val="22"/>
        </w:rPr>
        <w:t>.  I</w:t>
      </w:r>
      <w:r>
        <w:rPr>
          <w:rFonts w:ascii="Calibri" w:hAnsi="Calibri"/>
          <w:sz w:val="22"/>
          <w:szCs w:val="22"/>
        </w:rPr>
        <w:t>n</w:t>
      </w:r>
      <w:r w:rsidRPr="00F978E0">
        <w:rPr>
          <w:rFonts w:ascii="Calibri" w:hAnsi="Calibri"/>
          <w:sz w:val="22"/>
          <w:szCs w:val="22"/>
        </w:rPr>
        <w:t xml:space="preserve"> 2015 that number was 3,651.Given the increasing number of commitments it is important to assess the effectiveness of the involuntary commitments in reducing adverse consequences, specifically fatal opioid</w:t>
      </w:r>
      <w:r>
        <w:rPr>
          <w:rFonts w:ascii="Calibri" w:hAnsi="Calibri"/>
          <w:sz w:val="22"/>
          <w:szCs w:val="22"/>
        </w:rPr>
        <w:t>-related</w:t>
      </w:r>
      <w:r w:rsidRPr="00F978E0">
        <w:rPr>
          <w:rFonts w:ascii="Calibri" w:hAnsi="Calibri"/>
          <w:sz w:val="22"/>
          <w:szCs w:val="22"/>
        </w:rPr>
        <w:t xml:space="preserve"> overdoses. </w:t>
      </w:r>
      <w:r>
        <w:rPr>
          <w:rFonts w:ascii="Calibri" w:hAnsi="Calibri"/>
          <w:sz w:val="22"/>
          <w:szCs w:val="22"/>
        </w:rPr>
        <w:t xml:space="preserve"> </w:t>
      </w:r>
      <w:r w:rsidRPr="00F978E0">
        <w:rPr>
          <w:rFonts w:ascii="Calibri" w:hAnsi="Calibri"/>
          <w:sz w:val="22"/>
          <w:szCs w:val="22"/>
        </w:rPr>
        <w:t xml:space="preserve">The current analysis measures the risk of </w:t>
      </w:r>
      <w:r>
        <w:rPr>
          <w:rFonts w:ascii="Calibri" w:hAnsi="Calibri"/>
          <w:sz w:val="22"/>
          <w:szCs w:val="22"/>
        </w:rPr>
        <w:t xml:space="preserve">fatal opioid-related </w:t>
      </w:r>
      <w:r w:rsidRPr="00F978E0">
        <w:rPr>
          <w:rFonts w:ascii="Calibri" w:hAnsi="Calibri"/>
          <w:sz w:val="22"/>
          <w:szCs w:val="22"/>
        </w:rPr>
        <w:t>overdose for those with a history of involuntary commitment</w:t>
      </w:r>
      <w:r w:rsidR="00301E0D">
        <w:rPr>
          <w:rFonts w:ascii="Calibri" w:hAnsi="Calibri"/>
          <w:sz w:val="22"/>
          <w:szCs w:val="22"/>
        </w:rPr>
        <w:t>.  D</w:t>
      </w:r>
      <w:r w:rsidRPr="00F978E0">
        <w:rPr>
          <w:rFonts w:ascii="Calibri" w:hAnsi="Calibri"/>
          <w:sz w:val="22"/>
          <w:szCs w:val="22"/>
        </w:rPr>
        <w:t xml:space="preserve">eath certificate data from 2013-2014 were linked to treatment data from </w:t>
      </w:r>
      <w:r>
        <w:rPr>
          <w:rFonts w:ascii="Calibri" w:hAnsi="Calibri"/>
          <w:sz w:val="22"/>
          <w:szCs w:val="22"/>
        </w:rPr>
        <w:t>the Bureau of Substance Abuse Services (BSAS)</w:t>
      </w:r>
      <w:r w:rsidRPr="00F978E0">
        <w:rPr>
          <w:rFonts w:ascii="Calibri" w:hAnsi="Calibri"/>
          <w:sz w:val="22"/>
          <w:szCs w:val="22"/>
        </w:rPr>
        <w:t xml:space="preserve"> from 2011-2014.  The analysis was further refined with demographic break outs to identify any age differences.</w:t>
      </w:r>
    </w:p>
    <w:p w:rsidR="00FB160F" w:rsidRPr="00F978E0" w:rsidRDefault="00FB160F" w:rsidP="00FB160F">
      <w:pPr>
        <w:autoSpaceDE w:val="0"/>
        <w:autoSpaceDN w:val="0"/>
        <w:adjustRightInd w:val="0"/>
        <w:spacing w:after="120" w:line="276" w:lineRule="auto"/>
        <w:rPr>
          <w:rFonts w:ascii="Calibri" w:hAnsi="Calibri"/>
          <w:sz w:val="22"/>
          <w:szCs w:val="22"/>
        </w:rPr>
      </w:pPr>
      <w:r w:rsidRPr="00F978E0">
        <w:rPr>
          <w:rFonts w:ascii="Calibri" w:hAnsi="Calibri"/>
          <w:b/>
          <w:sz w:val="22"/>
          <w:szCs w:val="22"/>
        </w:rPr>
        <w:t>Results:</w:t>
      </w:r>
      <w:r>
        <w:rPr>
          <w:rFonts w:ascii="Calibri" w:hAnsi="Calibri"/>
          <w:b/>
          <w:sz w:val="22"/>
          <w:szCs w:val="22"/>
        </w:rPr>
        <w:t xml:space="preserve">  </w:t>
      </w:r>
      <w:r w:rsidRPr="00F978E0">
        <w:rPr>
          <w:rFonts w:ascii="Calibri" w:hAnsi="Calibri"/>
          <w:sz w:val="22"/>
          <w:szCs w:val="22"/>
        </w:rPr>
        <w:t>Of the 149,351 clients served between 2011 and 2014 in the BSAS treatment system, 9,464 people were committed to involuntary treatment</w:t>
      </w:r>
      <w:r w:rsidR="00301E0D">
        <w:rPr>
          <w:rFonts w:ascii="Calibri" w:hAnsi="Calibri"/>
          <w:sz w:val="22"/>
          <w:szCs w:val="22"/>
        </w:rPr>
        <w:t>.  C</w:t>
      </w:r>
      <w:r w:rsidRPr="00F978E0">
        <w:rPr>
          <w:rFonts w:ascii="Calibri" w:hAnsi="Calibri"/>
          <w:sz w:val="22"/>
          <w:szCs w:val="22"/>
        </w:rPr>
        <w:t xml:space="preserve">lients </w:t>
      </w:r>
      <w:r>
        <w:rPr>
          <w:rFonts w:ascii="Calibri" w:hAnsi="Calibri"/>
          <w:sz w:val="22"/>
          <w:szCs w:val="22"/>
        </w:rPr>
        <w:t xml:space="preserve">who had ever been </w:t>
      </w:r>
      <w:r w:rsidRPr="00F978E0">
        <w:rPr>
          <w:rFonts w:ascii="Calibri" w:hAnsi="Calibri"/>
          <w:sz w:val="22"/>
          <w:szCs w:val="22"/>
        </w:rPr>
        <w:t>admitt</w:t>
      </w:r>
      <w:r>
        <w:rPr>
          <w:rFonts w:ascii="Calibri" w:hAnsi="Calibri"/>
          <w:sz w:val="22"/>
          <w:szCs w:val="22"/>
        </w:rPr>
        <w:t>ed through Section 35 were 88% W</w:t>
      </w:r>
      <w:r w:rsidRPr="00F978E0">
        <w:rPr>
          <w:rFonts w:ascii="Calibri" w:hAnsi="Calibri"/>
          <w:sz w:val="22"/>
          <w:szCs w:val="22"/>
        </w:rPr>
        <w:t>hite non-Hispanic, 58% male and had a median age of 32 years old</w:t>
      </w:r>
      <w:r w:rsidR="00301E0D">
        <w:rPr>
          <w:rFonts w:ascii="Calibri" w:hAnsi="Calibri"/>
          <w:sz w:val="22"/>
          <w:szCs w:val="22"/>
        </w:rPr>
        <w:t>.  I</w:t>
      </w:r>
      <w:r w:rsidRPr="00F978E0">
        <w:rPr>
          <w:rFonts w:ascii="Calibri" w:hAnsi="Calibri"/>
          <w:sz w:val="22"/>
          <w:szCs w:val="22"/>
        </w:rPr>
        <w:t xml:space="preserve">n contrast, clients </w:t>
      </w:r>
      <w:r w:rsidRPr="00F978E0">
        <w:rPr>
          <w:rFonts w:ascii="Calibri" w:hAnsi="Calibri"/>
          <w:sz w:val="22"/>
          <w:szCs w:val="22"/>
        </w:rPr>
        <w:lastRenderedPageBreak/>
        <w:t>with only a voluntary treatment</w:t>
      </w:r>
      <w:r>
        <w:rPr>
          <w:rFonts w:ascii="Calibri" w:hAnsi="Calibri"/>
          <w:sz w:val="22"/>
          <w:szCs w:val="22"/>
        </w:rPr>
        <w:t xml:space="preserve"> history were 75% W</w:t>
      </w:r>
      <w:r w:rsidRPr="00F978E0">
        <w:rPr>
          <w:rFonts w:ascii="Calibri" w:hAnsi="Calibri"/>
          <w:sz w:val="22"/>
          <w:szCs w:val="22"/>
        </w:rPr>
        <w:t>hite non-Hispanic, 68% male and had a median age of 37 years old.</w:t>
      </w:r>
    </w:p>
    <w:p w:rsidR="00FB160F" w:rsidRDefault="00FB160F" w:rsidP="00FB160F">
      <w:pPr>
        <w:autoSpaceDE w:val="0"/>
        <w:autoSpaceDN w:val="0"/>
        <w:adjustRightInd w:val="0"/>
        <w:spacing w:after="120" w:line="276" w:lineRule="auto"/>
        <w:ind w:firstLine="720"/>
        <w:rPr>
          <w:rFonts w:ascii="Calibri" w:hAnsi="Calibri"/>
          <w:sz w:val="22"/>
          <w:szCs w:val="22"/>
        </w:rPr>
      </w:pPr>
      <w:r w:rsidRPr="00F978E0">
        <w:rPr>
          <w:rFonts w:ascii="Calibri" w:hAnsi="Calibri"/>
          <w:sz w:val="22"/>
          <w:szCs w:val="22"/>
        </w:rPr>
        <w:t>Based on admissions during the study period, 67% of clients with a history of involuntary treatment had at least one opioid-related admission, 83% reported prior mental health treatment</w:t>
      </w:r>
      <w:r>
        <w:rPr>
          <w:rFonts w:ascii="Calibri" w:hAnsi="Calibri"/>
          <w:sz w:val="22"/>
          <w:szCs w:val="22"/>
        </w:rPr>
        <w:t>,</w:t>
      </w:r>
      <w:r w:rsidRPr="00F978E0">
        <w:rPr>
          <w:rFonts w:ascii="Calibri" w:hAnsi="Calibri"/>
          <w:sz w:val="22"/>
          <w:szCs w:val="22"/>
        </w:rPr>
        <w:t xml:space="preserve"> and 44% reported a prior overdose</w:t>
      </w:r>
      <w:r w:rsidR="00301E0D">
        <w:rPr>
          <w:rFonts w:ascii="Calibri" w:hAnsi="Calibri"/>
          <w:sz w:val="22"/>
          <w:szCs w:val="22"/>
        </w:rPr>
        <w:t>.  F</w:t>
      </w:r>
      <w:r w:rsidRPr="00F978E0">
        <w:rPr>
          <w:rFonts w:ascii="Calibri" w:hAnsi="Calibri"/>
          <w:sz w:val="22"/>
          <w:szCs w:val="22"/>
        </w:rPr>
        <w:t>or clients with only a voluntary treatment history, 46% had at least one opioid-related admission, 58% reported prior mental health treatment</w:t>
      </w:r>
      <w:r>
        <w:rPr>
          <w:rFonts w:ascii="Calibri" w:hAnsi="Calibri"/>
          <w:sz w:val="22"/>
          <w:szCs w:val="22"/>
        </w:rPr>
        <w:t>,</w:t>
      </w:r>
      <w:r w:rsidRPr="00F978E0">
        <w:rPr>
          <w:rFonts w:ascii="Calibri" w:hAnsi="Calibri"/>
          <w:sz w:val="22"/>
          <w:szCs w:val="22"/>
        </w:rPr>
        <w:t xml:space="preserve"> and 18% reported a prior overdose</w:t>
      </w:r>
      <w:r w:rsidR="00301E0D">
        <w:rPr>
          <w:rFonts w:ascii="Calibri" w:hAnsi="Calibri"/>
          <w:sz w:val="22"/>
          <w:szCs w:val="22"/>
        </w:rPr>
        <w:t>.  C</w:t>
      </w:r>
      <w:r w:rsidRPr="00F978E0">
        <w:rPr>
          <w:rFonts w:ascii="Calibri" w:hAnsi="Calibri"/>
          <w:sz w:val="22"/>
          <w:szCs w:val="22"/>
        </w:rPr>
        <w:t>lients who received involuntary treatment were 2.2 times</w:t>
      </w:r>
      <w:r>
        <w:rPr>
          <w:rFonts w:ascii="Calibri" w:hAnsi="Calibri"/>
          <w:sz w:val="22"/>
          <w:szCs w:val="22"/>
        </w:rPr>
        <w:t xml:space="preserve"> as likely</w:t>
      </w:r>
      <w:r w:rsidRPr="00F978E0">
        <w:rPr>
          <w:rFonts w:ascii="Calibri" w:hAnsi="Calibri"/>
          <w:sz w:val="22"/>
          <w:szCs w:val="22"/>
        </w:rPr>
        <w:t xml:space="preserve"> to die of </w:t>
      </w:r>
      <w:r>
        <w:rPr>
          <w:rFonts w:ascii="Calibri" w:hAnsi="Calibri"/>
          <w:sz w:val="22"/>
          <w:szCs w:val="22"/>
        </w:rPr>
        <w:t>o</w:t>
      </w:r>
      <w:r w:rsidRPr="00F978E0">
        <w:rPr>
          <w:rFonts w:ascii="Calibri" w:hAnsi="Calibri"/>
          <w:sz w:val="22"/>
          <w:szCs w:val="22"/>
        </w:rPr>
        <w:t>pioid</w:t>
      </w:r>
      <w:r>
        <w:rPr>
          <w:rFonts w:ascii="Calibri" w:hAnsi="Calibri"/>
          <w:sz w:val="22"/>
          <w:szCs w:val="22"/>
        </w:rPr>
        <w:t>-</w:t>
      </w:r>
      <w:r w:rsidRPr="00F978E0">
        <w:rPr>
          <w:rFonts w:ascii="Calibri" w:hAnsi="Calibri"/>
          <w:sz w:val="22"/>
          <w:szCs w:val="22"/>
        </w:rPr>
        <w:t>related overdoses and 1.9 times</w:t>
      </w:r>
      <w:r>
        <w:rPr>
          <w:rFonts w:ascii="Calibri" w:hAnsi="Calibri"/>
          <w:sz w:val="22"/>
          <w:szCs w:val="22"/>
        </w:rPr>
        <w:t xml:space="preserve"> as</w:t>
      </w:r>
      <w:r w:rsidRPr="00F978E0">
        <w:rPr>
          <w:rFonts w:ascii="Calibri" w:hAnsi="Calibri"/>
          <w:sz w:val="22"/>
          <w:szCs w:val="22"/>
        </w:rPr>
        <w:t xml:space="preserve"> likely to die of any cause compared to those with a history of voluntary treatment </w:t>
      </w:r>
      <w:r>
        <w:rPr>
          <w:rFonts w:ascii="Calibri" w:hAnsi="Calibri"/>
          <w:sz w:val="22"/>
          <w:szCs w:val="22"/>
        </w:rPr>
        <w:t>only</w:t>
      </w:r>
      <w:r w:rsidRPr="00F978E0">
        <w:rPr>
          <w:rFonts w:ascii="Calibri" w:hAnsi="Calibri"/>
          <w:sz w:val="22"/>
          <w:szCs w:val="22"/>
        </w:rPr>
        <w:t>.</w:t>
      </w:r>
    </w:p>
    <w:p w:rsidR="00FB160F" w:rsidRPr="00F978E0" w:rsidRDefault="00FB160F" w:rsidP="00FB160F">
      <w:pPr>
        <w:autoSpaceDE w:val="0"/>
        <w:autoSpaceDN w:val="0"/>
        <w:adjustRightInd w:val="0"/>
        <w:spacing w:after="120" w:line="276" w:lineRule="auto"/>
        <w:ind w:firstLine="720"/>
        <w:rPr>
          <w:rFonts w:ascii="Calibri" w:hAnsi="Calibri"/>
          <w:sz w:val="22"/>
          <w:szCs w:val="22"/>
        </w:rPr>
      </w:pPr>
    </w:p>
    <w:tbl>
      <w:tblPr>
        <w:tblW w:w="927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3870"/>
        <w:gridCol w:w="2970"/>
        <w:gridCol w:w="2430"/>
      </w:tblGrid>
      <w:tr w:rsidR="00FB160F" w:rsidRPr="00F978E0" w:rsidTr="001C267C">
        <w:trPr>
          <w:jc w:val="center"/>
        </w:trPr>
        <w:tc>
          <w:tcPr>
            <w:tcW w:w="9270" w:type="dxa"/>
            <w:gridSpan w:val="3"/>
            <w:vAlign w:val="center"/>
          </w:tcPr>
          <w:p w:rsidR="00FB160F" w:rsidRPr="00570FB0" w:rsidRDefault="00301E0D" w:rsidP="001C267C">
            <w:pPr>
              <w:jc w:val="center"/>
              <w:rPr>
                <w:rFonts w:ascii="Calibri" w:hAnsi="Calibri"/>
                <w:b/>
                <w:bCs/>
                <w:szCs w:val="22"/>
              </w:rPr>
            </w:pPr>
            <w:r>
              <w:rPr>
                <w:rFonts w:ascii="Calibri" w:hAnsi="Calibri"/>
                <w:b/>
                <w:bCs/>
                <w:sz w:val="22"/>
                <w:szCs w:val="22"/>
              </w:rPr>
              <w:t>Table A</w:t>
            </w:r>
            <w:r w:rsidR="00FB160F">
              <w:rPr>
                <w:rFonts w:ascii="Calibri" w:hAnsi="Calibri"/>
                <w:b/>
                <w:bCs/>
                <w:sz w:val="22"/>
                <w:szCs w:val="22"/>
              </w:rPr>
              <w:t>4: Risk of Opioid-</w:t>
            </w:r>
            <w:r w:rsidR="00FB160F" w:rsidRPr="00570FB0">
              <w:rPr>
                <w:rFonts w:ascii="Calibri" w:hAnsi="Calibri"/>
                <w:b/>
                <w:bCs/>
                <w:sz w:val="22"/>
                <w:szCs w:val="22"/>
              </w:rPr>
              <w:t>Related Overdose</w:t>
            </w:r>
            <w:r w:rsidR="0050537B">
              <w:rPr>
                <w:rFonts w:ascii="Calibri" w:hAnsi="Calibri"/>
                <w:b/>
                <w:bCs/>
                <w:sz w:val="22"/>
                <w:szCs w:val="22"/>
              </w:rPr>
              <w:t xml:space="preserve"> Death (2013-2014)</w:t>
            </w:r>
            <w:r w:rsidR="00FB160F" w:rsidRPr="00570FB0">
              <w:rPr>
                <w:rFonts w:ascii="Calibri" w:hAnsi="Calibri"/>
                <w:b/>
                <w:bCs/>
                <w:sz w:val="22"/>
                <w:szCs w:val="22"/>
              </w:rPr>
              <w:t xml:space="preserve"> by Treatment Status</w:t>
            </w:r>
            <w:r w:rsidR="0050537B">
              <w:rPr>
                <w:rFonts w:ascii="Calibri" w:hAnsi="Calibri"/>
                <w:b/>
                <w:bCs/>
                <w:sz w:val="22"/>
                <w:szCs w:val="22"/>
              </w:rPr>
              <w:t xml:space="preserve"> (2011-2014)</w:t>
            </w:r>
          </w:p>
        </w:tc>
      </w:tr>
      <w:tr w:rsidR="00FB160F" w:rsidRPr="00F978E0" w:rsidTr="001C267C">
        <w:trPr>
          <w:jc w:val="center"/>
        </w:trPr>
        <w:tc>
          <w:tcPr>
            <w:tcW w:w="3870" w:type="dxa"/>
            <w:shd w:val="clear" w:color="auto" w:fill="F2F2F2"/>
            <w:vAlign w:val="center"/>
          </w:tcPr>
          <w:p w:rsidR="00FB160F" w:rsidRPr="00570FB0" w:rsidRDefault="00FB160F" w:rsidP="001C267C">
            <w:pPr>
              <w:rPr>
                <w:rFonts w:ascii="Calibri" w:hAnsi="Calibri"/>
                <w:b/>
                <w:bCs/>
                <w:szCs w:val="22"/>
              </w:rPr>
            </w:pPr>
            <w:r w:rsidRPr="00570FB0">
              <w:rPr>
                <w:rFonts w:ascii="Calibri" w:hAnsi="Calibri"/>
                <w:b/>
                <w:bCs/>
                <w:sz w:val="22"/>
                <w:szCs w:val="22"/>
              </w:rPr>
              <w:t>Treatment Type and Risk of Fatal Opioid Overdose</w:t>
            </w:r>
          </w:p>
        </w:tc>
        <w:tc>
          <w:tcPr>
            <w:tcW w:w="2970" w:type="dxa"/>
            <w:shd w:val="clear" w:color="auto" w:fill="F2F2F2"/>
            <w:vAlign w:val="center"/>
          </w:tcPr>
          <w:p w:rsidR="00FB160F" w:rsidRPr="00570FB0" w:rsidRDefault="00FB160F" w:rsidP="001C267C">
            <w:pPr>
              <w:jc w:val="center"/>
              <w:rPr>
                <w:rFonts w:ascii="Calibri" w:hAnsi="Calibri"/>
                <w:b/>
                <w:szCs w:val="22"/>
              </w:rPr>
            </w:pPr>
            <w:r w:rsidRPr="00570FB0">
              <w:rPr>
                <w:rFonts w:ascii="Calibri" w:hAnsi="Calibri"/>
                <w:b/>
                <w:sz w:val="22"/>
                <w:szCs w:val="22"/>
              </w:rPr>
              <w:t>Voluntary Treatment</w:t>
            </w:r>
          </w:p>
        </w:tc>
        <w:tc>
          <w:tcPr>
            <w:tcW w:w="2430" w:type="dxa"/>
            <w:shd w:val="clear" w:color="auto" w:fill="F2F2F2"/>
            <w:vAlign w:val="center"/>
          </w:tcPr>
          <w:p w:rsidR="00FB160F" w:rsidRPr="00570FB0" w:rsidRDefault="00FB160F" w:rsidP="001C267C">
            <w:pPr>
              <w:jc w:val="center"/>
              <w:rPr>
                <w:rFonts w:ascii="Calibri" w:hAnsi="Calibri"/>
                <w:b/>
                <w:szCs w:val="22"/>
              </w:rPr>
            </w:pPr>
            <w:r w:rsidRPr="00570FB0">
              <w:rPr>
                <w:rFonts w:ascii="Calibri" w:hAnsi="Calibri"/>
                <w:b/>
                <w:sz w:val="22"/>
                <w:szCs w:val="22"/>
              </w:rPr>
              <w:t>Involuntary Treatment</w:t>
            </w:r>
          </w:p>
        </w:tc>
      </w:tr>
      <w:tr w:rsidR="00FB160F" w:rsidRPr="00F978E0" w:rsidTr="001C267C">
        <w:trPr>
          <w:jc w:val="center"/>
        </w:trPr>
        <w:tc>
          <w:tcPr>
            <w:tcW w:w="3870" w:type="dxa"/>
            <w:vAlign w:val="center"/>
          </w:tcPr>
          <w:p w:rsidR="00FB160F" w:rsidRPr="00570FB0" w:rsidRDefault="0050537B" w:rsidP="0050537B">
            <w:pPr>
              <w:rPr>
                <w:rFonts w:ascii="Calibri" w:hAnsi="Calibri"/>
                <w:b/>
                <w:bCs/>
                <w:szCs w:val="22"/>
              </w:rPr>
            </w:pPr>
            <w:r>
              <w:rPr>
                <w:rFonts w:ascii="Calibri" w:hAnsi="Calibri"/>
                <w:b/>
                <w:bCs/>
                <w:sz w:val="22"/>
                <w:szCs w:val="22"/>
              </w:rPr>
              <w:t xml:space="preserve">Fatal Overdoses </w:t>
            </w:r>
          </w:p>
        </w:tc>
        <w:tc>
          <w:tcPr>
            <w:tcW w:w="2970" w:type="dxa"/>
          </w:tcPr>
          <w:p w:rsidR="00FB160F" w:rsidRPr="00570FB0" w:rsidRDefault="00FB160F" w:rsidP="001C267C">
            <w:pPr>
              <w:jc w:val="center"/>
              <w:rPr>
                <w:rFonts w:ascii="Calibri" w:hAnsi="Calibri"/>
                <w:szCs w:val="22"/>
              </w:rPr>
            </w:pPr>
            <w:r w:rsidRPr="00570FB0">
              <w:rPr>
                <w:rFonts w:ascii="Calibri" w:hAnsi="Calibri"/>
                <w:sz w:val="22"/>
                <w:szCs w:val="22"/>
              </w:rPr>
              <w:t>892</w:t>
            </w:r>
          </w:p>
        </w:tc>
        <w:tc>
          <w:tcPr>
            <w:tcW w:w="2430" w:type="dxa"/>
          </w:tcPr>
          <w:p w:rsidR="00FB160F" w:rsidRPr="00570FB0" w:rsidRDefault="00FB160F" w:rsidP="001C267C">
            <w:pPr>
              <w:jc w:val="center"/>
              <w:rPr>
                <w:rFonts w:ascii="Calibri" w:hAnsi="Calibri"/>
                <w:szCs w:val="22"/>
              </w:rPr>
            </w:pPr>
            <w:r w:rsidRPr="00570FB0">
              <w:rPr>
                <w:rFonts w:ascii="Calibri" w:hAnsi="Calibri"/>
                <w:sz w:val="22"/>
                <w:szCs w:val="22"/>
              </w:rPr>
              <w:t>134</w:t>
            </w:r>
          </w:p>
        </w:tc>
      </w:tr>
      <w:tr w:rsidR="00FB160F" w:rsidRPr="00F978E0" w:rsidTr="001C267C">
        <w:trPr>
          <w:jc w:val="center"/>
        </w:trPr>
        <w:tc>
          <w:tcPr>
            <w:tcW w:w="3870" w:type="dxa"/>
            <w:shd w:val="clear" w:color="auto" w:fill="F2F2F2"/>
            <w:vAlign w:val="center"/>
          </w:tcPr>
          <w:p w:rsidR="00FB160F" w:rsidRPr="00570FB0" w:rsidRDefault="00FB160F" w:rsidP="0050537B">
            <w:pPr>
              <w:rPr>
                <w:rFonts w:ascii="Calibri" w:hAnsi="Calibri"/>
                <w:b/>
                <w:bCs/>
                <w:szCs w:val="22"/>
              </w:rPr>
            </w:pPr>
            <w:r w:rsidRPr="00570FB0">
              <w:rPr>
                <w:rFonts w:ascii="Calibri" w:hAnsi="Calibri"/>
                <w:b/>
                <w:bCs/>
                <w:sz w:val="22"/>
                <w:szCs w:val="22"/>
              </w:rPr>
              <w:t xml:space="preserve">Total </w:t>
            </w:r>
            <w:r>
              <w:rPr>
                <w:rFonts w:ascii="Calibri" w:hAnsi="Calibri"/>
                <w:b/>
                <w:bCs/>
                <w:sz w:val="22"/>
                <w:szCs w:val="22"/>
              </w:rPr>
              <w:t>Individuals</w:t>
            </w:r>
            <w:r w:rsidR="0050537B">
              <w:rPr>
                <w:rFonts w:ascii="Calibri" w:hAnsi="Calibri"/>
                <w:b/>
                <w:bCs/>
                <w:sz w:val="22"/>
                <w:szCs w:val="22"/>
              </w:rPr>
              <w:t xml:space="preserve"> </w:t>
            </w:r>
          </w:p>
        </w:tc>
        <w:tc>
          <w:tcPr>
            <w:tcW w:w="2970" w:type="dxa"/>
            <w:shd w:val="clear" w:color="auto" w:fill="F2F2F2"/>
          </w:tcPr>
          <w:p w:rsidR="00FB160F" w:rsidRPr="00570FB0" w:rsidRDefault="00FB160F" w:rsidP="001C267C">
            <w:pPr>
              <w:jc w:val="center"/>
              <w:rPr>
                <w:rFonts w:ascii="Calibri" w:hAnsi="Calibri"/>
                <w:szCs w:val="22"/>
              </w:rPr>
            </w:pPr>
            <w:r w:rsidRPr="00570FB0">
              <w:rPr>
                <w:rFonts w:ascii="Calibri" w:hAnsi="Calibri"/>
                <w:sz w:val="22"/>
                <w:szCs w:val="22"/>
              </w:rPr>
              <w:t>139,887</w:t>
            </w:r>
          </w:p>
        </w:tc>
        <w:tc>
          <w:tcPr>
            <w:tcW w:w="2430" w:type="dxa"/>
            <w:shd w:val="clear" w:color="auto" w:fill="F2F2F2"/>
          </w:tcPr>
          <w:p w:rsidR="00FB160F" w:rsidRPr="00570FB0" w:rsidRDefault="00FB160F" w:rsidP="001C267C">
            <w:pPr>
              <w:jc w:val="center"/>
              <w:rPr>
                <w:rFonts w:ascii="Calibri" w:hAnsi="Calibri"/>
                <w:szCs w:val="22"/>
              </w:rPr>
            </w:pPr>
            <w:r w:rsidRPr="00570FB0">
              <w:rPr>
                <w:rFonts w:ascii="Calibri" w:hAnsi="Calibri"/>
                <w:sz w:val="22"/>
                <w:szCs w:val="22"/>
              </w:rPr>
              <w:t>9,464</w:t>
            </w:r>
          </w:p>
        </w:tc>
      </w:tr>
      <w:tr w:rsidR="00FB160F" w:rsidRPr="00F978E0" w:rsidTr="001C267C">
        <w:trPr>
          <w:jc w:val="center"/>
        </w:trPr>
        <w:tc>
          <w:tcPr>
            <w:tcW w:w="3870" w:type="dxa"/>
            <w:vAlign w:val="center"/>
          </w:tcPr>
          <w:p w:rsidR="00FB160F" w:rsidRPr="00570FB0" w:rsidRDefault="00FB160F" w:rsidP="001C267C">
            <w:pPr>
              <w:rPr>
                <w:rFonts w:ascii="Calibri" w:hAnsi="Calibri"/>
                <w:b/>
                <w:bCs/>
                <w:szCs w:val="22"/>
              </w:rPr>
            </w:pPr>
            <w:r w:rsidRPr="00570FB0">
              <w:rPr>
                <w:rFonts w:ascii="Calibri" w:hAnsi="Calibri"/>
                <w:b/>
                <w:bCs/>
                <w:sz w:val="22"/>
                <w:szCs w:val="22"/>
              </w:rPr>
              <w:t>Percent Fatal Overdoses</w:t>
            </w:r>
          </w:p>
        </w:tc>
        <w:tc>
          <w:tcPr>
            <w:tcW w:w="2970" w:type="dxa"/>
          </w:tcPr>
          <w:p w:rsidR="00FB160F" w:rsidRPr="00570FB0" w:rsidRDefault="00FB160F" w:rsidP="001C267C">
            <w:pPr>
              <w:jc w:val="center"/>
              <w:rPr>
                <w:rFonts w:ascii="Calibri" w:hAnsi="Calibri"/>
                <w:szCs w:val="22"/>
              </w:rPr>
            </w:pPr>
            <w:r w:rsidRPr="00570FB0">
              <w:rPr>
                <w:rFonts w:ascii="Calibri" w:hAnsi="Calibri"/>
                <w:sz w:val="22"/>
                <w:szCs w:val="22"/>
              </w:rPr>
              <w:t>0.63%</w:t>
            </w:r>
          </w:p>
        </w:tc>
        <w:tc>
          <w:tcPr>
            <w:tcW w:w="2430" w:type="dxa"/>
          </w:tcPr>
          <w:p w:rsidR="00FB160F" w:rsidRPr="00570FB0" w:rsidRDefault="00FB160F" w:rsidP="001C267C">
            <w:pPr>
              <w:jc w:val="center"/>
              <w:rPr>
                <w:rFonts w:ascii="Calibri" w:hAnsi="Calibri"/>
                <w:szCs w:val="22"/>
              </w:rPr>
            </w:pPr>
            <w:r w:rsidRPr="00570FB0">
              <w:rPr>
                <w:rFonts w:ascii="Calibri" w:hAnsi="Calibri"/>
                <w:sz w:val="22"/>
                <w:szCs w:val="22"/>
              </w:rPr>
              <w:t>1.4%</w:t>
            </w:r>
          </w:p>
        </w:tc>
      </w:tr>
    </w:tbl>
    <w:p w:rsidR="00FB160F" w:rsidRDefault="00FB160F" w:rsidP="00FB160F">
      <w:pPr>
        <w:spacing w:after="120" w:line="276" w:lineRule="auto"/>
        <w:rPr>
          <w:rFonts w:ascii="Calibri" w:hAnsi="Calibri"/>
          <w:b/>
          <w:sz w:val="22"/>
          <w:szCs w:val="22"/>
        </w:rPr>
      </w:pPr>
    </w:p>
    <w:p w:rsidR="00FB160F" w:rsidRDefault="00FB160F" w:rsidP="00FB160F">
      <w:pPr>
        <w:spacing w:after="120" w:line="276" w:lineRule="auto"/>
        <w:rPr>
          <w:rFonts w:ascii="Calibri" w:hAnsi="Calibri"/>
          <w:sz w:val="22"/>
          <w:szCs w:val="22"/>
        </w:rPr>
      </w:pPr>
      <w:r w:rsidRPr="00F978E0">
        <w:rPr>
          <w:rFonts w:ascii="Calibri" w:hAnsi="Calibri"/>
          <w:b/>
          <w:sz w:val="22"/>
          <w:szCs w:val="22"/>
        </w:rPr>
        <w:t>Discussion:</w:t>
      </w:r>
      <w:r w:rsidRPr="00F978E0">
        <w:rPr>
          <w:rFonts w:ascii="Calibri" w:hAnsi="Calibri"/>
          <w:sz w:val="22"/>
          <w:szCs w:val="22"/>
        </w:rPr>
        <w:t xml:space="preserve"> Individuals afflicted with substance use disorders often don’t acknowledge having a substance use problem nor seek treatment until they have significant health and social issues as a consequence of their compulsive behavior associated with their addiction</w:t>
      </w:r>
      <w:r w:rsidR="00301E0D">
        <w:rPr>
          <w:rFonts w:ascii="Calibri" w:hAnsi="Calibri"/>
          <w:sz w:val="22"/>
          <w:szCs w:val="22"/>
        </w:rPr>
        <w:t>.  T</w:t>
      </w:r>
      <w:r w:rsidRPr="00F978E0">
        <w:rPr>
          <w:rFonts w:ascii="Calibri" w:hAnsi="Calibri"/>
          <w:sz w:val="22"/>
          <w:szCs w:val="22"/>
        </w:rPr>
        <w:t>his means that most of the individuals presenting to treatment – voluntary or involuntary – have a multitude of social, behavioral</w:t>
      </w:r>
      <w:r>
        <w:rPr>
          <w:rFonts w:ascii="Calibri" w:hAnsi="Calibri"/>
          <w:sz w:val="22"/>
          <w:szCs w:val="22"/>
        </w:rPr>
        <w:t>,</w:t>
      </w:r>
      <w:r w:rsidRPr="00F978E0">
        <w:rPr>
          <w:rFonts w:ascii="Calibri" w:hAnsi="Calibri"/>
          <w:sz w:val="22"/>
          <w:szCs w:val="22"/>
        </w:rPr>
        <w:t xml:space="preserve"> and health issues</w:t>
      </w:r>
      <w:r w:rsidR="00301E0D">
        <w:rPr>
          <w:rFonts w:ascii="Calibri" w:hAnsi="Calibri"/>
          <w:sz w:val="22"/>
          <w:szCs w:val="22"/>
        </w:rPr>
        <w:t>.  F</w:t>
      </w:r>
      <w:r w:rsidRPr="00F978E0">
        <w:rPr>
          <w:rFonts w:ascii="Calibri" w:hAnsi="Calibri"/>
          <w:sz w:val="22"/>
          <w:szCs w:val="22"/>
        </w:rPr>
        <w:t xml:space="preserve">or example, of the BSAS treatment population included in this study </w:t>
      </w:r>
      <w:r w:rsidRPr="00F978E0">
        <w:rPr>
          <w:rFonts w:ascii="Calibri" w:hAnsi="Calibri"/>
          <w:sz w:val="22"/>
          <w:szCs w:val="22"/>
          <w:lang w:eastAsia="ja-JP"/>
        </w:rPr>
        <w:t>58% reported prior mental health history</w:t>
      </w:r>
      <w:r w:rsidR="00301E0D">
        <w:rPr>
          <w:rFonts w:ascii="Calibri" w:hAnsi="Calibri"/>
          <w:sz w:val="22"/>
          <w:szCs w:val="22"/>
          <w:lang w:eastAsia="ja-JP"/>
        </w:rPr>
        <w:t>.  T</w:t>
      </w:r>
      <w:r w:rsidRPr="00F978E0">
        <w:rPr>
          <w:rFonts w:ascii="Calibri" w:hAnsi="Calibri"/>
          <w:sz w:val="22"/>
          <w:szCs w:val="22"/>
          <w:lang w:eastAsia="ja-JP"/>
        </w:rPr>
        <w:t>hat number was even higher for those committed through Section 35 (83%)</w:t>
      </w:r>
      <w:r w:rsidR="00301E0D">
        <w:rPr>
          <w:rFonts w:ascii="Calibri" w:hAnsi="Calibri"/>
          <w:sz w:val="22"/>
          <w:szCs w:val="22"/>
          <w:lang w:eastAsia="ja-JP"/>
        </w:rPr>
        <w:t>.  S</w:t>
      </w:r>
      <w:r w:rsidRPr="00F978E0">
        <w:rPr>
          <w:rFonts w:ascii="Calibri" w:hAnsi="Calibri"/>
          <w:sz w:val="22"/>
          <w:szCs w:val="22"/>
          <w:highlight w:val="white"/>
        </w:rPr>
        <w:t>ection 35 permits the courts to involuntarily commit someone whose alcohol or drug use puts themsel</w:t>
      </w:r>
      <w:r>
        <w:rPr>
          <w:rFonts w:ascii="Calibri" w:hAnsi="Calibri"/>
          <w:sz w:val="22"/>
          <w:szCs w:val="22"/>
          <w:highlight w:val="white"/>
        </w:rPr>
        <w:t>ves</w:t>
      </w:r>
      <w:r w:rsidRPr="00F978E0">
        <w:rPr>
          <w:rFonts w:ascii="Calibri" w:hAnsi="Calibri"/>
          <w:sz w:val="22"/>
          <w:szCs w:val="22"/>
          <w:highlight w:val="white"/>
        </w:rPr>
        <w:t xml:space="preserve"> or others at risk</w:t>
      </w:r>
      <w:r w:rsidR="00301E0D">
        <w:rPr>
          <w:rFonts w:ascii="Calibri" w:hAnsi="Calibri"/>
          <w:sz w:val="22"/>
          <w:szCs w:val="22"/>
          <w:highlight w:val="white"/>
        </w:rPr>
        <w:t>.  T</w:t>
      </w:r>
      <w:r w:rsidRPr="00F978E0">
        <w:rPr>
          <w:rFonts w:ascii="Calibri" w:hAnsi="Calibri"/>
          <w:sz w:val="22"/>
          <w:szCs w:val="22"/>
        </w:rPr>
        <w:t>herefore, most individuals admitted through Section 35 are not necessarily ready for treatment</w:t>
      </w:r>
      <w:r w:rsidR="00301E0D">
        <w:rPr>
          <w:rFonts w:ascii="Calibri" w:hAnsi="Calibri"/>
          <w:sz w:val="22"/>
          <w:szCs w:val="22"/>
        </w:rPr>
        <w:t>.  Table A</w:t>
      </w:r>
      <w:r w:rsidRPr="00F978E0">
        <w:rPr>
          <w:rFonts w:ascii="Calibri" w:hAnsi="Calibri"/>
          <w:sz w:val="22"/>
          <w:szCs w:val="22"/>
        </w:rPr>
        <w:t>4 provides evidence of significant differences in outcomes between those that received voluntary treatment and those that were committed to treatment involuntarily</w:t>
      </w:r>
      <w:r w:rsidR="00301E0D">
        <w:rPr>
          <w:rFonts w:ascii="Calibri" w:hAnsi="Calibri"/>
          <w:sz w:val="22"/>
          <w:szCs w:val="22"/>
        </w:rPr>
        <w:t>.  A</w:t>
      </w:r>
      <w:r w:rsidRPr="00F978E0">
        <w:rPr>
          <w:rFonts w:ascii="Calibri" w:hAnsi="Calibri"/>
          <w:sz w:val="22"/>
          <w:szCs w:val="22"/>
        </w:rPr>
        <w:t xml:space="preserve"> higher percentage of those that had a history of involuntary treatment died of </w:t>
      </w:r>
      <w:r>
        <w:rPr>
          <w:rFonts w:ascii="Calibri" w:hAnsi="Calibri"/>
          <w:sz w:val="22"/>
          <w:szCs w:val="22"/>
        </w:rPr>
        <w:t>an o</w:t>
      </w:r>
      <w:r w:rsidRPr="00F978E0">
        <w:rPr>
          <w:rFonts w:ascii="Calibri" w:hAnsi="Calibri"/>
          <w:sz w:val="22"/>
          <w:szCs w:val="22"/>
        </w:rPr>
        <w:t>pioid</w:t>
      </w:r>
      <w:r>
        <w:rPr>
          <w:rFonts w:ascii="Calibri" w:hAnsi="Calibri"/>
          <w:sz w:val="22"/>
          <w:szCs w:val="22"/>
        </w:rPr>
        <w:t>-related</w:t>
      </w:r>
      <w:r w:rsidRPr="00F978E0">
        <w:rPr>
          <w:rFonts w:ascii="Calibri" w:hAnsi="Calibri"/>
          <w:sz w:val="22"/>
          <w:szCs w:val="22"/>
        </w:rPr>
        <w:t xml:space="preserve"> overdose compared to those without a history of involuntary treatment</w:t>
      </w:r>
      <w:r w:rsidR="00301E0D">
        <w:rPr>
          <w:rFonts w:ascii="Calibri" w:hAnsi="Calibri"/>
          <w:sz w:val="22"/>
          <w:szCs w:val="22"/>
        </w:rPr>
        <w:t>.  T</w:t>
      </w:r>
      <w:r w:rsidRPr="00F978E0">
        <w:rPr>
          <w:rFonts w:ascii="Calibri" w:hAnsi="Calibri"/>
          <w:sz w:val="22"/>
          <w:szCs w:val="22"/>
        </w:rPr>
        <w:t xml:space="preserve">he differences in history of prior mental health treatment and </w:t>
      </w:r>
      <w:r>
        <w:rPr>
          <w:rFonts w:ascii="Calibri" w:hAnsi="Calibri"/>
          <w:sz w:val="22"/>
          <w:szCs w:val="22"/>
        </w:rPr>
        <w:t>nonfatal</w:t>
      </w:r>
      <w:r w:rsidRPr="00F978E0">
        <w:rPr>
          <w:rFonts w:ascii="Calibri" w:hAnsi="Calibri"/>
          <w:sz w:val="22"/>
          <w:szCs w:val="22"/>
        </w:rPr>
        <w:t xml:space="preserve"> overdoses may indicate that these clients have complex co</w:t>
      </w:r>
      <w:r>
        <w:rPr>
          <w:rFonts w:ascii="Calibri" w:hAnsi="Calibri"/>
          <w:sz w:val="22"/>
          <w:szCs w:val="22"/>
        </w:rPr>
        <w:t>-</w:t>
      </w:r>
      <w:r w:rsidRPr="00F978E0">
        <w:rPr>
          <w:rFonts w:ascii="Calibri" w:hAnsi="Calibri"/>
          <w:sz w:val="22"/>
          <w:szCs w:val="22"/>
        </w:rPr>
        <w:t>morbid conditions and are at a higher risk of fatal overdose</w:t>
      </w:r>
      <w:r w:rsidR="00301E0D">
        <w:rPr>
          <w:rFonts w:ascii="Calibri" w:hAnsi="Calibri"/>
          <w:sz w:val="22"/>
          <w:szCs w:val="22"/>
        </w:rPr>
        <w:t>.  T</w:t>
      </w:r>
      <w:r w:rsidRPr="00F978E0">
        <w:rPr>
          <w:rFonts w:ascii="Calibri" w:hAnsi="Calibri"/>
          <w:sz w:val="22"/>
          <w:szCs w:val="22"/>
        </w:rPr>
        <w:t>here are significant limitations in both</w:t>
      </w:r>
      <w:r>
        <w:rPr>
          <w:rFonts w:ascii="Calibri" w:hAnsi="Calibri"/>
          <w:sz w:val="22"/>
          <w:szCs w:val="22"/>
        </w:rPr>
        <w:t xml:space="preserve"> the</w:t>
      </w:r>
      <w:r w:rsidRPr="00F978E0">
        <w:rPr>
          <w:rFonts w:ascii="Calibri" w:hAnsi="Calibri"/>
          <w:sz w:val="22"/>
          <w:szCs w:val="22"/>
        </w:rPr>
        <w:t xml:space="preserve"> mental health and substance abuse treatment system</w:t>
      </w:r>
      <w:r>
        <w:rPr>
          <w:rFonts w:ascii="Calibri" w:hAnsi="Calibri"/>
          <w:sz w:val="22"/>
          <w:szCs w:val="22"/>
        </w:rPr>
        <w:t>s</w:t>
      </w:r>
      <w:r w:rsidRPr="00F978E0">
        <w:rPr>
          <w:rFonts w:ascii="Calibri" w:hAnsi="Calibri"/>
          <w:sz w:val="22"/>
          <w:szCs w:val="22"/>
        </w:rPr>
        <w:t xml:space="preserve"> in addressing the dually diagnosed</w:t>
      </w:r>
      <w:r w:rsidR="00301E0D">
        <w:rPr>
          <w:rFonts w:ascii="Calibri" w:hAnsi="Calibri"/>
          <w:sz w:val="22"/>
          <w:szCs w:val="22"/>
        </w:rPr>
        <w:t>.  M</w:t>
      </w:r>
      <w:r w:rsidRPr="00F978E0">
        <w:rPr>
          <w:rFonts w:ascii="Calibri" w:hAnsi="Calibri"/>
          <w:sz w:val="22"/>
          <w:szCs w:val="22"/>
        </w:rPr>
        <w:t xml:space="preserve">ental health clinicians’ knowledge of substance use disorders and overdose prevention is necessary given the significant overlap </w:t>
      </w:r>
      <w:r>
        <w:rPr>
          <w:rFonts w:ascii="Calibri" w:hAnsi="Calibri"/>
          <w:sz w:val="22"/>
          <w:szCs w:val="22"/>
        </w:rPr>
        <w:t>between these two populations</w:t>
      </w:r>
      <w:r w:rsidR="00301E0D">
        <w:rPr>
          <w:rFonts w:ascii="Calibri" w:hAnsi="Calibri"/>
          <w:sz w:val="22"/>
          <w:szCs w:val="22"/>
        </w:rPr>
        <w:t>.  T</w:t>
      </w:r>
      <w:r>
        <w:rPr>
          <w:rFonts w:ascii="Calibri" w:hAnsi="Calibri"/>
          <w:sz w:val="22"/>
          <w:szCs w:val="22"/>
        </w:rPr>
        <w:t>he s</w:t>
      </w:r>
      <w:r w:rsidRPr="00F978E0">
        <w:rPr>
          <w:rFonts w:ascii="Calibri" w:hAnsi="Calibri"/>
          <w:sz w:val="22"/>
          <w:szCs w:val="22"/>
        </w:rPr>
        <w:t>ame is true about substance abuse providers.</w:t>
      </w:r>
    </w:p>
    <w:p w:rsidR="00FB160F" w:rsidRDefault="00FB160F" w:rsidP="00FB160F">
      <w:pPr>
        <w:spacing w:after="120" w:line="276" w:lineRule="auto"/>
        <w:ind w:firstLine="720"/>
        <w:rPr>
          <w:rFonts w:ascii="Calibri" w:hAnsi="Calibri"/>
          <w:sz w:val="22"/>
          <w:szCs w:val="22"/>
        </w:rPr>
      </w:pPr>
      <w:r w:rsidRPr="00F978E0">
        <w:rPr>
          <w:rFonts w:ascii="Calibri" w:hAnsi="Calibri"/>
          <w:sz w:val="22"/>
          <w:szCs w:val="22"/>
        </w:rPr>
        <w:t xml:space="preserve">Further analysis </w:t>
      </w:r>
      <w:r>
        <w:rPr>
          <w:rFonts w:ascii="Calibri" w:hAnsi="Calibri"/>
          <w:sz w:val="22"/>
          <w:szCs w:val="22"/>
        </w:rPr>
        <w:t>must</w:t>
      </w:r>
      <w:r w:rsidRPr="00F978E0">
        <w:rPr>
          <w:rFonts w:ascii="Calibri" w:hAnsi="Calibri"/>
          <w:sz w:val="22"/>
          <w:szCs w:val="22"/>
        </w:rPr>
        <w:t xml:space="preserve"> be conducted to assess other underlying risk factors, i.e.; prescription history, drugs of choice, </w:t>
      </w:r>
      <w:r>
        <w:rPr>
          <w:rFonts w:ascii="Calibri" w:hAnsi="Calibri"/>
          <w:sz w:val="22"/>
          <w:szCs w:val="22"/>
        </w:rPr>
        <w:t>co-morbid</w:t>
      </w:r>
      <w:r w:rsidRPr="00F978E0">
        <w:rPr>
          <w:rFonts w:ascii="Calibri" w:hAnsi="Calibri"/>
          <w:sz w:val="22"/>
          <w:szCs w:val="22"/>
        </w:rPr>
        <w:t xml:space="preserve"> disorders</w:t>
      </w:r>
      <w:r>
        <w:rPr>
          <w:rFonts w:ascii="Calibri" w:hAnsi="Calibri"/>
          <w:sz w:val="22"/>
          <w:szCs w:val="22"/>
        </w:rPr>
        <w:t xml:space="preserve"> (e.g., mental health conditions)</w:t>
      </w:r>
      <w:r w:rsidRPr="00F978E0">
        <w:rPr>
          <w:rFonts w:ascii="Calibri" w:hAnsi="Calibri"/>
          <w:sz w:val="22"/>
          <w:szCs w:val="22"/>
        </w:rPr>
        <w:t>, and demographics that may put this subpopulation at a higher risk for overdose</w:t>
      </w:r>
      <w:r w:rsidR="00301E0D">
        <w:rPr>
          <w:rFonts w:ascii="Calibri" w:hAnsi="Calibri"/>
          <w:sz w:val="22"/>
          <w:szCs w:val="22"/>
        </w:rPr>
        <w:t>.  H</w:t>
      </w:r>
      <w:r w:rsidRPr="00F978E0">
        <w:rPr>
          <w:rFonts w:ascii="Calibri" w:hAnsi="Calibri"/>
          <w:sz w:val="22"/>
          <w:szCs w:val="22"/>
        </w:rPr>
        <w:t>owever, the preliminary findings are not surprising given the involuntary nature of Section 35 and</w:t>
      </w:r>
      <w:r>
        <w:rPr>
          <w:rFonts w:ascii="Calibri" w:hAnsi="Calibri"/>
          <w:sz w:val="22"/>
          <w:szCs w:val="22"/>
        </w:rPr>
        <w:t xml:space="preserve"> thus potential</w:t>
      </w:r>
      <w:r w:rsidRPr="00F978E0">
        <w:rPr>
          <w:rFonts w:ascii="Calibri" w:hAnsi="Calibri"/>
          <w:sz w:val="22"/>
          <w:szCs w:val="22"/>
        </w:rPr>
        <w:t xml:space="preserve"> lack of client treatment readiness</w:t>
      </w:r>
      <w:r w:rsidR="00301E0D">
        <w:rPr>
          <w:rFonts w:ascii="Calibri" w:hAnsi="Calibri"/>
          <w:sz w:val="22"/>
          <w:szCs w:val="22"/>
        </w:rPr>
        <w:t>.  F</w:t>
      </w:r>
      <w:r w:rsidRPr="00F978E0">
        <w:rPr>
          <w:rFonts w:ascii="Calibri" w:hAnsi="Calibri"/>
          <w:sz w:val="22"/>
          <w:szCs w:val="22"/>
        </w:rPr>
        <w:t xml:space="preserve">uture analysis should also investigate the impact </w:t>
      </w:r>
      <w:r>
        <w:rPr>
          <w:rFonts w:ascii="Calibri" w:hAnsi="Calibri"/>
          <w:sz w:val="22"/>
          <w:szCs w:val="22"/>
        </w:rPr>
        <w:t xml:space="preserve">on risk of overdose death </w:t>
      </w:r>
      <w:r w:rsidRPr="00F978E0">
        <w:rPr>
          <w:rFonts w:ascii="Calibri" w:hAnsi="Calibri"/>
          <w:sz w:val="22"/>
          <w:szCs w:val="22"/>
        </w:rPr>
        <w:t xml:space="preserve">of </w:t>
      </w:r>
      <w:r>
        <w:rPr>
          <w:rFonts w:ascii="Calibri" w:hAnsi="Calibri"/>
          <w:sz w:val="22"/>
          <w:szCs w:val="22"/>
        </w:rPr>
        <w:t xml:space="preserve">the </w:t>
      </w:r>
      <w:r w:rsidRPr="00F978E0">
        <w:rPr>
          <w:rFonts w:ascii="Calibri" w:hAnsi="Calibri"/>
          <w:sz w:val="22"/>
          <w:szCs w:val="22"/>
        </w:rPr>
        <w:t xml:space="preserve">length of </w:t>
      </w:r>
      <w:r w:rsidRPr="00F978E0">
        <w:rPr>
          <w:rFonts w:ascii="Calibri" w:hAnsi="Calibri"/>
          <w:sz w:val="22"/>
          <w:szCs w:val="22"/>
        </w:rPr>
        <w:lastRenderedPageBreak/>
        <w:t>engagement</w:t>
      </w:r>
      <w:r>
        <w:rPr>
          <w:rFonts w:ascii="Calibri" w:hAnsi="Calibri"/>
          <w:sz w:val="22"/>
          <w:szCs w:val="22"/>
        </w:rPr>
        <w:t xml:space="preserve"> as well as the</w:t>
      </w:r>
      <w:r w:rsidRPr="00F978E0">
        <w:rPr>
          <w:rFonts w:ascii="Calibri" w:hAnsi="Calibri"/>
          <w:sz w:val="22"/>
          <w:szCs w:val="22"/>
        </w:rPr>
        <w:t xml:space="preserve"> transition to step down </w:t>
      </w:r>
      <w:r>
        <w:rPr>
          <w:rFonts w:ascii="Calibri" w:hAnsi="Calibri"/>
          <w:sz w:val="22"/>
          <w:szCs w:val="22"/>
        </w:rPr>
        <w:t xml:space="preserve">services following voluntary and involuntary acute </w:t>
      </w:r>
      <w:r w:rsidRPr="00F978E0">
        <w:rPr>
          <w:rFonts w:ascii="Calibri" w:hAnsi="Calibri"/>
          <w:sz w:val="22"/>
          <w:szCs w:val="22"/>
        </w:rPr>
        <w:t>services.</w:t>
      </w:r>
    </w:p>
    <w:p w:rsidR="00FB160F" w:rsidRPr="00F978E0" w:rsidRDefault="00FB160F" w:rsidP="00FB160F">
      <w:pPr>
        <w:spacing w:after="120" w:line="276" w:lineRule="auto"/>
        <w:rPr>
          <w:rFonts w:ascii="Calibri" w:hAnsi="Calibri"/>
          <w:sz w:val="22"/>
          <w:szCs w:val="22"/>
        </w:rPr>
      </w:pPr>
      <w:r w:rsidRPr="00F978E0">
        <w:rPr>
          <w:rFonts w:ascii="Calibri" w:hAnsi="Calibri"/>
          <w:b/>
          <w:sz w:val="22"/>
          <w:szCs w:val="22"/>
        </w:rPr>
        <w:t>Limitations:</w:t>
      </w:r>
      <w:r>
        <w:rPr>
          <w:rFonts w:ascii="Calibri" w:hAnsi="Calibri"/>
          <w:b/>
          <w:sz w:val="22"/>
          <w:szCs w:val="22"/>
        </w:rPr>
        <w:t xml:space="preserve"> </w:t>
      </w:r>
      <w:r w:rsidRPr="00F978E0">
        <w:rPr>
          <w:rFonts w:ascii="Calibri" w:hAnsi="Calibri"/>
          <w:sz w:val="22"/>
          <w:szCs w:val="22"/>
        </w:rPr>
        <w:t>This analysis does not include all Section 35 commitments in the Commonwealth, only those admitted through WATC and MATC</w:t>
      </w:r>
      <w:r>
        <w:rPr>
          <w:rFonts w:ascii="Calibri" w:hAnsi="Calibri"/>
          <w:sz w:val="22"/>
          <w:szCs w:val="22"/>
        </w:rPr>
        <w:t>, which are facilities licensed and operated under contracts from MDPH</w:t>
      </w:r>
      <w:r w:rsidR="00301E0D">
        <w:rPr>
          <w:rFonts w:ascii="Calibri" w:hAnsi="Calibri"/>
          <w:sz w:val="22"/>
          <w:szCs w:val="22"/>
        </w:rPr>
        <w:t>.  A</w:t>
      </w:r>
      <w:r w:rsidRPr="00F978E0">
        <w:rPr>
          <w:rFonts w:ascii="Calibri" w:hAnsi="Calibri"/>
          <w:sz w:val="22"/>
          <w:szCs w:val="22"/>
        </w:rPr>
        <w:t xml:space="preserve"> significant portion of </w:t>
      </w:r>
      <w:r>
        <w:rPr>
          <w:rFonts w:ascii="Calibri" w:hAnsi="Calibri"/>
          <w:sz w:val="22"/>
          <w:szCs w:val="22"/>
        </w:rPr>
        <w:t>people committed</w:t>
      </w:r>
      <w:r w:rsidRPr="00F978E0">
        <w:rPr>
          <w:rFonts w:ascii="Calibri" w:hAnsi="Calibri"/>
          <w:sz w:val="22"/>
          <w:szCs w:val="22"/>
        </w:rPr>
        <w:t xml:space="preserve"> were sent to </w:t>
      </w:r>
      <w:r>
        <w:rPr>
          <w:rFonts w:ascii="Calibri" w:hAnsi="Calibri"/>
          <w:sz w:val="22"/>
          <w:szCs w:val="22"/>
        </w:rPr>
        <w:t xml:space="preserve">the </w:t>
      </w:r>
      <w:r w:rsidRPr="00F978E0">
        <w:rPr>
          <w:rFonts w:ascii="Calibri" w:hAnsi="Calibri"/>
          <w:sz w:val="22"/>
          <w:szCs w:val="22"/>
        </w:rPr>
        <w:t>M</w:t>
      </w:r>
      <w:r>
        <w:rPr>
          <w:rFonts w:ascii="Calibri" w:hAnsi="Calibri"/>
          <w:sz w:val="22"/>
          <w:szCs w:val="22"/>
        </w:rPr>
        <w:t xml:space="preserve">assachusetts </w:t>
      </w:r>
      <w:r w:rsidRPr="00F978E0">
        <w:rPr>
          <w:rFonts w:ascii="Calibri" w:hAnsi="Calibri"/>
          <w:sz w:val="22"/>
          <w:szCs w:val="22"/>
        </w:rPr>
        <w:t>C</w:t>
      </w:r>
      <w:r>
        <w:rPr>
          <w:rFonts w:ascii="Calibri" w:hAnsi="Calibri"/>
          <w:sz w:val="22"/>
          <w:szCs w:val="22"/>
        </w:rPr>
        <w:t xml:space="preserve">ommitting </w:t>
      </w:r>
      <w:r w:rsidRPr="00F978E0">
        <w:rPr>
          <w:rFonts w:ascii="Calibri" w:hAnsi="Calibri"/>
          <w:sz w:val="22"/>
          <w:szCs w:val="22"/>
        </w:rPr>
        <w:t>I</w:t>
      </w:r>
      <w:r>
        <w:rPr>
          <w:rFonts w:ascii="Calibri" w:hAnsi="Calibri"/>
          <w:sz w:val="22"/>
          <w:szCs w:val="22"/>
        </w:rPr>
        <w:t>nstitution (MCI) in</w:t>
      </w:r>
      <w:r w:rsidRPr="00F978E0">
        <w:rPr>
          <w:rFonts w:ascii="Calibri" w:hAnsi="Calibri"/>
          <w:sz w:val="22"/>
          <w:szCs w:val="22"/>
        </w:rPr>
        <w:t xml:space="preserve"> Framingham and </w:t>
      </w:r>
      <w:r>
        <w:rPr>
          <w:rFonts w:ascii="Calibri" w:hAnsi="Calibri"/>
          <w:sz w:val="22"/>
          <w:szCs w:val="22"/>
        </w:rPr>
        <w:t xml:space="preserve">the </w:t>
      </w:r>
      <w:r w:rsidRPr="00F978E0">
        <w:rPr>
          <w:rFonts w:ascii="Calibri" w:hAnsi="Calibri"/>
          <w:sz w:val="22"/>
          <w:szCs w:val="22"/>
        </w:rPr>
        <w:t>M</w:t>
      </w:r>
      <w:r>
        <w:rPr>
          <w:rFonts w:ascii="Calibri" w:hAnsi="Calibri"/>
          <w:sz w:val="22"/>
          <w:szCs w:val="22"/>
        </w:rPr>
        <w:t xml:space="preserve">assachusetts </w:t>
      </w:r>
      <w:r w:rsidRPr="00F978E0">
        <w:rPr>
          <w:rFonts w:ascii="Calibri" w:hAnsi="Calibri"/>
          <w:sz w:val="22"/>
          <w:szCs w:val="22"/>
        </w:rPr>
        <w:t>A</w:t>
      </w:r>
      <w:r>
        <w:rPr>
          <w:rFonts w:ascii="Calibri" w:hAnsi="Calibri"/>
          <w:sz w:val="22"/>
          <w:szCs w:val="22"/>
        </w:rPr>
        <w:t xml:space="preserve">lcohol and </w:t>
      </w:r>
      <w:r w:rsidRPr="00F978E0">
        <w:rPr>
          <w:rFonts w:ascii="Calibri" w:hAnsi="Calibri"/>
          <w:sz w:val="22"/>
          <w:szCs w:val="22"/>
        </w:rPr>
        <w:t>S</w:t>
      </w:r>
      <w:r>
        <w:rPr>
          <w:rFonts w:ascii="Calibri" w:hAnsi="Calibri"/>
          <w:sz w:val="22"/>
          <w:szCs w:val="22"/>
        </w:rPr>
        <w:t xml:space="preserve">ubstance </w:t>
      </w:r>
      <w:r w:rsidRPr="00F978E0">
        <w:rPr>
          <w:rFonts w:ascii="Calibri" w:hAnsi="Calibri"/>
          <w:sz w:val="22"/>
          <w:szCs w:val="22"/>
        </w:rPr>
        <w:t>A</w:t>
      </w:r>
      <w:r>
        <w:rPr>
          <w:rFonts w:ascii="Calibri" w:hAnsi="Calibri"/>
          <w:sz w:val="22"/>
          <w:szCs w:val="22"/>
        </w:rPr>
        <w:t xml:space="preserve">buse </w:t>
      </w:r>
      <w:r w:rsidRPr="00F978E0">
        <w:rPr>
          <w:rFonts w:ascii="Calibri" w:hAnsi="Calibri"/>
          <w:sz w:val="22"/>
          <w:szCs w:val="22"/>
        </w:rPr>
        <w:t>C</w:t>
      </w:r>
      <w:r>
        <w:rPr>
          <w:rFonts w:ascii="Calibri" w:hAnsi="Calibri"/>
          <w:sz w:val="22"/>
          <w:szCs w:val="22"/>
        </w:rPr>
        <w:t>enter (MASAC)</w:t>
      </w:r>
      <w:r w:rsidRPr="00F978E0">
        <w:rPr>
          <w:rFonts w:ascii="Calibri" w:hAnsi="Calibri"/>
          <w:sz w:val="22"/>
          <w:szCs w:val="22"/>
        </w:rPr>
        <w:t xml:space="preserve"> </w:t>
      </w:r>
      <w:r>
        <w:rPr>
          <w:rFonts w:ascii="Calibri" w:hAnsi="Calibri"/>
          <w:sz w:val="22"/>
          <w:szCs w:val="22"/>
        </w:rPr>
        <w:t xml:space="preserve">in Bridgewater </w:t>
      </w:r>
      <w:r w:rsidRPr="00F978E0">
        <w:rPr>
          <w:rFonts w:ascii="Calibri" w:hAnsi="Calibri"/>
          <w:sz w:val="22"/>
          <w:szCs w:val="22"/>
        </w:rPr>
        <w:t>during this time period</w:t>
      </w:r>
      <w:r w:rsidR="00301E0D">
        <w:rPr>
          <w:rFonts w:ascii="Calibri" w:hAnsi="Calibri"/>
          <w:sz w:val="22"/>
          <w:szCs w:val="22"/>
        </w:rPr>
        <w:t>.  A</w:t>
      </w:r>
      <w:r w:rsidRPr="00F978E0">
        <w:rPr>
          <w:rFonts w:ascii="Calibri" w:hAnsi="Calibri"/>
          <w:sz w:val="22"/>
          <w:szCs w:val="22"/>
        </w:rPr>
        <w:t>s a result, the findings may not fully reflect the risk of overdose for this population</w:t>
      </w:r>
      <w:r w:rsidR="00301E0D">
        <w:rPr>
          <w:rFonts w:ascii="Calibri" w:hAnsi="Calibri"/>
          <w:sz w:val="22"/>
          <w:szCs w:val="22"/>
        </w:rPr>
        <w:t>.  F</w:t>
      </w:r>
      <w:r w:rsidRPr="00F978E0">
        <w:rPr>
          <w:rFonts w:ascii="Calibri" w:hAnsi="Calibri"/>
          <w:sz w:val="22"/>
          <w:szCs w:val="22"/>
        </w:rPr>
        <w:t xml:space="preserve">urthermore, BSAS data does not represent all substance abuse treatment provided in the </w:t>
      </w:r>
      <w:r>
        <w:rPr>
          <w:rFonts w:ascii="Calibri" w:hAnsi="Calibri"/>
          <w:sz w:val="22"/>
          <w:szCs w:val="22"/>
        </w:rPr>
        <w:t>C</w:t>
      </w:r>
      <w:r w:rsidRPr="00F978E0">
        <w:rPr>
          <w:rFonts w:ascii="Calibri" w:hAnsi="Calibri"/>
          <w:sz w:val="22"/>
          <w:szCs w:val="22"/>
        </w:rPr>
        <w:t>ommonwealth</w:t>
      </w:r>
      <w:r w:rsidR="00301E0D">
        <w:rPr>
          <w:rFonts w:ascii="Calibri" w:hAnsi="Calibri"/>
          <w:sz w:val="22"/>
          <w:szCs w:val="22"/>
        </w:rPr>
        <w:t>.  B</w:t>
      </w:r>
      <w:r w:rsidRPr="00F978E0">
        <w:rPr>
          <w:rFonts w:ascii="Calibri" w:hAnsi="Calibri"/>
          <w:sz w:val="22"/>
          <w:szCs w:val="22"/>
        </w:rPr>
        <w:t>SAS only collects data from its contracted providers</w:t>
      </w:r>
      <w:r w:rsidR="00301E0D">
        <w:rPr>
          <w:rFonts w:ascii="Calibri" w:hAnsi="Calibri"/>
          <w:sz w:val="22"/>
          <w:szCs w:val="22"/>
        </w:rPr>
        <w:t>.  O</w:t>
      </w:r>
      <w:r w:rsidRPr="00F978E0">
        <w:rPr>
          <w:rFonts w:ascii="Calibri" w:hAnsi="Calibri"/>
          <w:sz w:val="22"/>
          <w:szCs w:val="22"/>
        </w:rPr>
        <w:t>f the data that is submitted to BSAS, outpatient treatment data is incomplete an</w:t>
      </w:r>
      <w:r>
        <w:rPr>
          <w:rFonts w:ascii="Calibri" w:hAnsi="Calibri"/>
          <w:sz w:val="22"/>
          <w:szCs w:val="22"/>
        </w:rPr>
        <w:t>d does not include all non-BSAS-</w:t>
      </w:r>
      <w:r w:rsidRPr="00F978E0">
        <w:rPr>
          <w:rFonts w:ascii="Calibri" w:hAnsi="Calibri"/>
          <w:sz w:val="22"/>
          <w:szCs w:val="22"/>
        </w:rPr>
        <w:t>paid services</w:t>
      </w:r>
      <w:r w:rsidR="00301E0D">
        <w:rPr>
          <w:rFonts w:ascii="Calibri" w:hAnsi="Calibri"/>
          <w:sz w:val="22"/>
          <w:szCs w:val="22"/>
        </w:rPr>
        <w:t>.  B</w:t>
      </w:r>
      <w:r w:rsidRPr="00F978E0">
        <w:rPr>
          <w:rFonts w:ascii="Calibri" w:hAnsi="Calibri"/>
          <w:sz w:val="22"/>
          <w:szCs w:val="22"/>
        </w:rPr>
        <w:t xml:space="preserve">SAS does not collect data from providers that prescribe Vivitrol or from non-contracted </w:t>
      </w:r>
      <w:r w:rsidR="00667C4C">
        <w:rPr>
          <w:rFonts w:ascii="Calibri" w:hAnsi="Calibri"/>
          <w:sz w:val="22"/>
          <w:szCs w:val="22"/>
        </w:rPr>
        <w:t>bup</w:t>
      </w:r>
      <w:r w:rsidRPr="00F978E0">
        <w:rPr>
          <w:rFonts w:ascii="Calibri" w:hAnsi="Calibri"/>
          <w:sz w:val="22"/>
          <w:szCs w:val="22"/>
        </w:rPr>
        <w:t>renorphine providers</w:t>
      </w:r>
      <w:r w:rsidR="00301E0D">
        <w:rPr>
          <w:rFonts w:ascii="Calibri" w:hAnsi="Calibri"/>
          <w:sz w:val="22"/>
          <w:szCs w:val="22"/>
        </w:rPr>
        <w:t>.  I</w:t>
      </w:r>
      <w:r w:rsidRPr="00F978E0">
        <w:rPr>
          <w:rFonts w:ascii="Calibri" w:hAnsi="Calibri"/>
          <w:sz w:val="22"/>
          <w:szCs w:val="22"/>
        </w:rPr>
        <w:t xml:space="preserve">ncluding substance abuse treatment data captured in other systems such as APCD </w:t>
      </w:r>
      <w:r w:rsidR="000750F1">
        <w:rPr>
          <w:rFonts w:ascii="Calibri" w:hAnsi="Calibri"/>
          <w:sz w:val="22"/>
          <w:szCs w:val="22"/>
        </w:rPr>
        <w:t>may</w:t>
      </w:r>
      <w:r w:rsidRPr="00F978E0">
        <w:rPr>
          <w:rFonts w:ascii="Calibri" w:hAnsi="Calibri"/>
          <w:sz w:val="22"/>
          <w:szCs w:val="22"/>
        </w:rPr>
        <w:t xml:space="preserve"> help refine these findings.</w:t>
      </w:r>
    </w:p>
    <w:p w:rsidR="00FB160F" w:rsidRDefault="00FB160F" w:rsidP="00FB160F">
      <w:pPr>
        <w:spacing w:after="120" w:line="276" w:lineRule="auto"/>
        <w:rPr>
          <w:rFonts w:ascii="Calibri" w:hAnsi="Calibri"/>
          <w:b/>
          <w:sz w:val="22"/>
          <w:szCs w:val="22"/>
        </w:rPr>
      </w:pPr>
    </w:p>
    <w:p w:rsidR="00FB160F" w:rsidRDefault="00FB160F" w:rsidP="00FB160F">
      <w:pPr>
        <w:spacing w:after="120" w:line="276" w:lineRule="auto"/>
        <w:rPr>
          <w:rFonts w:ascii="Calibri" w:hAnsi="Calibri"/>
          <w:b/>
          <w:sz w:val="22"/>
          <w:szCs w:val="22"/>
          <w:u w:val="single"/>
        </w:rPr>
      </w:pPr>
    </w:p>
    <w:p w:rsidR="00FB160F" w:rsidRDefault="00FB160F" w:rsidP="00FB160F">
      <w:pPr>
        <w:rPr>
          <w:rFonts w:ascii="Calibri" w:hAnsi="Calibri"/>
          <w:b/>
          <w:sz w:val="22"/>
          <w:szCs w:val="22"/>
          <w:u w:val="single"/>
        </w:rPr>
      </w:pPr>
      <w:r>
        <w:rPr>
          <w:rFonts w:ascii="Calibri" w:hAnsi="Calibri"/>
          <w:b/>
          <w:sz w:val="22"/>
          <w:szCs w:val="22"/>
          <w:u w:val="single"/>
        </w:rPr>
        <w:br w:type="page"/>
      </w:r>
    </w:p>
    <w:p w:rsidR="00FB160F" w:rsidRPr="00DB0F51" w:rsidRDefault="00BA3381" w:rsidP="00FB160F">
      <w:pPr>
        <w:spacing w:after="120" w:line="276" w:lineRule="auto"/>
        <w:rPr>
          <w:rFonts w:ascii="Calibri" w:hAnsi="Calibri"/>
          <w:i/>
          <w:sz w:val="22"/>
          <w:szCs w:val="22"/>
        </w:rPr>
      </w:pPr>
      <w:r>
        <w:rPr>
          <w:rFonts w:ascii="Calibri" w:hAnsi="Calibri"/>
          <w:b/>
          <w:sz w:val="22"/>
          <w:szCs w:val="22"/>
          <w:u w:val="single"/>
        </w:rPr>
        <w:lastRenderedPageBreak/>
        <w:t>Statutory</w:t>
      </w:r>
      <w:r w:rsidRPr="00DB0F51">
        <w:rPr>
          <w:rFonts w:ascii="Calibri" w:hAnsi="Calibri"/>
          <w:b/>
          <w:sz w:val="22"/>
          <w:szCs w:val="22"/>
          <w:u w:val="single"/>
        </w:rPr>
        <w:t xml:space="preserve"> </w:t>
      </w:r>
      <w:r w:rsidR="00FB160F" w:rsidRPr="00DB0F51">
        <w:rPr>
          <w:rFonts w:ascii="Calibri" w:hAnsi="Calibri"/>
          <w:b/>
          <w:sz w:val="22"/>
          <w:szCs w:val="22"/>
          <w:u w:val="single"/>
        </w:rPr>
        <w:t>Question 5:</w:t>
      </w:r>
      <w:r w:rsidR="00FB160F" w:rsidRPr="00DB0F51">
        <w:rPr>
          <w:rFonts w:ascii="Calibri" w:hAnsi="Calibri"/>
          <w:sz w:val="22"/>
          <w:szCs w:val="22"/>
        </w:rPr>
        <w:t xml:space="preserve"> </w:t>
      </w:r>
      <w:r w:rsidR="00FB160F" w:rsidRPr="00DB0F51">
        <w:rPr>
          <w:rFonts w:ascii="Calibri" w:hAnsi="Calibri"/>
          <w:i/>
          <w:sz w:val="22"/>
          <w:szCs w:val="22"/>
        </w:rPr>
        <w:t xml:space="preserve">“whether the individuals had attempted to enter but were denied access to treatment for substance addiction or behavioral health.”  </w:t>
      </w:r>
    </w:p>
    <w:p w:rsidR="00FB160F" w:rsidRPr="00DB0F51" w:rsidRDefault="00FB160F" w:rsidP="00FB160F">
      <w:pPr>
        <w:spacing w:after="120" w:line="276" w:lineRule="auto"/>
        <w:rPr>
          <w:rFonts w:ascii="Calibri" w:hAnsi="Calibri"/>
          <w:i/>
          <w:sz w:val="22"/>
          <w:szCs w:val="22"/>
        </w:rPr>
      </w:pPr>
      <w:r w:rsidRPr="00DB0F51">
        <w:rPr>
          <w:rFonts w:ascii="Calibri" w:hAnsi="Calibri"/>
          <w:b/>
          <w:sz w:val="22"/>
          <w:szCs w:val="22"/>
        </w:rPr>
        <w:t>Analytic Question 5:</w:t>
      </w:r>
      <w:r w:rsidRPr="00DB0F51">
        <w:rPr>
          <w:rFonts w:ascii="Calibri" w:hAnsi="Calibri"/>
          <w:sz w:val="22"/>
          <w:szCs w:val="22"/>
        </w:rPr>
        <w:t xml:space="preserve"> </w:t>
      </w:r>
      <w:r w:rsidRPr="00DB0F51">
        <w:rPr>
          <w:rFonts w:ascii="Calibri" w:hAnsi="Calibri"/>
          <w:i/>
          <w:sz w:val="22"/>
          <w:szCs w:val="22"/>
        </w:rPr>
        <w:t>“Does denial of service lead to an increased risk of fatal opioid</w:t>
      </w:r>
      <w:r>
        <w:rPr>
          <w:rFonts w:ascii="Calibri" w:hAnsi="Calibri"/>
          <w:i/>
          <w:sz w:val="22"/>
          <w:szCs w:val="22"/>
        </w:rPr>
        <w:t>-related</w:t>
      </w:r>
      <w:r w:rsidRPr="00DB0F51">
        <w:rPr>
          <w:rFonts w:ascii="Calibri" w:hAnsi="Calibri"/>
          <w:i/>
          <w:sz w:val="22"/>
          <w:szCs w:val="22"/>
        </w:rPr>
        <w:t xml:space="preserve"> overdose?” </w:t>
      </w:r>
    </w:p>
    <w:p w:rsidR="00FB160F" w:rsidRDefault="00FB160F" w:rsidP="00FB160F">
      <w:pPr>
        <w:spacing w:after="120" w:line="276" w:lineRule="auto"/>
        <w:ind w:firstLine="720"/>
        <w:rPr>
          <w:rFonts w:ascii="Calibri" w:hAnsi="Calibri"/>
          <w:color w:val="000000"/>
          <w:sz w:val="22"/>
          <w:szCs w:val="22"/>
        </w:rPr>
      </w:pPr>
      <w:r w:rsidRPr="00817828">
        <w:rPr>
          <w:rFonts w:ascii="Calibri" w:hAnsi="Calibri"/>
          <w:sz w:val="22"/>
          <w:szCs w:val="22"/>
        </w:rPr>
        <w:t>This analysis could not be conducted with the data currently available</w:t>
      </w:r>
      <w:r w:rsidR="00301E0D">
        <w:rPr>
          <w:rFonts w:ascii="Calibri" w:hAnsi="Calibri"/>
          <w:sz w:val="22"/>
          <w:szCs w:val="22"/>
        </w:rPr>
        <w:t>.  A</w:t>
      </w:r>
      <w:r w:rsidRPr="00817828">
        <w:rPr>
          <w:rFonts w:ascii="Calibri" w:hAnsi="Calibri"/>
          <w:sz w:val="22"/>
          <w:szCs w:val="22"/>
        </w:rPr>
        <w:t>ddiction is a complex problem partially because there is no single path to recovery</w:t>
      </w:r>
      <w:r w:rsidR="00301E0D">
        <w:rPr>
          <w:rFonts w:ascii="Calibri" w:hAnsi="Calibri"/>
          <w:sz w:val="22"/>
          <w:szCs w:val="22"/>
        </w:rPr>
        <w:t>.  P</w:t>
      </w:r>
      <w:r w:rsidRPr="00817828">
        <w:rPr>
          <w:rFonts w:ascii="Calibri" w:hAnsi="Calibri"/>
          <w:sz w:val="22"/>
          <w:szCs w:val="22"/>
        </w:rPr>
        <w:t>eople with addiction can recover on their own without any treatment; some use self-help strategies to recover while others enter formal treatment.</w:t>
      </w:r>
      <w:r w:rsidRPr="00817828">
        <w:rPr>
          <w:rStyle w:val="FootnoteReference"/>
          <w:szCs w:val="22"/>
        </w:rPr>
        <w:footnoteReference w:id="44"/>
      </w:r>
      <w:r w:rsidRPr="00817828">
        <w:rPr>
          <w:rFonts w:ascii="Calibri" w:hAnsi="Calibri"/>
          <w:sz w:val="22"/>
          <w:szCs w:val="22"/>
        </w:rPr>
        <w:t xml:space="preserve"> Evidence suggests that few people with addiction actually seek treatment, and for those that do, they often wait for many years before entering treatment.</w:t>
      </w:r>
      <w:r w:rsidRPr="00817828">
        <w:rPr>
          <w:rStyle w:val="FootnoteReference"/>
          <w:szCs w:val="22"/>
        </w:rPr>
        <w:footnoteReference w:id="45"/>
      </w:r>
      <w:r w:rsidRPr="00817828">
        <w:rPr>
          <w:rFonts w:ascii="Calibri" w:hAnsi="Calibri"/>
          <w:sz w:val="22"/>
          <w:szCs w:val="22"/>
        </w:rPr>
        <w:t xml:space="preserve"> </w:t>
      </w:r>
      <w:r w:rsidRPr="00817828">
        <w:rPr>
          <w:rFonts w:ascii="Calibri" w:hAnsi="Calibri"/>
          <w:sz w:val="22"/>
          <w:szCs w:val="22"/>
          <w:highlight w:val="white"/>
        </w:rPr>
        <w:t>Only about 10% of individuals with a substance use disorder have had any treatment.</w:t>
      </w:r>
      <w:r w:rsidRPr="00817828">
        <w:rPr>
          <w:rStyle w:val="FootnoteReference"/>
          <w:szCs w:val="22"/>
          <w:highlight w:val="white"/>
        </w:rPr>
        <w:footnoteReference w:id="46"/>
      </w:r>
      <w:r w:rsidRPr="00817828">
        <w:rPr>
          <w:rFonts w:ascii="Calibri" w:hAnsi="Calibri"/>
          <w:sz w:val="22"/>
          <w:szCs w:val="22"/>
          <w:highlight w:val="white"/>
        </w:rPr>
        <w:t xml:space="preserve"> This lack of treatment for those in need is unlike any other area of health care</w:t>
      </w:r>
      <w:r w:rsidR="00301E0D">
        <w:rPr>
          <w:rFonts w:ascii="Calibri" w:hAnsi="Calibri"/>
          <w:sz w:val="22"/>
          <w:szCs w:val="22"/>
          <w:highlight w:val="white"/>
        </w:rPr>
        <w:t>.  B</w:t>
      </w:r>
      <w:r w:rsidRPr="00817828">
        <w:rPr>
          <w:rFonts w:ascii="Calibri" w:hAnsi="Calibri"/>
          <w:sz w:val="22"/>
          <w:szCs w:val="22"/>
          <w:highlight w:val="white"/>
        </w:rPr>
        <w:t>y comparison, approximately 50% of those with a mental health disorder receive treatment.</w:t>
      </w:r>
      <w:r w:rsidRPr="00817828">
        <w:rPr>
          <w:rStyle w:val="FootnoteReference"/>
          <w:szCs w:val="22"/>
          <w:highlight w:val="white"/>
        </w:rPr>
        <w:footnoteReference w:id="47"/>
      </w:r>
      <w:r w:rsidRPr="001141BB">
        <w:rPr>
          <w:rFonts w:ascii="Calibri" w:hAnsi="Calibri"/>
          <w:sz w:val="22"/>
          <w:szCs w:val="22"/>
          <w:highlight w:val="white"/>
          <w:vertAlign w:val="superscript"/>
        </w:rPr>
        <w:t>,</w:t>
      </w:r>
      <w:r w:rsidRPr="00817828">
        <w:rPr>
          <w:rStyle w:val="FootnoteReference"/>
          <w:szCs w:val="22"/>
          <w:highlight w:val="white"/>
        </w:rPr>
        <w:footnoteReference w:id="48"/>
      </w:r>
      <w:r w:rsidRPr="00817828">
        <w:rPr>
          <w:rFonts w:ascii="Calibri" w:hAnsi="Calibri"/>
          <w:sz w:val="22"/>
          <w:szCs w:val="22"/>
        </w:rPr>
        <w:t xml:space="preserve"> In 2014, </w:t>
      </w:r>
      <w:r>
        <w:rPr>
          <w:rFonts w:ascii="Calibri" w:hAnsi="Calibri"/>
          <w:sz w:val="22"/>
          <w:szCs w:val="22"/>
        </w:rPr>
        <w:t xml:space="preserve">the </w:t>
      </w:r>
      <w:r w:rsidRPr="00817828">
        <w:rPr>
          <w:rFonts w:ascii="Calibri" w:hAnsi="Calibri"/>
          <w:sz w:val="22"/>
          <w:szCs w:val="22"/>
        </w:rPr>
        <w:t>S</w:t>
      </w:r>
      <w:r>
        <w:rPr>
          <w:rFonts w:ascii="Calibri" w:hAnsi="Calibri"/>
          <w:sz w:val="22"/>
          <w:szCs w:val="22"/>
        </w:rPr>
        <w:t xml:space="preserve">ubstance </w:t>
      </w:r>
      <w:r w:rsidRPr="00817828">
        <w:rPr>
          <w:rFonts w:ascii="Calibri" w:hAnsi="Calibri"/>
          <w:sz w:val="22"/>
          <w:szCs w:val="22"/>
        </w:rPr>
        <w:t>A</w:t>
      </w:r>
      <w:r>
        <w:rPr>
          <w:rFonts w:ascii="Calibri" w:hAnsi="Calibri"/>
          <w:sz w:val="22"/>
          <w:szCs w:val="22"/>
        </w:rPr>
        <w:t xml:space="preserve">buse and </w:t>
      </w:r>
      <w:r w:rsidRPr="00817828">
        <w:rPr>
          <w:rFonts w:ascii="Calibri" w:hAnsi="Calibri"/>
          <w:sz w:val="22"/>
          <w:szCs w:val="22"/>
        </w:rPr>
        <w:t>M</w:t>
      </w:r>
      <w:r>
        <w:rPr>
          <w:rFonts w:ascii="Calibri" w:hAnsi="Calibri"/>
          <w:sz w:val="22"/>
          <w:szCs w:val="22"/>
        </w:rPr>
        <w:t xml:space="preserve">ental </w:t>
      </w:r>
      <w:r w:rsidRPr="00817828">
        <w:rPr>
          <w:rFonts w:ascii="Calibri" w:hAnsi="Calibri"/>
          <w:sz w:val="22"/>
          <w:szCs w:val="22"/>
        </w:rPr>
        <w:t>H</w:t>
      </w:r>
      <w:r>
        <w:rPr>
          <w:rFonts w:ascii="Calibri" w:hAnsi="Calibri"/>
          <w:sz w:val="22"/>
          <w:szCs w:val="22"/>
        </w:rPr>
        <w:t xml:space="preserve">ealth </w:t>
      </w:r>
      <w:r w:rsidRPr="00817828">
        <w:rPr>
          <w:rFonts w:ascii="Calibri" w:hAnsi="Calibri"/>
          <w:sz w:val="22"/>
          <w:szCs w:val="22"/>
        </w:rPr>
        <w:t>S</w:t>
      </w:r>
      <w:r>
        <w:rPr>
          <w:rFonts w:ascii="Calibri" w:hAnsi="Calibri"/>
          <w:sz w:val="22"/>
          <w:szCs w:val="22"/>
        </w:rPr>
        <w:t xml:space="preserve">ervice </w:t>
      </w:r>
      <w:r w:rsidRPr="00817828">
        <w:rPr>
          <w:rFonts w:ascii="Calibri" w:hAnsi="Calibri"/>
          <w:sz w:val="22"/>
          <w:szCs w:val="22"/>
        </w:rPr>
        <w:t>A</w:t>
      </w:r>
      <w:r>
        <w:rPr>
          <w:rFonts w:ascii="Calibri" w:hAnsi="Calibri"/>
          <w:sz w:val="22"/>
          <w:szCs w:val="22"/>
        </w:rPr>
        <w:t>dministration (SAMHSA)</w:t>
      </w:r>
      <w:r w:rsidRPr="00817828">
        <w:rPr>
          <w:rFonts w:ascii="Calibri" w:hAnsi="Calibri"/>
          <w:sz w:val="22"/>
          <w:szCs w:val="22"/>
        </w:rPr>
        <w:t xml:space="preserve"> estimated that nationally 19.9 million persons aged 12 or older needed substance use </w:t>
      </w:r>
      <w:r w:rsidRPr="00817828">
        <w:rPr>
          <w:rFonts w:ascii="Calibri" w:hAnsi="Calibri"/>
          <w:color w:val="000000"/>
          <w:sz w:val="22"/>
          <w:szCs w:val="22"/>
        </w:rPr>
        <w:t>treatment but did not receive specialty treatment in the past year</w:t>
      </w:r>
      <w:r w:rsidR="00301E0D">
        <w:rPr>
          <w:rFonts w:ascii="Calibri" w:hAnsi="Calibri"/>
          <w:color w:val="000000"/>
          <w:sz w:val="22"/>
          <w:szCs w:val="22"/>
        </w:rPr>
        <w:t>.  O</w:t>
      </w:r>
      <w:r w:rsidRPr="00817828">
        <w:rPr>
          <w:rFonts w:ascii="Calibri" w:hAnsi="Calibri"/>
          <w:color w:val="000000"/>
          <w:sz w:val="22"/>
          <w:szCs w:val="22"/>
        </w:rPr>
        <w:t>f these 19.9 million persons, only 798,000 reported that they perceived a need for treatment for their use of illicit drugs or alcohol;</w:t>
      </w:r>
      <w:r w:rsidRPr="00817828">
        <w:rPr>
          <w:rFonts w:ascii="Calibri" w:hAnsi="Calibri"/>
          <w:b/>
          <w:color w:val="000000"/>
          <w:sz w:val="22"/>
          <w:szCs w:val="22"/>
        </w:rPr>
        <w:t xml:space="preserve"> </w:t>
      </w:r>
      <w:r w:rsidRPr="00817828">
        <w:rPr>
          <w:rFonts w:ascii="Calibri" w:hAnsi="Calibri"/>
          <w:color w:val="000000"/>
          <w:sz w:val="22"/>
          <w:szCs w:val="22"/>
        </w:rPr>
        <w:t>this</w:t>
      </w:r>
      <w:r w:rsidRPr="00817828">
        <w:rPr>
          <w:rFonts w:ascii="Calibri" w:hAnsi="Calibri"/>
          <w:b/>
          <w:color w:val="000000"/>
          <w:sz w:val="22"/>
          <w:szCs w:val="22"/>
        </w:rPr>
        <w:t xml:space="preserve"> </w:t>
      </w:r>
      <w:r w:rsidRPr="00817828">
        <w:rPr>
          <w:rFonts w:ascii="Calibri" w:hAnsi="Calibri"/>
          <w:color w:val="000000"/>
          <w:sz w:val="22"/>
          <w:szCs w:val="22"/>
        </w:rPr>
        <w:t>corresponds to about 4.0 percent of those that needed treatment</w:t>
      </w:r>
      <w:r w:rsidR="00301E0D">
        <w:rPr>
          <w:rFonts w:ascii="Calibri" w:hAnsi="Calibri"/>
          <w:color w:val="000000"/>
          <w:sz w:val="22"/>
          <w:szCs w:val="22"/>
        </w:rPr>
        <w:t>.  T</w:t>
      </w:r>
      <w:r w:rsidRPr="00817828">
        <w:rPr>
          <w:rFonts w:ascii="Calibri" w:hAnsi="Calibri"/>
          <w:color w:val="000000"/>
          <w:sz w:val="22"/>
          <w:szCs w:val="22"/>
        </w:rPr>
        <w:t>hus, the large majority of the roughly 20 million people aged 12 or older who needed substance use treatment but did not receive specialty treatment did not perceive a need for treatment</w:t>
      </w:r>
      <w:r w:rsidR="00301E0D">
        <w:rPr>
          <w:rFonts w:ascii="Calibri" w:hAnsi="Calibri"/>
          <w:color w:val="000000"/>
          <w:sz w:val="22"/>
          <w:szCs w:val="22"/>
        </w:rPr>
        <w:t>.  O</w:t>
      </w:r>
      <w:r w:rsidRPr="00817828">
        <w:rPr>
          <w:rFonts w:ascii="Calibri" w:hAnsi="Calibri"/>
          <w:color w:val="000000"/>
          <w:sz w:val="22"/>
          <w:szCs w:val="22"/>
        </w:rPr>
        <w:t xml:space="preserve">f the 798,000 persons who perceived a need for treatment, </w:t>
      </w:r>
      <w:r>
        <w:rPr>
          <w:rFonts w:ascii="Calibri" w:hAnsi="Calibri"/>
          <w:color w:val="000000"/>
          <w:sz w:val="22"/>
          <w:szCs w:val="22"/>
        </w:rPr>
        <w:t>only a small percentage</w:t>
      </w:r>
      <w:r w:rsidRPr="00817828">
        <w:rPr>
          <w:rFonts w:ascii="Calibri" w:hAnsi="Calibri"/>
          <w:color w:val="000000"/>
          <w:sz w:val="22"/>
          <w:szCs w:val="22"/>
        </w:rPr>
        <w:t xml:space="preserve"> made an effort to get treatment (Figure</w:t>
      </w:r>
      <w:r w:rsidR="00301E0D">
        <w:rPr>
          <w:rFonts w:ascii="Calibri" w:hAnsi="Calibri"/>
          <w:color w:val="000000"/>
          <w:sz w:val="22"/>
          <w:szCs w:val="22"/>
        </w:rPr>
        <w:t xml:space="preserve"> A</w:t>
      </w:r>
      <w:r>
        <w:rPr>
          <w:rFonts w:ascii="Calibri" w:hAnsi="Calibri"/>
          <w:color w:val="000000"/>
          <w:sz w:val="22"/>
          <w:szCs w:val="22"/>
        </w:rPr>
        <w:t>5</w:t>
      </w:r>
      <w:r w:rsidRPr="00817828">
        <w:rPr>
          <w:rFonts w:ascii="Calibri" w:hAnsi="Calibri"/>
          <w:color w:val="000000"/>
          <w:sz w:val="22"/>
          <w:szCs w:val="22"/>
        </w:rPr>
        <w:t>).</w:t>
      </w:r>
      <w:r w:rsidRPr="00817828">
        <w:rPr>
          <w:rStyle w:val="FootnoteReference"/>
          <w:color w:val="000000"/>
          <w:szCs w:val="22"/>
        </w:rPr>
        <w:footnoteReference w:id="49"/>
      </w:r>
    </w:p>
    <w:p w:rsidR="00FB160F" w:rsidRDefault="00FB160F" w:rsidP="00FB160F">
      <w:pPr>
        <w:spacing w:after="120" w:line="276" w:lineRule="auto"/>
        <w:ind w:firstLine="720"/>
        <w:rPr>
          <w:rFonts w:ascii="Calibri" w:hAnsi="Calibri"/>
          <w:color w:val="000000"/>
          <w:sz w:val="22"/>
          <w:szCs w:val="22"/>
        </w:rPr>
      </w:pPr>
    </w:p>
    <w:p w:rsidR="00FB160F" w:rsidRDefault="00FB160F" w:rsidP="00FB160F">
      <w:pPr>
        <w:spacing w:after="120" w:line="276" w:lineRule="auto"/>
        <w:ind w:firstLine="720"/>
        <w:rPr>
          <w:rFonts w:ascii="Calibri" w:hAnsi="Calibri"/>
          <w:color w:val="000000"/>
          <w:sz w:val="22"/>
          <w:szCs w:val="22"/>
        </w:rPr>
      </w:pPr>
    </w:p>
    <w:p w:rsidR="00FB160F" w:rsidRDefault="00FB160F" w:rsidP="00FB160F">
      <w:pPr>
        <w:spacing w:after="120" w:line="276" w:lineRule="auto"/>
        <w:ind w:firstLine="720"/>
        <w:rPr>
          <w:rFonts w:ascii="Calibri" w:hAnsi="Calibri"/>
          <w:color w:val="000000"/>
          <w:sz w:val="22"/>
          <w:szCs w:val="22"/>
        </w:rPr>
      </w:pPr>
    </w:p>
    <w:p w:rsidR="00FB160F" w:rsidRDefault="00FB160F" w:rsidP="00FB160F">
      <w:pPr>
        <w:spacing w:after="120" w:line="276" w:lineRule="auto"/>
        <w:ind w:firstLine="720"/>
        <w:rPr>
          <w:rFonts w:ascii="Calibri" w:hAnsi="Calibri"/>
          <w:color w:val="000000"/>
          <w:sz w:val="22"/>
          <w:szCs w:val="22"/>
        </w:rPr>
      </w:pPr>
    </w:p>
    <w:p w:rsidR="00FB160F" w:rsidRDefault="00FB160F" w:rsidP="00FB160F">
      <w:pPr>
        <w:spacing w:after="120" w:line="276" w:lineRule="auto"/>
        <w:ind w:firstLine="720"/>
        <w:rPr>
          <w:rFonts w:ascii="Calibri" w:hAnsi="Calibri"/>
          <w:color w:val="000000"/>
          <w:sz w:val="22"/>
          <w:szCs w:val="22"/>
        </w:rPr>
      </w:pPr>
    </w:p>
    <w:p w:rsidR="001B2897" w:rsidRDefault="001B2897" w:rsidP="00FB160F">
      <w:pPr>
        <w:spacing w:after="120" w:line="276" w:lineRule="auto"/>
        <w:ind w:firstLine="720"/>
        <w:rPr>
          <w:rFonts w:ascii="Calibri" w:hAnsi="Calibri"/>
          <w:color w:val="000000"/>
          <w:sz w:val="22"/>
          <w:szCs w:val="22"/>
        </w:rPr>
      </w:pPr>
    </w:p>
    <w:p w:rsidR="00FB160F" w:rsidRDefault="00FB160F" w:rsidP="00FB160F">
      <w:pPr>
        <w:spacing w:after="120" w:line="276" w:lineRule="auto"/>
        <w:ind w:firstLine="720"/>
        <w:rPr>
          <w:rFonts w:ascii="Calibri" w:hAnsi="Calibri"/>
          <w:color w:val="000000"/>
          <w:sz w:val="22"/>
          <w:szCs w:val="22"/>
        </w:rPr>
      </w:pPr>
    </w:p>
    <w:p w:rsidR="00FB160F" w:rsidRDefault="00FB160F" w:rsidP="00FB160F">
      <w:pPr>
        <w:spacing w:after="120" w:line="276" w:lineRule="auto"/>
        <w:ind w:firstLine="720"/>
        <w:rPr>
          <w:rFonts w:ascii="Calibri" w:hAnsi="Calibri"/>
          <w:color w:val="000000"/>
          <w:sz w:val="22"/>
          <w:szCs w:val="22"/>
        </w:rPr>
      </w:pPr>
    </w:p>
    <w:p w:rsidR="00FB160F" w:rsidRPr="00DB0F51" w:rsidRDefault="00FB160F" w:rsidP="00FB160F">
      <w:pPr>
        <w:spacing w:before="100" w:beforeAutospacing="1" w:after="120" w:line="276" w:lineRule="auto"/>
        <w:jc w:val="center"/>
        <w:rPr>
          <w:rFonts w:ascii="Calibri" w:hAnsi="Calibri"/>
        </w:rPr>
      </w:pPr>
      <w:r w:rsidRPr="00DB0F51">
        <w:rPr>
          <w:rFonts w:asciiTheme="minorHAnsi" w:hAnsiTheme="minorHAnsi"/>
          <w:noProof/>
        </w:rPr>
        <w:lastRenderedPageBreak/>
        <w:drawing>
          <wp:inline distT="0" distB="0" distL="0" distR="0" wp14:anchorId="5C3C696C" wp14:editId="14A53F16">
            <wp:extent cx="4531360" cy="3474720"/>
            <wp:effectExtent l="0" t="0" r="21590" b="1143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Pr>
          <w:rFonts w:ascii="Calibri" w:hAnsi="Calibri"/>
        </w:rPr>
        <w:br/>
      </w:r>
    </w:p>
    <w:p w:rsidR="00FB160F" w:rsidRPr="00FF1E65" w:rsidRDefault="00FB160F" w:rsidP="00FB160F">
      <w:pPr>
        <w:pStyle w:val="ListParagraph"/>
        <w:autoSpaceDE w:val="0"/>
        <w:autoSpaceDN w:val="0"/>
        <w:adjustRightInd w:val="0"/>
        <w:spacing w:after="120" w:line="276" w:lineRule="auto"/>
        <w:ind w:left="0" w:firstLine="720"/>
        <w:rPr>
          <w:rFonts w:ascii="Calibri" w:hAnsi="Calibri"/>
          <w:sz w:val="22"/>
          <w:szCs w:val="22"/>
          <w:shd w:val="clear" w:color="auto" w:fill="FFFFFF"/>
        </w:rPr>
      </w:pPr>
      <w:r w:rsidRPr="00FF1E65">
        <w:rPr>
          <w:rFonts w:ascii="Calibri" w:hAnsi="Calibri"/>
          <w:sz w:val="22"/>
          <w:szCs w:val="22"/>
          <w:shd w:val="clear" w:color="auto" w:fill="FFFFFF"/>
        </w:rPr>
        <w:t xml:space="preserve">For individuals </w:t>
      </w:r>
      <w:r>
        <w:rPr>
          <w:rFonts w:ascii="Calibri" w:hAnsi="Calibri"/>
          <w:sz w:val="22"/>
          <w:szCs w:val="22"/>
          <w:shd w:val="clear" w:color="auto" w:fill="FFFFFF"/>
        </w:rPr>
        <w:t>who</w:t>
      </w:r>
      <w:r w:rsidRPr="00FF1E65">
        <w:rPr>
          <w:rFonts w:ascii="Calibri" w:hAnsi="Calibri"/>
          <w:sz w:val="22"/>
          <w:szCs w:val="22"/>
          <w:shd w:val="clear" w:color="auto" w:fill="FFFFFF"/>
        </w:rPr>
        <w:t xml:space="preserve"> would like to access treatment, a number of factors can complicate their access to care, including: homelessness, unemployment, childcare, criminal involvement, cost, wait time, distance to treatment, and other barriers that inhibit placement in treatment.</w:t>
      </w:r>
    </w:p>
    <w:p w:rsidR="00FB160F" w:rsidRPr="00FF1E65" w:rsidRDefault="00FB160F" w:rsidP="00FB160F">
      <w:pPr>
        <w:pStyle w:val="ListParagraph"/>
        <w:autoSpaceDE w:val="0"/>
        <w:autoSpaceDN w:val="0"/>
        <w:adjustRightInd w:val="0"/>
        <w:spacing w:after="120" w:line="276" w:lineRule="auto"/>
        <w:ind w:left="0" w:firstLine="720"/>
        <w:rPr>
          <w:rFonts w:ascii="Calibri" w:hAnsi="Calibri"/>
          <w:sz w:val="22"/>
          <w:szCs w:val="22"/>
        </w:rPr>
      </w:pPr>
      <w:r w:rsidRPr="00FF1E65">
        <w:rPr>
          <w:rFonts w:ascii="Calibri" w:hAnsi="Calibri"/>
          <w:sz w:val="22"/>
          <w:szCs w:val="22"/>
        </w:rPr>
        <w:t>Historically, limited residential bed capacity created a bottleneck in the transition of clients from more acute levels of care into less intensive levels of treatment</w:t>
      </w:r>
      <w:r w:rsidR="00301E0D">
        <w:rPr>
          <w:rFonts w:ascii="Calibri" w:hAnsi="Calibri"/>
          <w:sz w:val="22"/>
          <w:szCs w:val="22"/>
        </w:rPr>
        <w:t>.  A</w:t>
      </w:r>
      <w:r w:rsidRPr="00FF1E65">
        <w:rPr>
          <w:rFonts w:ascii="Calibri" w:hAnsi="Calibri"/>
          <w:sz w:val="22"/>
          <w:szCs w:val="22"/>
        </w:rPr>
        <w:t>s a result, providers created their own waitlists and maintained contact with clients awaiting residential beds.  While this helped individual providers in serving their own clients, the redundancy of these lists made it impossible to measure the extent of unmet need throughout the state.  BSAS constantly strives to better understand issues associated with access to treatment in M</w:t>
      </w:r>
      <w:r>
        <w:rPr>
          <w:rFonts w:ascii="Calibri" w:hAnsi="Calibri"/>
          <w:sz w:val="22"/>
          <w:szCs w:val="22"/>
        </w:rPr>
        <w:t>assachusetts</w:t>
      </w:r>
      <w:r w:rsidR="00301E0D">
        <w:rPr>
          <w:rFonts w:ascii="Calibri" w:hAnsi="Calibri"/>
          <w:sz w:val="22"/>
          <w:szCs w:val="22"/>
        </w:rPr>
        <w:t>.  U</w:t>
      </w:r>
      <w:r w:rsidRPr="00FF1E65">
        <w:rPr>
          <w:rFonts w:ascii="Calibri" w:hAnsi="Calibri"/>
          <w:sz w:val="22"/>
          <w:szCs w:val="22"/>
        </w:rPr>
        <w:t>nder a current initiative, the Massachusetts Substance Abuse Helpline will maintain a centralized waitlist</w:t>
      </w:r>
      <w:r w:rsidR="000750F1">
        <w:rPr>
          <w:rFonts w:ascii="Calibri" w:hAnsi="Calibri"/>
          <w:sz w:val="22"/>
          <w:szCs w:val="22"/>
        </w:rPr>
        <w:t xml:space="preserve"> management process</w:t>
      </w:r>
      <w:r w:rsidRPr="00FF1E65">
        <w:rPr>
          <w:rFonts w:ascii="Calibri" w:hAnsi="Calibri"/>
          <w:sz w:val="22"/>
          <w:szCs w:val="22"/>
        </w:rPr>
        <w:t xml:space="preserve"> for residential treatment.  The Substance Abuse Helpline tracks individual admissions into programs and will allow BSAS to report the unduplicated number of people across the state waiting for residential treatment as well as wait time.</w:t>
      </w:r>
      <w:r w:rsidRPr="00FF1E65">
        <w:rPr>
          <w:rStyle w:val="FootnoteReference"/>
          <w:szCs w:val="22"/>
        </w:rPr>
        <w:footnoteReference w:id="50"/>
      </w:r>
      <w:r w:rsidRPr="00FF1E65">
        <w:rPr>
          <w:rFonts w:ascii="Calibri" w:hAnsi="Calibri"/>
          <w:sz w:val="22"/>
          <w:szCs w:val="22"/>
        </w:rPr>
        <w:t xml:space="preserve"> </w:t>
      </w:r>
    </w:p>
    <w:p w:rsidR="00FB160F" w:rsidRDefault="00FB160F" w:rsidP="00FB160F">
      <w:pPr>
        <w:pStyle w:val="ListParagraph"/>
        <w:autoSpaceDE w:val="0"/>
        <w:autoSpaceDN w:val="0"/>
        <w:adjustRightInd w:val="0"/>
        <w:spacing w:after="120" w:line="276" w:lineRule="auto"/>
        <w:ind w:left="0" w:firstLine="720"/>
        <w:rPr>
          <w:rFonts w:ascii="Calibri" w:hAnsi="Calibri"/>
          <w:sz w:val="22"/>
          <w:szCs w:val="22"/>
        </w:rPr>
      </w:pPr>
      <w:r w:rsidRPr="00FF1E65">
        <w:rPr>
          <w:rFonts w:ascii="Calibri" w:hAnsi="Calibri"/>
          <w:sz w:val="22"/>
          <w:szCs w:val="22"/>
        </w:rPr>
        <w:t>This BSAS initiative is the beginning of addressing issues associated with access to treatment</w:t>
      </w:r>
      <w:r w:rsidR="00301E0D">
        <w:rPr>
          <w:rFonts w:ascii="Calibri" w:hAnsi="Calibri"/>
          <w:sz w:val="22"/>
          <w:szCs w:val="22"/>
        </w:rPr>
        <w:t>.  S</w:t>
      </w:r>
      <w:r w:rsidRPr="00FF1E65">
        <w:rPr>
          <w:rFonts w:ascii="Calibri" w:hAnsi="Calibri"/>
          <w:sz w:val="22"/>
          <w:szCs w:val="22"/>
        </w:rPr>
        <w:t>imilar initiatives must be supported to collect access-related information throughout the system</w:t>
      </w:r>
      <w:r w:rsidR="00301E0D">
        <w:rPr>
          <w:rFonts w:ascii="Calibri" w:hAnsi="Calibri"/>
          <w:sz w:val="22"/>
          <w:szCs w:val="22"/>
        </w:rPr>
        <w:t>.  W</w:t>
      </w:r>
      <w:r w:rsidRPr="00FF1E65">
        <w:rPr>
          <w:rFonts w:ascii="Calibri" w:hAnsi="Calibri"/>
          <w:sz w:val="22"/>
          <w:szCs w:val="22"/>
        </w:rPr>
        <w:t>hile waitlists will help to assure that most programs run at their full capacity, uniform and standardized assessment is necessary to make sure that clients admitted meet the clinical criteria for each level of care</w:t>
      </w:r>
      <w:r w:rsidR="00301E0D">
        <w:rPr>
          <w:rFonts w:ascii="Calibri" w:hAnsi="Calibri"/>
          <w:sz w:val="22"/>
          <w:szCs w:val="22"/>
        </w:rPr>
        <w:t>.  T</w:t>
      </w:r>
      <w:r w:rsidRPr="00FF1E65">
        <w:rPr>
          <w:rFonts w:ascii="Calibri" w:hAnsi="Calibri"/>
          <w:sz w:val="22"/>
          <w:szCs w:val="22"/>
        </w:rPr>
        <w:t>hose not meeting the clinical criteria for residential levels of care should be redirected to appropriate treatment and wrap-around services such as housing and case management.</w:t>
      </w:r>
      <w:r>
        <w:rPr>
          <w:rFonts w:ascii="Calibri" w:hAnsi="Calibri"/>
          <w:sz w:val="22"/>
          <w:szCs w:val="22"/>
        </w:rPr>
        <w:br w:type="page"/>
      </w:r>
    </w:p>
    <w:p w:rsidR="00FB160F" w:rsidRPr="001141BB" w:rsidRDefault="00BA3381" w:rsidP="00FB160F">
      <w:pPr>
        <w:pStyle w:val="ListParagraph"/>
        <w:autoSpaceDE w:val="0"/>
        <w:autoSpaceDN w:val="0"/>
        <w:adjustRightInd w:val="0"/>
        <w:spacing w:after="120" w:line="276" w:lineRule="auto"/>
        <w:ind w:left="0"/>
        <w:rPr>
          <w:rFonts w:ascii="Calibri" w:hAnsi="Calibri"/>
          <w:sz w:val="22"/>
          <w:szCs w:val="22"/>
        </w:rPr>
      </w:pPr>
      <w:r>
        <w:rPr>
          <w:rFonts w:ascii="Calibri" w:hAnsi="Calibri"/>
          <w:b/>
          <w:sz w:val="22"/>
          <w:szCs w:val="22"/>
          <w:u w:val="single"/>
        </w:rPr>
        <w:lastRenderedPageBreak/>
        <w:t>Statutory</w:t>
      </w:r>
      <w:r w:rsidRPr="00910856">
        <w:rPr>
          <w:rFonts w:ascii="Calibri" w:hAnsi="Calibri"/>
          <w:b/>
          <w:sz w:val="22"/>
          <w:szCs w:val="22"/>
          <w:u w:val="single"/>
        </w:rPr>
        <w:t xml:space="preserve"> </w:t>
      </w:r>
      <w:r w:rsidR="00FB160F" w:rsidRPr="00910856">
        <w:rPr>
          <w:rFonts w:ascii="Calibri" w:hAnsi="Calibri"/>
          <w:b/>
          <w:sz w:val="22"/>
          <w:szCs w:val="22"/>
          <w:u w:val="single"/>
        </w:rPr>
        <w:t>Question 6:</w:t>
      </w:r>
      <w:r w:rsidR="00FB160F" w:rsidRPr="00910856">
        <w:rPr>
          <w:rFonts w:ascii="Calibri" w:hAnsi="Calibri"/>
          <w:sz w:val="22"/>
          <w:szCs w:val="22"/>
          <w:u w:val="single"/>
        </w:rPr>
        <w:t xml:space="preserve"> </w:t>
      </w:r>
      <w:r w:rsidR="00FB160F" w:rsidRPr="00910856">
        <w:rPr>
          <w:rFonts w:ascii="Calibri" w:hAnsi="Calibri"/>
          <w:i/>
          <w:sz w:val="22"/>
          <w:szCs w:val="22"/>
          <w:u w:val="single"/>
        </w:rPr>
        <w:t>“</w:t>
      </w:r>
      <w:r w:rsidR="00FB160F" w:rsidRPr="00910856">
        <w:rPr>
          <w:rFonts w:ascii="Calibri" w:hAnsi="Calibri"/>
          <w:i/>
          <w:sz w:val="22"/>
          <w:szCs w:val="22"/>
        </w:rPr>
        <w:t>whether the individuals had received past treatment for a substance overdose.”</w:t>
      </w:r>
    </w:p>
    <w:p w:rsidR="00FB160F" w:rsidRPr="00910856" w:rsidRDefault="00FB160F" w:rsidP="00FB160F">
      <w:pPr>
        <w:spacing w:after="120" w:line="276" w:lineRule="auto"/>
        <w:rPr>
          <w:rFonts w:ascii="Calibri" w:hAnsi="Calibri"/>
          <w:i/>
          <w:sz w:val="22"/>
          <w:szCs w:val="22"/>
        </w:rPr>
      </w:pPr>
      <w:r w:rsidRPr="00910856">
        <w:rPr>
          <w:rFonts w:ascii="Calibri" w:hAnsi="Calibri"/>
          <w:b/>
          <w:sz w:val="22"/>
          <w:szCs w:val="22"/>
        </w:rPr>
        <w:t>Analytic Question 6:</w:t>
      </w:r>
      <w:r w:rsidRPr="00910856">
        <w:rPr>
          <w:rFonts w:ascii="Calibri" w:hAnsi="Calibri"/>
          <w:sz w:val="22"/>
          <w:szCs w:val="22"/>
        </w:rPr>
        <w:t xml:space="preserve"> </w:t>
      </w:r>
      <w:r w:rsidRPr="00910856">
        <w:rPr>
          <w:rFonts w:ascii="Calibri" w:hAnsi="Calibri"/>
          <w:i/>
          <w:sz w:val="22"/>
          <w:szCs w:val="22"/>
        </w:rPr>
        <w:t>“</w:t>
      </w:r>
      <w:r>
        <w:rPr>
          <w:rFonts w:ascii="Calibri" w:hAnsi="Calibri"/>
          <w:i/>
          <w:sz w:val="22"/>
          <w:szCs w:val="22"/>
        </w:rPr>
        <w:t>A</w:t>
      </w:r>
      <w:r w:rsidRPr="00910856">
        <w:rPr>
          <w:rFonts w:ascii="Calibri" w:hAnsi="Calibri"/>
          <w:i/>
          <w:sz w:val="22"/>
          <w:szCs w:val="22"/>
        </w:rPr>
        <w:t xml:space="preserve">re those who have had a </w:t>
      </w:r>
      <w:r>
        <w:rPr>
          <w:rFonts w:ascii="Calibri" w:hAnsi="Calibri"/>
          <w:i/>
          <w:sz w:val="22"/>
          <w:szCs w:val="22"/>
        </w:rPr>
        <w:t>nonfatal</w:t>
      </w:r>
      <w:r w:rsidRPr="00910856">
        <w:rPr>
          <w:rFonts w:ascii="Calibri" w:hAnsi="Calibri"/>
          <w:i/>
          <w:sz w:val="22"/>
          <w:szCs w:val="22"/>
        </w:rPr>
        <w:t xml:space="preserve"> </w:t>
      </w:r>
      <w:r>
        <w:rPr>
          <w:rFonts w:ascii="Calibri" w:hAnsi="Calibri"/>
          <w:i/>
          <w:sz w:val="22"/>
          <w:szCs w:val="22"/>
        </w:rPr>
        <w:t xml:space="preserve">opioid-related </w:t>
      </w:r>
      <w:r w:rsidRPr="00910856">
        <w:rPr>
          <w:rFonts w:ascii="Calibri" w:hAnsi="Calibri"/>
          <w:i/>
          <w:sz w:val="22"/>
          <w:szCs w:val="22"/>
        </w:rPr>
        <w:t xml:space="preserve">overdose more likely to die from a fatal </w:t>
      </w:r>
      <w:r>
        <w:rPr>
          <w:rFonts w:ascii="Calibri" w:hAnsi="Calibri"/>
          <w:i/>
          <w:sz w:val="22"/>
          <w:szCs w:val="22"/>
        </w:rPr>
        <w:t xml:space="preserve">opioid-related </w:t>
      </w:r>
      <w:r w:rsidRPr="00910856">
        <w:rPr>
          <w:rFonts w:ascii="Calibri" w:hAnsi="Calibri"/>
          <w:i/>
          <w:sz w:val="22"/>
          <w:szCs w:val="22"/>
        </w:rPr>
        <w:t>overdose?</w:t>
      </w:r>
      <w:r>
        <w:rPr>
          <w:rFonts w:ascii="Calibri" w:hAnsi="Calibri"/>
          <w:i/>
          <w:sz w:val="22"/>
          <w:szCs w:val="22"/>
        </w:rPr>
        <w:t>”</w:t>
      </w:r>
      <w:r w:rsidRPr="00910856">
        <w:rPr>
          <w:rFonts w:ascii="Calibri" w:hAnsi="Calibri"/>
          <w:i/>
          <w:sz w:val="22"/>
          <w:szCs w:val="22"/>
        </w:rPr>
        <w:t xml:space="preserve"> </w:t>
      </w:r>
    </w:p>
    <w:p w:rsidR="00FB160F" w:rsidRDefault="00FB160F" w:rsidP="00FB160F">
      <w:pPr>
        <w:spacing w:after="120" w:line="276" w:lineRule="auto"/>
        <w:ind w:firstLine="720"/>
        <w:rPr>
          <w:rFonts w:ascii="Calibri" w:hAnsi="Calibri"/>
          <w:sz w:val="22"/>
          <w:szCs w:val="22"/>
        </w:rPr>
      </w:pPr>
      <w:r w:rsidRPr="003D75D4">
        <w:rPr>
          <w:rFonts w:ascii="Calibri" w:hAnsi="Calibri"/>
          <w:sz w:val="22"/>
          <w:szCs w:val="22"/>
        </w:rPr>
        <w:t xml:space="preserve">It is assumed that </w:t>
      </w:r>
      <w:r>
        <w:rPr>
          <w:rFonts w:ascii="Calibri" w:hAnsi="Calibri"/>
          <w:sz w:val="22"/>
          <w:szCs w:val="22"/>
        </w:rPr>
        <w:t>people with substance use disorders</w:t>
      </w:r>
      <w:r w:rsidRPr="003D75D4">
        <w:rPr>
          <w:rFonts w:ascii="Calibri" w:hAnsi="Calibri"/>
          <w:sz w:val="22"/>
          <w:szCs w:val="22"/>
        </w:rPr>
        <w:t xml:space="preserve"> </w:t>
      </w:r>
      <w:r>
        <w:rPr>
          <w:rFonts w:ascii="Calibri" w:hAnsi="Calibri"/>
          <w:sz w:val="22"/>
          <w:szCs w:val="22"/>
        </w:rPr>
        <w:t>who have</w:t>
      </w:r>
      <w:r w:rsidRPr="003D75D4">
        <w:rPr>
          <w:rFonts w:ascii="Calibri" w:hAnsi="Calibri"/>
          <w:sz w:val="22"/>
          <w:szCs w:val="22"/>
        </w:rPr>
        <w:t xml:space="preserve"> a history of treatment for </w:t>
      </w:r>
      <w:r>
        <w:rPr>
          <w:rFonts w:ascii="Calibri" w:hAnsi="Calibri"/>
          <w:sz w:val="22"/>
          <w:szCs w:val="22"/>
        </w:rPr>
        <w:t>nonfatal</w:t>
      </w:r>
      <w:r w:rsidRPr="003D75D4">
        <w:rPr>
          <w:rFonts w:ascii="Calibri" w:hAnsi="Calibri"/>
          <w:sz w:val="22"/>
          <w:szCs w:val="22"/>
        </w:rPr>
        <w:t xml:space="preserve"> </w:t>
      </w:r>
      <w:r>
        <w:rPr>
          <w:rFonts w:ascii="Calibri" w:hAnsi="Calibri"/>
          <w:sz w:val="22"/>
          <w:szCs w:val="22"/>
        </w:rPr>
        <w:t xml:space="preserve">opioid-related </w:t>
      </w:r>
      <w:r w:rsidRPr="003D75D4">
        <w:rPr>
          <w:rFonts w:ascii="Calibri" w:hAnsi="Calibri"/>
          <w:sz w:val="22"/>
          <w:szCs w:val="22"/>
        </w:rPr>
        <w:t>overdoses are at higher risk for eventually dying of an opioid</w:t>
      </w:r>
      <w:r>
        <w:rPr>
          <w:rFonts w:ascii="Calibri" w:hAnsi="Calibri"/>
          <w:sz w:val="22"/>
          <w:szCs w:val="22"/>
        </w:rPr>
        <w:t>-related</w:t>
      </w:r>
      <w:r w:rsidRPr="003D75D4">
        <w:rPr>
          <w:rFonts w:ascii="Calibri" w:hAnsi="Calibri"/>
          <w:sz w:val="22"/>
          <w:szCs w:val="22"/>
        </w:rPr>
        <w:t xml:space="preserve"> overdose.  A</w:t>
      </w:r>
      <w:r>
        <w:rPr>
          <w:rFonts w:ascii="Calibri" w:hAnsi="Calibri"/>
          <w:sz w:val="22"/>
          <w:szCs w:val="22"/>
        </w:rPr>
        <w:t>s such, a</w:t>
      </w:r>
      <w:r w:rsidRPr="003D75D4">
        <w:rPr>
          <w:rFonts w:ascii="Calibri" w:hAnsi="Calibri"/>
          <w:sz w:val="22"/>
          <w:szCs w:val="22"/>
        </w:rPr>
        <w:t xml:space="preserve"> history of past treatment </w:t>
      </w:r>
      <w:r>
        <w:rPr>
          <w:rFonts w:ascii="Calibri" w:hAnsi="Calibri"/>
          <w:sz w:val="22"/>
          <w:szCs w:val="22"/>
        </w:rPr>
        <w:t>w</w:t>
      </w:r>
      <w:r w:rsidRPr="003D75D4">
        <w:rPr>
          <w:rFonts w:ascii="Calibri" w:hAnsi="Calibri"/>
          <w:sz w:val="22"/>
          <w:szCs w:val="22"/>
        </w:rPr>
        <w:t xml:space="preserve">ould be a marker for individuals at higher risk for death from </w:t>
      </w:r>
      <w:r>
        <w:rPr>
          <w:rFonts w:ascii="Calibri" w:hAnsi="Calibri"/>
          <w:sz w:val="22"/>
          <w:szCs w:val="22"/>
        </w:rPr>
        <w:t>an overdose</w:t>
      </w:r>
      <w:r w:rsidR="00301E0D">
        <w:rPr>
          <w:rFonts w:ascii="Calibri" w:hAnsi="Calibri"/>
          <w:sz w:val="22"/>
          <w:szCs w:val="22"/>
        </w:rPr>
        <w:t>.  T</w:t>
      </w:r>
      <w:r>
        <w:rPr>
          <w:rFonts w:ascii="Calibri" w:hAnsi="Calibri"/>
          <w:sz w:val="22"/>
          <w:szCs w:val="22"/>
        </w:rPr>
        <w:t>here are two datasets that must be used to identify nonfatal opioid-related overdoses: the Massachusetts Ambulance Trip Record Information System (MATRIS) and Acute Case Mix</w:t>
      </w:r>
      <w:r w:rsidR="00301E0D">
        <w:rPr>
          <w:rFonts w:ascii="Calibri" w:hAnsi="Calibri"/>
          <w:sz w:val="22"/>
          <w:szCs w:val="22"/>
        </w:rPr>
        <w:t>.  A</w:t>
      </w:r>
      <w:r>
        <w:rPr>
          <w:rFonts w:ascii="Calibri" w:hAnsi="Calibri"/>
          <w:sz w:val="22"/>
          <w:szCs w:val="22"/>
        </w:rPr>
        <w:t>n algorithm that utilizes several pieces of information in MATRIS creates a flag to indicate opioid-related incidents.  Both Case Mix and MATRIS data have been linked with death data where possible</w:t>
      </w:r>
      <w:r w:rsidR="00301E0D">
        <w:rPr>
          <w:rFonts w:ascii="Calibri" w:hAnsi="Calibri"/>
          <w:sz w:val="22"/>
          <w:szCs w:val="22"/>
        </w:rPr>
        <w:t>.  A</w:t>
      </w:r>
      <w:r>
        <w:rPr>
          <w:rFonts w:ascii="Calibri" w:hAnsi="Calibri"/>
          <w:sz w:val="22"/>
          <w:szCs w:val="22"/>
        </w:rPr>
        <w:t xml:space="preserve"> gap in this data is that MATRIS does not include information on opioid-related overdoses where an ambulance was not called</w:t>
      </w:r>
      <w:r w:rsidR="00301E0D">
        <w:rPr>
          <w:rFonts w:ascii="Calibri" w:hAnsi="Calibri"/>
          <w:sz w:val="22"/>
          <w:szCs w:val="22"/>
        </w:rPr>
        <w:t>.  C</w:t>
      </w:r>
      <w:r>
        <w:rPr>
          <w:rFonts w:ascii="Calibri" w:hAnsi="Calibri"/>
          <w:sz w:val="22"/>
          <w:szCs w:val="22"/>
        </w:rPr>
        <w:t>ase Mix data, which includes information on Emergency Department visits, Hospitalizations, and Observation stays, can be used to both corroborate the incidence of an opioid-related overdose in MATRIS and also to identify opioid-related overdoses that occurred when a person did not take an ambulance to the hospital</w:t>
      </w:r>
      <w:r w:rsidR="00301E0D">
        <w:rPr>
          <w:rFonts w:ascii="Calibri" w:hAnsi="Calibri"/>
          <w:sz w:val="22"/>
          <w:szCs w:val="22"/>
        </w:rPr>
        <w:t>.  T</w:t>
      </w:r>
      <w:r>
        <w:rPr>
          <w:rFonts w:ascii="Calibri" w:hAnsi="Calibri"/>
          <w:sz w:val="22"/>
          <w:szCs w:val="22"/>
        </w:rPr>
        <w:t>his data can also be linked with deaths in order to determine if the opioid-related overdose was fatal or not</w:t>
      </w:r>
      <w:r w:rsidR="00301E0D">
        <w:rPr>
          <w:rFonts w:ascii="Calibri" w:hAnsi="Calibri"/>
          <w:sz w:val="22"/>
          <w:szCs w:val="22"/>
        </w:rPr>
        <w:t>.  N</w:t>
      </w:r>
      <w:r>
        <w:rPr>
          <w:rFonts w:ascii="Calibri" w:hAnsi="Calibri"/>
          <w:sz w:val="22"/>
          <w:szCs w:val="22"/>
        </w:rPr>
        <w:t>one of our data systems can account for an opioid-related overdose where a person did not take an ambulance and did not end up in a Massachusetts hospital (i.e. a person who was revived with Naloxone by a friend or family member and did not seek additional treatment.)</w:t>
      </w:r>
    </w:p>
    <w:p w:rsidR="00FB160F" w:rsidRDefault="00FB160F" w:rsidP="00FB160F">
      <w:pPr>
        <w:spacing w:after="120" w:line="276" w:lineRule="auto"/>
        <w:rPr>
          <w:rFonts w:asciiTheme="minorHAnsi" w:hAnsiTheme="minorHAnsi"/>
          <w:sz w:val="22"/>
          <w:szCs w:val="22"/>
        </w:rPr>
      </w:pPr>
      <w:r w:rsidRPr="00F96BCE">
        <w:rPr>
          <w:rFonts w:asciiTheme="minorHAnsi" w:hAnsiTheme="minorHAnsi"/>
          <w:b/>
          <w:sz w:val="22"/>
          <w:szCs w:val="22"/>
        </w:rPr>
        <w:t xml:space="preserve">Results:  </w:t>
      </w:r>
      <w:r w:rsidRPr="00F96BCE">
        <w:rPr>
          <w:rFonts w:asciiTheme="minorHAnsi" w:hAnsiTheme="minorHAnsi"/>
          <w:sz w:val="22"/>
          <w:szCs w:val="22"/>
        </w:rPr>
        <w:t>U</w:t>
      </w:r>
      <w:r>
        <w:rPr>
          <w:rFonts w:asciiTheme="minorHAnsi" w:hAnsiTheme="minorHAnsi"/>
          <w:sz w:val="22"/>
          <w:szCs w:val="22"/>
        </w:rPr>
        <w:t>sing ICD9 codes</w:t>
      </w:r>
      <w:r>
        <w:rPr>
          <w:rStyle w:val="FootnoteReference"/>
          <w:rFonts w:asciiTheme="minorHAnsi" w:hAnsiTheme="minorHAnsi"/>
          <w:szCs w:val="22"/>
        </w:rPr>
        <w:footnoteReference w:id="51"/>
      </w:r>
      <w:r>
        <w:rPr>
          <w:rFonts w:asciiTheme="minorHAnsi" w:hAnsiTheme="minorHAnsi"/>
          <w:sz w:val="22"/>
          <w:szCs w:val="22"/>
        </w:rPr>
        <w:t>, 6</w:t>
      </w:r>
      <w:r w:rsidRPr="00F96BCE">
        <w:rPr>
          <w:rFonts w:asciiTheme="minorHAnsi" w:hAnsiTheme="minorHAnsi"/>
          <w:sz w:val="22"/>
          <w:szCs w:val="22"/>
        </w:rPr>
        <w:t xml:space="preserve">,335 </w:t>
      </w:r>
      <w:r>
        <w:rPr>
          <w:rFonts w:asciiTheme="minorHAnsi" w:hAnsiTheme="minorHAnsi"/>
          <w:sz w:val="22"/>
          <w:szCs w:val="22"/>
        </w:rPr>
        <w:t xml:space="preserve">individuals were recorded as having opioid overdoses </w:t>
      </w:r>
      <w:r w:rsidRPr="00F96BCE">
        <w:rPr>
          <w:rFonts w:asciiTheme="minorHAnsi" w:hAnsiTheme="minorHAnsi"/>
          <w:sz w:val="22"/>
          <w:szCs w:val="22"/>
        </w:rPr>
        <w:t xml:space="preserve">in </w:t>
      </w:r>
      <w:r>
        <w:rPr>
          <w:rFonts w:asciiTheme="minorHAnsi" w:hAnsiTheme="minorHAnsi"/>
          <w:sz w:val="22"/>
          <w:szCs w:val="22"/>
        </w:rPr>
        <w:t xml:space="preserve">the </w:t>
      </w:r>
      <w:r w:rsidRPr="00F96BCE">
        <w:rPr>
          <w:rFonts w:asciiTheme="minorHAnsi" w:hAnsiTheme="minorHAnsi"/>
          <w:sz w:val="22"/>
          <w:szCs w:val="22"/>
        </w:rPr>
        <w:t>Case Mix</w:t>
      </w:r>
      <w:r>
        <w:rPr>
          <w:rFonts w:asciiTheme="minorHAnsi" w:hAnsiTheme="minorHAnsi"/>
          <w:sz w:val="22"/>
          <w:szCs w:val="22"/>
        </w:rPr>
        <w:t xml:space="preserve"> data file</w:t>
      </w:r>
      <w:r w:rsidRPr="00F96BCE">
        <w:rPr>
          <w:rFonts w:asciiTheme="minorHAnsi" w:hAnsiTheme="minorHAnsi"/>
          <w:sz w:val="22"/>
          <w:szCs w:val="22"/>
        </w:rPr>
        <w:t xml:space="preserve">.  </w:t>
      </w:r>
      <w:r>
        <w:rPr>
          <w:rFonts w:asciiTheme="minorHAnsi" w:hAnsiTheme="minorHAnsi"/>
          <w:sz w:val="22"/>
          <w:szCs w:val="22"/>
        </w:rPr>
        <w:t>Overdoses were recorded for t</w:t>
      </w:r>
      <w:r w:rsidRPr="00F96BCE">
        <w:rPr>
          <w:rFonts w:asciiTheme="minorHAnsi" w:hAnsiTheme="minorHAnsi"/>
          <w:sz w:val="22"/>
          <w:szCs w:val="22"/>
        </w:rPr>
        <w:t xml:space="preserve">hese </w:t>
      </w:r>
      <w:r>
        <w:rPr>
          <w:rFonts w:asciiTheme="minorHAnsi" w:hAnsiTheme="minorHAnsi"/>
          <w:sz w:val="22"/>
          <w:szCs w:val="22"/>
        </w:rPr>
        <w:t>6,355</w:t>
      </w:r>
      <w:r w:rsidR="00E11012">
        <w:rPr>
          <w:rFonts w:asciiTheme="minorHAnsi" w:hAnsiTheme="minorHAnsi"/>
          <w:sz w:val="22"/>
          <w:szCs w:val="22"/>
        </w:rPr>
        <w:t xml:space="preserve"> people</w:t>
      </w:r>
      <w:r>
        <w:rPr>
          <w:rFonts w:asciiTheme="minorHAnsi" w:hAnsiTheme="minorHAnsi"/>
          <w:sz w:val="22"/>
          <w:szCs w:val="22"/>
        </w:rPr>
        <w:t xml:space="preserve"> in 9,621 different months thus indicating that there were at least 1.5 overdoses per person using Case Mix data alone.  </w:t>
      </w:r>
      <w:r w:rsidRPr="001D4A06">
        <w:rPr>
          <w:rFonts w:asciiTheme="minorHAnsi" w:hAnsiTheme="minorHAnsi"/>
          <w:i/>
          <w:sz w:val="22"/>
          <w:szCs w:val="22"/>
        </w:rPr>
        <w:t xml:space="preserve">Since the </w:t>
      </w:r>
      <w:r>
        <w:rPr>
          <w:rFonts w:asciiTheme="minorHAnsi" w:hAnsiTheme="minorHAnsi"/>
          <w:i/>
          <w:sz w:val="22"/>
          <w:szCs w:val="22"/>
        </w:rPr>
        <w:t xml:space="preserve">Chapter 55 </w:t>
      </w:r>
      <w:r w:rsidRPr="001D4A06">
        <w:rPr>
          <w:rFonts w:asciiTheme="minorHAnsi" w:hAnsiTheme="minorHAnsi"/>
          <w:i/>
          <w:sz w:val="22"/>
          <w:szCs w:val="22"/>
        </w:rPr>
        <w:t>Case Mix data record</w:t>
      </w:r>
      <w:r>
        <w:rPr>
          <w:rFonts w:asciiTheme="minorHAnsi" w:hAnsiTheme="minorHAnsi"/>
          <w:i/>
          <w:sz w:val="22"/>
          <w:szCs w:val="22"/>
        </w:rPr>
        <w:t>s</w:t>
      </w:r>
      <w:r w:rsidRPr="001D4A06">
        <w:rPr>
          <w:rFonts w:asciiTheme="minorHAnsi" w:hAnsiTheme="minorHAnsi"/>
          <w:i/>
          <w:sz w:val="22"/>
          <w:szCs w:val="22"/>
        </w:rPr>
        <w:t xml:space="preserve"> only that one or more events occurred within a month and not the total number of events, it is not possible to compute a more accurate estimate of the average. </w:t>
      </w:r>
      <w:r>
        <w:rPr>
          <w:rFonts w:asciiTheme="minorHAnsi" w:hAnsiTheme="minorHAnsi"/>
          <w:sz w:val="22"/>
          <w:szCs w:val="22"/>
        </w:rPr>
        <w:t xml:space="preserve"> In Case Mix data, </w:t>
      </w:r>
      <w:r w:rsidRPr="00F96BCE">
        <w:rPr>
          <w:rFonts w:asciiTheme="minorHAnsi" w:hAnsiTheme="minorHAnsi"/>
          <w:sz w:val="22"/>
          <w:szCs w:val="22"/>
        </w:rPr>
        <w:t xml:space="preserve">71% had only one </w:t>
      </w:r>
      <w:r>
        <w:rPr>
          <w:rFonts w:asciiTheme="minorHAnsi" w:hAnsiTheme="minorHAnsi"/>
          <w:sz w:val="22"/>
          <w:szCs w:val="22"/>
        </w:rPr>
        <w:t>overdose</w:t>
      </w:r>
      <w:r w:rsidR="00301E0D">
        <w:rPr>
          <w:rFonts w:asciiTheme="minorHAnsi" w:hAnsiTheme="minorHAnsi"/>
          <w:sz w:val="22"/>
          <w:szCs w:val="22"/>
        </w:rPr>
        <w:t>.  O</w:t>
      </w:r>
      <w:r w:rsidRPr="00F96BCE">
        <w:rPr>
          <w:rFonts w:asciiTheme="minorHAnsi" w:hAnsiTheme="minorHAnsi"/>
          <w:sz w:val="22"/>
          <w:szCs w:val="22"/>
        </w:rPr>
        <w:t>f these, 3.7% died of an opioid-related overdose</w:t>
      </w:r>
      <w:r>
        <w:rPr>
          <w:rFonts w:asciiTheme="minorHAnsi" w:hAnsiTheme="minorHAnsi"/>
          <w:sz w:val="22"/>
          <w:szCs w:val="22"/>
        </w:rPr>
        <w:t xml:space="preserve"> at some point in 2013 or 2014</w:t>
      </w:r>
      <w:r w:rsidR="00301E0D">
        <w:rPr>
          <w:rFonts w:asciiTheme="minorHAnsi" w:hAnsiTheme="minorHAnsi"/>
          <w:sz w:val="22"/>
          <w:szCs w:val="22"/>
        </w:rPr>
        <w:t>.  S</w:t>
      </w:r>
      <w:r>
        <w:rPr>
          <w:rFonts w:asciiTheme="minorHAnsi" w:hAnsiTheme="minorHAnsi"/>
          <w:sz w:val="22"/>
          <w:szCs w:val="22"/>
        </w:rPr>
        <w:t xml:space="preserve">imilarly, </w:t>
      </w:r>
      <w:r w:rsidRPr="00F96BCE">
        <w:rPr>
          <w:rFonts w:asciiTheme="minorHAnsi" w:hAnsiTheme="minorHAnsi"/>
          <w:sz w:val="22"/>
          <w:szCs w:val="22"/>
        </w:rPr>
        <w:t xml:space="preserve">29% had more than one </w:t>
      </w:r>
      <w:r>
        <w:rPr>
          <w:rFonts w:asciiTheme="minorHAnsi" w:hAnsiTheme="minorHAnsi"/>
          <w:sz w:val="22"/>
          <w:szCs w:val="22"/>
        </w:rPr>
        <w:t>overdose in Case Mix</w:t>
      </w:r>
      <w:r w:rsidR="00301E0D">
        <w:rPr>
          <w:rFonts w:asciiTheme="minorHAnsi" w:hAnsiTheme="minorHAnsi"/>
          <w:sz w:val="22"/>
          <w:szCs w:val="22"/>
        </w:rPr>
        <w:t>.  O</w:t>
      </w:r>
      <w:r w:rsidRPr="00F96BCE">
        <w:rPr>
          <w:rFonts w:asciiTheme="minorHAnsi" w:hAnsiTheme="minorHAnsi"/>
          <w:sz w:val="22"/>
          <w:szCs w:val="22"/>
        </w:rPr>
        <w:t xml:space="preserve">f these, 6.3% died of an opioid-related </w:t>
      </w:r>
      <w:r>
        <w:rPr>
          <w:rFonts w:asciiTheme="minorHAnsi" w:hAnsiTheme="minorHAnsi"/>
          <w:sz w:val="22"/>
          <w:szCs w:val="22"/>
        </w:rPr>
        <w:t xml:space="preserve">overdose at some point in 2013 or 2014.  See </w:t>
      </w:r>
      <w:r w:rsidR="00301E0D">
        <w:rPr>
          <w:rFonts w:asciiTheme="minorHAnsi" w:hAnsiTheme="minorHAnsi"/>
          <w:sz w:val="22"/>
          <w:szCs w:val="22"/>
        </w:rPr>
        <w:t>Table A</w:t>
      </w:r>
      <w:r>
        <w:rPr>
          <w:rFonts w:asciiTheme="minorHAnsi" w:hAnsiTheme="minorHAnsi"/>
          <w:sz w:val="22"/>
          <w:szCs w:val="22"/>
        </w:rPr>
        <w:t>6a.</w:t>
      </w:r>
    </w:p>
    <w:p w:rsidR="00E10582" w:rsidRDefault="00E10582" w:rsidP="00FB160F">
      <w:pPr>
        <w:spacing w:after="120" w:line="276" w:lineRule="auto"/>
        <w:rPr>
          <w:rFonts w:asciiTheme="minorHAnsi" w:hAnsiTheme="minorHAnsi"/>
          <w:sz w:val="22"/>
          <w:szCs w:val="22"/>
        </w:rPr>
      </w:pPr>
    </w:p>
    <w:p w:rsidR="00FB160F" w:rsidRPr="00F96BCE" w:rsidRDefault="00FB160F" w:rsidP="00FB160F">
      <w:pPr>
        <w:spacing w:after="120" w:line="276" w:lineRule="auto"/>
        <w:rPr>
          <w:rFonts w:asciiTheme="minorHAnsi" w:hAnsiTheme="minorHAnsi"/>
          <w:sz w:val="22"/>
          <w:szCs w:val="22"/>
        </w:rPr>
      </w:pPr>
    </w:p>
    <w:tbl>
      <w:tblPr>
        <w:tblW w:w="5785" w:type="dxa"/>
        <w:jc w:val="center"/>
        <w:tblBorders>
          <w:top w:val="single" w:sz="6" w:space="0" w:color="auto"/>
          <w:left w:val="single" w:sz="6" w:space="0" w:color="auto"/>
          <w:bottom w:val="single" w:sz="6" w:space="0" w:color="auto"/>
          <w:right w:val="single" w:sz="6" w:space="0" w:color="auto"/>
          <w:insideH w:val="single" w:sz="6" w:space="0" w:color="auto"/>
          <w:insideV w:val="single" w:sz="4" w:space="0" w:color="BFBFBF"/>
        </w:tblBorders>
        <w:tblLook w:val="00A0" w:firstRow="1" w:lastRow="0" w:firstColumn="1" w:lastColumn="0" w:noHBand="0" w:noVBand="0"/>
      </w:tblPr>
      <w:tblGrid>
        <w:gridCol w:w="1206"/>
        <w:gridCol w:w="965"/>
        <w:gridCol w:w="976"/>
        <w:gridCol w:w="1256"/>
        <w:gridCol w:w="1372"/>
        <w:gridCol w:w="10"/>
      </w:tblGrid>
      <w:tr w:rsidR="00FB160F" w:rsidRPr="00F978E0" w:rsidTr="001C267C">
        <w:trPr>
          <w:jc w:val="center"/>
        </w:trPr>
        <w:tc>
          <w:tcPr>
            <w:tcW w:w="5785" w:type="dxa"/>
            <w:gridSpan w:val="6"/>
            <w:shd w:val="clear" w:color="auto" w:fill="A6A6A6" w:themeFill="background1" w:themeFillShade="A6"/>
          </w:tcPr>
          <w:p w:rsidR="00FB160F" w:rsidRPr="00570FB0" w:rsidRDefault="00301E0D" w:rsidP="001C267C">
            <w:pPr>
              <w:jc w:val="center"/>
              <w:rPr>
                <w:rFonts w:ascii="Calibri" w:hAnsi="Calibri"/>
                <w:b/>
                <w:bCs/>
                <w:szCs w:val="22"/>
              </w:rPr>
            </w:pPr>
            <w:r>
              <w:rPr>
                <w:rFonts w:ascii="Calibri" w:hAnsi="Calibri"/>
                <w:b/>
                <w:bCs/>
                <w:sz w:val="22"/>
                <w:szCs w:val="22"/>
              </w:rPr>
              <w:t>Table A</w:t>
            </w:r>
            <w:r w:rsidR="00FB160F">
              <w:rPr>
                <w:rFonts w:ascii="Calibri" w:hAnsi="Calibri"/>
                <w:b/>
                <w:bCs/>
                <w:sz w:val="22"/>
                <w:szCs w:val="22"/>
              </w:rPr>
              <w:t>6a: Overdoses by Person i</w:t>
            </w:r>
            <w:r w:rsidR="003A0AFE">
              <w:rPr>
                <w:rFonts w:ascii="Calibri" w:hAnsi="Calibri"/>
                <w:b/>
                <w:bCs/>
                <w:sz w:val="22"/>
                <w:szCs w:val="22"/>
              </w:rPr>
              <w:t>n Case Mix Data, Massachusetts (</w:t>
            </w:r>
            <w:r w:rsidR="00FB160F">
              <w:rPr>
                <w:rFonts w:ascii="Calibri" w:hAnsi="Calibri"/>
                <w:b/>
                <w:bCs/>
                <w:sz w:val="22"/>
                <w:szCs w:val="22"/>
              </w:rPr>
              <w:t>2011-2014</w:t>
            </w:r>
            <w:r w:rsidR="003A0AFE">
              <w:rPr>
                <w:rFonts w:ascii="Calibri" w:hAnsi="Calibri"/>
                <w:b/>
                <w:bCs/>
                <w:sz w:val="22"/>
                <w:szCs w:val="22"/>
              </w:rPr>
              <w:t>)</w:t>
            </w:r>
          </w:p>
        </w:tc>
      </w:tr>
      <w:tr w:rsidR="00FB160F" w:rsidRPr="00F978E0" w:rsidTr="001C267C">
        <w:trPr>
          <w:gridAfter w:val="1"/>
          <w:wAfter w:w="10" w:type="dxa"/>
          <w:jc w:val="center"/>
        </w:trPr>
        <w:tc>
          <w:tcPr>
            <w:tcW w:w="1206" w:type="dxa"/>
            <w:tcBorders>
              <w:right w:val="single" w:sz="6" w:space="0" w:color="auto"/>
            </w:tcBorders>
            <w:shd w:val="clear" w:color="auto" w:fill="F2F2F2"/>
            <w:vAlign w:val="bottom"/>
          </w:tcPr>
          <w:p w:rsidR="00FB160F" w:rsidRPr="00570FB0" w:rsidRDefault="00FB160F" w:rsidP="001C267C">
            <w:pPr>
              <w:jc w:val="center"/>
              <w:rPr>
                <w:rFonts w:ascii="Calibri" w:hAnsi="Calibri"/>
                <w:b/>
                <w:bCs/>
                <w:szCs w:val="22"/>
              </w:rPr>
            </w:pPr>
            <w:r w:rsidRPr="00F96BCE">
              <w:rPr>
                <w:rFonts w:asciiTheme="minorHAnsi" w:hAnsiTheme="minorHAnsi" w:cs="Times"/>
                <w:b/>
                <w:bCs/>
                <w:color w:val="000000"/>
                <w:sz w:val="22"/>
                <w:szCs w:val="22"/>
              </w:rPr>
              <w:t>Total ODs</w:t>
            </w:r>
          </w:p>
        </w:tc>
        <w:tc>
          <w:tcPr>
            <w:tcW w:w="965" w:type="dxa"/>
            <w:tcBorders>
              <w:left w:val="single" w:sz="6" w:space="0" w:color="auto"/>
              <w:right w:val="single" w:sz="6" w:space="0" w:color="auto"/>
            </w:tcBorders>
            <w:shd w:val="clear" w:color="auto" w:fill="F2F2F2"/>
            <w:vAlign w:val="bottom"/>
          </w:tcPr>
          <w:p w:rsidR="00FB160F" w:rsidRPr="00570FB0" w:rsidRDefault="00FB160F" w:rsidP="001C267C">
            <w:pPr>
              <w:jc w:val="center"/>
              <w:rPr>
                <w:rFonts w:ascii="Calibri" w:hAnsi="Calibri"/>
                <w:b/>
                <w:szCs w:val="22"/>
              </w:rPr>
            </w:pPr>
            <w:r w:rsidRPr="00F96BCE">
              <w:rPr>
                <w:rFonts w:asciiTheme="minorHAnsi" w:hAnsiTheme="minorHAnsi" w:cs="Times"/>
                <w:b/>
                <w:bCs/>
                <w:color w:val="000000"/>
                <w:sz w:val="22"/>
                <w:szCs w:val="22"/>
              </w:rPr>
              <w:t>Number</w:t>
            </w:r>
          </w:p>
        </w:tc>
        <w:tc>
          <w:tcPr>
            <w:tcW w:w="976" w:type="dxa"/>
            <w:tcBorders>
              <w:left w:val="single" w:sz="6" w:space="0" w:color="auto"/>
              <w:right w:val="single" w:sz="6" w:space="0" w:color="auto"/>
            </w:tcBorders>
            <w:shd w:val="clear" w:color="auto" w:fill="F2F2F2"/>
            <w:vAlign w:val="bottom"/>
          </w:tcPr>
          <w:p w:rsidR="00FB160F" w:rsidRPr="00570FB0" w:rsidRDefault="00FB160F" w:rsidP="001C267C">
            <w:pPr>
              <w:jc w:val="center"/>
              <w:rPr>
                <w:rFonts w:ascii="Calibri" w:hAnsi="Calibri"/>
                <w:b/>
                <w:sz w:val="22"/>
                <w:szCs w:val="22"/>
              </w:rPr>
            </w:pPr>
            <w:r w:rsidRPr="00F96BCE">
              <w:rPr>
                <w:rFonts w:asciiTheme="minorHAnsi" w:hAnsiTheme="minorHAnsi" w:cs="Times"/>
                <w:b/>
                <w:bCs/>
                <w:color w:val="000000"/>
                <w:sz w:val="22"/>
                <w:szCs w:val="22"/>
              </w:rPr>
              <w:t>Percent</w:t>
            </w:r>
          </w:p>
        </w:tc>
        <w:tc>
          <w:tcPr>
            <w:tcW w:w="1256" w:type="dxa"/>
            <w:tcBorders>
              <w:left w:val="single" w:sz="6" w:space="0" w:color="auto"/>
              <w:right w:val="single" w:sz="6" w:space="0" w:color="auto"/>
            </w:tcBorders>
            <w:shd w:val="clear" w:color="auto" w:fill="F2F2F2"/>
            <w:vAlign w:val="bottom"/>
          </w:tcPr>
          <w:p w:rsidR="00FB160F" w:rsidRPr="00570FB0" w:rsidRDefault="00FB160F" w:rsidP="001C267C">
            <w:pPr>
              <w:jc w:val="center"/>
              <w:rPr>
                <w:rFonts w:ascii="Calibri" w:hAnsi="Calibri"/>
                <w:b/>
                <w:sz w:val="22"/>
                <w:szCs w:val="22"/>
              </w:rPr>
            </w:pPr>
            <w:r w:rsidRPr="00F96BCE">
              <w:rPr>
                <w:rFonts w:asciiTheme="minorHAnsi" w:hAnsiTheme="minorHAnsi" w:cs="Times"/>
                <w:b/>
                <w:bCs/>
                <w:color w:val="000000"/>
                <w:sz w:val="22"/>
                <w:szCs w:val="22"/>
              </w:rPr>
              <w:t>Cumulative</w:t>
            </w:r>
            <w:r w:rsidRPr="00F96BCE">
              <w:rPr>
                <w:rFonts w:asciiTheme="minorHAnsi" w:hAnsiTheme="minorHAnsi" w:cs="Times"/>
                <w:b/>
                <w:bCs/>
                <w:color w:val="000000"/>
                <w:sz w:val="22"/>
                <w:szCs w:val="22"/>
              </w:rPr>
              <w:br/>
              <w:t>Frequency</w:t>
            </w:r>
          </w:p>
        </w:tc>
        <w:tc>
          <w:tcPr>
            <w:tcW w:w="1372" w:type="dxa"/>
            <w:tcBorders>
              <w:left w:val="single" w:sz="6" w:space="0" w:color="auto"/>
            </w:tcBorders>
            <w:shd w:val="clear" w:color="auto" w:fill="F2F2F2"/>
            <w:vAlign w:val="bottom"/>
          </w:tcPr>
          <w:p w:rsidR="00FB160F" w:rsidRPr="00570FB0" w:rsidRDefault="00FB160F" w:rsidP="001C267C">
            <w:pPr>
              <w:jc w:val="center"/>
              <w:rPr>
                <w:rFonts w:ascii="Calibri" w:hAnsi="Calibri"/>
                <w:b/>
                <w:sz w:val="22"/>
                <w:szCs w:val="22"/>
              </w:rPr>
            </w:pPr>
            <w:r w:rsidRPr="00F96BCE">
              <w:rPr>
                <w:rFonts w:asciiTheme="minorHAnsi" w:hAnsiTheme="minorHAnsi" w:cs="Times"/>
                <w:b/>
                <w:bCs/>
                <w:color w:val="000000"/>
                <w:sz w:val="22"/>
                <w:szCs w:val="22"/>
              </w:rPr>
              <w:t>Cumulative</w:t>
            </w:r>
            <w:r w:rsidRPr="00F96BCE">
              <w:rPr>
                <w:rFonts w:asciiTheme="minorHAnsi" w:hAnsiTheme="minorHAnsi" w:cs="Times"/>
                <w:b/>
                <w:bCs/>
                <w:color w:val="000000"/>
                <w:sz w:val="22"/>
                <w:szCs w:val="22"/>
              </w:rPr>
              <w:br/>
              <w:t>Percent</w:t>
            </w:r>
          </w:p>
        </w:tc>
      </w:tr>
      <w:tr w:rsidR="00FB160F" w:rsidRPr="00F978E0" w:rsidTr="001C267C">
        <w:trPr>
          <w:gridAfter w:val="1"/>
          <w:wAfter w:w="10" w:type="dxa"/>
          <w:jc w:val="center"/>
        </w:trPr>
        <w:tc>
          <w:tcPr>
            <w:tcW w:w="1206" w:type="dxa"/>
            <w:tcBorders>
              <w:right w:val="single" w:sz="6" w:space="0" w:color="auto"/>
            </w:tcBorders>
          </w:tcPr>
          <w:p w:rsidR="00FB160F" w:rsidRPr="00570FB0" w:rsidRDefault="00FB160F" w:rsidP="001C267C">
            <w:pPr>
              <w:jc w:val="center"/>
              <w:rPr>
                <w:rFonts w:ascii="Calibri" w:hAnsi="Calibri"/>
                <w:b/>
                <w:bCs/>
                <w:szCs w:val="22"/>
              </w:rPr>
            </w:pPr>
            <w:r w:rsidRPr="00F96BCE">
              <w:rPr>
                <w:rFonts w:asciiTheme="minorHAnsi" w:hAnsiTheme="minorHAnsi" w:cs="Times"/>
                <w:b/>
                <w:bCs/>
                <w:color w:val="000000"/>
                <w:sz w:val="22"/>
                <w:szCs w:val="22"/>
              </w:rPr>
              <w:t>1</w:t>
            </w:r>
          </w:p>
        </w:tc>
        <w:tc>
          <w:tcPr>
            <w:tcW w:w="965" w:type="dxa"/>
            <w:tcBorders>
              <w:left w:val="single" w:sz="6" w:space="0" w:color="auto"/>
              <w:right w:val="single" w:sz="6" w:space="0" w:color="auto"/>
            </w:tcBorders>
          </w:tcPr>
          <w:p w:rsidR="00FB160F" w:rsidRPr="00570FB0" w:rsidRDefault="00FB160F" w:rsidP="001C267C">
            <w:pPr>
              <w:jc w:val="center"/>
              <w:rPr>
                <w:rFonts w:ascii="Calibri" w:hAnsi="Calibri"/>
                <w:szCs w:val="22"/>
              </w:rPr>
            </w:pPr>
            <w:r w:rsidRPr="00F96BCE">
              <w:rPr>
                <w:rFonts w:asciiTheme="minorHAnsi" w:hAnsiTheme="minorHAnsi" w:cs="Times"/>
                <w:color w:val="000000"/>
                <w:sz w:val="22"/>
                <w:szCs w:val="22"/>
              </w:rPr>
              <w:t>4,490</w:t>
            </w:r>
          </w:p>
        </w:tc>
        <w:tc>
          <w:tcPr>
            <w:tcW w:w="976" w:type="dxa"/>
            <w:tcBorders>
              <w:left w:val="single" w:sz="6" w:space="0" w:color="auto"/>
              <w:righ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70.9</w:t>
            </w:r>
          </w:p>
        </w:tc>
        <w:tc>
          <w:tcPr>
            <w:tcW w:w="1256" w:type="dxa"/>
            <w:tcBorders>
              <w:left w:val="single" w:sz="6" w:space="0" w:color="auto"/>
              <w:righ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4,490</w:t>
            </w:r>
          </w:p>
        </w:tc>
        <w:tc>
          <w:tcPr>
            <w:tcW w:w="1372" w:type="dxa"/>
            <w:tcBorders>
              <w:lef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70.9</w:t>
            </w:r>
          </w:p>
        </w:tc>
      </w:tr>
      <w:tr w:rsidR="00FB160F" w:rsidRPr="00F978E0" w:rsidTr="001C267C">
        <w:trPr>
          <w:gridAfter w:val="1"/>
          <w:wAfter w:w="10" w:type="dxa"/>
          <w:jc w:val="center"/>
        </w:trPr>
        <w:tc>
          <w:tcPr>
            <w:tcW w:w="1206" w:type="dxa"/>
            <w:tcBorders>
              <w:right w:val="single" w:sz="6" w:space="0" w:color="auto"/>
            </w:tcBorders>
          </w:tcPr>
          <w:p w:rsidR="00FB160F" w:rsidRPr="00570FB0" w:rsidRDefault="00FB160F" w:rsidP="001C267C">
            <w:pPr>
              <w:jc w:val="center"/>
              <w:rPr>
                <w:rFonts w:ascii="Calibri" w:hAnsi="Calibri"/>
                <w:b/>
                <w:bCs/>
                <w:sz w:val="22"/>
                <w:szCs w:val="22"/>
              </w:rPr>
            </w:pPr>
            <w:r w:rsidRPr="00F96BCE">
              <w:rPr>
                <w:rFonts w:asciiTheme="minorHAnsi" w:hAnsiTheme="minorHAnsi" w:cs="Times"/>
                <w:b/>
                <w:bCs/>
                <w:color w:val="000000"/>
                <w:sz w:val="22"/>
                <w:szCs w:val="22"/>
              </w:rPr>
              <w:t>2</w:t>
            </w:r>
          </w:p>
        </w:tc>
        <w:tc>
          <w:tcPr>
            <w:tcW w:w="965" w:type="dxa"/>
            <w:tcBorders>
              <w:left w:val="single" w:sz="6" w:space="0" w:color="auto"/>
              <w:righ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1,127</w:t>
            </w:r>
          </w:p>
        </w:tc>
        <w:tc>
          <w:tcPr>
            <w:tcW w:w="976" w:type="dxa"/>
            <w:tcBorders>
              <w:left w:val="single" w:sz="6" w:space="0" w:color="auto"/>
              <w:righ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17.8</w:t>
            </w:r>
          </w:p>
        </w:tc>
        <w:tc>
          <w:tcPr>
            <w:tcW w:w="1256" w:type="dxa"/>
            <w:tcBorders>
              <w:left w:val="single" w:sz="6" w:space="0" w:color="auto"/>
              <w:righ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5,617</w:t>
            </w:r>
          </w:p>
        </w:tc>
        <w:tc>
          <w:tcPr>
            <w:tcW w:w="1372" w:type="dxa"/>
            <w:tcBorders>
              <w:lef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88.7</w:t>
            </w:r>
          </w:p>
        </w:tc>
      </w:tr>
      <w:tr w:rsidR="00FB160F" w:rsidRPr="00F978E0" w:rsidTr="001C267C">
        <w:trPr>
          <w:gridAfter w:val="1"/>
          <w:wAfter w:w="10" w:type="dxa"/>
          <w:jc w:val="center"/>
        </w:trPr>
        <w:tc>
          <w:tcPr>
            <w:tcW w:w="1206" w:type="dxa"/>
            <w:tcBorders>
              <w:right w:val="single" w:sz="6" w:space="0" w:color="auto"/>
            </w:tcBorders>
          </w:tcPr>
          <w:p w:rsidR="00FB160F" w:rsidRPr="00570FB0" w:rsidRDefault="00FB160F" w:rsidP="001C267C">
            <w:pPr>
              <w:jc w:val="center"/>
              <w:rPr>
                <w:rFonts w:ascii="Calibri" w:hAnsi="Calibri"/>
                <w:b/>
                <w:bCs/>
                <w:sz w:val="22"/>
                <w:szCs w:val="22"/>
              </w:rPr>
            </w:pPr>
            <w:r w:rsidRPr="00F96BCE">
              <w:rPr>
                <w:rFonts w:asciiTheme="minorHAnsi" w:hAnsiTheme="minorHAnsi" w:cs="Times"/>
                <w:b/>
                <w:bCs/>
                <w:color w:val="000000"/>
                <w:sz w:val="22"/>
                <w:szCs w:val="22"/>
              </w:rPr>
              <w:t>3</w:t>
            </w:r>
          </w:p>
        </w:tc>
        <w:tc>
          <w:tcPr>
            <w:tcW w:w="965" w:type="dxa"/>
            <w:tcBorders>
              <w:left w:val="single" w:sz="6" w:space="0" w:color="auto"/>
              <w:righ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389</w:t>
            </w:r>
          </w:p>
        </w:tc>
        <w:tc>
          <w:tcPr>
            <w:tcW w:w="976" w:type="dxa"/>
            <w:tcBorders>
              <w:left w:val="single" w:sz="6" w:space="0" w:color="auto"/>
              <w:righ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6.1</w:t>
            </w:r>
          </w:p>
        </w:tc>
        <w:tc>
          <w:tcPr>
            <w:tcW w:w="1256" w:type="dxa"/>
            <w:tcBorders>
              <w:left w:val="single" w:sz="6" w:space="0" w:color="auto"/>
              <w:righ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6,006</w:t>
            </w:r>
          </w:p>
        </w:tc>
        <w:tc>
          <w:tcPr>
            <w:tcW w:w="1372" w:type="dxa"/>
            <w:tcBorders>
              <w:lef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94.8</w:t>
            </w:r>
          </w:p>
        </w:tc>
      </w:tr>
      <w:tr w:rsidR="00FB160F" w:rsidRPr="00F978E0" w:rsidTr="001C267C">
        <w:trPr>
          <w:gridAfter w:val="1"/>
          <w:wAfter w:w="10" w:type="dxa"/>
          <w:jc w:val="center"/>
        </w:trPr>
        <w:tc>
          <w:tcPr>
            <w:tcW w:w="1206" w:type="dxa"/>
            <w:tcBorders>
              <w:right w:val="single" w:sz="6" w:space="0" w:color="auto"/>
            </w:tcBorders>
            <w:shd w:val="clear" w:color="auto" w:fill="F2F2F2"/>
          </w:tcPr>
          <w:p w:rsidR="00FB160F" w:rsidRPr="00570FB0" w:rsidRDefault="00FB160F" w:rsidP="001C267C">
            <w:pPr>
              <w:jc w:val="center"/>
              <w:rPr>
                <w:rFonts w:ascii="Calibri" w:hAnsi="Calibri"/>
                <w:b/>
                <w:bCs/>
                <w:szCs w:val="22"/>
              </w:rPr>
            </w:pPr>
            <w:r w:rsidRPr="00F96BCE">
              <w:rPr>
                <w:rFonts w:asciiTheme="minorHAnsi" w:hAnsiTheme="minorHAnsi" w:cs="Times"/>
                <w:b/>
                <w:bCs/>
                <w:color w:val="000000"/>
                <w:sz w:val="22"/>
                <w:szCs w:val="22"/>
              </w:rPr>
              <w:t>4</w:t>
            </w:r>
          </w:p>
        </w:tc>
        <w:tc>
          <w:tcPr>
            <w:tcW w:w="965" w:type="dxa"/>
            <w:tcBorders>
              <w:left w:val="single" w:sz="6" w:space="0" w:color="auto"/>
              <w:right w:val="single" w:sz="6" w:space="0" w:color="auto"/>
            </w:tcBorders>
            <w:shd w:val="clear" w:color="auto" w:fill="F2F2F2"/>
          </w:tcPr>
          <w:p w:rsidR="00FB160F" w:rsidRPr="00570FB0" w:rsidRDefault="00FB160F" w:rsidP="001C267C">
            <w:pPr>
              <w:jc w:val="center"/>
              <w:rPr>
                <w:rFonts w:ascii="Calibri" w:hAnsi="Calibri"/>
                <w:szCs w:val="22"/>
              </w:rPr>
            </w:pPr>
            <w:r w:rsidRPr="00F96BCE">
              <w:rPr>
                <w:rFonts w:asciiTheme="minorHAnsi" w:hAnsiTheme="minorHAnsi" w:cs="Times"/>
                <w:color w:val="000000"/>
                <w:sz w:val="22"/>
                <w:szCs w:val="22"/>
              </w:rPr>
              <w:t>171</w:t>
            </w:r>
          </w:p>
        </w:tc>
        <w:tc>
          <w:tcPr>
            <w:tcW w:w="976" w:type="dxa"/>
            <w:tcBorders>
              <w:left w:val="single" w:sz="6" w:space="0" w:color="auto"/>
              <w:right w:val="single" w:sz="6" w:space="0" w:color="auto"/>
            </w:tcBorders>
            <w:shd w:val="clear" w:color="auto" w:fill="F2F2F2"/>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2.7</w:t>
            </w:r>
          </w:p>
        </w:tc>
        <w:tc>
          <w:tcPr>
            <w:tcW w:w="1256" w:type="dxa"/>
            <w:tcBorders>
              <w:left w:val="single" w:sz="6" w:space="0" w:color="auto"/>
              <w:right w:val="single" w:sz="6" w:space="0" w:color="auto"/>
            </w:tcBorders>
            <w:shd w:val="clear" w:color="auto" w:fill="F2F2F2"/>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6,177</w:t>
            </w:r>
          </w:p>
        </w:tc>
        <w:tc>
          <w:tcPr>
            <w:tcW w:w="1372" w:type="dxa"/>
            <w:tcBorders>
              <w:left w:val="single" w:sz="6" w:space="0" w:color="auto"/>
            </w:tcBorders>
            <w:shd w:val="clear" w:color="auto" w:fill="F2F2F2"/>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97.5</w:t>
            </w:r>
          </w:p>
        </w:tc>
      </w:tr>
      <w:tr w:rsidR="00FB160F" w:rsidRPr="00F978E0" w:rsidTr="001C267C">
        <w:trPr>
          <w:gridAfter w:val="1"/>
          <w:wAfter w:w="10" w:type="dxa"/>
          <w:jc w:val="center"/>
        </w:trPr>
        <w:tc>
          <w:tcPr>
            <w:tcW w:w="1206" w:type="dxa"/>
            <w:tcBorders>
              <w:right w:val="single" w:sz="6" w:space="0" w:color="auto"/>
            </w:tcBorders>
          </w:tcPr>
          <w:p w:rsidR="00FB160F" w:rsidRPr="00570FB0" w:rsidRDefault="00FB160F" w:rsidP="001C267C">
            <w:pPr>
              <w:jc w:val="center"/>
              <w:rPr>
                <w:rFonts w:ascii="Calibri" w:hAnsi="Calibri"/>
                <w:b/>
                <w:bCs/>
                <w:szCs w:val="22"/>
              </w:rPr>
            </w:pPr>
            <w:r w:rsidRPr="00F96BCE">
              <w:rPr>
                <w:rFonts w:asciiTheme="minorHAnsi" w:hAnsiTheme="minorHAnsi" w:cs="Times"/>
                <w:b/>
                <w:bCs/>
                <w:color w:val="000000"/>
                <w:sz w:val="22"/>
                <w:szCs w:val="22"/>
              </w:rPr>
              <w:t>5 or more</w:t>
            </w:r>
          </w:p>
        </w:tc>
        <w:tc>
          <w:tcPr>
            <w:tcW w:w="965" w:type="dxa"/>
            <w:tcBorders>
              <w:left w:val="single" w:sz="6" w:space="0" w:color="auto"/>
              <w:right w:val="single" w:sz="6" w:space="0" w:color="auto"/>
            </w:tcBorders>
          </w:tcPr>
          <w:p w:rsidR="00FB160F" w:rsidRPr="00570FB0" w:rsidRDefault="00FB160F" w:rsidP="001C267C">
            <w:pPr>
              <w:jc w:val="center"/>
              <w:rPr>
                <w:rFonts w:ascii="Calibri" w:hAnsi="Calibri"/>
                <w:szCs w:val="22"/>
              </w:rPr>
            </w:pPr>
            <w:r w:rsidRPr="00F96BCE">
              <w:rPr>
                <w:rFonts w:asciiTheme="minorHAnsi" w:hAnsiTheme="minorHAnsi" w:cs="Times"/>
                <w:color w:val="000000"/>
                <w:sz w:val="22"/>
                <w:szCs w:val="22"/>
              </w:rPr>
              <w:t>158</w:t>
            </w:r>
          </w:p>
        </w:tc>
        <w:tc>
          <w:tcPr>
            <w:tcW w:w="976" w:type="dxa"/>
            <w:tcBorders>
              <w:left w:val="single" w:sz="6" w:space="0" w:color="auto"/>
              <w:righ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2.5</w:t>
            </w:r>
          </w:p>
        </w:tc>
        <w:tc>
          <w:tcPr>
            <w:tcW w:w="1256" w:type="dxa"/>
            <w:tcBorders>
              <w:left w:val="single" w:sz="6" w:space="0" w:color="auto"/>
              <w:righ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6,335</w:t>
            </w:r>
          </w:p>
        </w:tc>
        <w:tc>
          <w:tcPr>
            <w:tcW w:w="1372" w:type="dxa"/>
            <w:tcBorders>
              <w:left w:val="single" w:sz="6" w:space="0" w:color="auto"/>
            </w:tcBorders>
          </w:tcPr>
          <w:p w:rsidR="00FB160F" w:rsidRPr="00570FB0" w:rsidRDefault="00FB160F" w:rsidP="001C267C">
            <w:pPr>
              <w:jc w:val="center"/>
              <w:rPr>
                <w:rFonts w:ascii="Calibri" w:hAnsi="Calibri"/>
                <w:sz w:val="22"/>
                <w:szCs w:val="22"/>
              </w:rPr>
            </w:pPr>
            <w:r w:rsidRPr="00F96BCE">
              <w:rPr>
                <w:rFonts w:asciiTheme="minorHAnsi" w:hAnsiTheme="minorHAnsi" w:cs="Times"/>
                <w:color w:val="000000"/>
                <w:sz w:val="22"/>
                <w:szCs w:val="22"/>
              </w:rPr>
              <w:t>100.0</w:t>
            </w:r>
          </w:p>
        </w:tc>
      </w:tr>
    </w:tbl>
    <w:p w:rsidR="00FB160F" w:rsidRDefault="00FB160F" w:rsidP="00FB160F">
      <w:pPr>
        <w:spacing w:after="120" w:line="276" w:lineRule="auto"/>
        <w:rPr>
          <w:rFonts w:asciiTheme="minorHAnsi" w:hAnsiTheme="minorHAnsi"/>
          <w:sz w:val="22"/>
          <w:szCs w:val="22"/>
        </w:rPr>
      </w:pPr>
    </w:p>
    <w:p w:rsidR="00FB160F" w:rsidRDefault="00E11012" w:rsidP="00FB160F">
      <w:pPr>
        <w:spacing w:after="120" w:line="276" w:lineRule="auto"/>
        <w:ind w:firstLine="720"/>
        <w:rPr>
          <w:rFonts w:asciiTheme="minorHAnsi" w:hAnsiTheme="minorHAnsi"/>
          <w:sz w:val="22"/>
          <w:szCs w:val="22"/>
        </w:rPr>
      </w:pPr>
      <w:r w:rsidRPr="00E11012">
        <w:rPr>
          <w:rFonts w:asciiTheme="minorHAnsi" w:hAnsiTheme="minorHAnsi"/>
          <w:sz w:val="22"/>
          <w:szCs w:val="22"/>
        </w:rPr>
        <w:t>Using an algorithm developed in collaboration with the Centers for Disease Control and Prevention (CDC), 8,859 individuals were identified as having had a likely overdose from the MATRIS dat</w:t>
      </w:r>
      <w:r w:rsidR="000750F1">
        <w:rPr>
          <w:rFonts w:asciiTheme="minorHAnsi" w:hAnsiTheme="minorHAnsi"/>
          <w:sz w:val="22"/>
          <w:szCs w:val="22"/>
        </w:rPr>
        <w:t>a.  There were 10,995 overdoses</w:t>
      </w:r>
      <w:r w:rsidRPr="00E11012">
        <w:rPr>
          <w:rFonts w:asciiTheme="minorHAnsi" w:hAnsiTheme="minorHAnsi"/>
          <w:sz w:val="22"/>
          <w:szCs w:val="22"/>
        </w:rPr>
        <w:t xml:space="preserve"> recorded for these 8,859 individuals,</w:t>
      </w:r>
      <w:r w:rsidR="000750F1">
        <w:rPr>
          <w:rFonts w:asciiTheme="minorHAnsi" w:hAnsiTheme="minorHAnsi"/>
          <w:sz w:val="22"/>
          <w:szCs w:val="22"/>
        </w:rPr>
        <w:t xml:space="preserve"> </w:t>
      </w:r>
      <w:r w:rsidRPr="00E11012">
        <w:rPr>
          <w:rFonts w:asciiTheme="minorHAnsi" w:hAnsiTheme="minorHAnsi"/>
          <w:sz w:val="22"/>
          <w:szCs w:val="22"/>
        </w:rPr>
        <w:t xml:space="preserve">thus indicating that there were 1.2 overdoses per person using the MATRIS data alone.  </w:t>
      </w:r>
      <w:r w:rsidRPr="00E11012">
        <w:rPr>
          <w:rFonts w:asciiTheme="minorHAnsi" w:hAnsiTheme="minorHAnsi"/>
          <w:i/>
          <w:sz w:val="22"/>
          <w:szCs w:val="22"/>
        </w:rPr>
        <w:t xml:space="preserve">In MATRIS, </w:t>
      </w:r>
      <w:r w:rsidRPr="00E11012">
        <w:rPr>
          <w:rFonts w:asciiTheme="minorHAnsi" w:hAnsiTheme="minorHAnsi"/>
          <w:sz w:val="22"/>
          <w:szCs w:val="22"/>
        </w:rPr>
        <w:t>83% had only one likely overdose. Of these, 4.5% died of an opioid-related overdose at some</w:t>
      </w:r>
      <w:r>
        <w:rPr>
          <w:rFonts w:asciiTheme="minorHAnsi" w:hAnsiTheme="minorHAnsi"/>
          <w:sz w:val="22"/>
          <w:szCs w:val="22"/>
        </w:rPr>
        <w:t xml:space="preserve"> point in 2013 or 2014</w:t>
      </w:r>
      <w:r w:rsidRPr="00F96BCE">
        <w:rPr>
          <w:rFonts w:asciiTheme="minorHAnsi" w:hAnsiTheme="minorHAnsi"/>
          <w:sz w:val="22"/>
          <w:szCs w:val="22"/>
        </w:rPr>
        <w:t xml:space="preserve">. </w:t>
      </w:r>
      <w:r>
        <w:rPr>
          <w:rFonts w:asciiTheme="minorHAnsi" w:hAnsiTheme="minorHAnsi"/>
          <w:sz w:val="22"/>
          <w:szCs w:val="22"/>
        </w:rPr>
        <w:t>Similarly, 17</w:t>
      </w:r>
      <w:r w:rsidRPr="00F96BCE">
        <w:rPr>
          <w:rFonts w:asciiTheme="minorHAnsi" w:hAnsiTheme="minorHAnsi"/>
          <w:sz w:val="22"/>
          <w:szCs w:val="22"/>
        </w:rPr>
        <w:t xml:space="preserve">% had more than one </w:t>
      </w:r>
      <w:r>
        <w:rPr>
          <w:rFonts w:asciiTheme="minorHAnsi" w:hAnsiTheme="minorHAnsi"/>
          <w:sz w:val="22"/>
          <w:szCs w:val="22"/>
        </w:rPr>
        <w:t xml:space="preserve">likely overdose </w:t>
      </w:r>
      <w:r w:rsidRPr="00F96BCE">
        <w:rPr>
          <w:rFonts w:asciiTheme="minorHAnsi" w:hAnsiTheme="minorHAnsi"/>
          <w:sz w:val="22"/>
          <w:szCs w:val="22"/>
        </w:rPr>
        <w:t xml:space="preserve">in </w:t>
      </w:r>
      <w:r>
        <w:rPr>
          <w:rFonts w:asciiTheme="minorHAnsi" w:hAnsiTheme="minorHAnsi"/>
          <w:sz w:val="22"/>
          <w:szCs w:val="22"/>
        </w:rPr>
        <w:t>MATRIS</w:t>
      </w:r>
      <w:r w:rsidRPr="00F96BCE">
        <w:rPr>
          <w:rFonts w:asciiTheme="minorHAnsi" w:hAnsiTheme="minorHAnsi"/>
          <w:sz w:val="22"/>
          <w:szCs w:val="22"/>
        </w:rPr>
        <w:t xml:space="preserve">. Of these, </w:t>
      </w:r>
      <w:r>
        <w:rPr>
          <w:rFonts w:asciiTheme="minorHAnsi" w:hAnsiTheme="minorHAnsi"/>
          <w:sz w:val="22"/>
          <w:szCs w:val="22"/>
        </w:rPr>
        <w:t>5.4</w:t>
      </w:r>
      <w:r w:rsidRPr="00F96BCE">
        <w:rPr>
          <w:rFonts w:asciiTheme="minorHAnsi" w:hAnsiTheme="minorHAnsi"/>
          <w:sz w:val="22"/>
          <w:szCs w:val="22"/>
        </w:rPr>
        <w:t xml:space="preserve">% died of an opioid-related overdose </w:t>
      </w:r>
      <w:r>
        <w:rPr>
          <w:rFonts w:asciiTheme="minorHAnsi" w:hAnsiTheme="minorHAnsi"/>
          <w:sz w:val="22"/>
          <w:szCs w:val="22"/>
        </w:rPr>
        <w:t>at some point in 2013 or 2014</w:t>
      </w:r>
      <w:r w:rsidRPr="00F96BCE">
        <w:rPr>
          <w:rFonts w:asciiTheme="minorHAnsi" w:hAnsiTheme="minorHAnsi"/>
          <w:sz w:val="22"/>
          <w:szCs w:val="22"/>
        </w:rPr>
        <w:t xml:space="preserve">. </w:t>
      </w:r>
      <w:r>
        <w:rPr>
          <w:rFonts w:asciiTheme="minorHAnsi" w:hAnsiTheme="minorHAnsi"/>
          <w:sz w:val="22"/>
          <w:szCs w:val="22"/>
        </w:rPr>
        <w:t xml:space="preserve"> See Table 6b</w:t>
      </w:r>
      <w:r w:rsidR="00FB160F" w:rsidRPr="00F96BCE">
        <w:rPr>
          <w:rFonts w:asciiTheme="minorHAnsi" w:hAnsiTheme="minorHAnsi"/>
          <w:sz w:val="22"/>
          <w:szCs w:val="22"/>
        </w:rPr>
        <w:t>.</w:t>
      </w:r>
    </w:p>
    <w:p w:rsidR="00FB160F" w:rsidRPr="00F96BCE" w:rsidRDefault="00FB160F" w:rsidP="00FB160F">
      <w:pPr>
        <w:spacing w:after="120" w:line="276" w:lineRule="auto"/>
        <w:rPr>
          <w:rFonts w:asciiTheme="minorHAnsi" w:hAnsiTheme="minorHAnsi"/>
          <w:sz w:val="22"/>
          <w:szCs w:val="22"/>
        </w:rPr>
      </w:pPr>
    </w:p>
    <w:tbl>
      <w:tblPr>
        <w:tblW w:w="5785" w:type="dxa"/>
        <w:jc w:val="center"/>
        <w:tblBorders>
          <w:top w:val="single" w:sz="6" w:space="0" w:color="auto"/>
          <w:left w:val="single" w:sz="6" w:space="0" w:color="auto"/>
          <w:bottom w:val="single" w:sz="6" w:space="0" w:color="auto"/>
          <w:right w:val="single" w:sz="6" w:space="0" w:color="auto"/>
          <w:insideH w:val="single" w:sz="6" w:space="0" w:color="auto"/>
          <w:insideV w:val="single" w:sz="4" w:space="0" w:color="BFBFBF"/>
        </w:tblBorders>
        <w:tblLook w:val="00A0" w:firstRow="1" w:lastRow="0" w:firstColumn="1" w:lastColumn="0" w:noHBand="0" w:noVBand="0"/>
      </w:tblPr>
      <w:tblGrid>
        <w:gridCol w:w="1206"/>
        <w:gridCol w:w="965"/>
        <w:gridCol w:w="976"/>
        <w:gridCol w:w="1256"/>
        <w:gridCol w:w="1372"/>
        <w:gridCol w:w="10"/>
      </w:tblGrid>
      <w:tr w:rsidR="00FB160F" w:rsidRPr="00F978E0" w:rsidTr="001C267C">
        <w:trPr>
          <w:jc w:val="center"/>
        </w:trPr>
        <w:tc>
          <w:tcPr>
            <w:tcW w:w="5785" w:type="dxa"/>
            <w:gridSpan w:val="6"/>
            <w:shd w:val="clear" w:color="auto" w:fill="A6A6A6" w:themeFill="background1" w:themeFillShade="A6"/>
          </w:tcPr>
          <w:p w:rsidR="00FB160F" w:rsidRPr="00570FB0" w:rsidRDefault="00301E0D" w:rsidP="001C267C">
            <w:pPr>
              <w:jc w:val="center"/>
              <w:rPr>
                <w:rFonts w:ascii="Calibri" w:hAnsi="Calibri"/>
                <w:b/>
                <w:bCs/>
                <w:szCs w:val="22"/>
              </w:rPr>
            </w:pPr>
            <w:r>
              <w:rPr>
                <w:rFonts w:ascii="Calibri" w:hAnsi="Calibri"/>
                <w:b/>
                <w:bCs/>
                <w:sz w:val="22"/>
                <w:szCs w:val="22"/>
              </w:rPr>
              <w:t>Table A</w:t>
            </w:r>
            <w:r w:rsidR="00FB160F">
              <w:rPr>
                <w:rFonts w:ascii="Calibri" w:hAnsi="Calibri"/>
                <w:b/>
                <w:bCs/>
                <w:sz w:val="22"/>
                <w:szCs w:val="22"/>
              </w:rPr>
              <w:t>6b: Overdoses by P</w:t>
            </w:r>
            <w:r w:rsidR="003A0AFE">
              <w:rPr>
                <w:rFonts w:ascii="Calibri" w:hAnsi="Calibri"/>
                <w:b/>
                <w:bCs/>
                <w:sz w:val="22"/>
                <w:szCs w:val="22"/>
              </w:rPr>
              <w:t>erson in MATRIS, Massachusetts (</w:t>
            </w:r>
            <w:r w:rsidR="00FB160F">
              <w:rPr>
                <w:rFonts w:ascii="Calibri" w:hAnsi="Calibri"/>
                <w:b/>
                <w:bCs/>
                <w:sz w:val="22"/>
                <w:szCs w:val="22"/>
              </w:rPr>
              <w:t>2013-2014</w:t>
            </w:r>
            <w:r w:rsidR="003A0AFE">
              <w:rPr>
                <w:rFonts w:ascii="Calibri" w:hAnsi="Calibri"/>
                <w:b/>
                <w:bCs/>
                <w:sz w:val="22"/>
                <w:szCs w:val="22"/>
              </w:rPr>
              <w:t>)</w:t>
            </w:r>
          </w:p>
        </w:tc>
      </w:tr>
      <w:tr w:rsidR="00FB160F" w:rsidRPr="00F978E0" w:rsidTr="001C267C">
        <w:trPr>
          <w:gridAfter w:val="1"/>
          <w:wAfter w:w="10" w:type="dxa"/>
          <w:jc w:val="center"/>
        </w:trPr>
        <w:tc>
          <w:tcPr>
            <w:tcW w:w="1206" w:type="dxa"/>
            <w:tcBorders>
              <w:right w:val="single" w:sz="6" w:space="0" w:color="auto"/>
            </w:tcBorders>
            <w:shd w:val="clear" w:color="auto" w:fill="F2F2F2"/>
            <w:vAlign w:val="bottom"/>
          </w:tcPr>
          <w:p w:rsidR="00FB160F" w:rsidRPr="00570FB0" w:rsidRDefault="00FB160F" w:rsidP="001C267C">
            <w:pPr>
              <w:jc w:val="center"/>
              <w:rPr>
                <w:rFonts w:ascii="Calibri" w:hAnsi="Calibri"/>
                <w:b/>
                <w:bCs/>
                <w:szCs w:val="22"/>
              </w:rPr>
            </w:pPr>
            <w:r w:rsidRPr="00F96BCE">
              <w:rPr>
                <w:rFonts w:asciiTheme="minorHAnsi" w:hAnsiTheme="minorHAnsi" w:cs="Times"/>
                <w:b/>
                <w:bCs/>
                <w:color w:val="000000"/>
                <w:sz w:val="22"/>
                <w:szCs w:val="22"/>
              </w:rPr>
              <w:t>Total ODs</w:t>
            </w:r>
          </w:p>
        </w:tc>
        <w:tc>
          <w:tcPr>
            <w:tcW w:w="965" w:type="dxa"/>
            <w:tcBorders>
              <w:left w:val="single" w:sz="6" w:space="0" w:color="auto"/>
              <w:right w:val="single" w:sz="6" w:space="0" w:color="auto"/>
            </w:tcBorders>
            <w:shd w:val="clear" w:color="auto" w:fill="F2F2F2"/>
            <w:vAlign w:val="bottom"/>
          </w:tcPr>
          <w:p w:rsidR="00FB160F" w:rsidRPr="00570FB0" w:rsidRDefault="00FB160F" w:rsidP="001C267C">
            <w:pPr>
              <w:jc w:val="center"/>
              <w:rPr>
                <w:rFonts w:ascii="Calibri" w:hAnsi="Calibri"/>
                <w:b/>
                <w:szCs w:val="22"/>
              </w:rPr>
            </w:pPr>
            <w:r w:rsidRPr="00F96BCE">
              <w:rPr>
                <w:rFonts w:asciiTheme="minorHAnsi" w:hAnsiTheme="minorHAnsi" w:cs="Times"/>
                <w:b/>
                <w:bCs/>
                <w:color w:val="000000"/>
                <w:sz w:val="22"/>
                <w:szCs w:val="22"/>
              </w:rPr>
              <w:t>Number</w:t>
            </w:r>
          </w:p>
        </w:tc>
        <w:tc>
          <w:tcPr>
            <w:tcW w:w="976" w:type="dxa"/>
            <w:tcBorders>
              <w:left w:val="single" w:sz="6" w:space="0" w:color="auto"/>
              <w:right w:val="single" w:sz="6" w:space="0" w:color="auto"/>
            </w:tcBorders>
            <w:shd w:val="clear" w:color="auto" w:fill="F2F2F2"/>
            <w:vAlign w:val="bottom"/>
          </w:tcPr>
          <w:p w:rsidR="00FB160F" w:rsidRPr="00570FB0" w:rsidRDefault="00FB160F" w:rsidP="001C267C">
            <w:pPr>
              <w:jc w:val="center"/>
              <w:rPr>
                <w:rFonts w:ascii="Calibri" w:hAnsi="Calibri"/>
                <w:b/>
                <w:sz w:val="22"/>
                <w:szCs w:val="22"/>
              </w:rPr>
            </w:pPr>
            <w:r w:rsidRPr="00F96BCE">
              <w:rPr>
                <w:rFonts w:asciiTheme="minorHAnsi" w:hAnsiTheme="minorHAnsi" w:cs="Times"/>
                <w:b/>
                <w:bCs/>
                <w:color w:val="000000"/>
                <w:sz w:val="22"/>
                <w:szCs w:val="22"/>
              </w:rPr>
              <w:t>Percent</w:t>
            </w:r>
          </w:p>
        </w:tc>
        <w:tc>
          <w:tcPr>
            <w:tcW w:w="1256" w:type="dxa"/>
            <w:tcBorders>
              <w:left w:val="single" w:sz="6" w:space="0" w:color="auto"/>
              <w:right w:val="single" w:sz="6" w:space="0" w:color="auto"/>
            </w:tcBorders>
            <w:shd w:val="clear" w:color="auto" w:fill="F2F2F2"/>
            <w:vAlign w:val="bottom"/>
          </w:tcPr>
          <w:p w:rsidR="00FB160F" w:rsidRPr="00570FB0" w:rsidRDefault="00FB160F" w:rsidP="001C267C">
            <w:pPr>
              <w:jc w:val="center"/>
              <w:rPr>
                <w:rFonts w:ascii="Calibri" w:hAnsi="Calibri"/>
                <w:b/>
                <w:sz w:val="22"/>
                <w:szCs w:val="22"/>
              </w:rPr>
            </w:pPr>
            <w:r w:rsidRPr="00F96BCE">
              <w:rPr>
                <w:rFonts w:asciiTheme="minorHAnsi" w:hAnsiTheme="minorHAnsi" w:cs="Times"/>
                <w:b/>
                <w:bCs/>
                <w:color w:val="000000"/>
                <w:sz w:val="22"/>
                <w:szCs w:val="22"/>
              </w:rPr>
              <w:t>Cumulative</w:t>
            </w:r>
            <w:r w:rsidRPr="00F96BCE">
              <w:rPr>
                <w:rFonts w:asciiTheme="minorHAnsi" w:hAnsiTheme="minorHAnsi" w:cs="Times"/>
                <w:b/>
                <w:bCs/>
                <w:color w:val="000000"/>
                <w:sz w:val="22"/>
                <w:szCs w:val="22"/>
              </w:rPr>
              <w:br/>
              <w:t>Frequency</w:t>
            </w:r>
          </w:p>
        </w:tc>
        <w:tc>
          <w:tcPr>
            <w:tcW w:w="1372" w:type="dxa"/>
            <w:tcBorders>
              <w:left w:val="single" w:sz="6" w:space="0" w:color="auto"/>
            </w:tcBorders>
            <w:shd w:val="clear" w:color="auto" w:fill="F2F2F2"/>
            <w:vAlign w:val="bottom"/>
          </w:tcPr>
          <w:p w:rsidR="00FB160F" w:rsidRPr="00570FB0" w:rsidRDefault="00FB160F" w:rsidP="001C267C">
            <w:pPr>
              <w:jc w:val="center"/>
              <w:rPr>
                <w:rFonts w:ascii="Calibri" w:hAnsi="Calibri"/>
                <w:b/>
                <w:sz w:val="22"/>
                <w:szCs w:val="22"/>
              </w:rPr>
            </w:pPr>
            <w:r w:rsidRPr="00F96BCE">
              <w:rPr>
                <w:rFonts w:asciiTheme="minorHAnsi" w:hAnsiTheme="minorHAnsi" w:cs="Times"/>
                <w:b/>
                <w:bCs/>
                <w:color w:val="000000"/>
                <w:sz w:val="22"/>
                <w:szCs w:val="22"/>
              </w:rPr>
              <w:t>Cumulative</w:t>
            </w:r>
            <w:r w:rsidRPr="00F96BCE">
              <w:rPr>
                <w:rFonts w:asciiTheme="minorHAnsi" w:hAnsiTheme="minorHAnsi" w:cs="Times"/>
                <w:b/>
                <w:bCs/>
                <w:color w:val="000000"/>
                <w:sz w:val="22"/>
                <w:szCs w:val="22"/>
              </w:rPr>
              <w:br/>
              <w:t>Percent</w:t>
            </w:r>
          </w:p>
        </w:tc>
      </w:tr>
      <w:tr w:rsidR="00FB160F" w:rsidRPr="00F978E0" w:rsidTr="001C267C">
        <w:trPr>
          <w:gridAfter w:val="1"/>
          <w:wAfter w:w="10" w:type="dxa"/>
          <w:jc w:val="center"/>
        </w:trPr>
        <w:tc>
          <w:tcPr>
            <w:tcW w:w="1206" w:type="dxa"/>
            <w:tcBorders>
              <w:right w:val="single" w:sz="6" w:space="0" w:color="auto"/>
            </w:tcBorders>
          </w:tcPr>
          <w:p w:rsidR="00FB160F" w:rsidRPr="00570FB0" w:rsidRDefault="00FB160F" w:rsidP="001C267C">
            <w:pPr>
              <w:jc w:val="center"/>
              <w:rPr>
                <w:rFonts w:ascii="Calibri" w:hAnsi="Calibri"/>
                <w:b/>
                <w:bCs/>
                <w:szCs w:val="22"/>
              </w:rPr>
            </w:pPr>
            <w:r w:rsidRPr="00F96BCE">
              <w:rPr>
                <w:rFonts w:asciiTheme="minorHAnsi" w:hAnsiTheme="minorHAnsi" w:cs="Times"/>
                <w:b/>
                <w:bCs/>
                <w:color w:val="000000"/>
                <w:sz w:val="22"/>
                <w:szCs w:val="22"/>
              </w:rPr>
              <w:t>1</w:t>
            </w:r>
          </w:p>
        </w:tc>
        <w:tc>
          <w:tcPr>
            <w:tcW w:w="965" w:type="dxa"/>
            <w:tcBorders>
              <w:left w:val="single" w:sz="6" w:space="0" w:color="auto"/>
              <w:righ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7,344</w:t>
            </w:r>
          </w:p>
        </w:tc>
        <w:tc>
          <w:tcPr>
            <w:tcW w:w="976" w:type="dxa"/>
            <w:tcBorders>
              <w:left w:val="single" w:sz="6" w:space="0" w:color="auto"/>
              <w:righ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82.9</w:t>
            </w:r>
          </w:p>
        </w:tc>
        <w:tc>
          <w:tcPr>
            <w:tcW w:w="1256" w:type="dxa"/>
            <w:tcBorders>
              <w:left w:val="single" w:sz="6" w:space="0" w:color="auto"/>
              <w:righ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7,344</w:t>
            </w:r>
          </w:p>
        </w:tc>
        <w:tc>
          <w:tcPr>
            <w:tcW w:w="1372" w:type="dxa"/>
            <w:tcBorders>
              <w:lef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82.9</w:t>
            </w:r>
          </w:p>
        </w:tc>
      </w:tr>
      <w:tr w:rsidR="00FB160F" w:rsidRPr="00F978E0" w:rsidTr="001C267C">
        <w:trPr>
          <w:gridAfter w:val="1"/>
          <w:wAfter w:w="10" w:type="dxa"/>
          <w:jc w:val="center"/>
        </w:trPr>
        <w:tc>
          <w:tcPr>
            <w:tcW w:w="1206" w:type="dxa"/>
            <w:tcBorders>
              <w:right w:val="single" w:sz="6" w:space="0" w:color="auto"/>
            </w:tcBorders>
          </w:tcPr>
          <w:p w:rsidR="00FB160F" w:rsidRPr="00570FB0" w:rsidRDefault="00FB160F" w:rsidP="001C267C">
            <w:pPr>
              <w:jc w:val="center"/>
              <w:rPr>
                <w:rFonts w:ascii="Calibri" w:hAnsi="Calibri"/>
                <w:b/>
                <w:bCs/>
                <w:sz w:val="22"/>
                <w:szCs w:val="22"/>
              </w:rPr>
            </w:pPr>
            <w:r w:rsidRPr="00F96BCE">
              <w:rPr>
                <w:rFonts w:asciiTheme="minorHAnsi" w:hAnsiTheme="minorHAnsi" w:cs="Times"/>
                <w:b/>
                <w:bCs/>
                <w:color w:val="000000"/>
                <w:sz w:val="22"/>
                <w:szCs w:val="22"/>
              </w:rPr>
              <w:t>2</w:t>
            </w:r>
          </w:p>
        </w:tc>
        <w:tc>
          <w:tcPr>
            <w:tcW w:w="965" w:type="dxa"/>
            <w:tcBorders>
              <w:left w:val="single" w:sz="6" w:space="0" w:color="auto"/>
              <w:righ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1,134</w:t>
            </w:r>
          </w:p>
        </w:tc>
        <w:tc>
          <w:tcPr>
            <w:tcW w:w="976" w:type="dxa"/>
            <w:tcBorders>
              <w:left w:val="single" w:sz="6" w:space="0" w:color="auto"/>
              <w:righ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12.8</w:t>
            </w:r>
          </w:p>
        </w:tc>
        <w:tc>
          <w:tcPr>
            <w:tcW w:w="1256" w:type="dxa"/>
            <w:tcBorders>
              <w:left w:val="single" w:sz="6" w:space="0" w:color="auto"/>
              <w:righ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8,478</w:t>
            </w:r>
          </w:p>
        </w:tc>
        <w:tc>
          <w:tcPr>
            <w:tcW w:w="1372" w:type="dxa"/>
            <w:tcBorders>
              <w:lef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95.7</w:t>
            </w:r>
          </w:p>
        </w:tc>
      </w:tr>
      <w:tr w:rsidR="00FB160F" w:rsidRPr="00F978E0" w:rsidTr="001C267C">
        <w:trPr>
          <w:gridAfter w:val="1"/>
          <w:wAfter w:w="10" w:type="dxa"/>
          <w:jc w:val="center"/>
        </w:trPr>
        <w:tc>
          <w:tcPr>
            <w:tcW w:w="1206" w:type="dxa"/>
            <w:tcBorders>
              <w:right w:val="single" w:sz="6" w:space="0" w:color="auto"/>
            </w:tcBorders>
          </w:tcPr>
          <w:p w:rsidR="00FB160F" w:rsidRPr="00570FB0" w:rsidRDefault="00FB160F" w:rsidP="001C267C">
            <w:pPr>
              <w:jc w:val="center"/>
              <w:rPr>
                <w:rFonts w:ascii="Calibri" w:hAnsi="Calibri"/>
                <w:b/>
                <w:bCs/>
                <w:sz w:val="22"/>
                <w:szCs w:val="22"/>
              </w:rPr>
            </w:pPr>
            <w:r w:rsidRPr="00F96BCE">
              <w:rPr>
                <w:rFonts w:asciiTheme="minorHAnsi" w:hAnsiTheme="minorHAnsi" w:cs="Times"/>
                <w:b/>
                <w:bCs/>
                <w:color w:val="000000"/>
                <w:sz w:val="22"/>
                <w:szCs w:val="22"/>
              </w:rPr>
              <w:t>3</w:t>
            </w:r>
          </w:p>
        </w:tc>
        <w:tc>
          <w:tcPr>
            <w:tcW w:w="965" w:type="dxa"/>
            <w:tcBorders>
              <w:left w:val="single" w:sz="6" w:space="0" w:color="auto"/>
              <w:righ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242</w:t>
            </w:r>
          </w:p>
        </w:tc>
        <w:tc>
          <w:tcPr>
            <w:tcW w:w="976" w:type="dxa"/>
            <w:tcBorders>
              <w:left w:val="single" w:sz="6" w:space="0" w:color="auto"/>
              <w:righ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2.7</w:t>
            </w:r>
          </w:p>
        </w:tc>
        <w:tc>
          <w:tcPr>
            <w:tcW w:w="1256" w:type="dxa"/>
            <w:tcBorders>
              <w:left w:val="single" w:sz="6" w:space="0" w:color="auto"/>
              <w:righ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8,720</w:t>
            </w:r>
          </w:p>
        </w:tc>
        <w:tc>
          <w:tcPr>
            <w:tcW w:w="1372" w:type="dxa"/>
            <w:tcBorders>
              <w:lef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98.4</w:t>
            </w:r>
          </w:p>
        </w:tc>
      </w:tr>
      <w:tr w:rsidR="00FB160F" w:rsidRPr="00F978E0" w:rsidTr="001C267C">
        <w:trPr>
          <w:gridAfter w:val="1"/>
          <w:wAfter w:w="10" w:type="dxa"/>
          <w:jc w:val="center"/>
        </w:trPr>
        <w:tc>
          <w:tcPr>
            <w:tcW w:w="1206" w:type="dxa"/>
            <w:tcBorders>
              <w:right w:val="single" w:sz="6" w:space="0" w:color="auto"/>
            </w:tcBorders>
            <w:shd w:val="clear" w:color="auto" w:fill="F2F2F2"/>
          </w:tcPr>
          <w:p w:rsidR="00FB160F" w:rsidRPr="00570FB0" w:rsidRDefault="00FB160F" w:rsidP="001C267C">
            <w:pPr>
              <w:jc w:val="center"/>
              <w:rPr>
                <w:rFonts w:ascii="Calibri" w:hAnsi="Calibri"/>
                <w:b/>
                <w:bCs/>
                <w:szCs w:val="22"/>
              </w:rPr>
            </w:pPr>
            <w:r w:rsidRPr="00F96BCE">
              <w:rPr>
                <w:rFonts w:asciiTheme="minorHAnsi" w:hAnsiTheme="minorHAnsi" w:cs="Times"/>
                <w:b/>
                <w:bCs/>
                <w:color w:val="000000"/>
                <w:sz w:val="22"/>
                <w:szCs w:val="22"/>
              </w:rPr>
              <w:t>4</w:t>
            </w:r>
          </w:p>
        </w:tc>
        <w:tc>
          <w:tcPr>
            <w:tcW w:w="965" w:type="dxa"/>
            <w:tcBorders>
              <w:left w:val="single" w:sz="6" w:space="0" w:color="auto"/>
              <w:right w:val="single" w:sz="6" w:space="0" w:color="auto"/>
            </w:tcBorders>
            <w:shd w:val="clear" w:color="auto" w:fill="F2F2F2"/>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82</w:t>
            </w:r>
          </w:p>
        </w:tc>
        <w:tc>
          <w:tcPr>
            <w:tcW w:w="976" w:type="dxa"/>
            <w:tcBorders>
              <w:left w:val="single" w:sz="6" w:space="0" w:color="auto"/>
              <w:right w:val="single" w:sz="6" w:space="0" w:color="auto"/>
            </w:tcBorders>
            <w:shd w:val="clear" w:color="auto" w:fill="F2F2F2"/>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0.9</w:t>
            </w:r>
          </w:p>
        </w:tc>
        <w:tc>
          <w:tcPr>
            <w:tcW w:w="1256" w:type="dxa"/>
            <w:tcBorders>
              <w:left w:val="single" w:sz="6" w:space="0" w:color="auto"/>
              <w:right w:val="single" w:sz="6" w:space="0" w:color="auto"/>
            </w:tcBorders>
            <w:shd w:val="clear" w:color="auto" w:fill="F2F2F2"/>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8,802</w:t>
            </w:r>
          </w:p>
        </w:tc>
        <w:tc>
          <w:tcPr>
            <w:tcW w:w="1372" w:type="dxa"/>
            <w:tcBorders>
              <w:left w:val="single" w:sz="6" w:space="0" w:color="auto"/>
            </w:tcBorders>
            <w:shd w:val="clear" w:color="auto" w:fill="F2F2F2"/>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99.4</w:t>
            </w:r>
          </w:p>
        </w:tc>
      </w:tr>
      <w:tr w:rsidR="00FB160F" w:rsidRPr="00F978E0" w:rsidTr="001C267C">
        <w:trPr>
          <w:gridAfter w:val="1"/>
          <w:wAfter w:w="10" w:type="dxa"/>
          <w:jc w:val="center"/>
        </w:trPr>
        <w:tc>
          <w:tcPr>
            <w:tcW w:w="1206" w:type="dxa"/>
            <w:tcBorders>
              <w:right w:val="single" w:sz="6" w:space="0" w:color="auto"/>
            </w:tcBorders>
          </w:tcPr>
          <w:p w:rsidR="00FB160F" w:rsidRPr="00570FB0" w:rsidRDefault="00FB160F" w:rsidP="001C267C">
            <w:pPr>
              <w:jc w:val="center"/>
              <w:rPr>
                <w:rFonts w:ascii="Calibri" w:hAnsi="Calibri"/>
                <w:b/>
                <w:bCs/>
                <w:szCs w:val="22"/>
              </w:rPr>
            </w:pPr>
            <w:r w:rsidRPr="00F96BCE">
              <w:rPr>
                <w:rFonts w:asciiTheme="minorHAnsi" w:hAnsiTheme="minorHAnsi" w:cs="Times"/>
                <w:b/>
                <w:bCs/>
                <w:color w:val="000000"/>
                <w:sz w:val="22"/>
                <w:szCs w:val="22"/>
              </w:rPr>
              <w:t>5 or more</w:t>
            </w:r>
          </w:p>
        </w:tc>
        <w:tc>
          <w:tcPr>
            <w:tcW w:w="965" w:type="dxa"/>
            <w:tcBorders>
              <w:left w:val="single" w:sz="6" w:space="0" w:color="auto"/>
              <w:righ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57</w:t>
            </w:r>
          </w:p>
        </w:tc>
        <w:tc>
          <w:tcPr>
            <w:tcW w:w="976" w:type="dxa"/>
            <w:tcBorders>
              <w:left w:val="single" w:sz="6" w:space="0" w:color="auto"/>
              <w:righ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0.6</w:t>
            </w:r>
          </w:p>
        </w:tc>
        <w:tc>
          <w:tcPr>
            <w:tcW w:w="1256" w:type="dxa"/>
            <w:tcBorders>
              <w:left w:val="single" w:sz="6" w:space="0" w:color="auto"/>
              <w:righ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8,859</w:t>
            </w:r>
          </w:p>
        </w:tc>
        <w:tc>
          <w:tcPr>
            <w:tcW w:w="1372" w:type="dxa"/>
            <w:tcBorders>
              <w:left w:val="single" w:sz="6" w:space="0" w:color="auto"/>
            </w:tcBorders>
          </w:tcPr>
          <w:p w:rsidR="00FB160F" w:rsidRPr="00F96BCE" w:rsidRDefault="00FB160F" w:rsidP="001C267C">
            <w:pPr>
              <w:jc w:val="center"/>
              <w:rPr>
                <w:rFonts w:asciiTheme="minorHAnsi" w:hAnsiTheme="minorHAnsi"/>
                <w:sz w:val="22"/>
                <w:szCs w:val="22"/>
              </w:rPr>
            </w:pPr>
            <w:r w:rsidRPr="00F96BCE">
              <w:rPr>
                <w:rFonts w:asciiTheme="minorHAnsi" w:hAnsiTheme="minorHAnsi" w:cs="Times"/>
                <w:color w:val="000000"/>
                <w:sz w:val="22"/>
                <w:szCs w:val="22"/>
              </w:rPr>
              <w:t>100.0</w:t>
            </w:r>
          </w:p>
        </w:tc>
      </w:tr>
    </w:tbl>
    <w:p w:rsidR="00FB160F" w:rsidRDefault="00FB160F" w:rsidP="00FB160F">
      <w:pPr>
        <w:spacing w:after="120" w:line="276" w:lineRule="auto"/>
        <w:rPr>
          <w:rFonts w:ascii="Calibri" w:hAnsi="Calibri"/>
          <w:b/>
          <w:sz w:val="22"/>
          <w:szCs w:val="22"/>
        </w:rPr>
      </w:pPr>
    </w:p>
    <w:p w:rsidR="00FB160F" w:rsidRDefault="00FB160F" w:rsidP="00FB160F">
      <w:pPr>
        <w:spacing w:after="120" w:line="276" w:lineRule="auto"/>
        <w:ind w:firstLine="720"/>
        <w:rPr>
          <w:rFonts w:asciiTheme="minorHAnsi" w:hAnsiTheme="minorHAnsi"/>
          <w:sz w:val="22"/>
          <w:szCs w:val="22"/>
        </w:rPr>
      </w:pPr>
      <w:r>
        <w:rPr>
          <w:rFonts w:asciiTheme="minorHAnsi" w:hAnsiTheme="minorHAnsi"/>
          <w:sz w:val="22"/>
          <w:szCs w:val="22"/>
        </w:rPr>
        <w:t xml:space="preserve">Finally, when Case Mix and MATRIS data were examined together, there were </w:t>
      </w:r>
      <w:r w:rsidRPr="00F96BCE">
        <w:rPr>
          <w:rFonts w:asciiTheme="minorHAnsi" w:hAnsiTheme="minorHAnsi"/>
          <w:sz w:val="22"/>
          <w:szCs w:val="22"/>
        </w:rPr>
        <w:t xml:space="preserve">13,154 people </w:t>
      </w:r>
      <w:r>
        <w:rPr>
          <w:rFonts w:asciiTheme="minorHAnsi" w:hAnsiTheme="minorHAnsi"/>
          <w:sz w:val="22"/>
          <w:szCs w:val="22"/>
        </w:rPr>
        <w:t>recorded as having or likely having an overdose event in 2013 or 2014</w:t>
      </w:r>
      <w:r w:rsidR="00301E0D">
        <w:rPr>
          <w:rFonts w:asciiTheme="minorHAnsi" w:hAnsiTheme="minorHAnsi"/>
          <w:sz w:val="22"/>
          <w:szCs w:val="22"/>
        </w:rPr>
        <w:t>.  A</w:t>
      </w:r>
      <w:r>
        <w:rPr>
          <w:rFonts w:asciiTheme="minorHAnsi" w:hAnsiTheme="minorHAnsi"/>
          <w:sz w:val="22"/>
          <w:szCs w:val="22"/>
        </w:rPr>
        <w:t>lthough it is likely an underestimate for the reasons stated above, t</w:t>
      </w:r>
      <w:r w:rsidRPr="00F96BCE">
        <w:rPr>
          <w:rFonts w:asciiTheme="minorHAnsi" w:hAnsiTheme="minorHAnsi"/>
          <w:sz w:val="22"/>
          <w:szCs w:val="22"/>
        </w:rPr>
        <w:t xml:space="preserve">hese </w:t>
      </w:r>
      <w:r>
        <w:rPr>
          <w:rFonts w:asciiTheme="minorHAnsi" w:hAnsiTheme="minorHAnsi"/>
          <w:sz w:val="22"/>
          <w:szCs w:val="22"/>
        </w:rPr>
        <w:t xml:space="preserve">overdose events occurred </w:t>
      </w:r>
      <w:r w:rsidRPr="00F96BCE">
        <w:rPr>
          <w:rFonts w:asciiTheme="minorHAnsi" w:hAnsiTheme="minorHAnsi"/>
          <w:sz w:val="22"/>
          <w:szCs w:val="22"/>
        </w:rPr>
        <w:t xml:space="preserve">20,619 </w:t>
      </w:r>
      <w:r>
        <w:rPr>
          <w:rFonts w:asciiTheme="minorHAnsi" w:hAnsiTheme="minorHAnsi"/>
          <w:sz w:val="22"/>
          <w:szCs w:val="22"/>
        </w:rPr>
        <w:t xml:space="preserve">event-months thus indicating that on average each individual had 1.5 overdose events per person.  In Case Mix and MATRIS, </w:t>
      </w:r>
      <w:r w:rsidRPr="00F96BCE">
        <w:rPr>
          <w:rFonts w:asciiTheme="minorHAnsi" w:hAnsiTheme="minorHAnsi"/>
          <w:sz w:val="22"/>
          <w:szCs w:val="22"/>
        </w:rPr>
        <w:t xml:space="preserve">15% </w:t>
      </w:r>
      <w:r>
        <w:rPr>
          <w:rFonts w:asciiTheme="minorHAnsi" w:hAnsiTheme="minorHAnsi"/>
          <w:sz w:val="22"/>
          <w:szCs w:val="22"/>
        </w:rPr>
        <w:t xml:space="preserve">of the individuals </w:t>
      </w:r>
      <w:r w:rsidRPr="00F96BCE">
        <w:rPr>
          <w:rFonts w:asciiTheme="minorHAnsi" w:hAnsiTheme="minorHAnsi"/>
          <w:sz w:val="22"/>
          <w:szCs w:val="22"/>
        </w:rPr>
        <w:t xml:space="preserve">had </w:t>
      </w:r>
      <w:r>
        <w:rPr>
          <w:rFonts w:asciiTheme="minorHAnsi" w:hAnsiTheme="minorHAnsi"/>
          <w:sz w:val="22"/>
          <w:szCs w:val="22"/>
        </w:rPr>
        <w:t>one or more overdose events recorded</w:t>
      </w:r>
      <w:r w:rsidR="00301E0D">
        <w:rPr>
          <w:rFonts w:asciiTheme="minorHAnsi" w:hAnsiTheme="minorHAnsi"/>
          <w:sz w:val="22"/>
          <w:szCs w:val="22"/>
        </w:rPr>
        <w:t>.  O</w:t>
      </w:r>
      <w:r w:rsidRPr="00F96BCE">
        <w:rPr>
          <w:rFonts w:asciiTheme="minorHAnsi" w:hAnsiTheme="minorHAnsi"/>
          <w:sz w:val="22"/>
          <w:szCs w:val="22"/>
        </w:rPr>
        <w:t xml:space="preserve">f these, 5.4% died of an opioid-related overdose </w:t>
      </w:r>
      <w:r>
        <w:rPr>
          <w:rFonts w:asciiTheme="minorHAnsi" w:hAnsiTheme="minorHAnsi"/>
          <w:sz w:val="22"/>
          <w:szCs w:val="22"/>
        </w:rPr>
        <w:t>at some point in 2013 or 2014</w:t>
      </w:r>
      <w:r w:rsidR="00301E0D">
        <w:rPr>
          <w:rFonts w:asciiTheme="minorHAnsi" w:hAnsiTheme="minorHAnsi"/>
          <w:sz w:val="22"/>
          <w:szCs w:val="22"/>
        </w:rPr>
        <w:t>.  O</w:t>
      </w:r>
      <w:r>
        <w:rPr>
          <w:rFonts w:asciiTheme="minorHAnsi" w:hAnsiTheme="minorHAnsi"/>
          <w:sz w:val="22"/>
          <w:szCs w:val="22"/>
        </w:rPr>
        <w:t>ne-third (33%) of individuals with recorded overdose events could be found only in the Case Mix data</w:t>
      </w:r>
      <w:r w:rsidR="00301E0D">
        <w:rPr>
          <w:rFonts w:asciiTheme="minorHAnsi" w:hAnsiTheme="minorHAnsi"/>
          <w:sz w:val="22"/>
          <w:szCs w:val="22"/>
        </w:rPr>
        <w:t>.  O</w:t>
      </w:r>
      <w:r w:rsidRPr="00F96BCE">
        <w:rPr>
          <w:rFonts w:asciiTheme="minorHAnsi" w:hAnsiTheme="minorHAnsi"/>
          <w:sz w:val="22"/>
          <w:szCs w:val="22"/>
        </w:rPr>
        <w:t xml:space="preserve">f these, 4.0% died of an opioid-related overdose </w:t>
      </w:r>
      <w:r>
        <w:rPr>
          <w:rFonts w:asciiTheme="minorHAnsi" w:hAnsiTheme="minorHAnsi"/>
          <w:sz w:val="22"/>
          <w:szCs w:val="22"/>
        </w:rPr>
        <w:t>during 2013 or 2014.  Slightly over half (</w:t>
      </w:r>
      <w:r w:rsidRPr="00F96BCE">
        <w:rPr>
          <w:rFonts w:asciiTheme="minorHAnsi" w:hAnsiTheme="minorHAnsi"/>
          <w:sz w:val="22"/>
          <w:szCs w:val="22"/>
        </w:rPr>
        <w:t>52%</w:t>
      </w:r>
      <w:r>
        <w:rPr>
          <w:rFonts w:asciiTheme="minorHAnsi" w:hAnsiTheme="minorHAnsi"/>
          <w:sz w:val="22"/>
          <w:szCs w:val="22"/>
        </w:rPr>
        <w:t>)</w:t>
      </w:r>
      <w:r w:rsidRPr="00F96BCE">
        <w:rPr>
          <w:rFonts w:asciiTheme="minorHAnsi" w:hAnsiTheme="minorHAnsi"/>
          <w:sz w:val="22"/>
          <w:szCs w:val="22"/>
        </w:rPr>
        <w:t xml:space="preserve"> </w:t>
      </w:r>
      <w:r>
        <w:rPr>
          <w:rFonts w:asciiTheme="minorHAnsi" w:hAnsiTheme="minorHAnsi"/>
          <w:sz w:val="22"/>
          <w:szCs w:val="22"/>
        </w:rPr>
        <w:t>of individuals with recorded overdose events could be found only in the</w:t>
      </w:r>
      <w:r w:rsidRPr="00F96BCE">
        <w:rPr>
          <w:rFonts w:asciiTheme="minorHAnsi" w:hAnsiTheme="minorHAnsi"/>
          <w:sz w:val="22"/>
          <w:szCs w:val="22"/>
        </w:rPr>
        <w:t xml:space="preserve"> MATRIS</w:t>
      </w:r>
      <w:r>
        <w:rPr>
          <w:rFonts w:asciiTheme="minorHAnsi" w:hAnsiTheme="minorHAnsi"/>
          <w:sz w:val="22"/>
          <w:szCs w:val="22"/>
        </w:rPr>
        <w:t xml:space="preserve"> data</w:t>
      </w:r>
      <w:r w:rsidR="00301E0D">
        <w:rPr>
          <w:rFonts w:asciiTheme="minorHAnsi" w:hAnsiTheme="minorHAnsi"/>
          <w:sz w:val="22"/>
          <w:szCs w:val="22"/>
        </w:rPr>
        <w:t>.  O</w:t>
      </w:r>
      <w:r w:rsidRPr="00F96BCE">
        <w:rPr>
          <w:rFonts w:asciiTheme="minorHAnsi" w:hAnsiTheme="minorHAnsi"/>
          <w:sz w:val="22"/>
          <w:szCs w:val="22"/>
        </w:rPr>
        <w:t>f these, 4.4% died of an opioid-related overdose during the study period.</w:t>
      </w:r>
    </w:p>
    <w:p w:rsidR="00FB160F" w:rsidRPr="00F96BCE" w:rsidRDefault="00FB160F" w:rsidP="00FB160F">
      <w:pPr>
        <w:spacing w:after="120" w:line="276" w:lineRule="auto"/>
        <w:ind w:firstLine="720"/>
        <w:rPr>
          <w:rFonts w:asciiTheme="minorHAnsi" w:hAnsiTheme="minorHAnsi"/>
          <w:szCs w:val="22"/>
        </w:rPr>
      </w:pPr>
      <w:r w:rsidRPr="00F96BCE">
        <w:rPr>
          <w:rFonts w:asciiTheme="minorHAnsi" w:hAnsiTheme="minorHAnsi"/>
          <w:sz w:val="22"/>
          <w:szCs w:val="22"/>
        </w:rPr>
        <w:t xml:space="preserve">Altogether, 9.3% of people with a fatal </w:t>
      </w:r>
      <w:r>
        <w:rPr>
          <w:rFonts w:asciiTheme="minorHAnsi" w:hAnsiTheme="minorHAnsi"/>
          <w:sz w:val="22"/>
          <w:szCs w:val="22"/>
        </w:rPr>
        <w:t>opioid-related overdose</w:t>
      </w:r>
      <w:r w:rsidRPr="00F96BCE">
        <w:rPr>
          <w:rFonts w:asciiTheme="minorHAnsi" w:hAnsiTheme="minorHAnsi"/>
          <w:sz w:val="22"/>
          <w:szCs w:val="22"/>
        </w:rPr>
        <w:t xml:space="preserve"> had at least 1 prior nonfatal overdose event recorded in either Case Mix or MATRIS.  No differences were found by gender.  In other words, the likelihood of subsequent opioid related death when preceded by a nonfatal overdose was the same for men and women.  There were, however, differences by age.  Compared to people aged 45+</w:t>
      </w:r>
      <w:r>
        <w:rPr>
          <w:rFonts w:asciiTheme="minorHAnsi" w:hAnsiTheme="minorHAnsi"/>
          <w:sz w:val="22"/>
          <w:szCs w:val="22"/>
        </w:rPr>
        <w:t>,</w:t>
      </w:r>
      <w:r w:rsidRPr="00F96BCE">
        <w:rPr>
          <w:rFonts w:asciiTheme="minorHAnsi" w:hAnsiTheme="minorHAnsi"/>
          <w:sz w:val="22"/>
          <w:szCs w:val="22"/>
        </w:rPr>
        <w:t xml:space="preserve"> those aged 27 and under </w:t>
      </w:r>
      <w:r>
        <w:rPr>
          <w:rFonts w:asciiTheme="minorHAnsi" w:hAnsiTheme="minorHAnsi"/>
          <w:sz w:val="22"/>
          <w:szCs w:val="22"/>
        </w:rPr>
        <w:t xml:space="preserve">and those 28 to 34 </w:t>
      </w:r>
      <w:r w:rsidRPr="00F96BCE">
        <w:rPr>
          <w:rFonts w:asciiTheme="minorHAnsi" w:hAnsiTheme="minorHAnsi"/>
          <w:sz w:val="22"/>
          <w:szCs w:val="22"/>
        </w:rPr>
        <w:t xml:space="preserve">were </w:t>
      </w:r>
      <w:r>
        <w:rPr>
          <w:rFonts w:asciiTheme="minorHAnsi" w:hAnsiTheme="minorHAnsi"/>
          <w:sz w:val="22"/>
          <w:szCs w:val="22"/>
        </w:rPr>
        <w:t xml:space="preserve">nearly twice as likely </w:t>
      </w:r>
      <w:r w:rsidRPr="00F96BCE">
        <w:rPr>
          <w:rFonts w:asciiTheme="minorHAnsi" w:hAnsiTheme="minorHAnsi"/>
          <w:sz w:val="22"/>
          <w:szCs w:val="22"/>
        </w:rPr>
        <w:t xml:space="preserve">to have a previous </w:t>
      </w:r>
      <w:r>
        <w:rPr>
          <w:rFonts w:asciiTheme="minorHAnsi" w:hAnsiTheme="minorHAnsi"/>
          <w:sz w:val="22"/>
          <w:szCs w:val="22"/>
        </w:rPr>
        <w:t>overdose event</w:t>
      </w:r>
      <w:r w:rsidRPr="00F96BCE">
        <w:rPr>
          <w:rFonts w:asciiTheme="minorHAnsi" w:hAnsiTheme="minorHAnsi"/>
          <w:sz w:val="22"/>
          <w:szCs w:val="22"/>
        </w:rPr>
        <w:t xml:space="preserve"> before death</w:t>
      </w:r>
      <w:r>
        <w:rPr>
          <w:rFonts w:asciiTheme="minorHAnsi" w:hAnsiTheme="minorHAnsi"/>
          <w:sz w:val="22"/>
          <w:szCs w:val="22"/>
        </w:rPr>
        <w:t>.</w:t>
      </w:r>
    </w:p>
    <w:p w:rsidR="00FB160F" w:rsidRDefault="00FB160F" w:rsidP="00FB160F">
      <w:pPr>
        <w:spacing w:after="120" w:line="276" w:lineRule="auto"/>
        <w:rPr>
          <w:rFonts w:ascii="Calibri" w:hAnsi="Calibri"/>
          <w:b/>
          <w:sz w:val="22"/>
          <w:szCs w:val="22"/>
        </w:rPr>
      </w:pPr>
      <w:r w:rsidRPr="00F96BCE">
        <w:rPr>
          <w:rFonts w:ascii="Calibri" w:hAnsi="Calibri"/>
          <w:b/>
          <w:sz w:val="22"/>
          <w:szCs w:val="22"/>
        </w:rPr>
        <w:t>Discussion:</w:t>
      </w:r>
      <w:r>
        <w:rPr>
          <w:rFonts w:ascii="Calibri" w:hAnsi="Calibri"/>
          <w:b/>
          <w:sz w:val="22"/>
          <w:szCs w:val="22"/>
        </w:rPr>
        <w:t xml:space="preserve"> </w:t>
      </w:r>
      <w:r>
        <w:rPr>
          <w:rFonts w:ascii="Calibri" w:hAnsi="Calibri"/>
          <w:sz w:val="22"/>
          <w:szCs w:val="22"/>
        </w:rPr>
        <w:t>There are at least 5 times as many nonfatal overdose events compared to fatal opioid-related overdose deaths.  Each should be considered an opportunity to reduce the risk of subsequent opioid-related death.  While the available data shows that a relatively small number of nonfatal overdoses precede a fatal overdose (9.3%), it is believed that this number is a significant underestimate.  See the Limitations discussion below</w:t>
      </w:r>
      <w:r w:rsidR="00301E0D">
        <w:rPr>
          <w:rFonts w:ascii="Calibri" w:hAnsi="Calibri"/>
          <w:sz w:val="22"/>
          <w:szCs w:val="22"/>
        </w:rPr>
        <w:t>.  R</w:t>
      </w:r>
      <w:r>
        <w:rPr>
          <w:rFonts w:ascii="Calibri" w:hAnsi="Calibri"/>
          <w:sz w:val="22"/>
          <w:szCs w:val="22"/>
        </w:rPr>
        <w:t xml:space="preserve">egardless, all opportunities should be explored to reduce the </w:t>
      </w:r>
      <w:r>
        <w:rPr>
          <w:rFonts w:ascii="Calibri" w:hAnsi="Calibri"/>
          <w:sz w:val="22"/>
          <w:szCs w:val="22"/>
        </w:rPr>
        <w:lastRenderedPageBreak/>
        <w:t>opioid overdose death rate.  For example, Emergency Medical Services (EMS) could receive alerts about high-risk communities or high-risk patient profiles.  Heightened awareness could positively impact the death rate</w:t>
      </w:r>
      <w:r w:rsidR="00301E0D">
        <w:rPr>
          <w:rFonts w:ascii="Calibri" w:hAnsi="Calibri"/>
          <w:sz w:val="22"/>
          <w:szCs w:val="22"/>
        </w:rPr>
        <w:t>.  H</w:t>
      </w:r>
      <w:r>
        <w:rPr>
          <w:rFonts w:ascii="Calibri" w:hAnsi="Calibri"/>
          <w:sz w:val="22"/>
          <w:szCs w:val="22"/>
        </w:rPr>
        <w:t>ospitals and EMS alike could be advised about the importance of reporting accurate data about fatal and nonfatal overdose deaths, so trends can be identified and addressed as soon as possible.  Finally, since the majority of overdose events are only found in Case Mix data or MATRIS data but not in both, this suggests that a substantial number of people seek no treatment whatsoever following a nonfatal overdose.  Educating users, friends, family members, and bystanders about the importance of seeking medical treatment following a nonfatal overdose is critical if the number of deaths is to be reduced.</w:t>
      </w:r>
    </w:p>
    <w:p w:rsidR="00FB160F" w:rsidRDefault="00FB160F" w:rsidP="00FB160F">
      <w:pPr>
        <w:spacing w:after="120" w:line="276" w:lineRule="auto"/>
        <w:rPr>
          <w:rFonts w:ascii="Calibri" w:hAnsi="Calibri"/>
          <w:b/>
          <w:sz w:val="22"/>
          <w:szCs w:val="22"/>
          <w:u w:val="single"/>
        </w:rPr>
      </w:pPr>
      <w:r>
        <w:rPr>
          <w:rFonts w:ascii="Calibri" w:hAnsi="Calibri"/>
          <w:b/>
          <w:sz w:val="22"/>
          <w:szCs w:val="22"/>
        </w:rPr>
        <w:t xml:space="preserve">Limitations: </w:t>
      </w:r>
      <w:r w:rsidRPr="00F96BCE">
        <w:rPr>
          <w:rFonts w:ascii="Calibri" w:hAnsi="Calibri"/>
          <w:sz w:val="22"/>
          <w:szCs w:val="22"/>
        </w:rPr>
        <w:t xml:space="preserve">While only 9.3% of </w:t>
      </w:r>
      <w:r>
        <w:rPr>
          <w:rFonts w:ascii="Calibri" w:hAnsi="Calibri"/>
          <w:sz w:val="22"/>
          <w:szCs w:val="22"/>
        </w:rPr>
        <w:t xml:space="preserve">the </w:t>
      </w:r>
      <w:r w:rsidRPr="00F96BCE">
        <w:rPr>
          <w:rFonts w:ascii="Calibri" w:hAnsi="Calibri"/>
          <w:sz w:val="22"/>
          <w:szCs w:val="22"/>
        </w:rPr>
        <w:t>i</w:t>
      </w:r>
      <w:r>
        <w:rPr>
          <w:rFonts w:ascii="Calibri" w:hAnsi="Calibri"/>
          <w:sz w:val="22"/>
          <w:szCs w:val="22"/>
        </w:rPr>
        <w:t>ndi</w:t>
      </w:r>
      <w:r w:rsidRPr="00F96BCE">
        <w:rPr>
          <w:rFonts w:ascii="Calibri" w:hAnsi="Calibri"/>
          <w:sz w:val="22"/>
          <w:szCs w:val="22"/>
        </w:rPr>
        <w:t xml:space="preserve">viduals </w:t>
      </w:r>
      <w:r>
        <w:rPr>
          <w:rFonts w:ascii="Calibri" w:hAnsi="Calibri"/>
          <w:sz w:val="22"/>
          <w:szCs w:val="22"/>
        </w:rPr>
        <w:t xml:space="preserve">who had a </w:t>
      </w:r>
      <w:r w:rsidRPr="00F96BCE">
        <w:rPr>
          <w:rFonts w:asciiTheme="minorHAnsi" w:hAnsiTheme="minorHAnsi"/>
          <w:sz w:val="22"/>
          <w:szCs w:val="22"/>
        </w:rPr>
        <w:t xml:space="preserve">fatal opioid-related overdose </w:t>
      </w:r>
      <w:r>
        <w:rPr>
          <w:rFonts w:asciiTheme="minorHAnsi" w:hAnsiTheme="minorHAnsi"/>
          <w:sz w:val="22"/>
          <w:szCs w:val="22"/>
        </w:rPr>
        <w:t xml:space="preserve">also </w:t>
      </w:r>
      <w:r w:rsidRPr="00F96BCE">
        <w:rPr>
          <w:rFonts w:asciiTheme="minorHAnsi" w:hAnsiTheme="minorHAnsi"/>
          <w:sz w:val="22"/>
          <w:szCs w:val="22"/>
        </w:rPr>
        <w:t>had at least 1 prior nonfatal overdose event</w:t>
      </w:r>
      <w:r>
        <w:rPr>
          <w:rFonts w:asciiTheme="minorHAnsi" w:hAnsiTheme="minorHAnsi"/>
          <w:sz w:val="22"/>
          <w:szCs w:val="22"/>
        </w:rPr>
        <w:t>, it is very likely that this value is a significant underestimate of the actual number of opioid overdoses prior to opioid death that occurred in Massachusetts during 2013 and 2014.  First of all, the Chapter 55 data was organized by months to protect the privacy of the individuals whose data was analyzed.  Any nonfatal overdose occurring in the same calendar month as a fatal overdose would be masked and thus undercounted</w:t>
      </w:r>
      <w:r w:rsidR="00301E0D">
        <w:rPr>
          <w:rFonts w:asciiTheme="minorHAnsi" w:hAnsiTheme="minorHAnsi"/>
          <w:sz w:val="22"/>
          <w:szCs w:val="22"/>
        </w:rPr>
        <w:t>.  S</w:t>
      </w:r>
      <w:r>
        <w:rPr>
          <w:rFonts w:asciiTheme="minorHAnsi" w:hAnsiTheme="minorHAnsi"/>
          <w:sz w:val="22"/>
          <w:szCs w:val="22"/>
        </w:rPr>
        <w:t>econd, MATRIS data has known gaps.  Some emergency medical services do not report data and others do not routinely record data that is sufficient for the algorithm to flag an ambulance trip as a likely overdose case.  As least 30% of MATRIS data is missing in whole or in part.  On this measure alone, it is almost certain that the actual number of individuals with overdose events preceding death far exceeds what is reported here.  Third, Case Mix data is also likely to underestimate the total number of overdose cases.  There could be coding errors, different coding approaches used by different hospitals, or possible physician concerns for patient privacy that could result in incomplete counts of overdose reporting in hospital settings</w:t>
      </w:r>
      <w:r w:rsidR="00301E0D">
        <w:rPr>
          <w:rFonts w:asciiTheme="minorHAnsi" w:hAnsiTheme="minorHAnsi"/>
          <w:sz w:val="22"/>
          <w:szCs w:val="22"/>
        </w:rPr>
        <w:t>.  F</w:t>
      </w:r>
      <w:r>
        <w:rPr>
          <w:rFonts w:asciiTheme="minorHAnsi" w:hAnsiTheme="minorHAnsi"/>
          <w:sz w:val="22"/>
          <w:szCs w:val="22"/>
        </w:rPr>
        <w:t xml:space="preserve">inally, there are numerous testimonials of persons who survived an overdose after a being </w:t>
      </w:r>
      <w:r>
        <w:rPr>
          <w:rFonts w:ascii="Calibri" w:hAnsi="Calibri"/>
          <w:sz w:val="22"/>
          <w:szCs w:val="22"/>
        </w:rPr>
        <w:t>revived with Naloxone by a friend or family member.  Anecdotal evidence suggests that many of these individuals did not seek additional treatment and thus were not included in the two data sets examined here.  These individuals may have refused care by an EMT, refused to enter a hospital Emergency Department, or never sought any treatment whatsoever.  Mathematical modeling of the full array of data available through Chapter 55 could shed some additional light on the percentage of cases.  That work is ongoing.</w:t>
      </w:r>
      <w:r>
        <w:rPr>
          <w:rFonts w:ascii="Calibri" w:hAnsi="Calibri"/>
          <w:b/>
          <w:sz w:val="22"/>
          <w:szCs w:val="22"/>
          <w:u w:val="single"/>
        </w:rPr>
        <w:br w:type="page"/>
      </w:r>
    </w:p>
    <w:p w:rsidR="00FB160F" w:rsidRPr="00910856" w:rsidRDefault="00BA3381" w:rsidP="00FB160F">
      <w:pPr>
        <w:spacing w:after="120" w:line="276" w:lineRule="auto"/>
        <w:rPr>
          <w:rFonts w:ascii="Calibri" w:hAnsi="Calibri"/>
          <w:i/>
          <w:sz w:val="22"/>
          <w:szCs w:val="22"/>
        </w:rPr>
      </w:pPr>
      <w:r>
        <w:rPr>
          <w:rFonts w:ascii="Calibri" w:hAnsi="Calibri"/>
          <w:b/>
          <w:sz w:val="22"/>
          <w:szCs w:val="22"/>
          <w:u w:val="single"/>
        </w:rPr>
        <w:lastRenderedPageBreak/>
        <w:t>Statutory</w:t>
      </w:r>
      <w:r w:rsidRPr="00910856">
        <w:rPr>
          <w:rFonts w:ascii="Calibri" w:hAnsi="Calibri"/>
          <w:b/>
          <w:sz w:val="22"/>
          <w:szCs w:val="22"/>
          <w:u w:val="single"/>
        </w:rPr>
        <w:t xml:space="preserve"> </w:t>
      </w:r>
      <w:r w:rsidR="00FB160F" w:rsidRPr="00910856">
        <w:rPr>
          <w:rFonts w:ascii="Calibri" w:hAnsi="Calibri"/>
          <w:b/>
          <w:sz w:val="22"/>
          <w:szCs w:val="22"/>
          <w:u w:val="single"/>
        </w:rPr>
        <w:t>Question 7:</w:t>
      </w:r>
      <w:r w:rsidR="00FB160F" w:rsidRPr="00910856">
        <w:rPr>
          <w:rFonts w:ascii="Calibri" w:hAnsi="Calibri"/>
          <w:sz w:val="22"/>
          <w:szCs w:val="22"/>
        </w:rPr>
        <w:t xml:space="preserve"> </w:t>
      </w:r>
      <w:r w:rsidR="00FB160F" w:rsidRPr="00910856">
        <w:rPr>
          <w:rFonts w:ascii="Calibri" w:hAnsi="Calibri"/>
          <w:i/>
          <w:sz w:val="22"/>
          <w:szCs w:val="22"/>
        </w:rPr>
        <w:t xml:space="preserve">“Whether any individuals had been previously detained or incarcerated and, if so, whether the individuals had received treatment during the detention or incarceration.”  </w:t>
      </w:r>
    </w:p>
    <w:p w:rsidR="00FB160F" w:rsidRPr="00910856" w:rsidRDefault="00FB160F" w:rsidP="00FB160F">
      <w:pPr>
        <w:spacing w:after="120" w:line="276" w:lineRule="auto"/>
        <w:rPr>
          <w:rFonts w:ascii="Calibri" w:hAnsi="Calibri"/>
          <w:i/>
          <w:sz w:val="22"/>
          <w:szCs w:val="22"/>
        </w:rPr>
      </w:pPr>
      <w:r w:rsidRPr="00910856">
        <w:rPr>
          <w:rFonts w:ascii="Calibri" w:hAnsi="Calibri"/>
          <w:b/>
          <w:sz w:val="22"/>
          <w:szCs w:val="22"/>
        </w:rPr>
        <w:t>Analytic Question 7:</w:t>
      </w:r>
      <w:r w:rsidRPr="00910856">
        <w:rPr>
          <w:rFonts w:ascii="Calibri" w:hAnsi="Calibri"/>
          <w:sz w:val="22"/>
          <w:szCs w:val="22"/>
        </w:rPr>
        <w:t xml:space="preserve"> </w:t>
      </w:r>
      <w:r w:rsidRPr="00910856">
        <w:rPr>
          <w:rFonts w:ascii="Calibri" w:hAnsi="Calibri"/>
          <w:i/>
          <w:sz w:val="22"/>
          <w:szCs w:val="22"/>
        </w:rPr>
        <w:t xml:space="preserve">“Does treatment during incarceration reduce likelihood of a fatal </w:t>
      </w:r>
      <w:r>
        <w:rPr>
          <w:rFonts w:ascii="Calibri" w:hAnsi="Calibri"/>
          <w:i/>
          <w:sz w:val="22"/>
          <w:szCs w:val="22"/>
        </w:rPr>
        <w:t xml:space="preserve">opioid-related </w:t>
      </w:r>
      <w:r w:rsidRPr="00910856">
        <w:rPr>
          <w:rFonts w:ascii="Calibri" w:hAnsi="Calibri"/>
          <w:i/>
          <w:sz w:val="22"/>
          <w:szCs w:val="22"/>
        </w:rPr>
        <w:t xml:space="preserve">overdose?” </w:t>
      </w:r>
    </w:p>
    <w:p w:rsidR="00FB160F" w:rsidRPr="005069FA" w:rsidRDefault="00FB160F" w:rsidP="00FB160F">
      <w:pPr>
        <w:spacing w:after="120" w:line="276" w:lineRule="auto"/>
        <w:ind w:firstLine="720"/>
        <w:rPr>
          <w:rFonts w:ascii="Calibri" w:hAnsi="Calibri"/>
          <w:sz w:val="22"/>
          <w:szCs w:val="22"/>
        </w:rPr>
      </w:pPr>
      <w:r w:rsidRPr="005069FA">
        <w:rPr>
          <w:rFonts w:ascii="Calibri" w:hAnsi="Calibri"/>
          <w:sz w:val="22"/>
          <w:szCs w:val="22"/>
        </w:rPr>
        <w:t xml:space="preserve">It is considered best practice to provide individuals that have a substance use disorder </w:t>
      </w:r>
      <w:r>
        <w:rPr>
          <w:rFonts w:ascii="Calibri" w:hAnsi="Calibri"/>
          <w:sz w:val="22"/>
          <w:szCs w:val="22"/>
        </w:rPr>
        <w:t xml:space="preserve">(SUD) </w:t>
      </w:r>
      <w:r w:rsidRPr="005069FA">
        <w:rPr>
          <w:rFonts w:ascii="Calibri" w:hAnsi="Calibri"/>
          <w:sz w:val="22"/>
          <w:szCs w:val="22"/>
        </w:rPr>
        <w:t>with treatment as swiftly as possible</w:t>
      </w:r>
      <w:r w:rsidR="00301E0D">
        <w:rPr>
          <w:rFonts w:ascii="Calibri" w:hAnsi="Calibri"/>
          <w:sz w:val="22"/>
          <w:szCs w:val="22"/>
        </w:rPr>
        <w:t>.  F</w:t>
      </w:r>
      <w:r w:rsidRPr="005069FA">
        <w:rPr>
          <w:rFonts w:ascii="Calibri" w:hAnsi="Calibri"/>
          <w:sz w:val="22"/>
          <w:szCs w:val="22"/>
        </w:rPr>
        <w:t xml:space="preserve">urthermore, for individuals who are incarcerated and have a SUD, providing treatment behind the walls would be the </w:t>
      </w:r>
      <w:r>
        <w:rPr>
          <w:rFonts w:ascii="Calibri" w:hAnsi="Calibri"/>
          <w:sz w:val="22"/>
          <w:szCs w:val="22"/>
        </w:rPr>
        <w:t>optimal time to do so</w:t>
      </w:r>
      <w:r w:rsidRPr="005069FA">
        <w:rPr>
          <w:rFonts w:ascii="Calibri" w:hAnsi="Calibri"/>
          <w:sz w:val="22"/>
          <w:szCs w:val="22"/>
        </w:rPr>
        <w:t xml:space="preserve"> rather than waiting until release.  It is hypothesized that those that receive SUD treatment behind the walls are less likely to die of an opioid</w:t>
      </w:r>
      <w:r>
        <w:rPr>
          <w:rFonts w:ascii="Calibri" w:hAnsi="Calibri"/>
          <w:sz w:val="22"/>
          <w:szCs w:val="22"/>
        </w:rPr>
        <w:t>-related</w:t>
      </w:r>
      <w:r w:rsidRPr="005069FA">
        <w:rPr>
          <w:rFonts w:ascii="Calibri" w:hAnsi="Calibri"/>
          <w:sz w:val="22"/>
          <w:szCs w:val="22"/>
        </w:rPr>
        <w:t xml:space="preserve"> overdose post</w:t>
      </w:r>
      <w:r>
        <w:rPr>
          <w:rFonts w:ascii="Calibri" w:hAnsi="Calibri"/>
          <w:sz w:val="22"/>
          <w:szCs w:val="22"/>
        </w:rPr>
        <w:t>-</w:t>
      </w:r>
      <w:r w:rsidRPr="005069FA">
        <w:rPr>
          <w:rFonts w:ascii="Calibri" w:hAnsi="Calibri"/>
          <w:sz w:val="22"/>
          <w:szCs w:val="22"/>
        </w:rPr>
        <w:t>release in comparison to those that do not receive treatment prior to release</w:t>
      </w:r>
      <w:r w:rsidR="00301E0D">
        <w:rPr>
          <w:rFonts w:ascii="Calibri" w:hAnsi="Calibri"/>
          <w:sz w:val="22"/>
          <w:szCs w:val="22"/>
        </w:rPr>
        <w:t xml:space="preserve">.  </w:t>
      </w:r>
      <w:r w:rsidRPr="005069FA">
        <w:rPr>
          <w:rFonts w:ascii="Calibri" w:hAnsi="Calibri"/>
          <w:sz w:val="22"/>
          <w:szCs w:val="22"/>
        </w:rPr>
        <w:t xml:space="preserve">To confirm this hypothesis, an analysis was conducted by linking Massachusetts </w:t>
      </w:r>
      <w:r>
        <w:rPr>
          <w:rFonts w:ascii="Calibri" w:hAnsi="Calibri"/>
          <w:sz w:val="22"/>
          <w:szCs w:val="22"/>
        </w:rPr>
        <w:t xml:space="preserve">Department of Correction (DoC) </w:t>
      </w:r>
      <w:r w:rsidRPr="005069FA">
        <w:rPr>
          <w:rFonts w:ascii="Calibri" w:hAnsi="Calibri"/>
          <w:sz w:val="22"/>
          <w:szCs w:val="22"/>
        </w:rPr>
        <w:t xml:space="preserve">data (jails are not included), which includes drug treatment received during incarceration </w:t>
      </w:r>
      <w:r>
        <w:rPr>
          <w:rFonts w:ascii="Calibri" w:hAnsi="Calibri"/>
          <w:sz w:val="22"/>
          <w:szCs w:val="22"/>
        </w:rPr>
        <w:t xml:space="preserve">in prison </w:t>
      </w:r>
      <w:r w:rsidRPr="005069FA">
        <w:rPr>
          <w:rFonts w:ascii="Calibri" w:hAnsi="Calibri"/>
          <w:sz w:val="22"/>
          <w:szCs w:val="22"/>
        </w:rPr>
        <w:t xml:space="preserve">to death certificate data and the individual’s demographic information.  </w:t>
      </w:r>
    </w:p>
    <w:p w:rsidR="00FB160F" w:rsidRDefault="00FB160F" w:rsidP="00FB160F">
      <w:pPr>
        <w:spacing w:after="120" w:line="276" w:lineRule="auto"/>
        <w:ind w:firstLine="720"/>
        <w:rPr>
          <w:rFonts w:ascii="Calibri" w:hAnsi="Calibri"/>
          <w:sz w:val="22"/>
          <w:szCs w:val="22"/>
        </w:rPr>
      </w:pPr>
      <w:r w:rsidRPr="005069FA">
        <w:rPr>
          <w:rFonts w:ascii="Calibri" w:hAnsi="Calibri"/>
          <w:sz w:val="22"/>
          <w:szCs w:val="22"/>
        </w:rPr>
        <w:t xml:space="preserve">There is a large overlap between </w:t>
      </w:r>
      <w:r>
        <w:rPr>
          <w:rFonts w:ascii="Calibri" w:hAnsi="Calibri"/>
          <w:sz w:val="22"/>
          <w:szCs w:val="22"/>
        </w:rPr>
        <w:t>people involved in the criminal justice system and people who use substances</w:t>
      </w:r>
      <w:r w:rsidRPr="005069FA">
        <w:rPr>
          <w:rFonts w:ascii="Calibri" w:hAnsi="Calibri"/>
          <w:sz w:val="22"/>
          <w:szCs w:val="22"/>
        </w:rPr>
        <w:t>.</w:t>
      </w:r>
      <w:r w:rsidRPr="005069FA">
        <w:rPr>
          <w:rFonts w:ascii="Calibri" w:hAnsi="Calibri" w:cs="Verdana"/>
          <w:color w:val="444444"/>
          <w:sz w:val="22"/>
          <w:szCs w:val="22"/>
        </w:rPr>
        <w:t xml:space="preserve"> </w:t>
      </w:r>
      <w:r w:rsidRPr="005069FA">
        <w:rPr>
          <w:rFonts w:ascii="Calibri" w:hAnsi="Calibri"/>
          <w:sz w:val="22"/>
          <w:szCs w:val="22"/>
        </w:rPr>
        <w:t> In a survey of State and Federal prisoners, the Department of Justice’s (DOJ) Bureau of Justice Statistics (BJS) estimates that about half of the prisoners in the US meet Diagnostic and Statistical Manual for Mental Disorders (DSM) criteria for substance use disorders, and yet fewer than 20 percent who need treatment receive it.</w:t>
      </w:r>
      <w:r w:rsidRPr="005069FA">
        <w:rPr>
          <w:rStyle w:val="FootnoteReference"/>
          <w:szCs w:val="22"/>
        </w:rPr>
        <w:footnoteReference w:id="52"/>
      </w:r>
      <w:r w:rsidRPr="00163D74">
        <w:rPr>
          <w:rFonts w:ascii="Calibri" w:hAnsi="Calibri"/>
          <w:sz w:val="22"/>
          <w:szCs w:val="22"/>
          <w:vertAlign w:val="superscript"/>
        </w:rPr>
        <w:t>,</w:t>
      </w:r>
      <w:r w:rsidRPr="005069FA">
        <w:rPr>
          <w:rStyle w:val="FootnoteReference"/>
          <w:szCs w:val="22"/>
        </w:rPr>
        <w:footnoteReference w:id="53"/>
      </w:r>
      <w:r w:rsidRPr="005069FA">
        <w:rPr>
          <w:rFonts w:ascii="Calibri" w:hAnsi="Calibri"/>
          <w:sz w:val="22"/>
          <w:szCs w:val="22"/>
        </w:rPr>
        <w:t xml:space="preserve"> Of those surveyed, 14.8 percent of State and 17.4 percent of Federal prisoners reported having received drug treatment since admission.</w:t>
      </w:r>
      <w:r w:rsidRPr="005069FA">
        <w:rPr>
          <w:rStyle w:val="FootnoteReference"/>
          <w:szCs w:val="22"/>
        </w:rPr>
        <w:footnoteReference w:id="54"/>
      </w:r>
    </w:p>
    <w:p w:rsidR="00FB160F" w:rsidRDefault="00FB160F" w:rsidP="00FB160F">
      <w:pPr>
        <w:spacing w:after="120" w:line="276" w:lineRule="auto"/>
        <w:ind w:firstLine="720"/>
        <w:rPr>
          <w:rFonts w:ascii="Calibri" w:hAnsi="Calibri"/>
          <w:color w:val="000000"/>
          <w:sz w:val="22"/>
          <w:szCs w:val="22"/>
        </w:rPr>
      </w:pPr>
      <w:r w:rsidRPr="005069FA">
        <w:rPr>
          <w:rFonts w:ascii="Calibri" w:hAnsi="Calibri"/>
          <w:sz w:val="22"/>
          <w:szCs w:val="22"/>
        </w:rPr>
        <w:t>Inmates released from correctional facilities are at an increased risk of overdose</w:t>
      </w:r>
      <w:r>
        <w:rPr>
          <w:rFonts w:ascii="Calibri" w:hAnsi="Calibri"/>
          <w:sz w:val="22"/>
          <w:szCs w:val="22"/>
        </w:rPr>
        <w:t>;</w:t>
      </w:r>
      <w:r>
        <w:rPr>
          <w:rStyle w:val="FootnoteReference"/>
          <w:szCs w:val="22"/>
        </w:rPr>
        <w:footnoteReference w:id="55"/>
      </w:r>
      <w:r w:rsidRPr="005069FA">
        <w:rPr>
          <w:rFonts w:ascii="Calibri" w:hAnsi="Calibri"/>
          <w:sz w:val="22"/>
          <w:szCs w:val="22"/>
        </w:rPr>
        <w:t xml:space="preserve"> this increased risk is due to a multitude of factors</w:t>
      </w:r>
      <w:r w:rsidR="00301E0D">
        <w:rPr>
          <w:rFonts w:ascii="Calibri" w:hAnsi="Calibri"/>
          <w:sz w:val="22"/>
          <w:szCs w:val="22"/>
        </w:rPr>
        <w:t>.  F</w:t>
      </w:r>
      <w:r w:rsidRPr="005069FA">
        <w:rPr>
          <w:rFonts w:ascii="Calibri" w:hAnsi="Calibri"/>
          <w:sz w:val="22"/>
          <w:szCs w:val="22"/>
        </w:rPr>
        <w:t xml:space="preserve">irst, evidence–based, individualized treatment may not </w:t>
      </w:r>
      <w:r w:rsidRPr="001141BB">
        <w:rPr>
          <w:rFonts w:asciiTheme="minorHAnsi" w:hAnsiTheme="minorHAnsi"/>
          <w:sz w:val="22"/>
          <w:szCs w:val="22"/>
        </w:rPr>
        <w:t>be available within the correctional facilities</w:t>
      </w:r>
      <w:r w:rsidR="00301E0D">
        <w:rPr>
          <w:rFonts w:asciiTheme="minorHAnsi" w:hAnsiTheme="minorHAnsi"/>
          <w:sz w:val="22"/>
          <w:szCs w:val="22"/>
        </w:rPr>
        <w:t>.  S</w:t>
      </w:r>
      <w:r w:rsidRPr="001141BB">
        <w:rPr>
          <w:rFonts w:asciiTheme="minorHAnsi" w:hAnsiTheme="minorHAnsi"/>
          <w:sz w:val="22"/>
          <w:szCs w:val="22"/>
        </w:rPr>
        <w:t>econd, due to prolonged abstinence and the resulting reduction in tolerance, a similar dose as the one used prior to incarceration may pose a significantly high risk of overdose</w:t>
      </w:r>
      <w:r w:rsidR="00301E0D">
        <w:rPr>
          <w:rFonts w:asciiTheme="minorHAnsi" w:hAnsiTheme="minorHAnsi"/>
          <w:sz w:val="22"/>
          <w:szCs w:val="22"/>
        </w:rPr>
        <w:t>.  A</w:t>
      </w:r>
      <w:r w:rsidRPr="001141BB">
        <w:rPr>
          <w:rFonts w:asciiTheme="minorHAnsi" w:hAnsiTheme="minorHAnsi"/>
          <w:color w:val="000000"/>
          <w:sz w:val="22"/>
          <w:szCs w:val="22"/>
        </w:rPr>
        <w:t xml:space="preserve"> large study conducted in Washington State found that within the first two weeks after release, the rate of death from overdose was 1,840 per 100,000 person-years (95% confidence interval, 1213 to 2677)</w:t>
      </w:r>
      <w:r w:rsidR="00301E0D">
        <w:rPr>
          <w:rFonts w:asciiTheme="minorHAnsi" w:hAnsiTheme="minorHAnsi"/>
          <w:color w:val="000000"/>
          <w:sz w:val="22"/>
          <w:szCs w:val="22"/>
        </w:rPr>
        <w:t>.  I</w:t>
      </w:r>
      <w:r w:rsidRPr="001141BB">
        <w:rPr>
          <w:rFonts w:asciiTheme="minorHAnsi" w:hAnsiTheme="minorHAnsi"/>
          <w:color w:val="000000"/>
          <w:sz w:val="22"/>
          <w:szCs w:val="22"/>
        </w:rPr>
        <w:t>n the Washington State study, inmates were 129</w:t>
      </w:r>
      <w:r w:rsidRPr="001141BB">
        <w:rPr>
          <w:rFonts w:asciiTheme="minorHAnsi" w:hAnsiTheme="minorHAnsi"/>
          <w:sz w:val="22"/>
          <w:szCs w:val="22"/>
        </w:rPr>
        <w:t xml:space="preserve"> times as likely to die of an overdose compared to other state residents in the first two weeks after release.</w:t>
      </w:r>
      <w:r w:rsidRPr="001141BB">
        <w:rPr>
          <w:rStyle w:val="CommentReference"/>
          <w:rFonts w:asciiTheme="minorHAnsi" w:hAnsiTheme="minorHAnsi"/>
          <w:sz w:val="22"/>
          <w:szCs w:val="22"/>
        </w:rPr>
        <w:t xml:space="preserve"> </w:t>
      </w:r>
      <w:r w:rsidRPr="001141BB">
        <w:rPr>
          <w:rStyle w:val="FootnoteReference"/>
          <w:rFonts w:asciiTheme="minorHAnsi" w:hAnsiTheme="minorHAnsi"/>
          <w:color w:val="000000"/>
          <w:szCs w:val="22"/>
        </w:rPr>
        <w:footnoteReference w:id="56"/>
      </w:r>
      <w:r w:rsidRPr="001141BB">
        <w:rPr>
          <w:rFonts w:asciiTheme="minorHAnsi" w:hAnsiTheme="minorHAnsi"/>
          <w:color w:val="000000"/>
          <w:sz w:val="22"/>
          <w:szCs w:val="22"/>
        </w:rPr>
        <w:t xml:space="preserve"> The cases in this study were in the state system and did not include jails or houses of correction; which is very similar to Massachusetts.</w:t>
      </w:r>
    </w:p>
    <w:p w:rsidR="00FB160F" w:rsidRPr="005069FA" w:rsidRDefault="00FB160F" w:rsidP="00FB160F">
      <w:pPr>
        <w:spacing w:after="120" w:line="276" w:lineRule="auto"/>
        <w:ind w:firstLine="720"/>
        <w:rPr>
          <w:rFonts w:ascii="Calibri" w:hAnsi="Calibri"/>
          <w:sz w:val="22"/>
          <w:szCs w:val="22"/>
        </w:rPr>
      </w:pPr>
      <w:r w:rsidRPr="005069FA">
        <w:rPr>
          <w:rFonts w:ascii="Calibri" w:hAnsi="Calibri"/>
          <w:color w:val="000000"/>
          <w:sz w:val="22"/>
          <w:szCs w:val="22"/>
        </w:rPr>
        <w:t>During incarceration there is an opportunity to engage inmates with a substance use disorder in treatment</w:t>
      </w:r>
      <w:r w:rsidR="00301E0D">
        <w:rPr>
          <w:rFonts w:ascii="Calibri" w:hAnsi="Calibri"/>
          <w:color w:val="000000"/>
          <w:sz w:val="22"/>
          <w:szCs w:val="22"/>
        </w:rPr>
        <w:t>.  O</w:t>
      </w:r>
      <w:r w:rsidRPr="005069FA">
        <w:rPr>
          <w:rFonts w:ascii="Calibri" w:hAnsi="Calibri"/>
          <w:color w:val="000000"/>
          <w:sz w:val="22"/>
          <w:szCs w:val="22"/>
        </w:rPr>
        <w:t>f those surveyed by BJS, 14.8</w:t>
      </w:r>
      <w:r>
        <w:rPr>
          <w:rFonts w:ascii="Calibri" w:hAnsi="Calibri"/>
          <w:color w:val="000000"/>
          <w:sz w:val="22"/>
          <w:szCs w:val="22"/>
        </w:rPr>
        <w:t>%</w:t>
      </w:r>
      <w:r w:rsidRPr="005069FA">
        <w:rPr>
          <w:rFonts w:ascii="Calibri" w:hAnsi="Calibri"/>
          <w:color w:val="000000"/>
          <w:sz w:val="22"/>
          <w:szCs w:val="22"/>
        </w:rPr>
        <w:t xml:space="preserve"> of State and 17.4</w:t>
      </w:r>
      <w:r>
        <w:rPr>
          <w:rFonts w:ascii="Calibri" w:hAnsi="Calibri"/>
          <w:color w:val="000000"/>
          <w:sz w:val="22"/>
          <w:szCs w:val="22"/>
        </w:rPr>
        <w:t>%</w:t>
      </w:r>
      <w:r>
        <w:rPr>
          <w:rFonts w:ascii="Calibri" w:hAnsi="Calibri"/>
          <w:sz w:val="22"/>
          <w:szCs w:val="22"/>
        </w:rPr>
        <w:t xml:space="preserve"> of F</w:t>
      </w:r>
      <w:r w:rsidRPr="005069FA">
        <w:rPr>
          <w:rFonts w:ascii="Calibri" w:hAnsi="Calibri"/>
          <w:sz w:val="22"/>
          <w:szCs w:val="22"/>
        </w:rPr>
        <w:t xml:space="preserve">ederal prisoners reported having </w:t>
      </w:r>
      <w:r w:rsidRPr="005069FA">
        <w:rPr>
          <w:rFonts w:ascii="Calibri" w:hAnsi="Calibri"/>
          <w:sz w:val="22"/>
          <w:szCs w:val="22"/>
        </w:rPr>
        <w:lastRenderedPageBreak/>
        <w:t>received drug treatment since admission.</w:t>
      </w:r>
      <w:r w:rsidRPr="005069FA">
        <w:rPr>
          <w:rStyle w:val="FootnoteReference"/>
          <w:szCs w:val="22"/>
        </w:rPr>
        <w:footnoteReference w:id="57"/>
      </w:r>
      <w:r w:rsidRPr="005069FA">
        <w:rPr>
          <w:rFonts w:ascii="Calibri" w:hAnsi="Calibri"/>
          <w:sz w:val="22"/>
          <w:szCs w:val="22"/>
        </w:rPr>
        <w:t xml:space="preserve"> It is also critical to refer them to community</w:t>
      </w:r>
      <w:r>
        <w:rPr>
          <w:rFonts w:ascii="Calibri" w:hAnsi="Calibri"/>
          <w:sz w:val="22"/>
          <w:szCs w:val="22"/>
        </w:rPr>
        <w:t>-</w:t>
      </w:r>
      <w:r w:rsidRPr="005069FA">
        <w:rPr>
          <w:rFonts w:ascii="Calibri" w:hAnsi="Calibri"/>
          <w:sz w:val="22"/>
          <w:szCs w:val="22"/>
        </w:rPr>
        <w:t>based substance abuse treatment programs upon release to reduce the risk of overdose</w:t>
      </w:r>
      <w:r w:rsidR="00301E0D">
        <w:rPr>
          <w:rFonts w:ascii="Calibri" w:hAnsi="Calibri"/>
          <w:sz w:val="22"/>
          <w:szCs w:val="22"/>
        </w:rPr>
        <w:t>.  F</w:t>
      </w:r>
      <w:r w:rsidRPr="005069FA">
        <w:rPr>
          <w:rFonts w:ascii="Calibri" w:hAnsi="Calibri"/>
          <w:sz w:val="22"/>
          <w:szCs w:val="22"/>
        </w:rPr>
        <w:t>urther analysis of linking D</w:t>
      </w:r>
      <w:r>
        <w:rPr>
          <w:rFonts w:ascii="Calibri" w:hAnsi="Calibri"/>
          <w:sz w:val="22"/>
          <w:szCs w:val="22"/>
        </w:rPr>
        <w:t>o</w:t>
      </w:r>
      <w:r w:rsidRPr="005069FA">
        <w:rPr>
          <w:rFonts w:ascii="Calibri" w:hAnsi="Calibri"/>
          <w:sz w:val="22"/>
          <w:szCs w:val="22"/>
        </w:rPr>
        <w:t>C data with BSAS data will indicate whether inmates with a substance use disorder are:  a) receiving treatment while incarcerated; and b) referred and subsequently admitted to the appropriate community</w:t>
      </w:r>
      <w:r>
        <w:rPr>
          <w:rFonts w:ascii="Calibri" w:hAnsi="Calibri"/>
          <w:sz w:val="22"/>
          <w:szCs w:val="22"/>
        </w:rPr>
        <w:t>-</w:t>
      </w:r>
      <w:r w:rsidRPr="005069FA">
        <w:rPr>
          <w:rFonts w:ascii="Calibri" w:hAnsi="Calibri"/>
          <w:sz w:val="22"/>
          <w:szCs w:val="22"/>
        </w:rPr>
        <w:t xml:space="preserve">based treatment. </w:t>
      </w:r>
    </w:p>
    <w:p w:rsidR="00FB160F" w:rsidRPr="005069FA" w:rsidRDefault="00FB160F" w:rsidP="00FB160F">
      <w:pPr>
        <w:spacing w:after="120" w:line="276" w:lineRule="auto"/>
        <w:ind w:firstLine="720"/>
        <w:rPr>
          <w:rFonts w:ascii="Calibri" w:hAnsi="Calibri"/>
          <w:b/>
          <w:sz w:val="22"/>
          <w:szCs w:val="22"/>
        </w:rPr>
      </w:pPr>
      <w:r w:rsidRPr="005069FA">
        <w:rPr>
          <w:rFonts w:ascii="Calibri" w:hAnsi="Calibri"/>
          <w:sz w:val="22"/>
          <w:szCs w:val="22"/>
        </w:rPr>
        <w:t>According to the National Institute on Drug Abuse (NIDA)</w:t>
      </w:r>
      <w:r w:rsidRPr="005069FA">
        <w:rPr>
          <w:rStyle w:val="FootnoteReference"/>
          <w:szCs w:val="22"/>
        </w:rPr>
        <w:footnoteReference w:id="58"/>
      </w:r>
      <w:r w:rsidRPr="005069FA">
        <w:rPr>
          <w:rFonts w:ascii="Calibri" w:hAnsi="Calibri"/>
          <w:sz w:val="22"/>
          <w:szCs w:val="22"/>
        </w:rPr>
        <w:t>, “only a small percentage of offenders have access to adequate services, especially in jails and community correctional facilities</w:t>
      </w:r>
      <w:r w:rsidR="00301E0D">
        <w:rPr>
          <w:rFonts w:ascii="Calibri" w:hAnsi="Calibri"/>
          <w:sz w:val="22"/>
          <w:szCs w:val="22"/>
        </w:rPr>
        <w:t>.  N</w:t>
      </w:r>
      <w:r w:rsidRPr="005069FA">
        <w:rPr>
          <w:rFonts w:ascii="Calibri" w:hAnsi="Calibri"/>
          <w:sz w:val="22"/>
          <w:szCs w:val="22"/>
        </w:rPr>
        <w:t>ot only is there a gap in the availability of these services for offenders, but often there are few choices in the types of services provided</w:t>
      </w:r>
      <w:r w:rsidR="00301E0D">
        <w:rPr>
          <w:rFonts w:ascii="Calibri" w:hAnsi="Calibri"/>
          <w:sz w:val="22"/>
          <w:szCs w:val="22"/>
        </w:rPr>
        <w:t>.  T</w:t>
      </w:r>
      <w:r w:rsidRPr="005069FA">
        <w:rPr>
          <w:rFonts w:ascii="Calibri" w:hAnsi="Calibri"/>
          <w:sz w:val="22"/>
          <w:szCs w:val="22"/>
        </w:rPr>
        <w:t>reatment that is of insufficient quality and intensity or that is not well suited to the needs of offenders may not yield meaningful reductions in drug use and recidivism</w:t>
      </w:r>
      <w:r w:rsidR="00301E0D">
        <w:rPr>
          <w:rFonts w:ascii="Calibri" w:hAnsi="Calibri"/>
          <w:sz w:val="22"/>
          <w:szCs w:val="22"/>
        </w:rPr>
        <w:t>.  U</w:t>
      </w:r>
      <w:r w:rsidRPr="005069FA">
        <w:rPr>
          <w:rFonts w:ascii="Calibri" w:hAnsi="Calibri"/>
          <w:sz w:val="22"/>
          <w:szCs w:val="22"/>
        </w:rPr>
        <w:t>ntreated substance abusing offenders are more likely than treated offenders to relapse to drug abuse and return to criminal behavior</w:t>
      </w:r>
      <w:r w:rsidR="00301E0D">
        <w:rPr>
          <w:rFonts w:ascii="Calibri" w:hAnsi="Calibri"/>
          <w:sz w:val="22"/>
          <w:szCs w:val="22"/>
        </w:rPr>
        <w:t>.  T</w:t>
      </w:r>
      <w:r w:rsidRPr="005069FA">
        <w:rPr>
          <w:rFonts w:ascii="Calibri" w:hAnsi="Calibri"/>
          <w:sz w:val="22"/>
          <w:szCs w:val="22"/>
        </w:rPr>
        <w:t>his can lead to re-arrest and re-incarceration, jeopardizing public health and public safety and taxing criminal justice system resources</w:t>
      </w:r>
      <w:r w:rsidR="00301E0D">
        <w:rPr>
          <w:rFonts w:ascii="Calibri" w:hAnsi="Calibri"/>
          <w:sz w:val="22"/>
          <w:szCs w:val="22"/>
        </w:rPr>
        <w:t>.  T</w:t>
      </w:r>
      <w:r w:rsidRPr="005069FA">
        <w:rPr>
          <w:rFonts w:ascii="Calibri" w:hAnsi="Calibri"/>
          <w:sz w:val="22"/>
          <w:szCs w:val="22"/>
        </w:rPr>
        <w:t>reatment is the most effective course for interrupting the drug abuse/criminal justice cycle for offenders with drug abuse problems.”</w:t>
      </w:r>
      <w:r w:rsidRPr="005069FA">
        <w:rPr>
          <w:rStyle w:val="FootnoteReference"/>
          <w:szCs w:val="22"/>
        </w:rPr>
        <w:footnoteReference w:id="59"/>
      </w:r>
    </w:p>
    <w:p w:rsidR="00FB160F" w:rsidRDefault="00FB160F" w:rsidP="00FB160F">
      <w:pPr>
        <w:spacing w:after="120" w:line="276" w:lineRule="auto"/>
        <w:rPr>
          <w:rFonts w:ascii="Calibri" w:hAnsi="Calibri"/>
          <w:sz w:val="22"/>
          <w:szCs w:val="22"/>
        </w:rPr>
      </w:pPr>
      <w:r>
        <w:rPr>
          <w:rFonts w:ascii="Calibri" w:hAnsi="Calibri"/>
          <w:b/>
          <w:sz w:val="22"/>
          <w:szCs w:val="22"/>
        </w:rPr>
        <w:t>Results</w:t>
      </w:r>
      <w:r w:rsidRPr="005069FA">
        <w:rPr>
          <w:rFonts w:ascii="Calibri" w:hAnsi="Calibri"/>
          <w:b/>
          <w:sz w:val="22"/>
          <w:szCs w:val="22"/>
        </w:rPr>
        <w:t>:</w:t>
      </w:r>
      <w:r>
        <w:rPr>
          <w:rFonts w:ascii="Calibri" w:hAnsi="Calibri"/>
          <w:b/>
          <w:sz w:val="22"/>
          <w:szCs w:val="22"/>
        </w:rPr>
        <w:t xml:space="preserve"> </w:t>
      </w:r>
      <w:r w:rsidRPr="005069FA">
        <w:rPr>
          <w:rFonts w:ascii="Calibri" w:hAnsi="Calibri"/>
          <w:sz w:val="22"/>
          <w:szCs w:val="22"/>
        </w:rPr>
        <w:t>The D</w:t>
      </w:r>
      <w:r>
        <w:rPr>
          <w:rFonts w:ascii="Calibri" w:hAnsi="Calibri"/>
          <w:sz w:val="22"/>
          <w:szCs w:val="22"/>
        </w:rPr>
        <w:t>o</w:t>
      </w:r>
      <w:r w:rsidRPr="005069FA">
        <w:rPr>
          <w:rFonts w:ascii="Calibri" w:hAnsi="Calibri"/>
          <w:sz w:val="22"/>
          <w:szCs w:val="22"/>
        </w:rPr>
        <w:t>C data includes people that were incarcerated and released during the study period (n = 25,209). 25% of the sample received treatment for substance abuse behind the walls. 12% of the fatal opioid overdose records linked with DoC data.</w:t>
      </w:r>
    </w:p>
    <w:p w:rsidR="00FB160F" w:rsidRPr="005069FA" w:rsidRDefault="00FB160F" w:rsidP="00FB160F">
      <w:pPr>
        <w:spacing w:after="120" w:line="276" w:lineRule="auto"/>
        <w:rPr>
          <w:rFonts w:ascii="Calibri" w:hAnsi="Calibri"/>
          <w:sz w:val="22"/>
          <w:szCs w:val="22"/>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3469"/>
        <w:gridCol w:w="1530"/>
        <w:gridCol w:w="1710"/>
      </w:tblGrid>
      <w:tr w:rsidR="00FB160F" w:rsidRPr="005069FA" w:rsidTr="001C267C">
        <w:trPr>
          <w:jc w:val="center"/>
        </w:trPr>
        <w:tc>
          <w:tcPr>
            <w:tcW w:w="6709" w:type="dxa"/>
            <w:gridSpan w:val="3"/>
            <w:vAlign w:val="center"/>
          </w:tcPr>
          <w:p w:rsidR="00FB160F" w:rsidRPr="00570FB0" w:rsidRDefault="00301E0D" w:rsidP="001C267C">
            <w:pPr>
              <w:jc w:val="center"/>
              <w:rPr>
                <w:rFonts w:ascii="Calibri" w:hAnsi="Calibri"/>
                <w:b/>
                <w:bCs/>
                <w:szCs w:val="22"/>
              </w:rPr>
            </w:pPr>
            <w:r>
              <w:rPr>
                <w:rFonts w:ascii="Calibri" w:hAnsi="Calibri"/>
                <w:b/>
                <w:bCs/>
                <w:sz w:val="22"/>
                <w:szCs w:val="22"/>
              </w:rPr>
              <w:t>Table A</w:t>
            </w:r>
            <w:r w:rsidR="00FB160F" w:rsidRPr="00570FB0">
              <w:rPr>
                <w:rFonts w:ascii="Calibri" w:hAnsi="Calibri"/>
                <w:b/>
                <w:bCs/>
                <w:sz w:val="22"/>
                <w:szCs w:val="22"/>
              </w:rPr>
              <w:t xml:space="preserve">7: Risk of </w:t>
            </w:r>
            <w:r w:rsidR="003A0AFE">
              <w:rPr>
                <w:rFonts w:ascii="Calibri" w:hAnsi="Calibri"/>
                <w:b/>
                <w:bCs/>
                <w:sz w:val="22"/>
                <w:szCs w:val="22"/>
              </w:rPr>
              <w:t xml:space="preserve">Fatal </w:t>
            </w:r>
            <w:r w:rsidR="00FB160F" w:rsidRPr="00570FB0">
              <w:rPr>
                <w:rFonts w:ascii="Calibri" w:hAnsi="Calibri"/>
                <w:b/>
                <w:bCs/>
                <w:sz w:val="22"/>
                <w:szCs w:val="22"/>
              </w:rPr>
              <w:t>Opioid Related Overdose by Treatment during Incarceration Status</w:t>
            </w:r>
            <w:r w:rsidR="003A0AFE">
              <w:rPr>
                <w:rFonts w:ascii="Calibri" w:hAnsi="Calibri"/>
                <w:b/>
                <w:bCs/>
                <w:sz w:val="22"/>
                <w:szCs w:val="22"/>
              </w:rPr>
              <w:t xml:space="preserve"> (2013-2014)</w:t>
            </w:r>
          </w:p>
        </w:tc>
      </w:tr>
      <w:tr w:rsidR="00FB160F" w:rsidRPr="005069FA" w:rsidTr="001C267C">
        <w:trPr>
          <w:jc w:val="center"/>
        </w:trPr>
        <w:tc>
          <w:tcPr>
            <w:tcW w:w="3469" w:type="dxa"/>
            <w:shd w:val="clear" w:color="auto" w:fill="F2F2F2"/>
            <w:vAlign w:val="center"/>
          </w:tcPr>
          <w:p w:rsidR="00FB160F" w:rsidRPr="00570FB0" w:rsidRDefault="00FB160F" w:rsidP="001C267C">
            <w:pPr>
              <w:jc w:val="center"/>
              <w:rPr>
                <w:rFonts w:ascii="Calibri" w:hAnsi="Calibri"/>
                <w:b/>
                <w:bCs/>
                <w:szCs w:val="22"/>
              </w:rPr>
            </w:pPr>
            <w:r w:rsidRPr="00570FB0">
              <w:rPr>
                <w:rFonts w:ascii="Calibri" w:hAnsi="Calibri"/>
                <w:b/>
                <w:bCs/>
                <w:sz w:val="22"/>
                <w:szCs w:val="22"/>
              </w:rPr>
              <w:t xml:space="preserve">Treatment Status </w:t>
            </w:r>
            <w:r>
              <w:rPr>
                <w:rFonts w:ascii="Calibri" w:hAnsi="Calibri"/>
                <w:b/>
                <w:bCs/>
                <w:sz w:val="22"/>
                <w:szCs w:val="22"/>
              </w:rPr>
              <w:t xml:space="preserve">vs. </w:t>
            </w:r>
            <w:r w:rsidRPr="00570FB0">
              <w:rPr>
                <w:rFonts w:ascii="Calibri" w:hAnsi="Calibri"/>
                <w:b/>
                <w:bCs/>
                <w:sz w:val="22"/>
                <w:szCs w:val="22"/>
              </w:rPr>
              <w:t>Risk of Fatal Opioid Overdose</w:t>
            </w:r>
          </w:p>
        </w:tc>
        <w:tc>
          <w:tcPr>
            <w:tcW w:w="1530" w:type="dxa"/>
            <w:shd w:val="clear" w:color="auto" w:fill="F2F2F2"/>
            <w:vAlign w:val="center"/>
          </w:tcPr>
          <w:p w:rsidR="00FB160F" w:rsidRPr="00570FB0" w:rsidRDefault="00FB160F" w:rsidP="001C267C">
            <w:pPr>
              <w:jc w:val="center"/>
              <w:rPr>
                <w:rFonts w:ascii="Calibri" w:hAnsi="Calibri"/>
                <w:szCs w:val="22"/>
              </w:rPr>
            </w:pPr>
            <w:r w:rsidRPr="00570FB0">
              <w:rPr>
                <w:rFonts w:ascii="Calibri" w:hAnsi="Calibri"/>
                <w:sz w:val="22"/>
                <w:szCs w:val="22"/>
              </w:rPr>
              <w:t>Treated while Incarcerated</w:t>
            </w:r>
          </w:p>
        </w:tc>
        <w:tc>
          <w:tcPr>
            <w:tcW w:w="1710" w:type="dxa"/>
            <w:shd w:val="clear" w:color="auto" w:fill="F2F2F2"/>
            <w:vAlign w:val="center"/>
          </w:tcPr>
          <w:p w:rsidR="00FB160F" w:rsidRPr="00570FB0" w:rsidRDefault="00FB160F" w:rsidP="001C267C">
            <w:pPr>
              <w:jc w:val="center"/>
              <w:rPr>
                <w:rFonts w:ascii="Calibri" w:hAnsi="Calibri"/>
                <w:szCs w:val="22"/>
              </w:rPr>
            </w:pPr>
            <w:r w:rsidRPr="00570FB0">
              <w:rPr>
                <w:rFonts w:ascii="Calibri" w:hAnsi="Calibri"/>
                <w:sz w:val="22"/>
                <w:szCs w:val="22"/>
              </w:rPr>
              <w:t>Not Known to Have Been Treated while Incarcerated</w:t>
            </w:r>
          </w:p>
        </w:tc>
      </w:tr>
      <w:tr w:rsidR="00FB160F" w:rsidRPr="005069FA" w:rsidTr="001C267C">
        <w:trPr>
          <w:jc w:val="center"/>
        </w:trPr>
        <w:tc>
          <w:tcPr>
            <w:tcW w:w="3469" w:type="dxa"/>
            <w:vAlign w:val="center"/>
          </w:tcPr>
          <w:p w:rsidR="00FB160F" w:rsidRPr="00570FB0" w:rsidRDefault="00FB160F" w:rsidP="001C267C">
            <w:pPr>
              <w:rPr>
                <w:rFonts w:ascii="Calibri" w:hAnsi="Calibri"/>
                <w:b/>
                <w:bCs/>
                <w:szCs w:val="22"/>
              </w:rPr>
            </w:pPr>
            <w:r w:rsidRPr="00570FB0">
              <w:rPr>
                <w:rFonts w:ascii="Calibri" w:hAnsi="Calibri"/>
                <w:b/>
                <w:bCs/>
                <w:sz w:val="22"/>
                <w:szCs w:val="22"/>
              </w:rPr>
              <w:t>Fatal Overdoses</w:t>
            </w:r>
          </w:p>
        </w:tc>
        <w:tc>
          <w:tcPr>
            <w:tcW w:w="1530" w:type="dxa"/>
          </w:tcPr>
          <w:p w:rsidR="00FB160F" w:rsidRPr="00E11012" w:rsidRDefault="00C739B1" w:rsidP="001C267C">
            <w:pPr>
              <w:jc w:val="center"/>
              <w:rPr>
                <w:rFonts w:asciiTheme="minorHAnsi" w:hAnsiTheme="minorHAnsi"/>
                <w:sz w:val="22"/>
                <w:szCs w:val="22"/>
              </w:rPr>
            </w:pPr>
            <w:r w:rsidRPr="00E11012">
              <w:rPr>
                <w:rFonts w:asciiTheme="minorHAnsi" w:hAnsiTheme="minorHAnsi"/>
                <w:sz w:val="22"/>
                <w:szCs w:val="22"/>
              </w:rPr>
              <w:t>37</w:t>
            </w:r>
          </w:p>
        </w:tc>
        <w:tc>
          <w:tcPr>
            <w:tcW w:w="1710" w:type="dxa"/>
          </w:tcPr>
          <w:p w:rsidR="00FB160F" w:rsidRPr="00E11012" w:rsidRDefault="00C739B1" w:rsidP="001C267C">
            <w:pPr>
              <w:jc w:val="center"/>
              <w:rPr>
                <w:rFonts w:asciiTheme="minorHAnsi" w:hAnsiTheme="minorHAnsi"/>
                <w:sz w:val="22"/>
                <w:szCs w:val="22"/>
              </w:rPr>
            </w:pPr>
            <w:r w:rsidRPr="00E11012">
              <w:rPr>
                <w:rFonts w:asciiTheme="minorHAnsi" w:hAnsiTheme="minorHAnsi" w:cs="Arial"/>
                <w:color w:val="000000"/>
                <w:sz w:val="22"/>
                <w:szCs w:val="22"/>
              </w:rPr>
              <w:t xml:space="preserve"> 84</w:t>
            </w:r>
          </w:p>
        </w:tc>
      </w:tr>
      <w:tr w:rsidR="00C739B1" w:rsidRPr="005069FA" w:rsidTr="00E11012">
        <w:trPr>
          <w:jc w:val="center"/>
        </w:trPr>
        <w:tc>
          <w:tcPr>
            <w:tcW w:w="3469" w:type="dxa"/>
            <w:shd w:val="clear" w:color="auto" w:fill="F2F2F2"/>
            <w:vAlign w:val="center"/>
          </w:tcPr>
          <w:p w:rsidR="00C739B1" w:rsidRPr="00570FB0" w:rsidRDefault="00C739B1" w:rsidP="001C267C">
            <w:pPr>
              <w:rPr>
                <w:rFonts w:ascii="Calibri" w:hAnsi="Calibri"/>
                <w:b/>
                <w:bCs/>
                <w:szCs w:val="22"/>
              </w:rPr>
            </w:pPr>
            <w:r w:rsidRPr="00570FB0">
              <w:rPr>
                <w:rFonts w:ascii="Calibri" w:hAnsi="Calibri"/>
                <w:b/>
                <w:bCs/>
                <w:sz w:val="22"/>
                <w:szCs w:val="22"/>
              </w:rPr>
              <w:t>Total Population</w:t>
            </w:r>
          </w:p>
        </w:tc>
        <w:tc>
          <w:tcPr>
            <w:tcW w:w="1530" w:type="dxa"/>
            <w:shd w:val="clear" w:color="auto" w:fill="F2F2F2"/>
            <w:vAlign w:val="center"/>
          </w:tcPr>
          <w:p w:rsidR="00C739B1" w:rsidRPr="00E11012" w:rsidRDefault="00C739B1" w:rsidP="001C267C">
            <w:pPr>
              <w:jc w:val="center"/>
              <w:rPr>
                <w:rFonts w:asciiTheme="minorHAnsi" w:hAnsiTheme="minorHAnsi"/>
                <w:sz w:val="22"/>
                <w:szCs w:val="22"/>
              </w:rPr>
            </w:pPr>
            <w:r w:rsidRPr="00E11012">
              <w:rPr>
                <w:rFonts w:asciiTheme="minorHAnsi" w:hAnsiTheme="minorHAnsi"/>
                <w:color w:val="000000"/>
                <w:sz w:val="22"/>
                <w:szCs w:val="22"/>
              </w:rPr>
              <w:t>3758</w:t>
            </w:r>
          </w:p>
        </w:tc>
        <w:tc>
          <w:tcPr>
            <w:tcW w:w="1710" w:type="dxa"/>
            <w:shd w:val="clear" w:color="auto" w:fill="F2F2F2"/>
            <w:vAlign w:val="center"/>
          </w:tcPr>
          <w:p w:rsidR="00C739B1" w:rsidRPr="00E11012" w:rsidRDefault="00C739B1" w:rsidP="001C267C">
            <w:pPr>
              <w:jc w:val="center"/>
              <w:rPr>
                <w:rFonts w:asciiTheme="minorHAnsi" w:hAnsiTheme="minorHAnsi"/>
                <w:sz w:val="22"/>
                <w:szCs w:val="22"/>
              </w:rPr>
            </w:pPr>
            <w:r w:rsidRPr="00E11012">
              <w:rPr>
                <w:rFonts w:asciiTheme="minorHAnsi" w:hAnsiTheme="minorHAnsi"/>
                <w:color w:val="000000"/>
                <w:sz w:val="22"/>
                <w:szCs w:val="22"/>
              </w:rPr>
              <w:t>10160</w:t>
            </w:r>
          </w:p>
        </w:tc>
      </w:tr>
      <w:tr w:rsidR="00C739B1" w:rsidRPr="005069FA" w:rsidTr="00E11012">
        <w:trPr>
          <w:jc w:val="center"/>
        </w:trPr>
        <w:tc>
          <w:tcPr>
            <w:tcW w:w="3469" w:type="dxa"/>
            <w:vAlign w:val="center"/>
          </w:tcPr>
          <w:p w:rsidR="00C739B1" w:rsidRPr="00570FB0" w:rsidRDefault="00C739B1" w:rsidP="001C267C">
            <w:pPr>
              <w:rPr>
                <w:rFonts w:ascii="Calibri" w:hAnsi="Calibri"/>
                <w:b/>
                <w:bCs/>
                <w:szCs w:val="22"/>
              </w:rPr>
            </w:pPr>
            <w:r w:rsidRPr="00570FB0">
              <w:rPr>
                <w:rFonts w:ascii="Calibri" w:hAnsi="Calibri"/>
                <w:b/>
                <w:bCs/>
                <w:sz w:val="22"/>
                <w:szCs w:val="22"/>
              </w:rPr>
              <w:t>Incidence</w:t>
            </w:r>
          </w:p>
        </w:tc>
        <w:tc>
          <w:tcPr>
            <w:tcW w:w="1530" w:type="dxa"/>
            <w:vAlign w:val="center"/>
          </w:tcPr>
          <w:p w:rsidR="00C739B1" w:rsidRPr="00E11012" w:rsidRDefault="00C739B1" w:rsidP="001C267C">
            <w:pPr>
              <w:jc w:val="center"/>
              <w:rPr>
                <w:rFonts w:asciiTheme="minorHAnsi" w:hAnsiTheme="minorHAnsi"/>
                <w:sz w:val="22"/>
                <w:szCs w:val="22"/>
              </w:rPr>
            </w:pPr>
            <w:r w:rsidRPr="00B32B5D">
              <w:rPr>
                <w:rFonts w:asciiTheme="minorHAnsi" w:hAnsiTheme="minorHAnsi"/>
                <w:color w:val="000000"/>
                <w:sz w:val="22"/>
                <w:szCs w:val="22"/>
              </w:rPr>
              <w:t xml:space="preserve">~49.2 </w:t>
            </w:r>
            <w:r w:rsidRPr="00B32B5D">
              <w:rPr>
                <w:rFonts w:asciiTheme="minorHAnsi" w:hAnsiTheme="minorHAnsi"/>
                <w:sz w:val="22"/>
                <w:szCs w:val="22"/>
              </w:rPr>
              <w:t>per 10,000 per</w:t>
            </w:r>
            <w:r w:rsidRPr="00E11012">
              <w:rPr>
                <w:rFonts w:asciiTheme="minorHAnsi" w:hAnsiTheme="minorHAnsi"/>
                <w:sz w:val="22"/>
                <w:szCs w:val="22"/>
              </w:rPr>
              <w:t xml:space="preserve"> year</w:t>
            </w:r>
          </w:p>
        </w:tc>
        <w:tc>
          <w:tcPr>
            <w:tcW w:w="1710" w:type="dxa"/>
            <w:vAlign w:val="center"/>
          </w:tcPr>
          <w:p w:rsidR="00C739B1" w:rsidRPr="00E11012" w:rsidRDefault="00C739B1" w:rsidP="001C267C">
            <w:pPr>
              <w:jc w:val="center"/>
              <w:rPr>
                <w:rFonts w:asciiTheme="minorHAnsi" w:hAnsiTheme="minorHAnsi"/>
                <w:sz w:val="22"/>
                <w:szCs w:val="22"/>
              </w:rPr>
            </w:pPr>
            <w:r w:rsidRPr="00E11012">
              <w:rPr>
                <w:rFonts w:asciiTheme="minorHAnsi" w:hAnsiTheme="minorHAnsi"/>
                <w:color w:val="000000"/>
                <w:sz w:val="22"/>
                <w:szCs w:val="22"/>
              </w:rPr>
              <w:t>~41.3</w:t>
            </w:r>
            <w:r w:rsidRPr="00E11012">
              <w:rPr>
                <w:rFonts w:asciiTheme="minorHAnsi" w:hAnsiTheme="minorHAnsi"/>
                <w:sz w:val="22"/>
                <w:szCs w:val="22"/>
              </w:rPr>
              <w:t xml:space="preserve"> per 10,000 per year</w:t>
            </w:r>
          </w:p>
        </w:tc>
      </w:tr>
      <w:tr w:rsidR="00FB160F" w:rsidRPr="005069FA" w:rsidTr="001C267C">
        <w:trPr>
          <w:jc w:val="center"/>
        </w:trPr>
        <w:tc>
          <w:tcPr>
            <w:tcW w:w="3469" w:type="dxa"/>
            <w:shd w:val="clear" w:color="auto" w:fill="F2F2F2"/>
            <w:vAlign w:val="center"/>
          </w:tcPr>
          <w:p w:rsidR="00FB160F" w:rsidRPr="00570FB0" w:rsidRDefault="00FB160F" w:rsidP="001C267C">
            <w:pPr>
              <w:rPr>
                <w:rFonts w:ascii="Calibri" w:hAnsi="Calibri"/>
                <w:b/>
                <w:bCs/>
                <w:szCs w:val="22"/>
              </w:rPr>
            </w:pPr>
            <w:r w:rsidRPr="00570FB0">
              <w:rPr>
                <w:rFonts w:ascii="Calibri" w:hAnsi="Calibri"/>
                <w:b/>
                <w:bCs/>
                <w:sz w:val="22"/>
                <w:szCs w:val="22"/>
              </w:rPr>
              <w:t>Summary</w:t>
            </w:r>
          </w:p>
        </w:tc>
        <w:tc>
          <w:tcPr>
            <w:tcW w:w="3240" w:type="dxa"/>
            <w:gridSpan w:val="2"/>
            <w:shd w:val="clear" w:color="auto" w:fill="F2F2F2"/>
          </w:tcPr>
          <w:p w:rsidR="00FB160F" w:rsidRPr="00570FB0" w:rsidRDefault="00FB160F" w:rsidP="001C267C">
            <w:pPr>
              <w:rPr>
                <w:rFonts w:ascii="Calibri" w:hAnsi="Calibri"/>
                <w:szCs w:val="22"/>
              </w:rPr>
            </w:pPr>
            <w:r w:rsidRPr="00570FB0">
              <w:rPr>
                <w:rFonts w:ascii="Calibri" w:hAnsi="Calibri"/>
                <w:sz w:val="22"/>
                <w:szCs w:val="22"/>
              </w:rPr>
              <w:t>There does not appear to be a large difference between treated versus not known to have been treated amongst those incarcerated during study period.</w:t>
            </w:r>
          </w:p>
        </w:tc>
      </w:tr>
    </w:tbl>
    <w:p w:rsidR="00FB160F" w:rsidRPr="005069FA" w:rsidRDefault="00FB160F" w:rsidP="00FB160F">
      <w:pPr>
        <w:spacing w:before="100" w:beforeAutospacing="1" w:after="120" w:line="276" w:lineRule="auto"/>
        <w:rPr>
          <w:rFonts w:ascii="Calibri" w:hAnsi="Calibri"/>
          <w:sz w:val="22"/>
          <w:szCs w:val="22"/>
        </w:rPr>
      </w:pPr>
      <w:r w:rsidRPr="005069FA">
        <w:rPr>
          <w:rFonts w:ascii="Calibri" w:hAnsi="Calibri"/>
          <w:b/>
          <w:sz w:val="22"/>
          <w:szCs w:val="22"/>
        </w:rPr>
        <w:lastRenderedPageBreak/>
        <w:t>Discussion:</w:t>
      </w:r>
      <w:r>
        <w:rPr>
          <w:rFonts w:ascii="Calibri" w:hAnsi="Calibri"/>
          <w:b/>
          <w:sz w:val="22"/>
          <w:szCs w:val="22"/>
        </w:rPr>
        <w:t xml:space="preserve"> </w:t>
      </w:r>
      <w:r w:rsidRPr="005069FA">
        <w:rPr>
          <w:rFonts w:ascii="Calibri" w:hAnsi="Calibri"/>
          <w:sz w:val="22"/>
          <w:szCs w:val="22"/>
        </w:rPr>
        <w:t>There does not appear to be a difference in incidence of opioid-related overdose between those treated for SUD and those not known to have been treated for an SUD while incarcerated</w:t>
      </w:r>
      <w:r w:rsidR="00301E0D">
        <w:rPr>
          <w:rFonts w:ascii="Calibri" w:hAnsi="Calibri"/>
          <w:sz w:val="22"/>
          <w:szCs w:val="22"/>
        </w:rPr>
        <w:t>.  F</w:t>
      </w:r>
      <w:r w:rsidRPr="005069FA">
        <w:rPr>
          <w:rFonts w:ascii="Calibri" w:hAnsi="Calibri"/>
          <w:sz w:val="22"/>
          <w:szCs w:val="22"/>
        </w:rPr>
        <w:t>urther analysis is needed to determine the risks associated with being incarcerated and risk of overdose.</w:t>
      </w:r>
    </w:p>
    <w:p w:rsidR="00FB160F" w:rsidRPr="005069FA" w:rsidRDefault="00FB160F" w:rsidP="00FB160F">
      <w:pPr>
        <w:spacing w:before="100" w:beforeAutospacing="1" w:after="120" w:line="276" w:lineRule="auto"/>
        <w:ind w:firstLine="360"/>
        <w:rPr>
          <w:rFonts w:ascii="Calibri" w:hAnsi="Calibri"/>
          <w:sz w:val="22"/>
          <w:szCs w:val="22"/>
        </w:rPr>
      </w:pPr>
      <w:r w:rsidRPr="005069FA">
        <w:rPr>
          <w:rFonts w:ascii="Calibri" w:hAnsi="Calibri"/>
          <w:sz w:val="22"/>
          <w:szCs w:val="22"/>
        </w:rPr>
        <w:t>A significant opportunity is missed in engaging these clients in substance abuse treatment while they are incarcerated</w:t>
      </w:r>
      <w:r w:rsidR="00301E0D">
        <w:rPr>
          <w:rFonts w:ascii="Calibri" w:hAnsi="Calibri"/>
          <w:sz w:val="22"/>
          <w:szCs w:val="22"/>
        </w:rPr>
        <w:t>.  R</w:t>
      </w:r>
      <w:r>
        <w:rPr>
          <w:rFonts w:ascii="Calibri" w:hAnsi="Calibri"/>
          <w:sz w:val="22"/>
          <w:szCs w:val="22"/>
        </w:rPr>
        <w:t>ecommendations for improving services and increasing understanding of these associations include:</w:t>
      </w:r>
    </w:p>
    <w:p w:rsidR="00FB160F" w:rsidRPr="005069FA" w:rsidRDefault="00FB160F" w:rsidP="00FB160F">
      <w:pPr>
        <w:pStyle w:val="ListParagraph"/>
        <w:numPr>
          <w:ilvl w:val="0"/>
          <w:numId w:val="26"/>
        </w:numPr>
        <w:spacing w:before="100" w:beforeAutospacing="1" w:after="120" w:line="276" w:lineRule="auto"/>
        <w:rPr>
          <w:rFonts w:ascii="Calibri" w:hAnsi="Calibri"/>
          <w:sz w:val="22"/>
          <w:szCs w:val="22"/>
        </w:rPr>
      </w:pPr>
      <w:r w:rsidRPr="005069FA">
        <w:rPr>
          <w:rFonts w:ascii="Calibri" w:hAnsi="Calibri"/>
          <w:sz w:val="22"/>
          <w:szCs w:val="22"/>
        </w:rPr>
        <w:t>Increase the quantity and quality of substance abuse treatment within DoC facilities.</w:t>
      </w:r>
    </w:p>
    <w:p w:rsidR="00FB160F" w:rsidRPr="005069FA" w:rsidRDefault="00FB160F" w:rsidP="00FB160F">
      <w:pPr>
        <w:pStyle w:val="ListParagraph"/>
        <w:numPr>
          <w:ilvl w:val="0"/>
          <w:numId w:val="26"/>
        </w:numPr>
        <w:spacing w:before="100" w:beforeAutospacing="1" w:after="120" w:line="276" w:lineRule="auto"/>
        <w:rPr>
          <w:rFonts w:ascii="Calibri" w:hAnsi="Calibri"/>
          <w:sz w:val="22"/>
          <w:szCs w:val="22"/>
        </w:rPr>
      </w:pPr>
      <w:r w:rsidRPr="005069FA">
        <w:rPr>
          <w:rFonts w:ascii="Calibri" w:hAnsi="Calibri"/>
          <w:sz w:val="22"/>
          <w:szCs w:val="22"/>
        </w:rPr>
        <w:t>Increase education for overdose prevention (e.g. abstinence while incarcerated and relapsing upon release poses a risk for overdose).</w:t>
      </w:r>
    </w:p>
    <w:p w:rsidR="00FB160F" w:rsidRPr="005069FA" w:rsidRDefault="00FB160F" w:rsidP="00FB160F">
      <w:pPr>
        <w:pStyle w:val="ListParagraph"/>
        <w:numPr>
          <w:ilvl w:val="0"/>
          <w:numId w:val="26"/>
        </w:numPr>
        <w:spacing w:before="100" w:beforeAutospacing="1" w:after="120" w:line="276" w:lineRule="auto"/>
        <w:rPr>
          <w:rFonts w:ascii="Calibri" w:hAnsi="Calibri"/>
          <w:sz w:val="22"/>
          <w:szCs w:val="22"/>
        </w:rPr>
      </w:pPr>
      <w:r w:rsidRPr="005069FA">
        <w:rPr>
          <w:rFonts w:ascii="Calibri" w:hAnsi="Calibri"/>
          <w:sz w:val="22"/>
          <w:szCs w:val="22"/>
        </w:rPr>
        <w:t>Improve integrated mental health and substance use disorder treatment plan prior to release date, and ensure individuals are linked with these community supports at time of release.</w:t>
      </w:r>
    </w:p>
    <w:p w:rsidR="00FB160F" w:rsidRPr="005069FA" w:rsidRDefault="00FB160F" w:rsidP="00FB160F">
      <w:pPr>
        <w:pStyle w:val="ListParagraph"/>
        <w:numPr>
          <w:ilvl w:val="0"/>
          <w:numId w:val="26"/>
        </w:numPr>
        <w:spacing w:before="100" w:beforeAutospacing="1" w:after="120" w:line="276" w:lineRule="auto"/>
        <w:rPr>
          <w:rFonts w:ascii="Calibri" w:hAnsi="Calibri"/>
          <w:sz w:val="22"/>
          <w:szCs w:val="22"/>
        </w:rPr>
      </w:pPr>
      <w:r w:rsidRPr="005069FA">
        <w:rPr>
          <w:rFonts w:ascii="Calibri" w:hAnsi="Calibri"/>
          <w:sz w:val="22"/>
          <w:szCs w:val="22"/>
        </w:rPr>
        <w:t>DoC data only includes a subpopulation of the individuals incarcerated in Massachusetts</w:t>
      </w:r>
      <w:r w:rsidR="00301E0D">
        <w:rPr>
          <w:rFonts w:ascii="Calibri" w:hAnsi="Calibri"/>
          <w:sz w:val="22"/>
          <w:szCs w:val="22"/>
        </w:rPr>
        <w:t>.  T</w:t>
      </w:r>
      <w:r w:rsidRPr="005069FA">
        <w:rPr>
          <w:rFonts w:ascii="Calibri" w:hAnsi="Calibri"/>
          <w:sz w:val="22"/>
          <w:szCs w:val="22"/>
        </w:rPr>
        <w:t xml:space="preserve">his may impact the rates presented in </w:t>
      </w:r>
      <w:r w:rsidR="00301E0D">
        <w:rPr>
          <w:rFonts w:ascii="Calibri" w:hAnsi="Calibri"/>
          <w:sz w:val="22"/>
          <w:szCs w:val="22"/>
        </w:rPr>
        <w:t>Table A</w:t>
      </w:r>
      <w:r w:rsidRPr="005069FA">
        <w:rPr>
          <w:rFonts w:ascii="Calibri" w:hAnsi="Calibri"/>
          <w:sz w:val="22"/>
          <w:szCs w:val="22"/>
        </w:rPr>
        <w:t>7</w:t>
      </w:r>
      <w:r w:rsidR="00301E0D">
        <w:rPr>
          <w:rFonts w:ascii="Calibri" w:hAnsi="Calibri"/>
          <w:sz w:val="22"/>
          <w:szCs w:val="22"/>
        </w:rPr>
        <w:t>.  F</w:t>
      </w:r>
      <w:r w:rsidRPr="005069FA">
        <w:rPr>
          <w:rFonts w:ascii="Calibri" w:hAnsi="Calibri"/>
          <w:sz w:val="22"/>
          <w:szCs w:val="22"/>
        </w:rPr>
        <w:t>uture analyses using more comprehensive criminal justice data would shed better light on the associations between incarceration and risk for overdose.</w:t>
      </w:r>
    </w:p>
    <w:p w:rsidR="00FB160F" w:rsidRDefault="00FB160F" w:rsidP="00FB160F">
      <w:pPr>
        <w:spacing w:after="120" w:line="276" w:lineRule="auto"/>
        <w:rPr>
          <w:rFonts w:ascii="Calibri" w:hAnsi="Calibri"/>
          <w:sz w:val="22"/>
          <w:szCs w:val="22"/>
        </w:rPr>
      </w:pPr>
      <w:r w:rsidRPr="005069FA">
        <w:rPr>
          <w:rFonts w:ascii="Calibri" w:hAnsi="Calibri"/>
          <w:b/>
          <w:sz w:val="22"/>
          <w:szCs w:val="22"/>
        </w:rPr>
        <w:t>Limitations:</w:t>
      </w:r>
      <w:r>
        <w:rPr>
          <w:rFonts w:ascii="Calibri" w:hAnsi="Calibri"/>
          <w:b/>
          <w:sz w:val="22"/>
          <w:szCs w:val="22"/>
        </w:rPr>
        <w:t xml:space="preserve"> </w:t>
      </w:r>
      <w:r w:rsidRPr="005069FA">
        <w:rPr>
          <w:rFonts w:ascii="Calibri" w:hAnsi="Calibri"/>
          <w:sz w:val="22"/>
          <w:szCs w:val="22"/>
        </w:rPr>
        <w:t>There are some limitations associated with using D</w:t>
      </w:r>
      <w:r>
        <w:rPr>
          <w:rFonts w:ascii="Calibri" w:hAnsi="Calibri"/>
          <w:sz w:val="22"/>
          <w:szCs w:val="22"/>
        </w:rPr>
        <w:t>o</w:t>
      </w:r>
      <w:r w:rsidRPr="005069FA">
        <w:rPr>
          <w:rFonts w:ascii="Calibri" w:hAnsi="Calibri"/>
          <w:sz w:val="22"/>
          <w:szCs w:val="22"/>
        </w:rPr>
        <w:t xml:space="preserve">C data to better understand the intersection of </w:t>
      </w:r>
      <w:r>
        <w:rPr>
          <w:rFonts w:ascii="Calibri" w:hAnsi="Calibri"/>
          <w:sz w:val="22"/>
          <w:szCs w:val="22"/>
        </w:rPr>
        <w:t>o</w:t>
      </w:r>
      <w:r w:rsidRPr="005069FA">
        <w:rPr>
          <w:rFonts w:ascii="Calibri" w:hAnsi="Calibri"/>
          <w:sz w:val="22"/>
          <w:szCs w:val="22"/>
        </w:rPr>
        <w:t xml:space="preserve">pioid overdoses and criminal justice involvement in the </w:t>
      </w:r>
      <w:r w:rsidR="00656562">
        <w:rPr>
          <w:rFonts w:ascii="Calibri" w:hAnsi="Calibri"/>
          <w:sz w:val="22"/>
          <w:szCs w:val="22"/>
        </w:rPr>
        <w:t>Commonwealth</w:t>
      </w:r>
      <w:r w:rsidR="00301E0D">
        <w:rPr>
          <w:rFonts w:ascii="Calibri" w:hAnsi="Calibri"/>
          <w:sz w:val="22"/>
          <w:szCs w:val="22"/>
        </w:rPr>
        <w:t>.  E</w:t>
      </w:r>
      <w:r w:rsidRPr="005069FA">
        <w:rPr>
          <w:rFonts w:ascii="Calibri" w:hAnsi="Calibri"/>
          <w:sz w:val="22"/>
          <w:szCs w:val="22"/>
        </w:rPr>
        <w:t>ven though there is a large overlap between those that are criminally involved and have a SUD, there is a large assumption in this analysis - not everyone who is incarcerated is in need of substance abuse treatment.</w:t>
      </w:r>
    </w:p>
    <w:p w:rsidR="00FB160F" w:rsidRPr="005069FA" w:rsidRDefault="00FB160F" w:rsidP="00FB160F">
      <w:pPr>
        <w:spacing w:after="120" w:line="276" w:lineRule="auto"/>
        <w:ind w:firstLine="720"/>
        <w:rPr>
          <w:rFonts w:ascii="Calibri" w:hAnsi="Calibri"/>
          <w:sz w:val="22"/>
          <w:szCs w:val="22"/>
        </w:rPr>
      </w:pPr>
      <w:r w:rsidRPr="005069FA">
        <w:rPr>
          <w:rFonts w:ascii="Calibri" w:hAnsi="Calibri"/>
          <w:sz w:val="22"/>
          <w:szCs w:val="22"/>
        </w:rPr>
        <w:t>The treatment indicator within the DoC data does not specify the type of treatment an individual received, and it may in fact include self-help groups</w:t>
      </w:r>
      <w:r w:rsidR="00301E0D">
        <w:rPr>
          <w:rFonts w:ascii="Calibri" w:hAnsi="Calibri"/>
          <w:sz w:val="22"/>
          <w:szCs w:val="22"/>
        </w:rPr>
        <w:t>.  T</w:t>
      </w:r>
      <w:r w:rsidRPr="005069FA">
        <w:rPr>
          <w:rFonts w:ascii="Calibri" w:hAnsi="Calibri"/>
          <w:sz w:val="22"/>
          <w:szCs w:val="22"/>
        </w:rPr>
        <w:t>he indicator also does not specify the date when the treatment was received; therefore, it is hard to determine for those that had a lengthy sentence whether the treatment was received closer to the beginning or end of a sentence, which may impact the overdose outcome.</w:t>
      </w:r>
    </w:p>
    <w:p w:rsidR="00FB160F" w:rsidRDefault="00FB160F" w:rsidP="00FB160F">
      <w:pPr>
        <w:spacing w:after="120" w:line="276" w:lineRule="auto"/>
        <w:ind w:firstLine="720"/>
        <w:rPr>
          <w:rFonts w:ascii="Calibri" w:hAnsi="Calibri"/>
          <w:b/>
          <w:sz w:val="28"/>
          <w:szCs w:val="22"/>
        </w:rPr>
      </w:pPr>
      <w:r w:rsidRPr="005069FA">
        <w:rPr>
          <w:rFonts w:ascii="Calibri" w:hAnsi="Calibri"/>
          <w:sz w:val="22"/>
          <w:szCs w:val="22"/>
        </w:rPr>
        <w:t>DoC data includes incarcerations for those in prison and does not include data for people in jails or houses of correction (HoC)</w:t>
      </w:r>
      <w:r w:rsidR="00301E0D">
        <w:rPr>
          <w:rFonts w:ascii="Calibri" w:hAnsi="Calibri"/>
          <w:sz w:val="22"/>
          <w:szCs w:val="22"/>
        </w:rPr>
        <w:t>.  T</w:t>
      </w:r>
      <w:r w:rsidRPr="005069FA">
        <w:rPr>
          <w:rFonts w:ascii="Calibri" w:hAnsi="Calibri"/>
          <w:sz w:val="22"/>
          <w:szCs w:val="22"/>
          <w:highlight w:val="white"/>
        </w:rPr>
        <w:t>he data from DoC used in this analyses (e.g. those incarcerated during the study period and released) is only a subset of the individuals incarcerated within Massachusetts during this study period</w:t>
      </w:r>
      <w:r w:rsidR="00301E0D">
        <w:rPr>
          <w:rFonts w:ascii="Calibri" w:hAnsi="Calibri"/>
          <w:sz w:val="22"/>
          <w:szCs w:val="22"/>
          <w:highlight w:val="white"/>
        </w:rPr>
        <w:t>.  T</w:t>
      </w:r>
      <w:r w:rsidRPr="005069FA">
        <w:rPr>
          <w:rFonts w:ascii="Calibri" w:hAnsi="Calibri"/>
          <w:sz w:val="22"/>
          <w:szCs w:val="22"/>
          <w:highlight w:val="white"/>
        </w:rPr>
        <w:t>his analysis does not included individuals that were not released during the study period, and it does not include individuals incarcerated within Ho</w:t>
      </w:r>
      <w:r>
        <w:rPr>
          <w:rFonts w:ascii="Calibri" w:hAnsi="Calibri"/>
          <w:sz w:val="22"/>
          <w:szCs w:val="22"/>
          <w:highlight w:val="white"/>
        </w:rPr>
        <w:t>C</w:t>
      </w:r>
      <w:r w:rsidR="00301E0D">
        <w:rPr>
          <w:rFonts w:ascii="Calibri" w:hAnsi="Calibri"/>
          <w:sz w:val="22"/>
          <w:szCs w:val="22"/>
          <w:highlight w:val="white"/>
        </w:rPr>
        <w:t>.  H</w:t>
      </w:r>
      <w:r w:rsidRPr="005069FA">
        <w:rPr>
          <w:rFonts w:ascii="Calibri" w:hAnsi="Calibri"/>
          <w:sz w:val="22"/>
          <w:szCs w:val="22"/>
          <w:highlight w:val="white"/>
        </w:rPr>
        <w:t>oC servers a higher volume of inmates per year in comparison to DoC, primarily due to shorter sentences and those waiting trial within Ho</w:t>
      </w:r>
      <w:r>
        <w:rPr>
          <w:rFonts w:ascii="Calibri" w:hAnsi="Calibri"/>
          <w:sz w:val="22"/>
          <w:szCs w:val="22"/>
          <w:highlight w:val="white"/>
        </w:rPr>
        <w:t>C</w:t>
      </w:r>
      <w:r w:rsidR="00301E0D">
        <w:rPr>
          <w:rFonts w:ascii="Calibri" w:hAnsi="Calibri"/>
          <w:sz w:val="22"/>
          <w:szCs w:val="22"/>
          <w:highlight w:val="white"/>
        </w:rPr>
        <w:t>.  D</w:t>
      </w:r>
      <w:r>
        <w:rPr>
          <w:rFonts w:ascii="Calibri" w:hAnsi="Calibri"/>
          <w:sz w:val="22"/>
          <w:szCs w:val="22"/>
          <w:highlight w:val="white"/>
        </w:rPr>
        <w:t>ue to this limitation, using Do</w:t>
      </w:r>
      <w:r w:rsidRPr="005069FA">
        <w:rPr>
          <w:rFonts w:ascii="Calibri" w:hAnsi="Calibri"/>
          <w:sz w:val="22"/>
          <w:szCs w:val="22"/>
          <w:highlight w:val="white"/>
        </w:rPr>
        <w:t xml:space="preserve">C data to understand the intersection between fatal </w:t>
      </w:r>
      <w:r>
        <w:rPr>
          <w:rFonts w:ascii="Calibri" w:hAnsi="Calibri"/>
          <w:sz w:val="22"/>
          <w:szCs w:val="22"/>
          <w:highlight w:val="white"/>
        </w:rPr>
        <w:t>o</w:t>
      </w:r>
      <w:r w:rsidRPr="005069FA">
        <w:rPr>
          <w:rFonts w:ascii="Calibri" w:hAnsi="Calibri"/>
          <w:sz w:val="22"/>
          <w:szCs w:val="22"/>
          <w:highlight w:val="white"/>
        </w:rPr>
        <w:t>pioid overdoses and the criminal justice system in Massachusetts does not provide a full picture to determine associated risks</w:t>
      </w:r>
      <w:r w:rsidR="00301E0D">
        <w:rPr>
          <w:rFonts w:ascii="Calibri" w:hAnsi="Calibri"/>
          <w:sz w:val="22"/>
          <w:szCs w:val="22"/>
          <w:highlight w:val="white"/>
        </w:rPr>
        <w:t>.  A</w:t>
      </w:r>
      <w:r w:rsidRPr="005069FA">
        <w:rPr>
          <w:rFonts w:ascii="Calibri" w:hAnsi="Calibri"/>
          <w:sz w:val="22"/>
          <w:szCs w:val="22"/>
        </w:rPr>
        <w:t>n additional limitation arises if residents of Massachusetts are incarcerated outside of Massachusetts</w:t>
      </w:r>
      <w:r>
        <w:rPr>
          <w:rFonts w:ascii="Calibri" w:hAnsi="Calibri"/>
          <w:sz w:val="22"/>
          <w:szCs w:val="22"/>
        </w:rPr>
        <w:t>,</w:t>
      </w:r>
      <w:r w:rsidRPr="005069FA">
        <w:rPr>
          <w:rFonts w:ascii="Calibri" w:hAnsi="Calibri"/>
          <w:sz w:val="22"/>
          <w:szCs w:val="22"/>
        </w:rPr>
        <w:t xml:space="preserve"> as that data is not captured by the DoC.</w:t>
      </w:r>
      <w:r>
        <w:rPr>
          <w:rFonts w:ascii="Calibri" w:hAnsi="Calibri"/>
          <w:b/>
          <w:sz w:val="28"/>
          <w:szCs w:val="22"/>
        </w:rPr>
        <w:t xml:space="preserve"> </w:t>
      </w:r>
    </w:p>
    <w:p w:rsidR="00400E42" w:rsidRPr="005069FA" w:rsidRDefault="00400E42" w:rsidP="002D6E20">
      <w:pPr>
        <w:pStyle w:val="PBody"/>
      </w:pPr>
    </w:p>
    <w:p w:rsidR="00400E42" w:rsidRDefault="00400E42" w:rsidP="00C33429">
      <w:pPr>
        <w:spacing w:before="100" w:beforeAutospacing="1" w:after="120" w:line="276" w:lineRule="auto"/>
        <w:rPr>
          <w:rFonts w:ascii="Calibri" w:hAnsi="Calibri"/>
          <w:sz w:val="22"/>
          <w:szCs w:val="22"/>
        </w:rPr>
      </w:pPr>
      <w:r>
        <w:rPr>
          <w:rFonts w:ascii="Calibri" w:hAnsi="Calibri"/>
          <w:sz w:val="22"/>
          <w:szCs w:val="22"/>
        </w:rPr>
        <w:br w:type="page"/>
      </w:r>
    </w:p>
    <w:p w:rsidR="00400E42" w:rsidRDefault="00400E42" w:rsidP="007D21BB">
      <w:pPr>
        <w:pStyle w:val="Heading1"/>
        <w:rPr>
          <w:b w:val="0"/>
        </w:rPr>
      </w:pPr>
      <w:bookmarkStart w:id="25" w:name="_Toc452726670"/>
      <w:bookmarkStart w:id="26" w:name="_Toc453664361"/>
      <w:bookmarkStart w:id="27" w:name="_Toc454724773"/>
      <w:r w:rsidRPr="00163D74">
        <w:rPr>
          <w:szCs w:val="28"/>
        </w:rPr>
        <w:lastRenderedPageBreak/>
        <w:t xml:space="preserve">Appendix B:  </w:t>
      </w:r>
      <w:r>
        <w:t>Dataset</w:t>
      </w:r>
      <w:r w:rsidRPr="00163D74">
        <w:t xml:space="preserve"> Descriptions</w:t>
      </w:r>
      <w:bookmarkEnd w:id="25"/>
      <w:bookmarkEnd w:id="26"/>
      <w:bookmarkEnd w:id="27"/>
    </w:p>
    <w:p w:rsidR="00400E42" w:rsidRPr="00D13587" w:rsidRDefault="00400E42" w:rsidP="002D6E20">
      <w:pPr>
        <w:pStyle w:val="PBody"/>
      </w:pPr>
      <w:r w:rsidRPr="00D13587">
        <w:t xml:space="preserve">The following is a description of each of the ten datasets used for this report.  Each description outlines the information collected, the frequency, the limitations, the lag time between data collection and data availability, the relevance to opioids, and the authorization for collecting the data.  It is of note that </w:t>
      </w:r>
      <w:r w:rsidRPr="00D13587">
        <w:rPr>
          <w:i/>
        </w:rPr>
        <w:t xml:space="preserve">all </w:t>
      </w:r>
      <w:r w:rsidRPr="00D13587">
        <w:t>of the datasets are authorized through Massachusetts legislation, however, this is the first time these datasets have been used together to depict a more accurate and holistic picture of a public health problem.</w:t>
      </w:r>
    </w:p>
    <w:p w:rsidR="00400E42" w:rsidRPr="003D75D4" w:rsidRDefault="00400E42" w:rsidP="00C33429">
      <w:pPr>
        <w:spacing w:after="120" w:line="276" w:lineRule="auto"/>
        <w:rPr>
          <w:rFonts w:ascii="Calibri" w:hAnsi="Calibri"/>
          <w:sz w:val="22"/>
          <w:szCs w:val="22"/>
        </w:rPr>
      </w:pPr>
    </w:p>
    <w:p w:rsidR="00400E42" w:rsidRPr="003D75D4" w:rsidRDefault="00400E42" w:rsidP="00C33429">
      <w:pPr>
        <w:spacing w:after="120" w:line="276" w:lineRule="auto"/>
        <w:rPr>
          <w:rFonts w:ascii="Calibri" w:hAnsi="Calibri"/>
          <w:b/>
          <w:sz w:val="22"/>
          <w:szCs w:val="22"/>
          <w:u w:val="single"/>
        </w:rPr>
      </w:pPr>
      <w:r w:rsidRPr="003D75D4">
        <w:rPr>
          <w:rFonts w:ascii="Calibri" w:hAnsi="Calibri"/>
          <w:b/>
          <w:sz w:val="22"/>
          <w:szCs w:val="22"/>
          <w:u w:val="single"/>
        </w:rPr>
        <w:t>Registry of Vital Records and Statistics (RVRS)</w:t>
      </w:r>
      <w:r w:rsidRPr="005E2F2A">
        <w:rPr>
          <w:rStyle w:val="FootnoteReference"/>
          <w:b/>
          <w:szCs w:val="22"/>
          <w:u w:val="single"/>
        </w:rPr>
        <w:footnoteReference w:id="60"/>
      </w:r>
      <w:r w:rsidRPr="003D75D4">
        <w:rPr>
          <w:rFonts w:ascii="Calibri" w:hAnsi="Calibri"/>
          <w:b/>
          <w:sz w:val="22"/>
          <w:szCs w:val="22"/>
          <w:u w:val="single"/>
        </w:rPr>
        <w:t xml:space="preserve"> – Death Records</w:t>
      </w:r>
      <w:r w:rsidRPr="005E2F2A">
        <w:rPr>
          <w:rStyle w:val="FootnoteReference"/>
          <w:b/>
          <w:szCs w:val="22"/>
          <w:u w:val="single"/>
        </w:rPr>
        <w:footnoteReference w:id="61"/>
      </w:r>
      <w:r w:rsidRPr="003D75D4">
        <w:rPr>
          <w:rFonts w:ascii="Calibri" w:hAnsi="Calibri"/>
          <w:b/>
          <w:sz w:val="22"/>
          <w:szCs w:val="22"/>
          <w:u w:val="single"/>
        </w:rPr>
        <w:t xml:space="preserve">  </w:t>
      </w:r>
    </w:p>
    <w:p w:rsidR="00400E42" w:rsidRPr="003D75D4" w:rsidRDefault="00400E42" w:rsidP="00893156">
      <w:pPr>
        <w:tabs>
          <w:tab w:val="left" w:pos="-720"/>
        </w:tabs>
        <w:spacing w:after="120" w:line="276" w:lineRule="auto"/>
        <w:ind w:left="288"/>
        <w:jc w:val="both"/>
        <w:rPr>
          <w:rFonts w:ascii="Calibri" w:hAnsi="Calibri"/>
          <w:sz w:val="22"/>
          <w:szCs w:val="22"/>
        </w:rPr>
      </w:pPr>
      <w:r w:rsidRPr="003D75D4">
        <w:rPr>
          <w:rFonts w:ascii="Calibri" w:hAnsi="Calibri"/>
          <w:b/>
          <w:sz w:val="22"/>
          <w:szCs w:val="22"/>
        </w:rPr>
        <w:t xml:space="preserve">What </w:t>
      </w:r>
      <w:r>
        <w:rPr>
          <w:rFonts w:ascii="Calibri" w:hAnsi="Calibri"/>
          <w:b/>
          <w:sz w:val="22"/>
          <w:szCs w:val="22"/>
        </w:rPr>
        <w:t>data are</w:t>
      </w:r>
      <w:r w:rsidRPr="003D75D4">
        <w:rPr>
          <w:rFonts w:ascii="Calibri" w:hAnsi="Calibri"/>
          <w:b/>
          <w:sz w:val="22"/>
          <w:szCs w:val="22"/>
        </w:rPr>
        <w:t xml:space="preserve"> collected: </w:t>
      </w:r>
      <w:r w:rsidRPr="003D75D4">
        <w:rPr>
          <w:rFonts w:ascii="Calibri" w:hAnsi="Calibri"/>
          <w:sz w:val="22"/>
          <w:szCs w:val="22"/>
        </w:rPr>
        <w:t>Opioid-related deaths are the primary focus of this work and the most basic source of this information comes from death certificates filed with the Registry of Vital Records and Statistics (RVRS)</w:t>
      </w:r>
      <w:r w:rsidR="00301E0D">
        <w:rPr>
          <w:rFonts w:ascii="Calibri" w:hAnsi="Calibri"/>
          <w:sz w:val="22"/>
          <w:szCs w:val="22"/>
        </w:rPr>
        <w:t>.  T</w:t>
      </w:r>
      <w:r w:rsidRPr="003D75D4">
        <w:rPr>
          <w:rFonts w:ascii="Calibri" w:hAnsi="Calibri"/>
          <w:sz w:val="22"/>
          <w:szCs w:val="22"/>
        </w:rPr>
        <w:t>he official cause of death and the manner of death (i.e., intentional, unintentional, or undetermined) are assigned by physicians and medical examiners</w:t>
      </w:r>
      <w:r w:rsidR="00301E0D">
        <w:rPr>
          <w:rFonts w:ascii="Calibri" w:hAnsi="Calibri"/>
          <w:sz w:val="22"/>
          <w:szCs w:val="22"/>
        </w:rPr>
        <w:t>.  E</w:t>
      </w:r>
      <w:r w:rsidRPr="003D75D4">
        <w:rPr>
          <w:rFonts w:ascii="Calibri" w:hAnsi="Calibri"/>
          <w:sz w:val="22"/>
          <w:szCs w:val="22"/>
        </w:rPr>
        <w:t>ach death certificate also includes demographic information such as age, race, Hispanic ethnicity, gender, educational attainment, marital status, and occupation</w:t>
      </w:r>
      <w:r w:rsidR="00301E0D">
        <w:rPr>
          <w:rFonts w:ascii="Calibri" w:hAnsi="Calibri"/>
          <w:sz w:val="22"/>
          <w:szCs w:val="22"/>
        </w:rPr>
        <w:t>.  T</w:t>
      </w:r>
      <w:r w:rsidRPr="003D75D4">
        <w:rPr>
          <w:rFonts w:ascii="Calibri" w:hAnsi="Calibri"/>
          <w:sz w:val="22"/>
          <w:szCs w:val="22"/>
        </w:rPr>
        <w:t>hese basic demographics are recorded by the funeral director and are typically provided by a family member.</w:t>
      </w:r>
    </w:p>
    <w:p w:rsidR="00400E42" w:rsidRPr="003D75D4" w:rsidRDefault="00400E42" w:rsidP="00893156">
      <w:pPr>
        <w:spacing w:after="120" w:line="276" w:lineRule="auto"/>
        <w:ind w:left="288"/>
        <w:jc w:val="both"/>
        <w:rPr>
          <w:rFonts w:ascii="Calibri" w:hAnsi="Calibri"/>
          <w:sz w:val="22"/>
          <w:szCs w:val="22"/>
        </w:rPr>
      </w:pPr>
      <w:r w:rsidRPr="003D75D4">
        <w:rPr>
          <w:rFonts w:ascii="Calibri" w:hAnsi="Calibri"/>
          <w:b/>
          <w:sz w:val="22"/>
          <w:szCs w:val="22"/>
        </w:rPr>
        <w:t>Availability of data:</w:t>
      </w:r>
      <w:r w:rsidRPr="003D75D4">
        <w:rPr>
          <w:rFonts w:ascii="Calibri" w:hAnsi="Calibri"/>
          <w:sz w:val="22"/>
          <w:szCs w:val="22"/>
        </w:rPr>
        <w:t xml:space="preserve"> Mortality information is reported electronically using the Vitals Information Partnership</w:t>
      </w:r>
      <w:r w:rsidRPr="005E2F2A">
        <w:rPr>
          <w:rStyle w:val="FootnoteReference"/>
          <w:szCs w:val="22"/>
        </w:rPr>
        <w:footnoteReference w:id="62"/>
      </w:r>
      <w:r w:rsidRPr="003D75D4">
        <w:rPr>
          <w:rFonts w:ascii="Calibri" w:hAnsi="Calibri"/>
          <w:sz w:val="22"/>
          <w:szCs w:val="22"/>
        </w:rPr>
        <w:t xml:space="preserve"> (VIP)</w:t>
      </w:r>
      <w:r w:rsidR="00301E0D">
        <w:rPr>
          <w:rFonts w:ascii="Calibri" w:hAnsi="Calibri"/>
          <w:sz w:val="22"/>
          <w:szCs w:val="22"/>
        </w:rPr>
        <w:t>.  T</w:t>
      </w:r>
      <w:r w:rsidRPr="003D75D4">
        <w:rPr>
          <w:rFonts w:ascii="Calibri" w:hAnsi="Calibri"/>
          <w:sz w:val="22"/>
          <w:szCs w:val="22"/>
        </w:rPr>
        <w:t>he VIP system is web-based and receives information 24 hours a day seven days a week</w:t>
      </w:r>
      <w:r w:rsidR="00301E0D">
        <w:rPr>
          <w:rFonts w:ascii="Calibri" w:hAnsi="Calibri"/>
          <w:sz w:val="22"/>
          <w:szCs w:val="22"/>
        </w:rPr>
        <w:t>.  F</w:t>
      </w:r>
      <w:r w:rsidRPr="003D75D4">
        <w:rPr>
          <w:rFonts w:ascii="Calibri" w:hAnsi="Calibri"/>
          <w:sz w:val="22"/>
          <w:szCs w:val="22"/>
        </w:rPr>
        <w:t>or analytic purposes, data can be exported from VIP with all the data elements listed above</w:t>
      </w:r>
      <w:r w:rsidR="00301E0D">
        <w:rPr>
          <w:rFonts w:ascii="Calibri" w:hAnsi="Calibri"/>
          <w:sz w:val="22"/>
          <w:szCs w:val="22"/>
        </w:rPr>
        <w:t>.  O</w:t>
      </w:r>
      <w:r w:rsidRPr="003D75D4">
        <w:rPr>
          <w:rFonts w:ascii="Calibri" w:hAnsi="Calibri"/>
          <w:sz w:val="22"/>
          <w:szCs w:val="22"/>
        </w:rPr>
        <w:t>pioid-related deaths and other complex cases are almost always referred to the Office for the Chief Medical Examiner (OCME) for determination of cause and manner</w:t>
      </w:r>
      <w:r>
        <w:rPr>
          <w:rFonts w:ascii="Calibri" w:hAnsi="Calibri"/>
          <w:sz w:val="22"/>
          <w:szCs w:val="22"/>
        </w:rPr>
        <w:t xml:space="preserve"> of death</w:t>
      </w:r>
      <w:r w:rsidR="00301E0D">
        <w:rPr>
          <w:rFonts w:ascii="Calibri" w:hAnsi="Calibri"/>
          <w:sz w:val="22"/>
          <w:szCs w:val="22"/>
        </w:rPr>
        <w:t>.  T</w:t>
      </w:r>
      <w:r w:rsidRPr="003D75D4">
        <w:rPr>
          <w:rFonts w:ascii="Calibri" w:hAnsi="Calibri"/>
          <w:sz w:val="22"/>
          <w:szCs w:val="22"/>
        </w:rPr>
        <w:t>his results in a reporting lag for these deaths</w:t>
      </w:r>
      <w:r w:rsidR="00301E0D">
        <w:rPr>
          <w:rFonts w:ascii="Calibri" w:hAnsi="Calibri"/>
          <w:sz w:val="22"/>
          <w:szCs w:val="22"/>
        </w:rPr>
        <w:t>.  T</w:t>
      </w:r>
      <w:r w:rsidRPr="003D75D4">
        <w:rPr>
          <w:rFonts w:ascii="Calibri" w:hAnsi="Calibri"/>
          <w:sz w:val="22"/>
          <w:szCs w:val="22"/>
        </w:rPr>
        <w:t>hat said, basic data on demographics is available on a near-real time basis.</w:t>
      </w:r>
    </w:p>
    <w:p w:rsidR="00400E42" w:rsidRPr="003D75D4" w:rsidRDefault="00400E42" w:rsidP="00893156">
      <w:pPr>
        <w:spacing w:after="120" w:line="276" w:lineRule="auto"/>
        <w:ind w:left="288"/>
        <w:jc w:val="both"/>
        <w:rPr>
          <w:rFonts w:ascii="Calibri" w:hAnsi="Calibri"/>
          <w:sz w:val="22"/>
          <w:szCs w:val="22"/>
        </w:rPr>
      </w:pPr>
      <w:r w:rsidRPr="003D75D4">
        <w:rPr>
          <w:rFonts w:ascii="Calibri" w:hAnsi="Calibri"/>
          <w:b/>
          <w:sz w:val="22"/>
          <w:szCs w:val="22"/>
        </w:rPr>
        <w:t xml:space="preserve">Limitations of the data: </w:t>
      </w:r>
      <w:r w:rsidRPr="003D75D4">
        <w:rPr>
          <w:rFonts w:ascii="Calibri" w:hAnsi="Calibri"/>
          <w:sz w:val="22"/>
          <w:szCs w:val="22"/>
        </w:rPr>
        <w:t>As legal records, the information recorded on death certificates is considered highly accurate.  However, some information like race, Hispanic ethnicity, educational attainment, marital status, and occupation are not always fully populated</w:t>
      </w:r>
      <w:r w:rsidR="00301E0D">
        <w:rPr>
          <w:rFonts w:ascii="Calibri" w:hAnsi="Calibri"/>
          <w:sz w:val="22"/>
          <w:szCs w:val="22"/>
        </w:rPr>
        <w:t>.  C</w:t>
      </w:r>
      <w:r w:rsidRPr="003D75D4">
        <w:rPr>
          <w:rFonts w:ascii="Calibri" w:hAnsi="Calibri"/>
          <w:sz w:val="22"/>
          <w:szCs w:val="22"/>
        </w:rPr>
        <w:t>auses of death from the OCME often lag the date of death making some elements of death data less timely than others.</w:t>
      </w:r>
    </w:p>
    <w:p w:rsidR="00400E42" w:rsidRDefault="00400E42" w:rsidP="00C33429">
      <w:pPr>
        <w:spacing w:after="120" w:line="276" w:lineRule="auto"/>
        <w:rPr>
          <w:rFonts w:ascii="Calibri" w:hAnsi="Calibri"/>
          <w:sz w:val="22"/>
          <w:szCs w:val="22"/>
        </w:rPr>
      </w:pPr>
    </w:p>
    <w:p w:rsidR="00C33429" w:rsidRDefault="00C33429" w:rsidP="00C33429">
      <w:pPr>
        <w:spacing w:after="120" w:line="276" w:lineRule="auto"/>
        <w:rPr>
          <w:rFonts w:ascii="Calibri" w:hAnsi="Calibri"/>
          <w:sz w:val="22"/>
          <w:szCs w:val="22"/>
        </w:rPr>
      </w:pPr>
    </w:p>
    <w:p w:rsidR="00C33429" w:rsidRPr="003D75D4" w:rsidRDefault="00C33429" w:rsidP="00C33429">
      <w:pPr>
        <w:spacing w:after="120" w:line="276" w:lineRule="auto"/>
        <w:rPr>
          <w:rFonts w:ascii="Calibri" w:hAnsi="Calibri"/>
          <w:sz w:val="22"/>
          <w:szCs w:val="22"/>
        </w:rPr>
      </w:pPr>
    </w:p>
    <w:p w:rsidR="00400E42" w:rsidRPr="003D75D4" w:rsidRDefault="00400E42" w:rsidP="00C33429">
      <w:pPr>
        <w:spacing w:after="120" w:line="276" w:lineRule="auto"/>
        <w:rPr>
          <w:rFonts w:ascii="Calibri" w:hAnsi="Calibri"/>
          <w:b/>
          <w:sz w:val="22"/>
          <w:szCs w:val="22"/>
          <w:u w:val="single"/>
        </w:rPr>
      </w:pPr>
      <w:r w:rsidRPr="003D75D4">
        <w:rPr>
          <w:rFonts w:ascii="Calibri" w:hAnsi="Calibri"/>
          <w:b/>
          <w:sz w:val="22"/>
          <w:szCs w:val="22"/>
          <w:u w:val="single"/>
        </w:rPr>
        <w:lastRenderedPageBreak/>
        <w:t>Bureau of Substance Abuse Services (BSAS)</w:t>
      </w:r>
      <w:r w:rsidRPr="005E2F2A">
        <w:rPr>
          <w:rStyle w:val="FootnoteReference"/>
          <w:b/>
          <w:szCs w:val="22"/>
          <w:u w:val="single"/>
        </w:rPr>
        <w:footnoteReference w:id="63"/>
      </w:r>
      <w:r w:rsidRPr="003D75D4">
        <w:rPr>
          <w:rFonts w:ascii="Calibri" w:hAnsi="Calibri"/>
          <w:b/>
          <w:sz w:val="22"/>
          <w:szCs w:val="22"/>
          <w:u w:val="single"/>
        </w:rPr>
        <w:t xml:space="preserve"> – Substance Abuse Treatment Data</w:t>
      </w:r>
      <w:r w:rsidRPr="005E2F2A">
        <w:rPr>
          <w:rStyle w:val="FootnoteReference"/>
          <w:b/>
          <w:szCs w:val="22"/>
          <w:u w:val="single"/>
        </w:rPr>
        <w:footnoteReference w:id="64"/>
      </w:r>
    </w:p>
    <w:p w:rsidR="00400E42" w:rsidRPr="003D75D4" w:rsidRDefault="00400E42" w:rsidP="00C456E6">
      <w:pPr>
        <w:tabs>
          <w:tab w:val="left" w:pos="-720"/>
        </w:tabs>
        <w:spacing w:after="120" w:line="276" w:lineRule="auto"/>
        <w:ind w:left="288"/>
        <w:jc w:val="both"/>
        <w:rPr>
          <w:rFonts w:ascii="Calibri" w:hAnsi="Calibri" w:cs="Arial"/>
          <w:sz w:val="22"/>
          <w:szCs w:val="22"/>
          <w:lang w:eastAsia="ja-JP"/>
        </w:rPr>
      </w:pPr>
      <w:r w:rsidRPr="003D75D4">
        <w:rPr>
          <w:rFonts w:ascii="Calibri" w:hAnsi="Calibri"/>
          <w:b/>
          <w:sz w:val="22"/>
          <w:szCs w:val="22"/>
        </w:rPr>
        <w:t xml:space="preserve">What </w:t>
      </w:r>
      <w:r>
        <w:rPr>
          <w:rFonts w:ascii="Calibri" w:hAnsi="Calibri"/>
          <w:b/>
          <w:sz w:val="22"/>
          <w:szCs w:val="22"/>
        </w:rPr>
        <w:t>data are</w:t>
      </w:r>
      <w:r w:rsidRPr="003D75D4">
        <w:rPr>
          <w:rFonts w:ascii="Calibri" w:hAnsi="Calibri"/>
          <w:b/>
          <w:sz w:val="22"/>
          <w:szCs w:val="22"/>
        </w:rPr>
        <w:t xml:space="preserve"> collected:  </w:t>
      </w:r>
      <w:r w:rsidRPr="003D75D4">
        <w:rPr>
          <w:rFonts w:ascii="Calibri" w:hAnsi="Calibri"/>
          <w:sz w:val="22"/>
          <w:szCs w:val="22"/>
        </w:rPr>
        <w:t>Massachusetts Bureau of Substance Abuse Services (BSAS)</w:t>
      </w:r>
      <w:r>
        <w:rPr>
          <w:rFonts w:ascii="Calibri" w:hAnsi="Calibri"/>
          <w:sz w:val="22"/>
          <w:szCs w:val="22"/>
        </w:rPr>
        <w:t>,</w:t>
      </w:r>
      <w:r w:rsidRPr="003D75D4">
        <w:rPr>
          <w:rFonts w:ascii="Calibri" w:hAnsi="Calibri"/>
          <w:sz w:val="22"/>
          <w:szCs w:val="22"/>
        </w:rPr>
        <w:t xml:space="preserve"> of the Department of Public Health</w:t>
      </w:r>
      <w:r>
        <w:rPr>
          <w:rFonts w:ascii="Calibri" w:hAnsi="Calibri"/>
          <w:sz w:val="22"/>
          <w:szCs w:val="22"/>
        </w:rPr>
        <w:t>,</w:t>
      </w:r>
      <w:r w:rsidRPr="003D75D4">
        <w:rPr>
          <w:rFonts w:ascii="Calibri" w:hAnsi="Calibri"/>
          <w:sz w:val="22"/>
          <w:szCs w:val="22"/>
        </w:rPr>
        <w:t xml:space="preserve"> is the single state authority responsible for regulating and licensing substance abuse treatment providers.  The services provided range from acute detoxification to residential and outpatient based services.  All treatment providers who receive funding from BSAS are required to submit data to BSAS to carry out the responsibilities listed under the law</w:t>
      </w:r>
      <w:r w:rsidR="00301E0D">
        <w:rPr>
          <w:rFonts w:ascii="Calibri" w:hAnsi="Calibri"/>
          <w:sz w:val="22"/>
          <w:szCs w:val="22"/>
        </w:rPr>
        <w:t>.  T</w:t>
      </w:r>
      <w:r w:rsidRPr="003D75D4">
        <w:rPr>
          <w:rFonts w:ascii="Calibri" w:hAnsi="Calibri"/>
          <w:sz w:val="22"/>
          <w:szCs w:val="22"/>
        </w:rPr>
        <w:t>he required data fields include but are not limited to: client characteristics, enrollment</w:t>
      </w:r>
      <w:r>
        <w:rPr>
          <w:rFonts w:ascii="Calibri" w:hAnsi="Calibri"/>
          <w:sz w:val="22"/>
          <w:szCs w:val="22"/>
        </w:rPr>
        <w:t xml:space="preserve"> information</w:t>
      </w:r>
      <w:r w:rsidRPr="003D75D4">
        <w:rPr>
          <w:rFonts w:ascii="Calibri" w:hAnsi="Calibri"/>
          <w:sz w:val="22"/>
          <w:szCs w:val="22"/>
        </w:rPr>
        <w:t>, disenrollment information, services and outcomes.  Currently, only treatment providers that receive funding from the Department submit th</w:t>
      </w:r>
      <w:r>
        <w:rPr>
          <w:rFonts w:ascii="Calibri" w:hAnsi="Calibri"/>
          <w:sz w:val="22"/>
          <w:szCs w:val="22"/>
        </w:rPr>
        <w:t>is</w:t>
      </w:r>
      <w:r w:rsidRPr="003D75D4">
        <w:rPr>
          <w:rFonts w:ascii="Calibri" w:hAnsi="Calibri"/>
          <w:sz w:val="22"/>
          <w:szCs w:val="22"/>
        </w:rPr>
        <w:t xml:space="preserve"> data to BSAS.</w:t>
      </w:r>
      <w:r w:rsidR="006A2C00">
        <w:rPr>
          <w:rFonts w:ascii="Calibri" w:hAnsi="Calibri"/>
          <w:sz w:val="22"/>
          <w:szCs w:val="22"/>
        </w:rPr>
        <w:t xml:space="preserve">  </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t>Availability of data:</w:t>
      </w:r>
      <w:r w:rsidRPr="003D75D4">
        <w:rPr>
          <w:rFonts w:ascii="Calibri" w:hAnsi="Calibri"/>
          <w:sz w:val="22"/>
          <w:szCs w:val="22"/>
        </w:rPr>
        <w:t xml:space="preserve"> Processing of linked clients also allows us to construct treatment episodes and entire client histories</w:t>
      </w:r>
      <w:r w:rsidR="00301E0D">
        <w:rPr>
          <w:rFonts w:ascii="Calibri" w:hAnsi="Calibri"/>
          <w:sz w:val="22"/>
          <w:szCs w:val="22"/>
        </w:rPr>
        <w:t>.  T</w:t>
      </w:r>
      <w:r w:rsidRPr="003D75D4">
        <w:rPr>
          <w:rFonts w:ascii="Calibri" w:hAnsi="Calibri"/>
          <w:sz w:val="22"/>
          <w:szCs w:val="22"/>
        </w:rPr>
        <w:t xml:space="preserve">here is a 1-2 month lag between the time the </w:t>
      </w:r>
      <w:r>
        <w:rPr>
          <w:rFonts w:ascii="Calibri" w:hAnsi="Calibri"/>
          <w:sz w:val="22"/>
          <w:szCs w:val="22"/>
        </w:rPr>
        <w:t>data are</w:t>
      </w:r>
      <w:r w:rsidRPr="003D75D4">
        <w:rPr>
          <w:rFonts w:ascii="Calibri" w:hAnsi="Calibri"/>
          <w:sz w:val="22"/>
          <w:szCs w:val="22"/>
        </w:rPr>
        <w:t xml:space="preserve"> reported and the time it is available for analysis/reporting from BSAS.</w:t>
      </w:r>
    </w:p>
    <w:p w:rsidR="002666A8" w:rsidRPr="00E126A0" w:rsidRDefault="00400E42" w:rsidP="00E126A0">
      <w:pPr>
        <w:spacing w:after="120" w:line="276" w:lineRule="auto"/>
        <w:ind w:left="288"/>
        <w:rPr>
          <w:rFonts w:ascii="Calibri" w:hAnsi="Calibri"/>
          <w:sz w:val="22"/>
          <w:szCs w:val="22"/>
        </w:rPr>
      </w:pPr>
      <w:r w:rsidRPr="00E126A0">
        <w:rPr>
          <w:rFonts w:ascii="Calibri" w:hAnsi="Calibri"/>
          <w:b/>
          <w:sz w:val="22"/>
          <w:szCs w:val="22"/>
        </w:rPr>
        <w:t xml:space="preserve">Limitations of the data: </w:t>
      </w:r>
      <w:r w:rsidR="002666A8" w:rsidRPr="00E126A0">
        <w:rPr>
          <w:rFonts w:ascii="Calibri" w:hAnsi="Calibri"/>
          <w:sz w:val="22"/>
          <w:szCs w:val="22"/>
        </w:rPr>
        <w:t>The BSAS data set poses several limitations. First, BSAS data does not represent all substance abuse treatment provided in the commonwealth. BSAS only collects data from its contracted providers. Of the data that is submitted to BSAS, outpatient treatment data is incomplete and does not include all non-BSAS paid services BSAS does not collect data from providers that prescribe Vivitrol or from non-contracted Buprenorphine providers. At the time of this analysis, Methadone data was incomplete. Due to challenges associated with recent system changes related to data submission, some Methadone providers have been unable to submit data. Data collected in regards to section 35 commitments are incomplete in the BSAS data set. For example, in 2015 there were 2,068 of Section 35 commitments were served in settings that are outside the scope of data submitted to BSAS (e.g. MASAC and MCI Framingham). As a result of these data limitations, it is possible that some of the analyses using BSAS treatment data may provide an incomplete picture.</w:t>
      </w:r>
    </w:p>
    <w:p w:rsidR="00400E42" w:rsidRPr="003D75D4" w:rsidRDefault="00400E42" w:rsidP="002666A8">
      <w:pPr>
        <w:pStyle w:val="NormalWeb"/>
        <w:shd w:val="clear" w:color="auto" w:fill="FFFFFF"/>
        <w:spacing w:after="120" w:line="276" w:lineRule="auto"/>
        <w:ind w:left="288"/>
        <w:jc w:val="both"/>
        <w:rPr>
          <w:rFonts w:ascii="Calibri" w:hAnsi="Calibri"/>
          <w:b/>
          <w:color w:val="FF0000"/>
          <w:sz w:val="22"/>
          <w:szCs w:val="22"/>
          <w:u w:val="single"/>
        </w:rPr>
      </w:pPr>
    </w:p>
    <w:p w:rsidR="00400E42" w:rsidRPr="003D75D4" w:rsidRDefault="00400E42" w:rsidP="00C33429">
      <w:pPr>
        <w:spacing w:after="120" w:line="276" w:lineRule="auto"/>
        <w:rPr>
          <w:rFonts w:ascii="Calibri" w:hAnsi="Calibri"/>
          <w:b/>
          <w:sz w:val="22"/>
          <w:szCs w:val="22"/>
          <w:u w:val="single"/>
        </w:rPr>
      </w:pPr>
      <w:r w:rsidRPr="003D75D4">
        <w:rPr>
          <w:rFonts w:ascii="Calibri" w:hAnsi="Calibri"/>
          <w:b/>
          <w:sz w:val="22"/>
          <w:szCs w:val="22"/>
          <w:u w:val="single"/>
        </w:rPr>
        <w:t xml:space="preserve">Prescription </w:t>
      </w:r>
      <w:r>
        <w:rPr>
          <w:rFonts w:ascii="Calibri" w:hAnsi="Calibri"/>
          <w:b/>
          <w:sz w:val="22"/>
          <w:szCs w:val="22"/>
          <w:u w:val="single"/>
        </w:rPr>
        <w:t xml:space="preserve">Drug </w:t>
      </w:r>
      <w:r w:rsidRPr="003D75D4">
        <w:rPr>
          <w:rFonts w:ascii="Calibri" w:hAnsi="Calibri"/>
          <w:b/>
          <w:sz w:val="22"/>
          <w:szCs w:val="22"/>
          <w:u w:val="single"/>
        </w:rPr>
        <w:t>Monitoring Program (</w:t>
      </w:r>
      <w:r>
        <w:rPr>
          <w:rFonts w:ascii="Calibri" w:hAnsi="Calibri"/>
          <w:b/>
          <w:sz w:val="22"/>
          <w:szCs w:val="22"/>
          <w:u w:val="single"/>
        </w:rPr>
        <w:t>PDMP</w:t>
      </w:r>
      <w:r w:rsidRPr="003D75D4">
        <w:rPr>
          <w:rFonts w:ascii="Calibri" w:hAnsi="Calibri"/>
          <w:b/>
          <w:sz w:val="22"/>
          <w:szCs w:val="22"/>
          <w:u w:val="single"/>
        </w:rPr>
        <w:t>)</w:t>
      </w:r>
      <w:r w:rsidRPr="005E2F2A">
        <w:rPr>
          <w:rStyle w:val="FootnoteReference"/>
          <w:b/>
          <w:szCs w:val="22"/>
          <w:u w:val="single"/>
        </w:rPr>
        <w:footnoteReference w:id="65"/>
      </w:r>
      <w:r w:rsidRPr="003D75D4">
        <w:rPr>
          <w:rFonts w:ascii="Calibri" w:hAnsi="Calibri"/>
          <w:b/>
          <w:sz w:val="22"/>
          <w:szCs w:val="22"/>
          <w:u w:val="single"/>
        </w:rPr>
        <w:t xml:space="preserve"> – Schedule II through V medications</w:t>
      </w:r>
      <w:r w:rsidRPr="005E2F2A">
        <w:rPr>
          <w:rStyle w:val="FootnoteReference"/>
          <w:b/>
          <w:szCs w:val="22"/>
          <w:u w:val="single"/>
        </w:rPr>
        <w:footnoteReference w:id="66"/>
      </w:r>
    </w:p>
    <w:p w:rsidR="00400E42" w:rsidRPr="003D75D4" w:rsidRDefault="00400E42" w:rsidP="00C456E6">
      <w:pPr>
        <w:tabs>
          <w:tab w:val="left" w:pos="-720"/>
        </w:tabs>
        <w:spacing w:after="120" w:line="276" w:lineRule="auto"/>
        <w:ind w:left="288"/>
        <w:jc w:val="both"/>
        <w:rPr>
          <w:rFonts w:ascii="Calibri" w:hAnsi="Calibri"/>
          <w:sz w:val="22"/>
          <w:szCs w:val="22"/>
        </w:rPr>
      </w:pPr>
      <w:r w:rsidRPr="003D75D4">
        <w:rPr>
          <w:rFonts w:ascii="Calibri" w:hAnsi="Calibri"/>
          <w:b/>
          <w:sz w:val="22"/>
          <w:szCs w:val="22"/>
        </w:rPr>
        <w:lastRenderedPageBreak/>
        <w:t xml:space="preserve">What </w:t>
      </w:r>
      <w:r>
        <w:rPr>
          <w:rFonts w:ascii="Calibri" w:hAnsi="Calibri"/>
          <w:b/>
          <w:sz w:val="22"/>
          <w:szCs w:val="22"/>
        </w:rPr>
        <w:t>data are</w:t>
      </w:r>
      <w:r w:rsidRPr="003D75D4">
        <w:rPr>
          <w:rFonts w:ascii="Calibri" w:hAnsi="Calibri"/>
          <w:b/>
          <w:sz w:val="22"/>
          <w:szCs w:val="22"/>
        </w:rPr>
        <w:t xml:space="preserve"> collected:  </w:t>
      </w:r>
      <w:r w:rsidRPr="003D75D4">
        <w:rPr>
          <w:rFonts w:ascii="Calibri" w:hAnsi="Calibri"/>
          <w:sz w:val="22"/>
          <w:szCs w:val="22"/>
        </w:rPr>
        <w:t>Information about filled prescriptions for schedule II through V medications</w:t>
      </w:r>
      <w:r w:rsidRPr="003D75D4">
        <w:rPr>
          <w:rFonts w:ascii="Calibri" w:hAnsi="Calibri" w:cs="Arial"/>
          <w:sz w:val="22"/>
          <w:szCs w:val="22"/>
          <w:lang w:eastAsia="ja-JP"/>
        </w:rPr>
        <w:t xml:space="preserve"> is reported electronically each</w:t>
      </w:r>
      <w:r>
        <w:rPr>
          <w:rFonts w:ascii="Calibri" w:hAnsi="Calibri" w:cs="Arial"/>
          <w:sz w:val="22"/>
          <w:szCs w:val="22"/>
          <w:lang w:eastAsia="ja-JP"/>
        </w:rPr>
        <w:t xml:space="preserve"> business</w:t>
      </w:r>
      <w:r w:rsidRPr="003D75D4">
        <w:rPr>
          <w:rFonts w:ascii="Calibri" w:hAnsi="Calibri" w:cs="Arial"/>
          <w:sz w:val="22"/>
          <w:szCs w:val="22"/>
          <w:lang w:eastAsia="ja-JP"/>
        </w:rPr>
        <w:t xml:space="preserve"> day to the Prescription </w:t>
      </w:r>
      <w:r>
        <w:rPr>
          <w:rFonts w:ascii="Calibri" w:hAnsi="Calibri" w:cs="Arial"/>
          <w:sz w:val="22"/>
          <w:szCs w:val="22"/>
          <w:lang w:eastAsia="ja-JP"/>
        </w:rPr>
        <w:t xml:space="preserve">Drug </w:t>
      </w:r>
      <w:r w:rsidRPr="003D75D4">
        <w:rPr>
          <w:rFonts w:ascii="Calibri" w:hAnsi="Calibri" w:cs="Arial"/>
          <w:sz w:val="22"/>
          <w:szCs w:val="22"/>
          <w:lang w:eastAsia="ja-JP"/>
        </w:rPr>
        <w:t>Monitoring Program (</w:t>
      </w:r>
      <w:r>
        <w:rPr>
          <w:rFonts w:ascii="Calibri" w:hAnsi="Calibri" w:cs="Arial"/>
          <w:sz w:val="22"/>
          <w:szCs w:val="22"/>
          <w:lang w:eastAsia="ja-JP"/>
        </w:rPr>
        <w:t>PDMP</w:t>
      </w:r>
      <w:r w:rsidRPr="003D75D4">
        <w:rPr>
          <w:rFonts w:ascii="Calibri" w:hAnsi="Calibri" w:cs="Arial"/>
          <w:sz w:val="22"/>
          <w:szCs w:val="22"/>
          <w:lang w:eastAsia="ja-JP"/>
        </w:rPr>
        <w:t>) in the Department of Public Health’s Office of Prescription Monitoring and Drug Control (OPMDC) by all Massachusetts community, hospital outpatient and clinic pharmacies as well as from out-of-state mail order pharmacies that deliver to patients in Massachusetts.  Schedules II through V medications consist of those prescription drug products with recognized potential for abuse or dependence (e.g., narcotics, stimulants, sedatives)</w:t>
      </w:r>
      <w:r w:rsidR="00301E0D">
        <w:rPr>
          <w:rFonts w:ascii="Calibri" w:hAnsi="Calibri" w:cs="Arial"/>
          <w:sz w:val="22"/>
          <w:szCs w:val="22"/>
          <w:lang w:eastAsia="ja-JP"/>
        </w:rPr>
        <w:t>.  C</w:t>
      </w:r>
      <w:r w:rsidRPr="003D75D4">
        <w:rPr>
          <w:rFonts w:ascii="Calibri" w:hAnsi="Calibri" w:cs="Arial"/>
          <w:sz w:val="22"/>
          <w:szCs w:val="22"/>
          <w:lang w:eastAsia="ja-JP"/>
        </w:rPr>
        <w:t>onsequently, they are among those most sought for illicit and non-medical use.  The specific medication as well as the dosage and the number of pills or amount are also captured.  In order to facilitate the monitoring of individuals who receive scheduled medications, basic identifying information like full name, gender, date of birth, and full address are also recorded as well as information about the prescriber and dispensing pharmacy.</w:t>
      </w:r>
    </w:p>
    <w:p w:rsidR="00400E42" w:rsidRPr="00880CB9" w:rsidRDefault="00400E42" w:rsidP="00C456E6">
      <w:pPr>
        <w:spacing w:after="120" w:line="276" w:lineRule="auto"/>
        <w:ind w:left="288"/>
        <w:jc w:val="both"/>
        <w:rPr>
          <w:rFonts w:asciiTheme="minorHAnsi" w:hAnsiTheme="minorHAnsi"/>
          <w:sz w:val="22"/>
          <w:szCs w:val="22"/>
        </w:rPr>
      </w:pPr>
      <w:r w:rsidRPr="003D75D4">
        <w:rPr>
          <w:rFonts w:ascii="Calibri" w:hAnsi="Calibri"/>
          <w:b/>
          <w:sz w:val="22"/>
          <w:szCs w:val="22"/>
        </w:rPr>
        <w:t>Availability of data:</w:t>
      </w:r>
      <w:r w:rsidRPr="003D75D4">
        <w:rPr>
          <w:rFonts w:ascii="Calibri" w:hAnsi="Calibri"/>
          <w:sz w:val="22"/>
          <w:szCs w:val="22"/>
        </w:rPr>
        <w:t xml:space="preserve"> </w:t>
      </w:r>
      <w:r w:rsidRPr="003D75D4">
        <w:rPr>
          <w:rFonts w:ascii="Calibri" w:hAnsi="Calibri" w:cs="Arial"/>
          <w:sz w:val="22"/>
          <w:szCs w:val="22"/>
          <w:lang w:eastAsia="ja-JP"/>
        </w:rPr>
        <w:t xml:space="preserve">PDMP reporting is comprehensive for pharmacies within the Commonwealth </w:t>
      </w:r>
      <w:r w:rsidRPr="00880CB9">
        <w:rPr>
          <w:rFonts w:asciiTheme="minorHAnsi" w:hAnsiTheme="minorHAnsi" w:cs="Arial"/>
          <w:sz w:val="22"/>
          <w:szCs w:val="22"/>
          <w:lang w:eastAsia="ja-JP"/>
        </w:rPr>
        <w:t>with very few instances of non-compliance among pharmacies</w:t>
      </w:r>
      <w:r w:rsidR="00301E0D">
        <w:rPr>
          <w:rFonts w:asciiTheme="minorHAnsi" w:hAnsiTheme="minorHAnsi" w:cs="Arial"/>
          <w:sz w:val="22"/>
          <w:szCs w:val="22"/>
          <w:lang w:eastAsia="ja-JP"/>
        </w:rPr>
        <w:t>.  P</w:t>
      </w:r>
      <w:r w:rsidRPr="00880CB9">
        <w:rPr>
          <w:rFonts w:asciiTheme="minorHAnsi" w:hAnsiTheme="minorHAnsi"/>
          <w:sz w:val="22"/>
          <w:szCs w:val="22"/>
        </w:rPr>
        <w:t>DMP data arrives daily and is considered complete and accurate for export and analysis within approximately two weeks.</w:t>
      </w:r>
    </w:p>
    <w:p w:rsidR="000D2CAA" w:rsidRPr="003D75D4" w:rsidRDefault="000D2CAA" w:rsidP="000D2CAA">
      <w:pPr>
        <w:spacing w:after="120" w:line="276" w:lineRule="auto"/>
        <w:ind w:left="288"/>
        <w:jc w:val="both"/>
        <w:rPr>
          <w:rFonts w:ascii="Calibri" w:hAnsi="Calibri"/>
          <w:sz w:val="22"/>
          <w:szCs w:val="22"/>
        </w:rPr>
      </w:pPr>
      <w:r w:rsidRPr="00880CB9">
        <w:rPr>
          <w:rFonts w:asciiTheme="minorHAnsi" w:hAnsiTheme="minorHAnsi"/>
          <w:b/>
          <w:sz w:val="22"/>
          <w:szCs w:val="22"/>
        </w:rPr>
        <w:t xml:space="preserve">Limitations of the data: The </w:t>
      </w:r>
      <w:r w:rsidRPr="00880CB9">
        <w:rPr>
          <w:rFonts w:asciiTheme="minorHAnsi" w:hAnsiTheme="minorHAnsi"/>
          <w:sz w:val="22"/>
          <w:szCs w:val="22"/>
        </w:rPr>
        <w:t>PDMP dataset has a few noteworthy limitations</w:t>
      </w:r>
      <w:r>
        <w:rPr>
          <w:rFonts w:asciiTheme="minorHAnsi" w:hAnsiTheme="minorHAnsi"/>
          <w:sz w:val="22"/>
          <w:szCs w:val="22"/>
        </w:rPr>
        <w:t>.  F</w:t>
      </w:r>
      <w:r w:rsidRPr="00880CB9">
        <w:rPr>
          <w:rFonts w:asciiTheme="minorHAnsi" w:hAnsiTheme="minorHAnsi"/>
          <w:sz w:val="22"/>
          <w:szCs w:val="22"/>
        </w:rPr>
        <w:t>irst, methadone clinics do not report to the Massachusetts PDMP as they are exempt by statutory language</w:t>
      </w:r>
      <w:r>
        <w:rPr>
          <w:rFonts w:asciiTheme="minorHAnsi" w:hAnsiTheme="minorHAnsi"/>
          <w:sz w:val="22"/>
          <w:szCs w:val="22"/>
        </w:rPr>
        <w:t>.  S</w:t>
      </w:r>
      <w:r w:rsidRPr="00880CB9">
        <w:rPr>
          <w:rFonts w:asciiTheme="minorHAnsi" w:hAnsiTheme="minorHAnsi"/>
          <w:sz w:val="22"/>
          <w:szCs w:val="22"/>
        </w:rPr>
        <w:t>pecifically, the PDMP only collects data on prescriptions dispensed, and methadone in clinics is administered pursuant to medical order, not prescription.  Methadone is only include when prescribed for pain</w:t>
      </w:r>
      <w:r>
        <w:rPr>
          <w:rFonts w:asciiTheme="minorHAnsi" w:hAnsiTheme="minorHAnsi"/>
          <w:sz w:val="22"/>
          <w:szCs w:val="22"/>
        </w:rPr>
        <w:t>.  S</w:t>
      </w:r>
      <w:r w:rsidRPr="00880CB9">
        <w:rPr>
          <w:rFonts w:asciiTheme="minorHAnsi" w:hAnsiTheme="minorHAnsi"/>
          <w:sz w:val="22"/>
          <w:szCs w:val="22"/>
        </w:rPr>
        <w:t>econd, controlled substance prescriptions dispensed by Veterans Administration (VA) facilities are not included</w:t>
      </w:r>
      <w:r>
        <w:rPr>
          <w:rFonts w:asciiTheme="minorHAnsi" w:hAnsiTheme="minorHAnsi"/>
          <w:sz w:val="22"/>
          <w:szCs w:val="22"/>
        </w:rPr>
        <w:t>.  T</w:t>
      </w:r>
      <w:r w:rsidRPr="00880CB9">
        <w:rPr>
          <w:rFonts w:asciiTheme="minorHAnsi" w:hAnsiTheme="minorHAnsi"/>
          <w:sz w:val="22"/>
          <w:szCs w:val="22"/>
        </w:rPr>
        <w:t>his represents a high risk population and a significant data gap.  Third, prescription drugs that are obtained illegally (e.g., stolen, purchased on the street, etc.) are a potentially significant contributor to the opioid overdose epidemic and are not captured</w:t>
      </w:r>
      <w:r w:rsidRPr="003D75D4">
        <w:rPr>
          <w:rFonts w:ascii="Calibri" w:hAnsi="Calibri"/>
          <w:sz w:val="22"/>
          <w:szCs w:val="22"/>
        </w:rPr>
        <w:t xml:space="preserve"> within an individual’s PDMP history, but may be captured by the OCME toxicology screens</w:t>
      </w:r>
      <w:r>
        <w:rPr>
          <w:rFonts w:ascii="Calibri" w:hAnsi="Calibri"/>
          <w:sz w:val="22"/>
          <w:szCs w:val="22"/>
        </w:rPr>
        <w:t>.  F</w:t>
      </w:r>
      <w:r w:rsidRPr="003D75D4">
        <w:rPr>
          <w:rFonts w:ascii="Calibri" w:hAnsi="Calibri"/>
          <w:sz w:val="22"/>
          <w:szCs w:val="22"/>
        </w:rPr>
        <w:t>inally, a filled prescription should not be interpreted to mean that an individual took all or even any of that medication</w:t>
      </w:r>
      <w:r>
        <w:rPr>
          <w:rFonts w:ascii="Calibri" w:hAnsi="Calibri"/>
          <w:sz w:val="22"/>
          <w:szCs w:val="22"/>
        </w:rPr>
        <w:t>.  L</w:t>
      </w:r>
      <w:r w:rsidRPr="003D75D4">
        <w:rPr>
          <w:rFonts w:ascii="Calibri" w:hAnsi="Calibri"/>
          <w:sz w:val="22"/>
          <w:szCs w:val="22"/>
        </w:rPr>
        <w:t>inking these records with toxicology data can provide some insight into the proportion of scheduled medications that are illegally diverted for other purposes than originally intended.</w:t>
      </w:r>
    </w:p>
    <w:p w:rsidR="006A2C00" w:rsidRPr="003D75D4" w:rsidRDefault="006A2C00" w:rsidP="00C33429">
      <w:pPr>
        <w:pStyle w:val="NormalWeb"/>
        <w:shd w:val="clear" w:color="auto" w:fill="FFFFFF"/>
        <w:spacing w:after="120" w:line="276" w:lineRule="auto"/>
        <w:rPr>
          <w:rFonts w:ascii="Calibri" w:hAnsi="Calibri" w:cs="Arial"/>
          <w:sz w:val="22"/>
          <w:szCs w:val="22"/>
          <w:lang w:eastAsia="ja-JP"/>
        </w:rPr>
      </w:pPr>
    </w:p>
    <w:p w:rsidR="00400E42" w:rsidRPr="003D75D4" w:rsidRDefault="00400E42" w:rsidP="00C33429">
      <w:pPr>
        <w:spacing w:after="120" w:line="276" w:lineRule="auto"/>
        <w:rPr>
          <w:rFonts w:ascii="Calibri" w:hAnsi="Calibri"/>
          <w:b/>
          <w:sz w:val="22"/>
          <w:szCs w:val="22"/>
          <w:u w:val="single"/>
        </w:rPr>
      </w:pPr>
      <w:r w:rsidRPr="003D75D4">
        <w:rPr>
          <w:rFonts w:ascii="Calibri" w:hAnsi="Calibri"/>
          <w:b/>
          <w:sz w:val="22"/>
          <w:szCs w:val="22"/>
          <w:u w:val="single"/>
        </w:rPr>
        <w:t>Massachusetts Ambulance Trip Record Information System (MATRIS)</w:t>
      </w:r>
      <w:r w:rsidRPr="005E2F2A">
        <w:rPr>
          <w:rStyle w:val="FootnoteReference"/>
          <w:b/>
          <w:szCs w:val="22"/>
          <w:u w:val="single"/>
        </w:rPr>
        <w:footnoteReference w:id="67"/>
      </w:r>
      <w:r w:rsidRPr="003D75D4">
        <w:rPr>
          <w:rFonts w:ascii="Calibri" w:hAnsi="Calibri"/>
          <w:b/>
          <w:sz w:val="22"/>
          <w:szCs w:val="22"/>
          <w:u w:val="single"/>
        </w:rPr>
        <w:t xml:space="preserve"> – Office of Emergency Medical Services (OEMS)</w:t>
      </w:r>
      <w:r w:rsidRPr="005E2F2A">
        <w:rPr>
          <w:rStyle w:val="FootnoteReference"/>
          <w:b/>
          <w:szCs w:val="22"/>
          <w:u w:val="single"/>
        </w:rPr>
        <w:footnoteReference w:id="68"/>
      </w:r>
    </w:p>
    <w:p w:rsidR="00400E42" w:rsidRPr="003D75D4" w:rsidRDefault="00400E42" w:rsidP="00C456E6">
      <w:pPr>
        <w:tabs>
          <w:tab w:val="left" w:pos="-720"/>
        </w:tabs>
        <w:spacing w:after="120" w:line="276" w:lineRule="auto"/>
        <w:ind w:left="288"/>
        <w:jc w:val="both"/>
        <w:rPr>
          <w:rFonts w:ascii="Calibri" w:hAnsi="Calibri"/>
          <w:sz w:val="22"/>
          <w:szCs w:val="22"/>
        </w:rPr>
      </w:pPr>
      <w:r w:rsidRPr="003D75D4">
        <w:rPr>
          <w:rFonts w:ascii="Calibri" w:hAnsi="Calibri"/>
          <w:b/>
          <w:sz w:val="22"/>
          <w:szCs w:val="22"/>
        </w:rPr>
        <w:t xml:space="preserve">What </w:t>
      </w:r>
      <w:r>
        <w:rPr>
          <w:rFonts w:ascii="Calibri" w:hAnsi="Calibri"/>
          <w:b/>
          <w:sz w:val="22"/>
          <w:szCs w:val="22"/>
        </w:rPr>
        <w:t>data are</w:t>
      </w:r>
      <w:r w:rsidRPr="003D75D4">
        <w:rPr>
          <w:rFonts w:ascii="Calibri" w:hAnsi="Calibri"/>
          <w:b/>
          <w:sz w:val="22"/>
          <w:szCs w:val="22"/>
        </w:rPr>
        <w:t xml:space="preserve"> collected:  </w:t>
      </w:r>
      <w:r w:rsidRPr="003D75D4">
        <w:rPr>
          <w:rFonts w:ascii="Calibri" w:hAnsi="Calibri" w:cs="Arial"/>
          <w:sz w:val="22"/>
          <w:szCs w:val="22"/>
          <w:lang w:eastAsia="ja-JP"/>
        </w:rPr>
        <w:t xml:space="preserve">The Department of Public Health’s Office of Emergency Medicine (OEMS) established the Massachusetts Ambulance Trip Record Information System (MATRIS) in December 2010 as a statewide system collecting emergency medical service </w:t>
      </w:r>
      <w:r>
        <w:rPr>
          <w:rFonts w:ascii="Calibri" w:hAnsi="Calibri" w:cs="Arial"/>
          <w:sz w:val="22"/>
          <w:szCs w:val="22"/>
          <w:lang w:eastAsia="ja-JP"/>
        </w:rPr>
        <w:t xml:space="preserve">(EMS) </w:t>
      </w:r>
      <w:r w:rsidRPr="003D75D4">
        <w:rPr>
          <w:rFonts w:ascii="Calibri" w:hAnsi="Calibri" w:cs="Arial"/>
          <w:sz w:val="22"/>
          <w:szCs w:val="22"/>
          <w:lang w:eastAsia="ja-JP"/>
        </w:rPr>
        <w:t xml:space="preserve">incident data from licensed ambulance services.  Under EMS System regulations, ambulance services are required to document </w:t>
      </w:r>
      <w:r w:rsidRPr="003D75D4">
        <w:rPr>
          <w:rFonts w:asciiTheme="minorHAnsi" w:hAnsiTheme="minorHAnsi" w:cs="Arial"/>
          <w:sz w:val="22"/>
          <w:szCs w:val="22"/>
          <w:lang w:eastAsia="ja-JP"/>
        </w:rPr>
        <w:t xml:space="preserve">each EMS call and include the data elements pertaining to the call </w:t>
      </w:r>
      <w:r>
        <w:rPr>
          <w:rFonts w:asciiTheme="minorHAnsi" w:hAnsiTheme="minorHAnsi" w:cs="Arial"/>
          <w:sz w:val="22"/>
          <w:szCs w:val="22"/>
          <w:lang w:eastAsia="ja-JP"/>
        </w:rPr>
        <w:t xml:space="preserve">that are specifically referenced </w:t>
      </w:r>
      <w:r w:rsidRPr="003D75D4">
        <w:rPr>
          <w:rFonts w:asciiTheme="minorHAnsi" w:hAnsiTheme="minorHAnsi" w:cs="Arial"/>
          <w:sz w:val="22"/>
          <w:szCs w:val="22"/>
          <w:lang w:eastAsia="ja-JP"/>
        </w:rPr>
        <w:t xml:space="preserve"> in </w:t>
      </w:r>
      <w:r>
        <w:rPr>
          <w:rFonts w:asciiTheme="minorHAnsi" w:hAnsiTheme="minorHAnsi" w:cs="Arial"/>
          <w:sz w:val="22"/>
          <w:szCs w:val="22"/>
          <w:lang w:eastAsia="ja-JP"/>
        </w:rPr>
        <w:t>an</w:t>
      </w:r>
      <w:r w:rsidRPr="003D75D4">
        <w:rPr>
          <w:rFonts w:asciiTheme="minorHAnsi" w:hAnsiTheme="minorHAnsi" w:cs="Arial"/>
          <w:sz w:val="22"/>
          <w:szCs w:val="22"/>
          <w:lang w:eastAsia="ja-JP"/>
        </w:rPr>
        <w:t xml:space="preserve"> administrative </w:t>
      </w:r>
      <w:r>
        <w:rPr>
          <w:rFonts w:asciiTheme="minorHAnsi" w:hAnsiTheme="minorHAnsi" w:cs="Arial"/>
          <w:sz w:val="22"/>
          <w:szCs w:val="22"/>
          <w:lang w:eastAsia="ja-JP"/>
        </w:rPr>
        <w:t xml:space="preserve">requirement issued by OEMS governing the statewide </w:t>
      </w:r>
      <w:r w:rsidRPr="003D75D4">
        <w:rPr>
          <w:rFonts w:asciiTheme="minorHAnsi" w:hAnsiTheme="minorHAnsi" w:cs="Arial"/>
          <w:sz w:val="22"/>
          <w:szCs w:val="22"/>
          <w:lang w:eastAsia="ja-JP"/>
        </w:rPr>
        <w:t xml:space="preserve">EMS </w:t>
      </w:r>
      <w:r>
        <w:rPr>
          <w:rFonts w:asciiTheme="minorHAnsi" w:hAnsiTheme="minorHAnsi" w:cs="Arial"/>
          <w:sz w:val="22"/>
          <w:szCs w:val="22"/>
          <w:lang w:eastAsia="ja-JP"/>
        </w:rPr>
        <w:t>minimum data set</w:t>
      </w:r>
      <w:r w:rsidR="00301E0D">
        <w:rPr>
          <w:rFonts w:asciiTheme="minorHAnsi" w:hAnsiTheme="minorHAnsi" w:cs="Arial"/>
          <w:sz w:val="22"/>
          <w:szCs w:val="22"/>
          <w:lang w:eastAsia="ja-JP"/>
        </w:rPr>
        <w:t>.  M</w:t>
      </w:r>
      <w:r w:rsidRPr="003D75D4">
        <w:rPr>
          <w:rFonts w:asciiTheme="minorHAnsi" w:hAnsiTheme="minorHAnsi"/>
          <w:sz w:val="22"/>
          <w:szCs w:val="22"/>
        </w:rPr>
        <w:t xml:space="preserve">ATRIS </w:t>
      </w:r>
      <w:r>
        <w:rPr>
          <w:rFonts w:asciiTheme="minorHAnsi" w:hAnsiTheme="minorHAnsi"/>
          <w:sz w:val="22"/>
          <w:szCs w:val="22"/>
        </w:rPr>
        <w:t xml:space="preserve">data elements </w:t>
      </w:r>
      <w:r>
        <w:rPr>
          <w:rFonts w:ascii="Calibri" w:hAnsi="Calibri"/>
          <w:sz w:val="22"/>
          <w:szCs w:val="22"/>
        </w:rPr>
        <w:t>are</w:t>
      </w:r>
      <w:r w:rsidRPr="003D75D4">
        <w:rPr>
          <w:rFonts w:ascii="Calibri" w:hAnsi="Calibri"/>
          <w:sz w:val="22"/>
          <w:szCs w:val="22"/>
        </w:rPr>
        <w:t xml:space="preserve"> based on the National Emergency Medical Service Information System </w:t>
      </w:r>
      <w:r w:rsidRPr="003D75D4">
        <w:rPr>
          <w:rFonts w:ascii="Calibri" w:hAnsi="Calibri"/>
          <w:sz w:val="22"/>
          <w:szCs w:val="22"/>
        </w:rPr>
        <w:lastRenderedPageBreak/>
        <w:t xml:space="preserve">(NEMSIS) Version 2.2.1 </w:t>
      </w:r>
      <w:r>
        <w:rPr>
          <w:rFonts w:ascii="Calibri" w:hAnsi="Calibri"/>
          <w:sz w:val="22"/>
          <w:szCs w:val="22"/>
        </w:rPr>
        <w:t>dataset</w:t>
      </w:r>
      <w:r w:rsidRPr="003D75D4">
        <w:rPr>
          <w:rFonts w:ascii="Calibri" w:hAnsi="Calibri"/>
          <w:sz w:val="22"/>
          <w:szCs w:val="22"/>
        </w:rPr>
        <w:t xml:space="preserve"> standard developed in 2005</w:t>
      </w:r>
      <w:r w:rsidR="00301E0D">
        <w:rPr>
          <w:rFonts w:ascii="Calibri" w:hAnsi="Calibri"/>
          <w:sz w:val="22"/>
          <w:szCs w:val="22"/>
        </w:rPr>
        <w:t>.  T</w:t>
      </w:r>
      <w:r w:rsidRPr="003D75D4">
        <w:rPr>
          <w:rFonts w:ascii="Calibri" w:hAnsi="Calibri"/>
          <w:sz w:val="22"/>
          <w:szCs w:val="22"/>
        </w:rPr>
        <w:t>his includes demographic, clinical, operational, and billing data</w:t>
      </w:r>
      <w:r w:rsidR="00301E0D">
        <w:rPr>
          <w:rFonts w:ascii="Calibri" w:hAnsi="Calibri"/>
          <w:sz w:val="22"/>
          <w:szCs w:val="22"/>
        </w:rPr>
        <w:t xml:space="preserve">.  </w:t>
      </w:r>
      <w:r w:rsidRPr="003D75D4">
        <w:rPr>
          <w:rFonts w:ascii="Calibri" w:hAnsi="Calibri"/>
          <w:sz w:val="22"/>
          <w:szCs w:val="22"/>
        </w:rPr>
        <w:t xml:space="preserve">Demographics required are patient age, birth date, gender, </w:t>
      </w:r>
      <w:r w:rsidR="006A2C00">
        <w:rPr>
          <w:rFonts w:ascii="Calibri" w:hAnsi="Calibri"/>
          <w:sz w:val="22"/>
          <w:szCs w:val="22"/>
        </w:rPr>
        <w:t xml:space="preserve">and </w:t>
      </w:r>
      <w:r w:rsidRPr="003D75D4">
        <w:rPr>
          <w:rFonts w:ascii="Calibri" w:hAnsi="Calibri"/>
          <w:sz w:val="22"/>
          <w:szCs w:val="22"/>
        </w:rPr>
        <w:t>patient</w:t>
      </w:r>
      <w:r w:rsidR="006A2C00">
        <w:rPr>
          <w:rFonts w:ascii="Calibri" w:hAnsi="Calibri"/>
          <w:sz w:val="22"/>
          <w:szCs w:val="22"/>
        </w:rPr>
        <w:t xml:space="preserve"> </w:t>
      </w:r>
      <w:r w:rsidRPr="003D75D4">
        <w:rPr>
          <w:rFonts w:ascii="Calibri" w:hAnsi="Calibri"/>
          <w:sz w:val="22"/>
          <w:szCs w:val="22"/>
        </w:rPr>
        <w:t>home address</w:t>
      </w:r>
      <w:r>
        <w:rPr>
          <w:rFonts w:ascii="Calibri" w:hAnsi="Calibri"/>
          <w:sz w:val="22"/>
          <w:szCs w:val="22"/>
        </w:rPr>
        <w:t>.  Also required are</w:t>
      </w:r>
      <w:r w:rsidRPr="003D75D4">
        <w:rPr>
          <w:rFonts w:ascii="Calibri" w:hAnsi="Calibri"/>
          <w:sz w:val="22"/>
          <w:szCs w:val="22"/>
        </w:rPr>
        <w:t xml:space="preserve"> incident type</w:t>
      </w:r>
      <w:r>
        <w:rPr>
          <w:rFonts w:ascii="Calibri" w:hAnsi="Calibri"/>
          <w:sz w:val="22"/>
          <w:szCs w:val="22"/>
        </w:rPr>
        <w:t>, incident</w:t>
      </w:r>
      <w:r w:rsidRPr="003D75D4">
        <w:rPr>
          <w:rFonts w:ascii="Calibri" w:hAnsi="Calibri"/>
          <w:sz w:val="22"/>
          <w:szCs w:val="22"/>
        </w:rPr>
        <w:t xml:space="preserve"> address, dates</w:t>
      </w:r>
      <w:r>
        <w:rPr>
          <w:rFonts w:ascii="Calibri" w:hAnsi="Calibri"/>
          <w:sz w:val="22"/>
          <w:szCs w:val="22"/>
        </w:rPr>
        <w:t>,</w:t>
      </w:r>
      <w:r w:rsidRPr="003D75D4">
        <w:rPr>
          <w:rFonts w:ascii="Calibri" w:hAnsi="Calibri"/>
          <w:sz w:val="22"/>
          <w:szCs w:val="22"/>
        </w:rPr>
        <w:t xml:space="preserve"> times, destination facility type, destination facility name</w:t>
      </w:r>
      <w:r>
        <w:rPr>
          <w:rFonts w:ascii="Calibri" w:hAnsi="Calibri"/>
          <w:sz w:val="22"/>
          <w:szCs w:val="22"/>
        </w:rPr>
        <w:t>,</w:t>
      </w:r>
      <w:r w:rsidRPr="003D75D4">
        <w:rPr>
          <w:rFonts w:ascii="Calibri" w:hAnsi="Calibri"/>
          <w:sz w:val="22"/>
          <w:szCs w:val="22"/>
        </w:rPr>
        <w:t xml:space="preserve"> and destination facility address</w:t>
      </w:r>
      <w:r w:rsidR="00301E0D">
        <w:rPr>
          <w:rFonts w:ascii="Calibri" w:hAnsi="Calibri"/>
          <w:sz w:val="22"/>
          <w:szCs w:val="22"/>
        </w:rPr>
        <w:t>.  P</w:t>
      </w:r>
      <w:r w:rsidRPr="003D75D4">
        <w:rPr>
          <w:rFonts w:ascii="Calibri" w:hAnsi="Calibri"/>
          <w:sz w:val="22"/>
          <w:szCs w:val="22"/>
        </w:rPr>
        <w:t xml:space="preserve">atient name is not </w:t>
      </w:r>
      <w:r>
        <w:rPr>
          <w:rFonts w:ascii="Calibri" w:hAnsi="Calibri"/>
          <w:sz w:val="22"/>
          <w:szCs w:val="22"/>
        </w:rPr>
        <w:t xml:space="preserve">currently </w:t>
      </w:r>
      <w:r w:rsidRPr="003D75D4">
        <w:rPr>
          <w:rFonts w:ascii="Calibri" w:hAnsi="Calibri"/>
          <w:sz w:val="22"/>
          <w:szCs w:val="22"/>
        </w:rPr>
        <w:t>required but is submitted approximately 70% of the time</w:t>
      </w:r>
      <w:r w:rsidR="00301E0D">
        <w:rPr>
          <w:rFonts w:ascii="Calibri" w:hAnsi="Calibri"/>
          <w:sz w:val="22"/>
          <w:szCs w:val="22"/>
        </w:rPr>
        <w:t>.  M</w:t>
      </w:r>
      <w:r w:rsidRPr="003D75D4">
        <w:rPr>
          <w:rFonts w:ascii="Calibri" w:hAnsi="Calibri"/>
          <w:sz w:val="22"/>
          <w:szCs w:val="22"/>
        </w:rPr>
        <w:t xml:space="preserve">ATRIS can identify </w:t>
      </w:r>
      <w:r>
        <w:rPr>
          <w:rFonts w:ascii="Calibri" w:hAnsi="Calibri"/>
          <w:sz w:val="22"/>
          <w:szCs w:val="22"/>
        </w:rPr>
        <w:t>nonfatal</w:t>
      </w:r>
      <w:r w:rsidRPr="003D75D4">
        <w:rPr>
          <w:rFonts w:ascii="Calibri" w:hAnsi="Calibri"/>
          <w:sz w:val="22"/>
          <w:szCs w:val="22"/>
        </w:rPr>
        <w:t xml:space="preserve">-opioid-related events, </w:t>
      </w:r>
      <w:r>
        <w:rPr>
          <w:rFonts w:ascii="Calibri" w:hAnsi="Calibri"/>
          <w:sz w:val="22"/>
          <w:szCs w:val="22"/>
        </w:rPr>
        <w:t xml:space="preserve">even </w:t>
      </w:r>
      <w:r w:rsidRPr="003D75D4">
        <w:rPr>
          <w:rFonts w:ascii="Calibri" w:hAnsi="Calibri"/>
          <w:sz w:val="22"/>
          <w:szCs w:val="22"/>
        </w:rPr>
        <w:t>when the patient refuses transport to the hospital.  MATRIS tracks when naloxone was administered either by the EMT or as “prior aid” by other first responders, (fire, police) or bystanders (friends, family)</w:t>
      </w:r>
      <w:r w:rsidR="00301E0D">
        <w:rPr>
          <w:rFonts w:ascii="Calibri" w:hAnsi="Calibri"/>
          <w:sz w:val="22"/>
          <w:szCs w:val="22"/>
        </w:rPr>
        <w:t xml:space="preserve">.  </w:t>
      </w:r>
      <w:r>
        <w:rPr>
          <w:rFonts w:ascii="Calibri" w:hAnsi="Calibri"/>
          <w:sz w:val="22"/>
          <w:szCs w:val="22"/>
        </w:rPr>
        <w:t>Evaluation</w:t>
      </w:r>
      <w:r w:rsidRPr="003D75D4">
        <w:rPr>
          <w:rFonts w:ascii="Calibri" w:hAnsi="Calibri"/>
          <w:sz w:val="22"/>
          <w:szCs w:val="22"/>
        </w:rPr>
        <w:t xml:space="preserve"> on interventions provided by EMTs can be performed to correlate survival and other outcome rates when linked with outcomes from ED and death data.</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t>Availability of data:</w:t>
      </w:r>
      <w:r w:rsidRPr="003D75D4">
        <w:rPr>
          <w:rFonts w:ascii="Calibri" w:hAnsi="Calibri"/>
          <w:sz w:val="22"/>
          <w:szCs w:val="22"/>
        </w:rPr>
        <w:t xml:space="preserve"> Ambulance incident information is to be submitted into the MATRIS secure website electronically from all licensed ambulance services in Massachusetts within 14 days of the </w:t>
      </w:r>
      <w:r>
        <w:rPr>
          <w:rFonts w:ascii="Calibri" w:hAnsi="Calibri"/>
          <w:sz w:val="22"/>
          <w:szCs w:val="22"/>
        </w:rPr>
        <w:t>call</w:t>
      </w:r>
      <w:r w:rsidRPr="003D75D4">
        <w:rPr>
          <w:rFonts w:ascii="Calibri" w:hAnsi="Calibri"/>
          <w:sz w:val="22"/>
          <w:szCs w:val="22"/>
        </w:rPr>
        <w:t>; however frequency of submission varies by service.  Many of the larger ambulance services have automated daily submission, while others can take longer to submit.  There are currently over 6.</w:t>
      </w:r>
      <w:r>
        <w:rPr>
          <w:rFonts w:ascii="Calibri" w:hAnsi="Calibri"/>
          <w:sz w:val="22"/>
          <w:szCs w:val="22"/>
        </w:rPr>
        <w:t>4</w:t>
      </w:r>
      <w:r w:rsidRPr="003D75D4">
        <w:rPr>
          <w:rFonts w:ascii="Calibri" w:hAnsi="Calibri"/>
          <w:sz w:val="22"/>
          <w:szCs w:val="22"/>
        </w:rPr>
        <w:t xml:space="preserve"> million ambulance trip records in MATRIS.  There </w:t>
      </w:r>
      <w:r>
        <w:rPr>
          <w:rFonts w:ascii="Calibri" w:hAnsi="Calibri"/>
          <w:sz w:val="22"/>
          <w:szCs w:val="22"/>
        </w:rPr>
        <w:t xml:space="preserve">were </w:t>
      </w:r>
      <w:r w:rsidRPr="003D75D4">
        <w:rPr>
          <w:rFonts w:ascii="Calibri" w:hAnsi="Calibri"/>
          <w:sz w:val="22"/>
          <w:szCs w:val="22"/>
        </w:rPr>
        <w:t>1.</w:t>
      </w:r>
      <w:r>
        <w:rPr>
          <w:rFonts w:ascii="Calibri" w:hAnsi="Calibri"/>
          <w:sz w:val="22"/>
          <w:szCs w:val="22"/>
        </w:rPr>
        <w:t>3</w:t>
      </w:r>
      <w:r w:rsidRPr="003D75D4">
        <w:rPr>
          <w:rFonts w:ascii="Calibri" w:hAnsi="Calibri"/>
          <w:sz w:val="22"/>
          <w:szCs w:val="22"/>
        </w:rPr>
        <w:t xml:space="preserve"> million records in MATRIS for incidents occurring in </w:t>
      </w:r>
      <w:r>
        <w:rPr>
          <w:rFonts w:ascii="Calibri" w:hAnsi="Calibri"/>
          <w:sz w:val="22"/>
          <w:szCs w:val="22"/>
        </w:rPr>
        <w:t xml:space="preserve">both </w:t>
      </w:r>
      <w:r w:rsidRPr="003D75D4">
        <w:rPr>
          <w:rFonts w:ascii="Calibri" w:hAnsi="Calibri"/>
          <w:sz w:val="22"/>
          <w:szCs w:val="22"/>
        </w:rPr>
        <w:t>201</w:t>
      </w:r>
      <w:r>
        <w:rPr>
          <w:rFonts w:ascii="Calibri" w:hAnsi="Calibri"/>
          <w:sz w:val="22"/>
          <w:szCs w:val="22"/>
        </w:rPr>
        <w:t>3 and 2014.  There are 1.4 million for 2015 available for future analysis</w:t>
      </w:r>
      <w:r w:rsidRPr="003D75D4">
        <w:rPr>
          <w:rFonts w:ascii="Calibri" w:hAnsi="Calibri"/>
          <w:sz w:val="22"/>
          <w:szCs w:val="22"/>
        </w:rPr>
        <w:t>.</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t xml:space="preserve">Limitations of the data: </w:t>
      </w:r>
      <w:r w:rsidRPr="003D75D4">
        <w:rPr>
          <w:rFonts w:ascii="Calibri" w:hAnsi="Calibri"/>
          <w:sz w:val="22"/>
          <w:szCs w:val="22"/>
        </w:rPr>
        <w:t>MATRIS has several limitations</w:t>
      </w:r>
      <w:r w:rsidR="00301E0D">
        <w:rPr>
          <w:rFonts w:ascii="Calibri" w:hAnsi="Calibri"/>
          <w:sz w:val="22"/>
          <w:szCs w:val="22"/>
        </w:rPr>
        <w:t>.  T</w:t>
      </w:r>
      <w:r w:rsidRPr="003D75D4">
        <w:rPr>
          <w:rFonts w:ascii="Calibri" w:hAnsi="Calibri"/>
          <w:sz w:val="22"/>
          <w:szCs w:val="22"/>
        </w:rPr>
        <w:t xml:space="preserve">he first is that the NEMSIS standard does not specifically identify incidents as being </w:t>
      </w:r>
      <w:r>
        <w:rPr>
          <w:rFonts w:ascii="Calibri" w:hAnsi="Calibri"/>
          <w:sz w:val="22"/>
          <w:szCs w:val="22"/>
        </w:rPr>
        <w:t>opioid-related</w:t>
      </w:r>
      <w:r w:rsidRPr="003D75D4">
        <w:rPr>
          <w:rFonts w:ascii="Calibri" w:hAnsi="Calibri"/>
          <w:sz w:val="22"/>
          <w:szCs w:val="22"/>
        </w:rPr>
        <w:t xml:space="preserve">, but rather “poisoning/ingestion”.  The second, the </w:t>
      </w:r>
      <w:r>
        <w:rPr>
          <w:rFonts w:ascii="Calibri" w:hAnsi="Calibri"/>
          <w:sz w:val="22"/>
          <w:szCs w:val="22"/>
        </w:rPr>
        <w:t>data are</w:t>
      </w:r>
      <w:r w:rsidRPr="003D75D4">
        <w:rPr>
          <w:rFonts w:ascii="Calibri" w:hAnsi="Calibri"/>
          <w:sz w:val="22"/>
          <w:szCs w:val="22"/>
        </w:rPr>
        <w:t xml:space="preserve"> not uniformly reported by EMS providers</w:t>
      </w:r>
      <w:r w:rsidR="00301E0D">
        <w:rPr>
          <w:rFonts w:ascii="Calibri" w:hAnsi="Calibri"/>
          <w:sz w:val="22"/>
          <w:szCs w:val="22"/>
        </w:rPr>
        <w:t>.  T</w:t>
      </w:r>
      <w:r w:rsidRPr="003D75D4">
        <w:rPr>
          <w:rFonts w:ascii="Calibri" w:hAnsi="Calibri"/>
          <w:sz w:val="22"/>
          <w:szCs w:val="22"/>
        </w:rPr>
        <w:t>he third limitation is that the overall usability of the data submitted by ambulance services varies by provider, with roughly 30% of the provided data being partially or completely unusable</w:t>
      </w:r>
      <w:r w:rsidR="00301E0D">
        <w:rPr>
          <w:rFonts w:ascii="Calibri" w:hAnsi="Calibri"/>
          <w:sz w:val="22"/>
          <w:szCs w:val="22"/>
        </w:rPr>
        <w:t>.  T</w:t>
      </w:r>
      <w:r w:rsidRPr="003D75D4">
        <w:rPr>
          <w:rFonts w:ascii="Calibri" w:hAnsi="Calibri"/>
          <w:sz w:val="22"/>
          <w:szCs w:val="22"/>
        </w:rPr>
        <w:t xml:space="preserve">hese issues are partially mitigated through the integration with other </w:t>
      </w:r>
      <w:r>
        <w:rPr>
          <w:rFonts w:ascii="Calibri" w:hAnsi="Calibri"/>
          <w:sz w:val="22"/>
          <w:szCs w:val="22"/>
        </w:rPr>
        <w:t>dataset</w:t>
      </w:r>
      <w:r w:rsidRPr="003D75D4">
        <w:rPr>
          <w:rFonts w:ascii="Calibri" w:hAnsi="Calibri"/>
          <w:sz w:val="22"/>
          <w:szCs w:val="22"/>
        </w:rPr>
        <w:t>s listed above</w:t>
      </w:r>
      <w:r w:rsidR="00301E0D">
        <w:rPr>
          <w:rFonts w:ascii="Calibri" w:hAnsi="Calibri"/>
          <w:sz w:val="22"/>
          <w:szCs w:val="22"/>
        </w:rPr>
        <w:t>.  F</w:t>
      </w:r>
      <w:r>
        <w:rPr>
          <w:rFonts w:ascii="Calibri" w:hAnsi="Calibri"/>
          <w:sz w:val="22"/>
          <w:szCs w:val="22"/>
        </w:rPr>
        <w:t>inally, whether a specific ambulance trip involves an opioid overdose is not a simple judgment.  The classification of opioid trips was based on an algorithm developed in conjunction with the Centers for Disease Control and Prevention.  Their assistance was invaluable.</w:t>
      </w:r>
    </w:p>
    <w:p w:rsidR="006318A0" w:rsidRPr="003D75D4" w:rsidRDefault="006318A0" w:rsidP="00C33429">
      <w:pPr>
        <w:spacing w:after="120" w:line="276" w:lineRule="auto"/>
        <w:ind w:left="288"/>
        <w:rPr>
          <w:rFonts w:ascii="Calibri" w:hAnsi="Calibri"/>
          <w:sz w:val="22"/>
          <w:szCs w:val="22"/>
        </w:rPr>
      </w:pPr>
    </w:p>
    <w:p w:rsidR="00400E42" w:rsidRPr="003D75D4" w:rsidRDefault="00400E42" w:rsidP="00C33429">
      <w:pPr>
        <w:shd w:val="clear" w:color="auto" w:fill="FFFFFF"/>
        <w:spacing w:after="120" w:line="276" w:lineRule="auto"/>
        <w:rPr>
          <w:rFonts w:ascii="Calibri" w:hAnsi="Calibri"/>
          <w:b/>
          <w:sz w:val="22"/>
          <w:szCs w:val="22"/>
          <w:lang w:eastAsia="ja-JP"/>
        </w:rPr>
      </w:pPr>
      <w:r w:rsidRPr="003D75D4">
        <w:rPr>
          <w:rFonts w:ascii="Calibri" w:hAnsi="Calibri"/>
          <w:b/>
          <w:sz w:val="22"/>
          <w:szCs w:val="22"/>
          <w:u w:val="single"/>
        </w:rPr>
        <w:t>Registry of Vital Records and Statistics (RVRS)</w:t>
      </w:r>
      <w:r w:rsidRPr="005E2F2A">
        <w:rPr>
          <w:rStyle w:val="FootnoteReference"/>
          <w:b/>
          <w:szCs w:val="22"/>
          <w:u w:val="single"/>
        </w:rPr>
        <w:footnoteReference w:id="69"/>
      </w:r>
      <w:r w:rsidRPr="003D75D4">
        <w:rPr>
          <w:rFonts w:ascii="Calibri" w:hAnsi="Calibri"/>
          <w:b/>
          <w:sz w:val="22"/>
          <w:szCs w:val="22"/>
          <w:u w:val="single"/>
        </w:rPr>
        <w:t xml:space="preserve"> – Birth Records</w:t>
      </w:r>
      <w:r w:rsidRPr="005E2F2A">
        <w:rPr>
          <w:rStyle w:val="FootnoteReference"/>
          <w:b/>
          <w:szCs w:val="22"/>
          <w:u w:val="single"/>
        </w:rPr>
        <w:footnoteReference w:id="70"/>
      </w:r>
      <w:r w:rsidRPr="003D75D4">
        <w:rPr>
          <w:rFonts w:ascii="Calibri" w:hAnsi="Calibri"/>
          <w:b/>
          <w:sz w:val="22"/>
          <w:szCs w:val="22"/>
          <w:u w:val="single"/>
        </w:rPr>
        <w:t xml:space="preserve">  </w:t>
      </w:r>
    </w:p>
    <w:p w:rsidR="00400E42" w:rsidRPr="003D75D4" w:rsidRDefault="00400E42" w:rsidP="00C456E6">
      <w:pPr>
        <w:tabs>
          <w:tab w:val="left" w:pos="-720"/>
        </w:tabs>
        <w:spacing w:after="120" w:line="276" w:lineRule="auto"/>
        <w:ind w:left="288"/>
        <w:jc w:val="both"/>
        <w:rPr>
          <w:rFonts w:ascii="Calibri" w:hAnsi="Calibri"/>
          <w:sz w:val="22"/>
          <w:szCs w:val="22"/>
        </w:rPr>
      </w:pPr>
      <w:r w:rsidRPr="003D75D4">
        <w:rPr>
          <w:rFonts w:ascii="Calibri" w:hAnsi="Calibri"/>
          <w:b/>
          <w:sz w:val="22"/>
          <w:szCs w:val="22"/>
        </w:rPr>
        <w:t xml:space="preserve">What </w:t>
      </w:r>
      <w:r>
        <w:rPr>
          <w:rFonts w:ascii="Calibri" w:hAnsi="Calibri"/>
          <w:b/>
          <w:sz w:val="22"/>
          <w:szCs w:val="22"/>
        </w:rPr>
        <w:t>data are</w:t>
      </w:r>
      <w:r w:rsidRPr="003D75D4">
        <w:rPr>
          <w:rFonts w:ascii="Calibri" w:hAnsi="Calibri"/>
          <w:b/>
          <w:sz w:val="22"/>
          <w:szCs w:val="22"/>
        </w:rPr>
        <w:t xml:space="preserve"> collected: </w:t>
      </w:r>
      <w:r w:rsidRPr="003D75D4">
        <w:rPr>
          <w:rFonts w:ascii="Calibri" w:hAnsi="Calibri"/>
          <w:sz w:val="22"/>
          <w:szCs w:val="22"/>
          <w:lang w:eastAsia="ja-JP"/>
        </w:rPr>
        <w:t xml:space="preserve">The collection and dissemination of this </w:t>
      </w:r>
      <w:r>
        <w:rPr>
          <w:rFonts w:ascii="Calibri" w:hAnsi="Calibri"/>
          <w:sz w:val="22"/>
          <w:szCs w:val="22"/>
          <w:lang w:eastAsia="ja-JP"/>
        </w:rPr>
        <w:t>data are</w:t>
      </w:r>
      <w:r w:rsidRPr="003D75D4">
        <w:rPr>
          <w:rFonts w:ascii="Calibri" w:hAnsi="Calibri"/>
          <w:sz w:val="22"/>
          <w:szCs w:val="22"/>
          <w:lang w:eastAsia="ja-JP"/>
        </w:rPr>
        <w:t xml:space="preserve"> to facilitate the surveillance of births and birth trends in the state of Massachusetts, including those based on demographic information and data on birth outcomes</w:t>
      </w:r>
      <w:r w:rsidR="00301E0D">
        <w:rPr>
          <w:rFonts w:ascii="Calibri" w:hAnsi="Calibri"/>
          <w:sz w:val="22"/>
          <w:szCs w:val="22"/>
          <w:lang w:eastAsia="ja-JP"/>
        </w:rPr>
        <w:t>.  D</w:t>
      </w:r>
      <w:r w:rsidRPr="003D75D4">
        <w:rPr>
          <w:rFonts w:ascii="Calibri" w:hAnsi="Calibri"/>
          <w:sz w:val="22"/>
          <w:szCs w:val="22"/>
          <w:lang w:eastAsia="ja-JP"/>
        </w:rPr>
        <w:t xml:space="preserve">ata </w:t>
      </w:r>
      <w:r>
        <w:rPr>
          <w:rFonts w:ascii="Calibri" w:hAnsi="Calibri"/>
          <w:sz w:val="22"/>
          <w:szCs w:val="22"/>
          <w:lang w:eastAsia="ja-JP"/>
        </w:rPr>
        <w:t>are</w:t>
      </w:r>
      <w:r w:rsidRPr="003D75D4">
        <w:rPr>
          <w:rFonts w:ascii="Calibri" w:hAnsi="Calibri"/>
          <w:sz w:val="22"/>
          <w:szCs w:val="22"/>
          <w:lang w:eastAsia="ja-JP"/>
        </w:rPr>
        <w:t xml:space="preserve"> reported to the Registry of Vital Records and Statistics (RVRS) by all licensed birthing hospitals and birthing centers and </w:t>
      </w:r>
      <w:r>
        <w:rPr>
          <w:rFonts w:ascii="Calibri" w:hAnsi="Calibri"/>
          <w:sz w:val="22"/>
          <w:szCs w:val="22"/>
          <w:lang w:eastAsia="ja-JP"/>
        </w:rPr>
        <w:t xml:space="preserve">by </w:t>
      </w:r>
      <w:r w:rsidRPr="003D75D4">
        <w:rPr>
          <w:rFonts w:ascii="Calibri" w:hAnsi="Calibri"/>
          <w:sz w:val="22"/>
          <w:szCs w:val="22"/>
          <w:lang w:eastAsia="ja-JP"/>
        </w:rPr>
        <w:t>cit</w:t>
      </w:r>
      <w:r>
        <w:rPr>
          <w:rFonts w:ascii="Calibri" w:hAnsi="Calibri"/>
          <w:sz w:val="22"/>
          <w:szCs w:val="22"/>
          <w:lang w:eastAsia="ja-JP"/>
        </w:rPr>
        <w:t>y</w:t>
      </w:r>
      <w:r w:rsidRPr="003D75D4">
        <w:rPr>
          <w:rFonts w:ascii="Calibri" w:hAnsi="Calibri"/>
          <w:sz w:val="22"/>
          <w:szCs w:val="22"/>
          <w:lang w:eastAsia="ja-JP"/>
        </w:rPr>
        <w:t xml:space="preserve"> and town clerks if they are establishing a home birth that occurred in their city/town in Massachusetts</w:t>
      </w:r>
      <w:r w:rsidR="00301E0D">
        <w:rPr>
          <w:rFonts w:ascii="Calibri" w:hAnsi="Calibri"/>
          <w:sz w:val="22"/>
          <w:szCs w:val="22"/>
          <w:lang w:eastAsia="ja-JP"/>
        </w:rPr>
        <w:t>.  T</w:t>
      </w:r>
      <w:r w:rsidRPr="003D75D4">
        <w:rPr>
          <w:rFonts w:ascii="Calibri" w:hAnsi="Calibri"/>
          <w:sz w:val="22"/>
          <w:szCs w:val="22"/>
          <w:lang w:eastAsia="ja-JP"/>
        </w:rPr>
        <w:t>he birth data contains identifying information about the parents of record and the child</w:t>
      </w:r>
      <w:r w:rsidR="00301E0D">
        <w:rPr>
          <w:rFonts w:ascii="Calibri" w:hAnsi="Calibri"/>
          <w:sz w:val="22"/>
          <w:szCs w:val="22"/>
          <w:lang w:eastAsia="ja-JP"/>
        </w:rPr>
        <w:t>.  T</w:t>
      </w:r>
      <w:r w:rsidRPr="003D75D4">
        <w:rPr>
          <w:rFonts w:ascii="Calibri" w:hAnsi="Calibri"/>
          <w:sz w:val="22"/>
          <w:szCs w:val="22"/>
          <w:lang w:eastAsia="ja-JP"/>
        </w:rPr>
        <w:t>hese data are critical to understand the health risk to a mother who delivers a Substance Exposed Newborn (SEN) or an infant with</w:t>
      </w:r>
      <w:r w:rsidRPr="003D75D4">
        <w:rPr>
          <w:rFonts w:ascii="Calibri" w:hAnsi="Calibri" w:cs="Arial"/>
          <w:sz w:val="22"/>
          <w:szCs w:val="22"/>
          <w:lang w:eastAsia="ja-JP"/>
        </w:rPr>
        <w:t xml:space="preserve"> Neonatal Abstinence Syndrome (NAS).</w:t>
      </w:r>
      <w:r w:rsidRPr="003D75D4">
        <w:rPr>
          <w:rFonts w:ascii="Calibri" w:hAnsi="Calibri"/>
          <w:sz w:val="22"/>
          <w:szCs w:val="22"/>
          <w:lang w:eastAsia="ja-JP"/>
        </w:rPr>
        <w:t xml:space="preserve"> </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lastRenderedPageBreak/>
        <w:t>Availability of data:</w:t>
      </w:r>
      <w:r w:rsidRPr="003D75D4">
        <w:rPr>
          <w:rFonts w:ascii="Calibri" w:hAnsi="Calibri"/>
          <w:sz w:val="22"/>
          <w:szCs w:val="22"/>
        </w:rPr>
        <w:t xml:space="preserve"> Natality information is reported electronically using the Vitals Information Partnership (VIP).</w:t>
      </w:r>
      <w:r w:rsidRPr="005E2F2A">
        <w:rPr>
          <w:rStyle w:val="FootnoteReference"/>
          <w:szCs w:val="22"/>
        </w:rPr>
        <w:footnoteReference w:id="71"/>
      </w:r>
      <w:r w:rsidRPr="003D75D4">
        <w:rPr>
          <w:rFonts w:ascii="Calibri" w:hAnsi="Calibri"/>
          <w:sz w:val="22"/>
          <w:szCs w:val="22"/>
        </w:rPr>
        <w:t xml:space="preserve"> The VIP system is web-based and receives information 24 hours a day</w:t>
      </w:r>
      <w:r>
        <w:rPr>
          <w:rFonts w:ascii="Calibri" w:hAnsi="Calibri"/>
          <w:sz w:val="22"/>
          <w:szCs w:val="22"/>
        </w:rPr>
        <w:t>,</w:t>
      </w:r>
      <w:r w:rsidRPr="003D75D4">
        <w:rPr>
          <w:rFonts w:ascii="Calibri" w:hAnsi="Calibri"/>
          <w:sz w:val="22"/>
          <w:szCs w:val="22"/>
        </w:rPr>
        <w:t xml:space="preserve"> seven days a week</w:t>
      </w:r>
      <w:r w:rsidR="00301E0D">
        <w:rPr>
          <w:rFonts w:ascii="Calibri" w:hAnsi="Calibri"/>
          <w:sz w:val="22"/>
          <w:szCs w:val="22"/>
        </w:rPr>
        <w:t>.  S</w:t>
      </w:r>
      <w:r w:rsidRPr="003D75D4">
        <w:rPr>
          <w:rFonts w:ascii="Calibri" w:hAnsi="Calibri"/>
          <w:sz w:val="22"/>
          <w:szCs w:val="22"/>
        </w:rPr>
        <w:t xml:space="preserve">ubstantial quality control efforts are required to assess the accuracy and completeness of birth records.  As a result, </w:t>
      </w:r>
      <w:r w:rsidRPr="003D75D4">
        <w:rPr>
          <w:rFonts w:ascii="Calibri" w:hAnsi="Calibri"/>
          <w:sz w:val="22"/>
          <w:szCs w:val="22"/>
          <w:lang w:eastAsia="ja-JP"/>
        </w:rPr>
        <w:t xml:space="preserve">the final </w:t>
      </w:r>
      <w:r>
        <w:rPr>
          <w:rFonts w:ascii="Calibri" w:hAnsi="Calibri"/>
          <w:sz w:val="22"/>
          <w:szCs w:val="22"/>
          <w:lang w:eastAsia="ja-JP"/>
        </w:rPr>
        <w:t>dataset</w:t>
      </w:r>
      <w:r w:rsidRPr="003D75D4">
        <w:rPr>
          <w:rFonts w:ascii="Calibri" w:hAnsi="Calibri"/>
          <w:sz w:val="22"/>
          <w:szCs w:val="22"/>
          <w:lang w:eastAsia="ja-JP"/>
        </w:rPr>
        <w:t xml:space="preserve"> of birth records is usually available by May of the following year.</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t xml:space="preserve">Limitations of the data: </w:t>
      </w:r>
      <w:r w:rsidRPr="003D75D4">
        <w:rPr>
          <w:rFonts w:ascii="Calibri" w:hAnsi="Calibri"/>
          <w:sz w:val="22"/>
          <w:szCs w:val="22"/>
        </w:rPr>
        <w:t xml:space="preserve">As legal records, the information recorded on birth certificates is considered highly accurate.  However, some information like race and Hispanic ethnicity are not always fully populated. </w:t>
      </w:r>
    </w:p>
    <w:p w:rsidR="00400E42" w:rsidRPr="003D75D4" w:rsidRDefault="00400E42" w:rsidP="00C33429">
      <w:pPr>
        <w:spacing w:after="120" w:line="276" w:lineRule="auto"/>
        <w:rPr>
          <w:rFonts w:ascii="Calibri" w:hAnsi="Calibri"/>
          <w:sz w:val="22"/>
          <w:szCs w:val="22"/>
        </w:rPr>
      </w:pPr>
    </w:p>
    <w:p w:rsidR="00400E42" w:rsidRPr="003D75D4" w:rsidRDefault="00400E42" w:rsidP="00C33429">
      <w:pPr>
        <w:spacing w:after="120" w:line="276" w:lineRule="auto"/>
        <w:rPr>
          <w:rFonts w:ascii="Calibri" w:hAnsi="Calibri"/>
          <w:b/>
          <w:sz w:val="22"/>
          <w:szCs w:val="22"/>
          <w:u w:val="single"/>
        </w:rPr>
      </w:pPr>
      <w:r w:rsidRPr="003D75D4">
        <w:rPr>
          <w:rFonts w:ascii="Calibri" w:hAnsi="Calibri"/>
          <w:b/>
          <w:sz w:val="22"/>
          <w:szCs w:val="22"/>
          <w:u w:val="single"/>
        </w:rPr>
        <w:t>Massachusetts Cancer Registry (MCR)</w:t>
      </w:r>
      <w:r w:rsidRPr="005E2F2A">
        <w:rPr>
          <w:rStyle w:val="FootnoteReference"/>
          <w:b/>
          <w:szCs w:val="22"/>
          <w:u w:val="single"/>
        </w:rPr>
        <w:footnoteReference w:id="72"/>
      </w:r>
      <w:r>
        <w:rPr>
          <w:rFonts w:ascii="Calibri" w:hAnsi="Calibri"/>
          <w:b/>
          <w:sz w:val="22"/>
          <w:szCs w:val="22"/>
          <w:u w:val="single"/>
        </w:rPr>
        <w:t xml:space="preserve"> – Cancer S</w:t>
      </w:r>
      <w:r w:rsidRPr="003D75D4">
        <w:rPr>
          <w:rFonts w:ascii="Calibri" w:hAnsi="Calibri"/>
          <w:b/>
          <w:sz w:val="22"/>
          <w:szCs w:val="22"/>
          <w:u w:val="single"/>
        </w:rPr>
        <w:t>taging</w:t>
      </w:r>
      <w:r w:rsidRPr="005E2F2A">
        <w:rPr>
          <w:rStyle w:val="FootnoteReference"/>
          <w:b/>
          <w:szCs w:val="22"/>
          <w:u w:val="single"/>
        </w:rPr>
        <w:footnoteReference w:id="73"/>
      </w:r>
    </w:p>
    <w:p w:rsidR="00400E42" w:rsidRPr="003D75D4" w:rsidRDefault="00400E42" w:rsidP="00C456E6">
      <w:pPr>
        <w:tabs>
          <w:tab w:val="left" w:pos="-720"/>
        </w:tabs>
        <w:spacing w:after="120" w:line="276" w:lineRule="auto"/>
        <w:ind w:left="288"/>
        <w:jc w:val="both"/>
        <w:rPr>
          <w:rFonts w:ascii="Calibri" w:hAnsi="Calibri"/>
          <w:sz w:val="22"/>
          <w:szCs w:val="22"/>
        </w:rPr>
      </w:pPr>
      <w:r w:rsidRPr="003D75D4">
        <w:rPr>
          <w:rFonts w:ascii="Calibri" w:hAnsi="Calibri"/>
          <w:b/>
          <w:sz w:val="22"/>
          <w:szCs w:val="22"/>
        </w:rPr>
        <w:t xml:space="preserve">What </w:t>
      </w:r>
      <w:r>
        <w:rPr>
          <w:rFonts w:ascii="Calibri" w:hAnsi="Calibri"/>
          <w:b/>
          <w:sz w:val="22"/>
          <w:szCs w:val="22"/>
        </w:rPr>
        <w:t>data are</w:t>
      </w:r>
      <w:r w:rsidRPr="003D75D4">
        <w:rPr>
          <w:rFonts w:ascii="Calibri" w:hAnsi="Calibri"/>
          <w:b/>
          <w:sz w:val="22"/>
          <w:szCs w:val="22"/>
        </w:rPr>
        <w:t xml:space="preserve"> collected:  </w:t>
      </w:r>
      <w:r w:rsidRPr="003D75D4">
        <w:rPr>
          <w:rFonts w:ascii="Calibri" w:hAnsi="Calibri"/>
          <w:sz w:val="22"/>
          <w:szCs w:val="22"/>
        </w:rPr>
        <w:t>The Massachusetts Cancer Registry (MCR)</w:t>
      </w:r>
      <w:r>
        <w:rPr>
          <w:rFonts w:ascii="Calibri" w:hAnsi="Calibri"/>
          <w:sz w:val="22"/>
          <w:szCs w:val="22"/>
        </w:rPr>
        <w:t>,</w:t>
      </w:r>
      <w:r w:rsidRPr="003D75D4">
        <w:rPr>
          <w:rFonts w:ascii="Calibri" w:hAnsi="Calibri"/>
          <w:sz w:val="22"/>
          <w:szCs w:val="22"/>
        </w:rPr>
        <w:t xml:space="preserve"> a database managed by the Department of Public Health</w:t>
      </w:r>
      <w:r>
        <w:rPr>
          <w:rFonts w:ascii="Calibri" w:hAnsi="Calibri"/>
          <w:sz w:val="22"/>
          <w:szCs w:val="22"/>
        </w:rPr>
        <w:t>,</w:t>
      </w:r>
      <w:r w:rsidRPr="003D75D4">
        <w:rPr>
          <w:rFonts w:ascii="Calibri" w:hAnsi="Calibri"/>
          <w:sz w:val="22"/>
          <w:szCs w:val="22"/>
        </w:rPr>
        <w:t xml:space="preserve"> is a population</w:t>
      </w:r>
      <w:r>
        <w:rPr>
          <w:rFonts w:ascii="Calibri" w:hAnsi="Calibri"/>
          <w:sz w:val="22"/>
          <w:szCs w:val="22"/>
        </w:rPr>
        <w:t>-</w:t>
      </w:r>
      <w:r w:rsidRPr="003D75D4">
        <w:rPr>
          <w:rFonts w:ascii="Calibri" w:hAnsi="Calibri"/>
          <w:sz w:val="22"/>
          <w:szCs w:val="22"/>
        </w:rPr>
        <w:t>based registry that tracks the incidence of cancer within the Commonwealth</w:t>
      </w:r>
      <w:r w:rsidR="00301E0D">
        <w:rPr>
          <w:rFonts w:ascii="Calibri" w:hAnsi="Calibri"/>
          <w:sz w:val="22"/>
          <w:szCs w:val="22"/>
        </w:rPr>
        <w:t>.  S</w:t>
      </w:r>
      <w:r w:rsidRPr="003D75D4">
        <w:rPr>
          <w:rFonts w:ascii="Calibri" w:hAnsi="Calibri"/>
          <w:sz w:val="22"/>
          <w:szCs w:val="22"/>
        </w:rPr>
        <w:t>ince 1982, the MCR has captured key data elements such as date of diagnosis and cancer stage at diagnosis, in addition to various demographic data elements</w:t>
      </w:r>
      <w:r w:rsidR="00301E0D">
        <w:rPr>
          <w:rFonts w:ascii="Calibri" w:hAnsi="Calibri"/>
          <w:sz w:val="22"/>
          <w:szCs w:val="22"/>
        </w:rPr>
        <w:t>.  F</w:t>
      </w:r>
      <w:r w:rsidRPr="003D75D4">
        <w:rPr>
          <w:rFonts w:ascii="Calibri" w:hAnsi="Calibri"/>
          <w:sz w:val="22"/>
          <w:szCs w:val="22"/>
        </w:rPr>
        <w:t>or this purposes of this work, MCR data was included because palliative treatment for late stage cancers often includes the use of opioid medications to control pain</w:t>
      </w:r>
      <w:r w:rsidR="00301E0D">
        <w:rPr>
          <w:rFonts w:ascii="Calibri" w:hAnsi="Calibri"/>
          <w:sz w:val="22"/>
          <w:szCs w:val="22"/>
        </w:rPr>
        <w:t>.  B</w:t>
      </w:r>
      <w:r w:rsidRPr="003D75D4">
        <w:rPr>
          <w:rFonts w:ascii="Calibri" w:hAnsi="Calibri"/>
          <w:sz w:val="22"/>
          <w:szCs w:val="22"/>
        </w:rPr>
        <w:t>e</w:t>
      </w:r>
      <w:r>
        <w:rPr>
          <w:rFonts w:ascii="Calibri" w:hAnsi="Calibri"/>
          <w:sz w:val="22"/>
          <w:szCs w:val="22"/>
        </w:rPr>
        <w:t>ing</w:t>
      </w:r>
      <w:r w:rsidRPr="003D75D4">
        <w:rPr>
          <w:rFonts w:ascii="Calibri" w:hAnsi="Calibri"/>
          <w:sz w:val="22"/>
          <w:szCs w:val="22"/>
        </w:rPr>
        <w:t xml:space="preserve"> able to distinguish those cases of high opioid use for cancer treatment from cases where an individual may be abusing prescription medications was critical to this study. </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t>Availability of data:</w:t>
      </w:r>
      <w:r w:rsidRPr="003D75D4">
        <w:rPr>
          <w:rFonts w:ascii="Calibri" w:hAnsi="Calibri"/>
          <w:sz w:val="22"/>
          <w:szCs w:val="22"/>
        </w:rPr>
        <w:t xml:space="preserve">  Reporting facilities are required to report case level data to the MCR within 180 days of diagnosis or first date of patient interaction</w:t>
      </w:r>
      <w:r w:rsidR="00301E0D">
        <w:rPr>
          <w:rFonts w:ascii="Calibri" w:hAnsi="Calibri"/>
          <w:sz w:val="22"/>
          <w:szCs w:val="22"/>
        </w:rPr>
        <w:t>.  A</w:t>
      </w:r>
      <w:r w:rsidRPr="003D75D4">
        <w:rPr>
          <w:rFonts w:ascii="Calibri" w:hAnsi="Calibri"/>
          <w:sz w:val="22"/>
          <w:szCs w:val="22"/>
        </w:rPr>
        <w:t xml:space="preserve">nalysis of supporting documentation related to determining the </w:t>
      </w:r>
      <w:r w:rsidRPr="003D75D4">
        <w:rPr>
          <w:rFonts w:ascii="Calibri" w:hAnsi="Calibri"/>
          <w:i/>
          <w:sz w:val="22"/>
          <w:szCs w:val="22"/>
        </w:rPr>
        <w:t>stage</w:t>
      </w:r>
      <w:r w:rsidRPr="003D75D4">
        <w:rPr>
          <w:rFonts w:ascii="Calibri" w:hAnsi="Calibri"/>
          <w:sz w:val="22"/>
          <w:szCs w:val="22"/>
        </w:rPr>
        <w:t xml:space="preserve"> of a cancer also takes considerable time</w:t>
      </w:r>
      <w:r w:rsidR="00301E0D">
        <w:rPr>
          <w:rFonts w:ascii="Calibri" w:hAnsi="Calibri"/>
          <w:sz w:val="22"/>
          <w:szCs w:val="22"/>
        </w:rPr>
        <w:t>.  T</w:t>
      </w:r>
      <w:r w:rsidRPr="003D75D4">
        <w:rPr>
          <w:rFonts w:ascii="Calibri" w:hAnsi="Calibri"/>
          <w:sz w:val="22"/>
          <w:szCs w:val="22"/>
        </w:rPr>
        <w:t>ypically, MCR data availability lags</w:t>
      </w:r>
      <w:r>
        <w:rPr>
          <w:rFonts w:ascii="Calibri" w:hAnsi="Calibri"/>
          <w:sz w:val="22"/>
          <w:szCs w:val="22"/>
        </w:rPr>
        <w:t xml:space="preserve"> the calendar by approximately two</w:t>
      </w:r>
      <w:r w:rsidRPr="003D75D4">
        <w:rPr>
          <w:rFonts w:ascii="Calibri" w:hAnsi="Calibri"/>
          <w:sz w:val="22"/>
          <w:szCs w:val="22"/>
        </w:rPr>
        <w:t xml:space="preserve"> years.</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t xml:space="preserve">Limitations of the data: </w:t>
      </w:r>
      <w:r w:rsidRPr="003D75D4">
        <w:rPr>
          <w:rFonts w:ascii="Calibri" w:hAnsi="Calibri"/>
          <w:sz w:val="22"/>
          <w:szCs w:val="22"/>
        </w:rPr>
        <w:t>Defining the stage of a cancer is not an exact science</w:t>
      </w:r>
      <w:r w:rsidR="00301E0D">
        <w:rPr>
          <w:rFonts w:ascii="Calibri" w:hAnsi="Calibri"/>
          <w:sz w:val="22"/>
          <w:szCs w:val="22"/>
        </w:rPr>
        <w:t>.  I</w:t>
      </w:r>
      <w:r w:rsidRPr="003D75D4">
        <w:rPr>
          <w:rFonts w:ascii="Calibri" w:hAnsi="Calibri"/>
          <w:sz w:val="22"/>
          <w:szCs w:val="22"/>
        </w:rPr>
        <w:t>t is based on a number of written reports and laboratory tests</w:t>
      </w:r>
      <w:r w:rsidR="00301E0D">
        <w:rPr>
          <w:rFonts w:ascii="Calibri" w:hAnsi="Calibri"/>
          <w:sz w:val="22"/>
          <w:szCs w:val="22"/>
        </w:rPr>
        <w:t>.  F</w:t>
      </w:r>
      <w:r w:rsidRPr="003D75D4">
        <w:rPr>
          <w:rFonts w:ascii="Calibri" w:hAnsi="Calibri"/>
          <w:sz w:val="22"/>
          <w:szCs w:val="22"/>
        </w:rPr>
        <w:t>urthermore, not all cancers cause significant pain even in late stages</w:t>
      </w:r>
      <w:r w:rsidR="00301E0D">
        <w:rPr>
          <w:rFonts w:ascii="Calibri" w:hAnsi="Calibri"/>
          <w:sz w:val="22"/>
          <w:szCs w:val="22"/>
        </w:rPr>
        <w:t>.  T</w:t>
      </w:r>
      <w:r w:rsidRPr="003D75D4">
        <w:rPr>
          <w:rFonts w:ascii="Calibri" w:hAnsi="Calibri"/>
          <w:sz w:val="22"/>
          <w:szCs w:val="22"/>
        </w:rPr>
        <w:t>hese data can provide an indication that medications may have been prescribed for pain but they cannot definitively rule out the possibility that there was underlying abuse.</w:t>
      </w:r>
    </w:p>
    <w:p w:rsidR="00400E42" w:rsidRPr="003D75D4" w:rsidRDefault="00400E42" w:rsidP="00C33429">
      <w:pPr>
        <w:spacing w:after="120" w:line="276" w:lineRule="auto"/>
        <w:rPr>
          <w:rFonts w:ascii="Calibri" w:hAnsi="Calibri"/>
          <w:sz w:val="22"/>
          <w:szCs w:val="22"/>
        </w:rPr>
      </w:pPr>
    </w:p>
    <w:p w:rsidR="00400E42" w:rsidRPr="00617A99" w:rsidRDefault="00400E42" w:rsidP="00C33429">
      <w:pPr>
        <w:spacing w:after="120" w:line="276" w:lineRule="auto"/>
        <w:rPr>
          <w:rFonts w:ascii="Calibri" w:hAnsi="Calibri"/>
          <w:b/>
          <w:sz w:val="22"/>
          <w:szCs w:val="22"/>
          <w:u w:val="single"/>
        </w:rPr>
      </w:pPr>
      <w:r w:rsidRPr="003D75D4">
        <w:rPr>
          <w:rFonts w:ascii="Calibri" w:hAnsi="Calibri"/>
          <w:b/>
          <w:sz w:val="22"/>
          <w:szCs w:val="22"/>
          <w:u w:val="single"/>
        </w:rPr>
        <w:t>Office of the Chief Medical Examiner (OCME)</w:t>
      </w:r>
      <w:r w:rsidRPr="005E2F2A">
        <w:rPr>
          <w:rStyle w:val="FootnoteReference"/>
          <w:b/>
          <w:szCs w:val="22"/>
          <w:u w:val="single"/>
        </w:rPr>
        <w:footnoteReference w:id="74"/>
      </w:r>
      <w:r w:rsidRPr="003D75D4">
        <w:rPr>
          <w:rFonts w:ascii="Calibri" w:hAnsi="Calibri"/>
          <w:b/>
          <w:sz w:val="22"/>
          <w:szCs w:val="22"/>
          <w:u w:val="single"/>
        </w:rPr>
        <w:t xml:space="preserve"> – Circumstances of Death and Toxicology </w:t>
      </w:r>
      <w:r w:rsidRPr="00617A99">
        <w:rPr>
          <w:rFonts w:ascii="Calibri" w:hAnsi="Calibri"/>
          <w:b/>
          <w:sz w:val="22"/>
          <w:szCs w:val="22"/>
          <w:u w:val="single"/>
        </w:rPr>
        <w:t>Reports</w:t>
      </w:r>
      <w:r w:rsidRPr="005E2F2A">
        <w:rPr>
          <w:rStyle w:val="FootnoteReference"/>
          <w:b/>
          <w:szCs w:val="22"/>
          <w:u w:val="single"/>
        </w:rPr>
        <w:footnoteReference w:id="75"/>
      </w:r>
    </w:p>
    <w:p w:rsidR="00400E42" w:rsidRPr="003D75D4" w:rsidRDefault="00400E42" w:rsidP="00C456E6">
      <w:pPr>
        <w:tabs>
          <w:tab w:val="left" w:pos="-720"/>
        </w:tabs>
        <w:spacing w:after="120" w:line="276" w:lineRule="auto"/>
        <w:ind w:left="288"/>
        <w:jc w:val="both"/>
        <w:rPr>
          <w:rFonts w:ascii="Calibri" w:hAnsi="Calibri"/>
          <w:sz w:val="22"/>
          <w:szCs w:val="22"/>
        </w:rPr>
      </w:pPr>
      <w:r w:rsidRPr="00617A99">
        <w:rPr>
          <w:rFonts w:ascii="Calibri" w:hAnsi="Calibri"/>
          <w:b/>
          <w:sz w:val="22"/>
          <w:szCs w:val="22"/>
        </w:rPr>
        <w:t xml:space="preserve">What data are collected: </w:t>
      </w:r>
      <w:r w:rsidRPr="00617A99">
        <w:rPr>
          <w:rFonts w:ascii="Calibri" w:hAnsi="Calibri"/>
          <w:sz w:val="22"/>
          <w:szCs w:val="22"/>
        </w:rPr>
        <w:t>The OCME, a part of the Executive Office of Public Safety and Security</w:t>
      </w:r>
      <w:r w:rsidRPr="003D75D4">
        <w:rPr>
          <w:rFonts w:ascii="Calibri" w:hAnsi="Calibri"/>
          <w:sz w:val="22"/>
          <w:szCs w:val="22"/>
        </w:rPr>
        <w:t xml:space="preserve">, gathers a great deal of information about unattended and other deaths where the underlying causes may not be apparent.  Not of all of the information collected is relevant to opioid overdose deaths, </w:t>
      </w:r>
      <w:r w:rsidRPr="003D75D4">
        <w:rPr>
          <w:rFonts w:ascii="Calibri" w:hAnsi="Calibri"/>
          <w:sz w:val="22"/>
          <w:szCs w:val="22"/>
        </w:rPr>
        <w:lastRenderedPageBreak/>
        <w:t xml:space="preserve">so the work reported here has focused on the </w:t>
      </w:r>
      <w:r w:rsidRPr="003D75D4">
        <w:rPr>
          <w:rFonts w:ascii="Calibri" w:hAnsi="Calibri"/>
          <w:i/>
          <w:sz w:val="22"/>
          <w:szCs w:val="22"/>
        </w:rPr>
        <w:t>circumstances of death</w:t>
      </w:r>
      <w:r w:rsidRPr="003D75D4">
        <w:rPr>
          <w:rFonts w:ascii="Calibri" w:hAnsi="Calibri"/>
          <w:sz w:val="22"/>
          <w:szCs w:val="22"/>
        </w:rPr>
        <w:t xml:space="preserve"> recorded on the OCME intake forms and the toxicology reports used to determine the cause of death</w:t>
      </w:r>
      <w:r w:rsidR="00301E0D">
        <w:rPr>
          <w:rFonts w:ascii="Calibri" w:hAnsi="Calibri"/>
          <w:sz w:val="22"/>
          <w:szCs w:val="22"/>
        </w:rPr>
        <w:t>.  T</w:t>
      </w:r>
      <w:r w:rsidRPr="003D75D4">
        <w:rPr>
          <w:rFonts w:ascii="Calibri" w:hAnsi="Calibri"/>
          <w:sz w:val="22"/>
          <w:szCs w:val="22"/>
        </w:rPr>
        <w:t xml:space="preserve">he </w:t>
      </w:r>
      <w:r w:rsidR="006A2C00">
        <w:rPr>
          <w:rFonts w:ascii="Calibri" w:hAnsi="Calibri"/>
          <w:sz w:val="22"/>
          <w:szCs w:val="22"/>
        </w:rPr>
        <w:t>data field labeled “</w:t>
      </w:r>
      <w:r w:rsidRPr="003D75D4">
        <w:rPr>
          <w:rFonts w:ascii="Calibri" w:hAnsi="Calibri"/>
          <w:i/>
          <w:sz w:val="22"/>
          <w:szCs w:val="22"/>
        </w:rPr>
        <w:t>circumstances of death</w:t>
      </w:r>
      <w:r w:rsidR="006A2C00">
        <w:rPr>
          <w:rFonts w:ascii="Calibri" w:hAnsi="Calibri"/>
          <w:i/>
          <w:sz w:val="22"/>
          <w:szCs w:val="22"/>
        </w:rPr>
        <w:t>” i</w:t>
      </w:r>
      <w:r w:rsidRPr="003D75D4">
        <w:rPr>
          <w:rFonts w:ascii="Calibri" w:hAnsi="Calibri"/>
          <w:sz w:val="22"/>
          <w:szCs w:val="22"/>
        </w:rPr>
        <w:t>s a brief narrative that describes the setting and environment of an unattended death</w:t>
      </w:r>
      <w:r w:rsidR="00301E0D">
        <w:rPr>
          <w:rFonts w:ascii="Calibri" w:hAnsi="Calibri"/>
          <w:sz w:val="22"/>
          <w:szCs w:val="22"/>
        </w:rPr>
        <w:t>.  I</w:t>
      </w:r>
      <w:r w:rsidRPr="003D75D4">
        <w:rPr>
          <w:rFonts w:ascii="Calibri" w:hAnsi="Calibri"/>
          <w:sz w:val="22"/>
          <w:szCs w:val="22"/>
        </w:rPr>
        <w:t>t is often written by the State Police</w:t>
      </w:r>
      <w:r w:rsidRPr="00644D2B">
        <w:rPr>
          <w:rFonts w:ascii="Calibri" w:hAnsi="Calibri"/>
          <w:sz w:val="22"/>
          <w:szCs w:val="22"/>
        </w:rPr>
        <w:t xml:space="preserve"> </w:t>
      </w:r>
      <w:r>
        <w:rPr>
          <w:rFonts w:ascii="Calibri" w:hAnsi="Calibri"/>
          <w:sz w:val="22"/>
          <w:szCs w:val="22"/>
        </w:rPr>
        <w:t>in the case of acute opioid overdoses</w:t>
      </w:r>
      <w:r w:rsidR="00301E0D">
        <w:rPr>
          <w:rFonts w:ascii="Calibri" w:hAnsi="Calibri"/>
          <w:sz w:val="22"/>
          <w:szCs w:val="22"/>
        </w:rPr>
        <w:t>.  T</w:t>
      </w:r>
      <w:r w:rsidRPr="003D75D4">
        <w:rPr>
          <w:rFonts w:ascii="Calibri" w:hAnsi="Calibri"/>
          <w:sz w:val="22"/>
          <w:szCs w:val="22"/>
        </w:rPr>
        <w:t>hese narratives are analyzed by searching for the presence of key words</w:t>
      </w:r>
      <w:r w:rsidR="00301E0D">
        <w:rPr>
          <w:rFonts w:ascii="Calibri" w:hAnsi="Calibri"/>
          <w:sz w:val="22"/>
          <w:szCs w:val="22"/>
        </w:rPr>
        <w:t>.  T</w:t>
      </w:r>
      <w:r w:rsidRPr="003D75D4">
        <w:rPr>
          <w:rFonts w:ascii="Calibri" w:hAnsi="Calibri"/>
          <w:sz w:val="22"/>
          <w:szCs w:val="22"/>
        </w:rPr>
        <w:t>he toxicology reports describe the presence of hundreds of specific chemical compounds that might be found in the body of the decedent.  This study has focused primarily on the presence of natural and synthetic opioids.</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t>Availability of data:</w:t>
      </w:r>
      <w:r w:rsidRPr="003D75D4">
        <w:rPr>
          <w:rFonts w:ascii="Calibri" w:hAnsi="Calibri"/>
          <w:sz w:val="22"/>
          <w:szCs w:val="22"/>
        </w:rPr>
        <w:t xml:space="preserve">  The intake forms that contain the </w:t>
      </w:r>
      <w:r w:rsidRPr="00882B5E">
        <w:rPr>
          <w:rFonts w:ascii="Calibri" w:hAnsi="Calibri"/>
          <w:i/>
          <w:sz w:val="22"/>
          <w:szCs w:val="22"/>
        </w:rPr>
        <w:t>circumstances of death</w:t>
      </w:r>
      <w:r w:rsidRPr="003D75D4">
        <w:rPr>
          <w:rFonts w:ascii="Calibri" w:hAnsi="Calibri"/>
          <w:sz w:val="22"/>
          <w:szCs w:val="22"/>
        </w:rPr>
        <w:t xml:space="preserve"> narratives are usually available within about 72 hours of a case being accepted by the OCME</w:t>
      </w:r>
      <w:r w:rsidR="00301E0D">
        <w:rPr>
          <w:rFonts w:ascii="Calibri" w:hAnsi="Calibri"/>
          <w:sz w:val="22"/>
          <w:szCs w:val="22"/>
        </w:rPr>
        <w:t>.  T</w:t>
      </w:r>
      <w:r w:rsidRPr="003D75D4">
        <w:rPr>
          <w:rFonts w:ascii="Calibri" w:hAnsi="Calibri"/>
          <w:sz w:val="22"/>
          <w:szCs w:val="22"/>
        </w:rPr>
        <w:t>oxicology screening and confirmatory tests are conducted by the Crime Laboratory run by the Massachusetts State Police as well as the NMS Labs (Willow Grove, PA).  Toxicology tests lag the date of death by about 60 days.</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t xml:space="preserve">Limitations of the data: </w:t>
      </w:r>
      <w:r w:rsidRPr="003D75D4">
        <w:rPr>
          <w:rFonts w:ascii="Calibri" w:hAnsi="Calibri"/>
          <w:sz w:val="22"/>
          <w:szCs w:val="22"/>
        </w:rPr>
        <w:t>Written narratives will provide initial impressions of the circumstances of death.  As first impression, these can be misleading in some cases.  Final causes of death must be provided by physicians and medical examiners</w:t>
      </w:r>
      <w:r w:rsidR="00301E0D">
        <w:rPr>
          <w:rFonts w:ascii="Calibri" w:hAnsi="Calibri"/>
          <w:sz w:val="22"/>
          <w:szCs w:val="22"/>
        </w:rPr>
        <w:t>.  T</w:t>
      </w:r>
      <w:r w:rsidRPr="003D75D4">
        <w:rPr>
          <w:rFonts w:ascii="Calibri" w:hAnsi="Calibri"/>
          <w:sz w:val="22"/>
          <w:szCs w:val="22"/>
        </w:rPr>
        <w:t>oxicology results can be extremely complex to interpret</w:t>
      </w:r>
      <w:r w:rsidR="00301E0D">
        <w:rPr>
          <w:rFonts w:ascii="Calibri" w:hAnsi="Calibri"/>
          <w:sz w:val="22"/>
          <w:szCs w:val="22"/>
        </w:rPr>
        <w:t>.  L</w:t>
      </w:r>
      <w:r w:rsidRPr="003D75D4">
        <w:rPr>
          <w:rFonts w:ascii="Calibri" w:hAnsi="Calibri"/>
          <w:sz w:val="22"/>
          <w:szCs w:val="22"/>
        </w:rPr>
        <w:t>evels of drugs found a decedent’s tissue are affected</w:t>
      </w:r>
      <w:r>
        <w:rPr>
          <w:rFonts w:ascii="Calibri" w:hAnsi="Calibri"/>
          <w:sz w:val="22"/>
          <w:szCs w:val="22"/>
        </w:rPr>
        <w:t xml:space="preserve"> by</w:t>
      </w:r>
      <w:r w:rsidRPr="003D75D4">
        <w:rPr>
          <w:rFonts w:ascii="Calibri" w:hAnsi="Calibri"/>
          <w:sz w:val="22"/>
          <w:szCs w:val="22"/>
        </w:rPr>
        <w:t xml:space="preserve"> the timing of the test, the type of tissue, and other factors</w:t>
      </w:r>
      <w:r w:rsidR="00301E0D">
        <w:rPr>
          <w:rFonts w:ascii="Calibri" w:hAnsi="Calibri"/>
          <w:sz w:val="22"/>
          <w:szCs w:val="22"/>
        </w:rPr>
        <w:t>.  M</w:t>
      </w:r>
      <w:r w:rsidRPr="003D75D4">
        <w:rPr>
          <w:rFonts w:ascii="Calibri" w:hAnsi="Calibri"/>
          <w:sz w:val="22"/>
          <w:szCs w:val="22"/>
        </w:rPr>
        <w:t>any drugs also metabolize into a variety of different chemical compounds.  For all these reasons, toxicology results are generally examined in broad categories to simplify interpretation</w:t>
      </w:r>
      <w:r w:rsidR="00301E0D">
        <w:rPr>
          <w:rFonts w:ascii="Calibri" w:hAnsi="Calibri"/>
          <w:sz w:val="22"/>
          <w:szCs w:val="22"/>
        </w:rPr>
        <w:t>.  O</w:t>
      </w:r>
      <w:r w:rsidRPr="003D75D4">
        <w:rPr>
          <w:rFonts w:ascii="Calibri" w:hAnsi="Calibri"/>
          <w:sz w:val="22"/>
          <w:szCs w:val="22"/>
        </w:rPr>
        <w:t xml:space="preserve">CME </w:t>
      </w:r>
      <w:r>
        <w:rPr>
          <w:rFonts w:ascii="Calibri" w:hAnsi="Calibri"/>
          <w:sz w:val="22"/>
          <w:szCs w:val="22"/>
        </w:rPr>
        <w:t>data are</w:t>
      </w:r>
      <w:r w:rsidRPr="003D75D4">
        <w:rPr>
          <w:rFonts w:ascii="Calibri" w:hAnsi="Calibri"/>
          <w:sz w:val="22"/>
          <w:szCs w:val="22"/>
        </w:rPr>
        <w:t xml:space="preserve"> connected directly to the death records using the unique OCME ID number</w:t>
      </w:r>
      <w:r w:rsidR="00301E0D">
        <w:rPr>
          <w:rFonts w:ascii="Calibri" w:hAnsi="Calibri"/>
          <w:sz w:val="22"/>
          <w:szCs w:val="22"/>
        </w:rPr>
        <w:t>.  O</w:t>
      </w:r>
      <w:r w:rsidRPr="003D75D4">
        <w:rPr>
          <w:rFonts w:ascii="Calibri" w:hAnsi="Calibri"/>
          <w:sz w:val="22"/>
          <w:szCs w:val="22"/>
        </w:rPr>
        <w:t>CME and RVRS death records link nearly 100% of the time.</w:t>
      </w:r>
      <w:r>
        <w:rPr>
          <w:rFonts w:ascii="Calibri" w:hAnsi="Calibri"/>
          <w:sz w:val="22"/>
          <w:szCs w:val="22"/>
        </w:rPr>
        <w:t xml:space="preserve">  Finally, the vast majority of the toxicology records for early 2013 were only available on paper and thus not practical to include in this report.</w:t>
      </w:r>
    </w:p>
    <w:p w:rsidR="00400E42" w:rsidRDefault="00400E42" w:rsidP="00C33429">
      <w:pPr>
        <w:spacing w:after="120" w:line="276" w:lineRule="auto"/>
        <w:rPr>
          <w:rFonts w:ascii="Calibri" w:hAnsi="Calibri"/>
          <w:b/>
          <w:color w:val="FF0000"/>
          <w:sz w:val="22"/>
          <w:szCs w:val="22"/>
          <w:u w:val="single"/>
        </w:rPr>
      </w:pPr>
    </w:p>
    <w:p w:rsidR="006318A0" w:rsidRDefault="006318A0" w:rsidP="00C33429">
      <w:pPr>
        <w:spacing w:after="120" w:line="276" w:lineRule="auto"/>
        <w:rPr>
          <w:rFonts w:ascii="Calibri" w:hAnsi="Calibri"/>
          <w:b/>
          <w:color w:val="FF0000"/>
          <w:sz w:val="22"/>
          <w:szCs w:val="22"/>
          <w:u w:val="single"/>
        </w:rPr>
      </w:pPr>
    </w:p>
    <w:p w:rsidR="006318A0" w:rsidRPr="003D75D4" w:rsidRDefault="006318A0" w:rsidP="00C33429">
      <w:pPr>
        <w:spacing w:after="120" w:line="276" w:lineRule="auto"/>
        <w:rPr>
          <w:rFonts w:ascii="Calibri" w:hAnsi="Calibri"/>
          <w:b/>
          <w:color w:val="FF0000"/>
          <w:sz w:val="22"/>
          <w:szCs w:val="22"/>
          <w:u w:val="single"/>
        </w:rPr>
      </w:pPr>
    </w:p>
    <w:p w:rsidR="00400E42" w:rsidRPr="003D75D4" w:rsidRDefault="00400E42" w:rsidP="00C33429">
      <w:pPr>
        <w:spacing w:after="120" w:line="276" w:lineRule="auto"/>
        <w:rPr>
          <w:rFonts w:ascii="Calibri" w:hAnsi="Calibri"/>
          <w:b/>
          <w:sz w:val="22"/>
          <w:szCs w:val="22"/>
          <w:u w:val="single"/>
        </w:rPr>
      </w:pPr>
      <w:r>
        <w:rPr>
          <w:rFonts w:ascii="Calibri" w:hAnsi="Calibri"/>
          <w:b/>
          <w:sz w:val="22"/>
          <w:szCs w:val="22"/>
          <w:u w:val="single"/>
        </w:rPr>
        <w:t>Case Mix</w:t>
      </w:r>
      <w:r w:rsidRPr="003D75D4">
        <w:rPr>
          <w:rFonts w:ascii="Calibri" w:hAnsi="Calibri"/>
          <w:b/>
          <w:sz w:val="22"/>
          <w:szCs w:val="22"/>
          <w:u w:val="single"/>
        </w:rPr>
        <w:t xml:space="preserve"> Database</w:t>
      </w:r>
      <w:r w:rsidRPr="005E2F2A">
        <w:rPr>
          <w:rStyle w:val="FootnoteReference"/>
          <w:b/>
          <w:szCs w:val="22"/>
          <w:u w:val="single"/>
        </w:rPr>
        <w:footnoteReference w:id="76"/>
      </w:r>
      <w:r w:rsidRPr="003D75D4">
        <w:rPr>
          <w:rFonts w:ascii="Calibri" w:hAnsi="Calibri"/>
          <w:b/>
          <w:sz w:val="22"/>
          <w:szCs w:val="22"/>
          <w:u w:val="single"/>
        </w:rPr>
        <w:t xml:space="preserve"> – Inpatient hospitalization, emergency department visits, and outpatient observations managed by the Center for Health Information and Analysis (CHIA)</w:t>
      </w:r>
      <w:r w:rsidRPr="005E2F2A">
        <w:rPr>
          <w:rStyle w:val="FootnoteReference"/>
          <w:b/>
          <w:szCs w:val="22"/>
          <w:u w:val="single"/>
        </w:rPr>
        <w:footnoteReference w:id="77"/>
      </w:r>
    </w:p>
    <w:p w:rsidR="00400E42" w:rsidRPr="003D75D4" w:rsidRDefault="00400E42" w:rsidP="00C456E6">
      <w:pPr>
        <w:tabs>
          <w:tab w:val="left" w:pos="-720"/>
        </w:tabs>
        <w:spacing w:after="120" w:line="276" w:lineRule="auto"/>
        <w:ind w:left="288"/>
        <w:jc w:val="both"/>
        <w:rPr>
          <w:rFonts w:ascii="Calibri" w:hAnsi="Calibri" w:cs="Arial"/>
          <w:sz w:val="22"/>
          <w:szCs w:val="22"/>
          <w:lang w:eastAsia="ja-JP"/>
        </w:rPr>
      </w:pPr>
      <w:r w:rsidRPr="003D75D4">
        <w:rPr>
          <w:rFonts w:ascii="Calibri" w:hAnsi="Calibri"/>
          <w:b/>
          <w:sz w:val="22"/>
          <w:szCs w:val="22"/>
        </w:rPr>
        <w:t xml:space="preserve">What </w:t>
      </w:r>
      <w:r>
        <w:rPr>
          <w:rFonts w:ascii="Calibri" w:hAnsi="Calibri"/>
          <w:b/>
          <w:sz w:val="22"/>
          <w:szCs w:val="22"/>
        </w:rPr>
        <w:t>data are</w:t>
      </w:r>
      <w:r w:rsidRPr="003D75D4">
        <w:rPr>
          <w:rFonts w:ascii="Calibri" w:hAnsi="Calibri"/>
          <w:b/>
          <w:sz w:val="22"/>
          <w:szCs w:val="22"/>
        </w:rPr>
        <w:t xml:space="preserve"> collected:  </w:t>
      </w:r>
      <w:r w:rsidRPr="003D75D4">
        <w:rPr>
          <w:rFonts w:ascii="Calibri" w:hAnsi="Calibri" w:cs="Arial"/>
          <w:sz w:val="22"/>
          <w:szCs w:val="22"/>
          <w:lang w:eastAsia="ja-JP"/>
        </w:rPr>
        <w:t xml:space="preserve">The </w:t>
      </w:r>
      <w:r>
        <w:rPr>
          <w:rFonts w:ascii="Calibri" w:hAnsi="Calibri" w:cs="Arial"/>
          <w:sz w:val="22"/>
          <w:szCs w:val="22"/>
          <w:lang w:eastAsia="ja-JP"/>
        </w:rPr>
        <w:t>Case Mix</w:t>
      </w:r>
      <w:r w:rsidRPr="003D75D4">
        <w:rPr>
          <w:rFonts w:ascii="Calibri" w:hAnsi="Calibri" w:cs="Arial"/>
          <w:sz w:val="22"/>
          <w:szCs w:val="22"/>
          <w:lang w:eastAsia="ja-JP"/>
        </w:rPr>
        <w:t xml:space="preserve"> data contains all inpatient hospitalizations, emergency department visits, and outpatient observation in the state.  Massachusetts acute care hospitals are required to submit </w:t>
      </w:r>
      <w:r>
        <w:rPr>
          <w:rFonts w:ascii="Calibri" w:hAnsi="Calibri" w:cs="Arial"/>
          <w:sz w:val="22"/>
          <w:szCs w:val="22"/>
          <w:lang w:eastAsia="ja-JP"/>
        </w:rPr>
        <w:t>Case Mix</w:t>
      </w:r>
      <w:r w:rsidRPr="003D75D4">
        <w:rPr>
          <w:rFonts w:ascii="Calibri" w:hAnsi="Calibri" w:cs="Arial"/>
          <w:sz w:val="22"/>
          <w:szCs w:val="22"/>
          <w:lang w:eastAsia="ja-JP"/>
        </w:rPr>
        <w:t xml:space="preserve"> data to the Center for Health Information and Analysis (CHIA) in order to track disease burden and associated costs statewide</w:t>
      </w:r>
      <w:r w:rsidR="00301E0D">
        <w:rPr>
          <w:rFonts w:ascii="Calibri" w:hAnsi="Calibri" w:cs="Arial"/>
          <w:sz w:val="22"/>
          <w:szCs w:val="22"/>
          <w:lang w:eastAsia="ja-JP"/>
        </w:rPr>
        <w:t>.  D</w:t>
      </w:r>
      <w:r w:rsidRPr="003D75D4">
        <w:rPr>
          <w:rFonts w:ascii="Calibri" w:hAnsi="Calibri" w:cs="Arial"/>
          <w:sz w:val="22"/>
          <w:szCs w:val="22"/>
          <w:lang w:eastAsia="ja-JP"/>
        </w:rPr>
        <w:t>etailed information is available for each encounter, including geography (e.g., zip code, town, county, state, country), demographics (e.g., age, race, ethnicity), and costs by service (e.g., medical/ surgical, behavioral health), admission and discharge dates, diagnosis, and the facility providing patient care</w:t>
      </w:r>
      <w:r w:rsidR="00301E0D">
        <w:rPr>
          <w:rFonts w:ascii="Calibri" w:hAnsi="Calibri" w:cs="Arial"/>
          <w:sz w:val="22"/>
          <w:szCs w:val="22"/>
          <w:lang w:eastAsia="ja-JP"/>
        </w:rPr>
        <w:t>.  C</w:t>
      </w:r>
      <w:r>
        <w:rPr>
          <w:rFonts w:ascii="Calibri" w:hAnsi="Calibri" w:cs="Arial"/>
          <w:sz w:val="22"/>
          <w:szCs w:val="22"/>
          <w:lang w:eastAsia="ja-JP"/>
        </w:rPr>
        <w:t>ase Mix</w:t>
      </w:r>
      <w:r w:rsidRPr="003D75D4">
        <w:rPr>
          <w:rFonts w:ascii="Calibri" w:hAnsi="Calibri" w:cs="Arial"/>
          <w:sz w:val="22"/>
          <w:szCs w:val="22"/>
          <w:lang w:eastAsia="ja-JP"/>
        </w:rPr>
        <w:t xml:space="preserve"> data can identify individuals who received past treatment for a substance overdose including healthcare encounters </w:t>
      </w:r>
      <w:r w:rsidRPr="003D75D4">
        <w:rPr>
          <w:rFonts w:ascii="Calibri" w:hAnsi="Calibri" w:cs="Arial"/>
          <w:sz w:val="22"/>
          <w:szCs w:val="22"/>
          <w:lang w:eastAsia="ja-JP"/>
        </w:rPr>
        <w:lastRenderedPageBreak/>
        <w:t>associated with detoxification, psychiatric care, and overdose based on procedures rendered or diagnoses made</w:t>
      </w:r>
      <w:r>
        <w:rPr>
          <w:rFonts w:ascii="Calibri" w:hAnsi="Calibri" w:cs="Arial"/>
          <w:sz w:val="22"/>
          <w:szCs w:val="22"/>
          <w:lang w:eastAsia="ja-JP"/>
        </w:rPr>
        <w:t xml:space="preserve"> when these services are offered by acute-care hospitals</w:t>
      </w:r>
      <w:r w:rsidRPr="003D75D4">
        <w:rPr>
          <w:rFonts w:ascii="Calibri" w:hAnsi="Calibri" w:cs="Arial"/>
          <w:sz w:val="22"/>
          <w:szCs w:val="22"/>
          <w:lang w:eastAsia="ja-JP"/>
        </w:rPr>
        <w:t xml:space="preserve">.  </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t>Availability of data:</w:t>
      </w:r>
      <w:r w:rsidRPr="003D75D4">
        <w:rPr>
          <w:rFonts w:ascii="Calibri" w:hAnsi="Calibri"/>
          <w:sz w:val="22"/>
          <w:szCs w:val="22"/>
        </w:rPr>
        <w:t xml:space="preserve"> </w:t>
      </w:r>
      <w:r w:rsidRPr="003D75D4">
        <w:rPr>
          <w:rFonts w:ascii="Calibri" w:hAnsi="Calibri" w:cs="Arial"/>
          <w:sz w:val="22"/>
          <w:szCs w:val="22"/>
          <w:lang w:eastAsia="ja-JP"/>
        </w:rPr>
        <w:t>The Center for Health Information and Analysis (CHIA) receives data quarterly</w:t>
      </w:r>
      <w:r w:rsidR="00301E0D">
        <w:rPr>
          <w:rFonts w:ascii="Calibri" w:hAnsi="Calibri" w:cs="Arial"/>
          <w:sz w:val="22"/>
          <w:szCs w:val="22"/>
          <w:lang w:eastAsia="ja-JP"/>
        </w:rPr>
        <w:t xml:space="preserve">.  </w:t>
      </w:r>
      <w:r w:rsidRPr="003D75D4">
        <w:rPr>
          <w:rFonts w:ascii="Calibri" w:hAnsi="Calibri" w:cs="Arial"/>
          <w:sz w:val="22"/>
          <w:szCs w:val="22"/>
          <w:lang w:eastAsia="ja-JP"/>
        </w:rPr>
        <w:t>Significant work is required to clean and harmonize the data across hospitals.  As a result, there is approximately a one year lag between final data submission to CHIA by acute care hospitals and receipt of the data by DPH and other approved organizations</w:t>
      </w:r>
      <w:r w:rsidR="00301E0D">
        <w:rPr>
          <w:rFonts w:ascii="Calibri" w:hAnsi="Calibri" w:cs="Arial"/>
          <w:sz w:val="22"/>
          <w:szCs w:val="22"/>
          <w:lang w:eastAsia="ja-JP"/>
        </w:rPr>
        <w:t xml:space="preserve">.  </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t xml:space="preserve">Limitations of the data: </w:t>
      </w:r>
      <w:r w:rsidRPr="003D75D4">
        <w:rPr>
          <w:rFonts w:ascii="Calibri" w:hAnsi="Calibri" w:cs="Arial"/>
          <w:sz w:val="22"/>
          <w:szCs w:val="22"/>
          <w:lang w:eastAsia="ja-JP"/>
        </w:rPr>
        <w:t xml:space="preserve">The </w:t>
      </w:r>
      <w:r>
        <w:rPr>
          <w:rFonts w:ascii="Calibri" w:hAnsi="Calibri" w:cs="Arial"/>
          <w:sz w:val="22"/>
          <w:szCs w:val="22"/>
          <w:lang w:eastAsia="ja-JP"/>
        </w:rPr>
        <w:t>Case Mix</w:t>
      </w:r>
      <w:r w:rsidRPr="003D75D4">
        <w:rPr>
          <w:rFonts w:ascii="Calibri" w:hAnsi="Calibri" w:cs="Arial"/>
          <w:sz w:val="22"/>
          <w:szCs w:val="22"/>
          <w:lang w:eastAsia="ja-JP"/>
        </w:rPr>
        <w:t xml:space="preserve"> data does not include hospital services rendered to Massachusetts residents by non-Massachusetts hospitals or hospitals operated by the Veterans Administration (VA), thus reducing the observable analytic universe</w:t>
      </w:r>
      <w:r w:rsidR="00301E0D">
        <w:rPr>
          <w:rFonts w:ascii="Calibri" w:hAnsi="Calibri" w:cs="Arial"/>
          <w:sz w:val="22"/>
          <w:szCs w:val="22"/>
          <w:lang w:eastAsia="ja-JP"/>
        </w:rPr>
        <w:t>.  S</w:t>
      </w:r>
      <w:r>
        <w:rPr>
          <w:rFonts w:ascii="Calibri" w:hAnsi="Calibri" w:cs="Arial"/>
          <w:sz w:val="22"/>
          <w:szCs w:val="22"/>
          <w:lang w:eastAsia="ja-JP"/>
        </w:rPr>
        <w:t>imilarly, CHIA does not currently collect information from behavioral health hospitals</w:t>
      </w:r>
      <w:r w:rsidR="00301E0D">
        <w:rPr>
          <w:rFonts w:ascii="Calibri" w:hAnsi="Calibri" w:cs="Arial"/>
          <w:sz w:val="22"/>
          <w:szCs w:val="22"/>
          <w:lang w:eastAsia="ja-JP"/>
        </w:rPr>
        <w:t>.  D</w:t>
      </w:r>
      <w:r>
        <w:rPr>
          <w:rFonts w:ascii="Calibri" w:hAnsi="Calibri" w:cs="Arial"/>
          <w:sz w:val="22"/>
          <w:szCs w:val="22"/>
          <w:lang w:eastAsia="ja-JP"/>
        </w:rPr>
        <w:t>emographic data included in Case Mix</w:t>
      </w:r>
      <w:r w:rsidRPr="003D75D4">
        <w:rPr>
          <w:rFonts w:ascii="Calibri" w:hAnsi="Calibri" w:cs="Arial"/>
          <w:sz w:val="22"/>
          <w:szCs w:val="22"/>
          <w:lang w:eastAsia="ja-JP"/>
        </w:rPr>
        <w:t xml:space="preserve"> is not considered as accurate as those recoded on birth of death records</w:t>
      </w:r>
      <w:r w:rsidR="00301E0D">
        <w:rPr>
          <w:rFonts w:ascii="Calibri" w:hAnsi="Calibri" w:cs="Arial"/>
          <w:sz w:val="22"/>
          <w:szCs w:val="22"/>
          <w:lang w:eastAsia="ja-JP"/>
        </w:rPr>
        <w:t>.  C</w:t>
      </w:r>
      <w:r w:rsidRPr="003D75D4">
        <w:rPr>
          <w:rFonts w:ascii="Calibri" w:hAnsi="Calibri" w:cs="Arial"/>
          <w:sz w:val="22"/>
          <w:szCs w:val="22"/>
          <w:lang w:eastAsia="ja-JP"/>
        </w:rPr>
        <w:t xml:space="preserve">onsequently, the linkage of these records to other </w:t>
      </w:r>
      <w:r>
        <w:rPr>
          <w:rFonts w:ascii="Calibri" w:hAnsi="Calibri" w:cs="Arial"/>
          <w:sz w:val="22"/>
          <w:szCs w:val="22"/>
          <w:lang w:eastAsia="ja-JP"/>
        </w:rPr>
        <w:t>dataset</w:t>
      </w:r>
      <w:r w:rsidRPr="003D75D4">
        <w:rPr>
          <w:rFonts w:ascii="Calibri" w:hAnsi="Calibri" w:cs="Arial"/>
          <w:sz w:val="22"/>
          <w:szCs w:val="22"/>
          <w:lang w:eastAsia="ja-JP"/>
        </w:rPr>
        <w:t>s may be incomplete</w:t>
      </w:r>
      <w:r w:rsidR="00301E0D">
        <w:rPr>
          <w:rFonts w:ascii="Calibri" w:hAnsi="Calibri" w:cs="Arial"/>
          <w:sz w:val="22"/>
          <w:szCs w:val="22"/>
          <w:lang w:eastAsia="ja-JP"/>
        </w:rPr>
        <w:t>.  F</w:t>
      </w:r>
      <w:r w:rsidRPr="003D75D4">
        <w:rPr>
          <w:rFonts w:ascii="Calibri" w:hAnsi="Calibri" w:cs="Arial"/>
          <w:sz w:val="22"/>
          <w:szCs w:val="22"/>
          <w:lang w:eastAsia="ja-JP"/>
        </w:rPr>
        <w:t xml:space="preserve">urthermore, the coding of encounters for overdose or for behavioral health services is not considered fully complete.  Finally and possibly most important for the Chapter 55 project is that </w:t>
      </w:r>
      <w:r>
        <w:rPr>
          <w:rFonts w:ascii="Calibri" w:hAnsi="Calibri" w:cs="Arial"/>
          <w:sz w:val="22"/>
          <w:szCs w:val="22"/>
          <w:lang w:eastAsia="ja-JP"/>
        </w:rPr>
        <w:t>Case Mix</w:t>
      </w:r>
      <w:r w:rsidRPr="003D75D4">
        <w:rPr>
          <w:rFonts w:ascii="Calibri" w:hAnsi="Calibri" w:cs="Arial"/>
          <w:sz w:val="22"/>
          <w:szCs w:val="22"/>
          <w:lang w:eastAsia="ja-JP"/>
        </w:rPr>
        <w:t xml:space="preserve"> </w:t>
      </w:r>
      <w:r>
        <w:rPr>
          <w:rFonts w:ascii="Calibri" w:hAnsi="Calibri" w:cs="Arial"/>
          <w:sz w:val="22"/>
          <w:szCs w:val="22"/>
          <w:lang w:eastAsia="ja-JP"/>
        </w:rPr>
        <w:t>data are available on a F</w:t>
      </w:r>
      <w:r w:rsidRPr="003D75D4">
        <w:rPr>
          <w:rFonts w:ascii="Calibri" w:hAnsi="Calibri" w:cs="Arial"/>
          <w:sz w:val="22"/>
          <w:szCs w:val="22"/>
          <w:lang w:eastAsia="ja-JP"/>
        </w:rPr>
        <w:t xml:space="preserve">ederal fiscal year.  The most recent data available is through 9/30/2014 which means that any data on </w:t>
      </w:r>
      <w:r>
        <w:rPr>
          <w:rFonts w:ascii="Calibri" w:hAnsi="Calibri" w:cs="Arial"/>
          <w:sz w:val="22"/>
          <w:szCs w:val="22"/>
          <w:lang w:eastAsia="ja-JP"/>
        </w:rPr>
        <w:t>nonfatal</w:t>
      </w:r>
      <w:r w:rsidRPr="003D75D4">
        <w:rPr>
          <w:rFonts w:ascii="Calibri" w:hAnsi="Calibri" w:cs="Arial"/>
          <w:sz w:val="22"/>
          <w:szCs w:val="22"/>
          <w:lang w:eastAsia="ja-JP"/>
        </w:rPr>
        <w:t xml:space="preserve"> overdoses, substance abuse treatment, or mental health diagnosis codes won’t be captured in the final three months of the study period.</w:t>
      </w:r>
    </w:p>
    <w:p w:rsidR="00400E42" w:rsidRPr="003D75D4" w:rsidRDefault="00400E42" w:rsidP="00C33429">
      <w:pPr>
        <w:spacing w:after="120" w:line="276" w:lineRule="auto"/>
        <w:rPr>
          <w:rFonts w:ascii="Calibri" w:hAnsi="Calibri" w:cs="Arial"/>
          <w:sz w:val="22"/>
          <w:szCs w:val="22"/>
          <w:lang w:eastAsia="ja-JP"/>
        </w:rPr>
      </w:pPr>
    </w:p>
    <w:p w:rsidR="00400E42" w:rsidRPr="003D75D4" w:rsidRDefault="00400E42" w:rsidP="00C33429">
      <w:pPr>
        <w:spacing w:after="120" w:line="276" w:lineRule="auto"/>
        <w:rPr>
          <w:rFonts w:ascii="Calibri" w:hAnsi="Calibri"/>
          <w:sz w:val="22"/>
          <w:szCs w:val="22"/>
          <w:u w:val="single"/>
        </w:rPr>
      </w:pPr>
      <w:r w:rsidRPr="003D75D4">
        <w:rPr>
          <w:rFonts w:ascii="Calibri" w:hAnsi="Calibri"/>
          <w:b/>
          <w:sz w:val="22"/>
          <w:szCs w:val="22"/>
          <w:u w:val="single"/>
        </w:rPr>
        <w:t>Non-Scheduled Pharmacy Claims</w:t>
      </w:r>
      <w:r w:rsidRPr="005E2F2A">
        <w:rPr>
          <w:rStyle w:val="FootnoteReference"/>
          <w:b/>
          <w:szCs w:val="22"/>
          <w:u w:val="single"/>
        </w:rPr>
        <w:footnoteReference w:id="78"/>
      </w:r>
      <w:r w:rsidRPr="003D75D4">
        <w:rPr>
          <w:rFonts w:ascii="Calibri" w:hAnsi="Calibri"/>
          <w:b/>
          <w:sz w:val="22"/>
          <w:szCs w:val="22"/>
          <w:u w:val="single"/>
        </w:rPr>
        <w:t xml:space="preserve"> – Massachusetts All Payer Claims Database (APCD)</w:t>
      </w:r>
      <w:r w:rsidRPr="005E2F2A">
        <w:rPr>
          <w:rStyle w:val="FootnoteReference"/>
          <w:b/>
          <w:szCs w:val="22"/>
          <w:u w:val="single"/>
        </w:rPr>
        <w:footnoteReference w:id="79"/>
      </w:r>
    </w:p>
    <w:p w:rsidR="00400E42" w:rsidRPr="003D75D4" w:rsidRDefault="00400E42" w:rsidP="00C456E6">
      <w:pPr>
        <w:tabs>
          <w:tab w:val="left" w:pos="-720"/>
        </w:tabs>
        <w:spacing w:after="120" w:line="276" w:lineRule="auto"/>
        <w:ind w:left="288"/>
        <w:jc w:val="both"/>
        <w:rPr>
          <w:rFonts w:ascii="Calibri" w:hAnsi="Calibri"/>
          <w:sz w:val="22"/>
          <w:szCs w:val="22"/>
        </w:rPr>
      </w:pPr>
      <w:r w:rsidRPr="003D75D4">
        <w:rPr>
          <w:rFonts w:ascii="Calibri" w:hAnsi="Calibri"/>
          <w:b/>
          <w:sz w:val="22"/>
          <w:szCs w:val="22"/>
        </w:rPr>
        <w:t xml:space="preserve">What </w:t>
      </w:r>
      <w:r>
        <w:rPr>
          <w:rFonts w:ascii="Calibri" w:hAnsi="Calibri"/>
          <w:b/>
          <w:sz w:val="22"/>
          <w:szCs w:val="22"/>
        </w:rPr>
        <w:t>data are</w:t>
      </w:r>
      <w:r w:rsidRPr="003D75D4">
        <w:rPr>
          <w:rFonts w:ascii="Calibri" w:hAnsi="Calibri"/>
          <w:b/>
          <w:sz w:val="22"/>
          <w:szCs w:val="22"/>
        </w:rPr>
        <w:t xml:space="preserve"> collected:  </w:t>
      </w:r>
      <w:r w:rsidRPr="003D75D4">
        <w:rPr>
          <w:rFonts w:ascii="Calibri" w:hAnsi="Calibri" w:cs="Arial"/>
          <w:sz w:val="22"/>
          <w:szCs w:val="22"/>
          <w:lang w:eastAsia="ja-JP"/>
        </w:rPr>
        <w:t xml:space="preserve">The Massachusetts All Payer Claims Database (APCD) </w:t>
      </w:r>
      <w:r>
        <w:rPr>
          <w:rFonts w:ascii="Calibri" w:hAnsi="Calibri" w:cs="Arial"/>
          <w:sz w:val="22"/>
          <w:szCs w:val="22"/>
          <w:lang w:eastAsia="ja-JP"/>
        </w:rPr>
        <w:t xml:space="preserve">is </w:t>
      </w:r>
      <w:r w:rsidRPr="003D75D4">
        <w:rPr>
          <w:rFonts w:ascii="Calibri" w:hAnsi="Calibri" w:cs="Arial"/>
          <w:sz w:val="22"/>
          <w:szCs w:val="22"/>
          <w:lang w:eastAsia="ja-JP"/>
        </w:rPr>
        <w:t>managed by the Center for Health Information and Analysis (CHIA)</w:t>
      </w:r>
      <w:r w:rsidR="00301E0D">
        <w:rPr>
          <w:rFonts w:ascii="Calibri" w:hAnsi="Calibri" w:cs="Arial"/>
          <w:sz w:val="22"/>
          <w:szCs w:val="22"/>
          <w:lang w:eastAsia="ja-JP"/>
        </w:rPr>
        <w:t>.  T</w:t>
      </w:r>
      <w:r w:rsidRPr="003D75D4">
        <w:rPr>
          <w:rFonts w:ascii="Calibri" w:hAnsi="Calibri" w:cs="Arial"/>
          <w:sz w:val="22"/>
          <w:szCs w:val="22"/>
          <w:lang w:eastAsia="ja-JP"/>
        </w:rPr>
        <w:t>he APCD contains health and</w:t>
      </w:r>
      <w:r w:rsidRPr="003D75D4">
        <w:rPr>
          <w:rFonts w:ascii="Calibri" w:hAnsi="Calibri" w:cs="Arial"/>
          <w:color w:val="C00000"/>
          <w:sz w:val="22"/>
          <w:szCs w:val="22"/>
          <w:lang w:eastAsia="ja-JP"/>
        </w:rPr>
        <w:t xml:space="preserve"> </w:t>
      </w:r>
      <w:r w:rsidRPr="003D75D4">
        <w:rPr>
          <w:rFonts w:ascii="Calibri" w:hAnsi="Calibri" w:cs="Arial"/>
          <w:sz w:val="22"/>
          <w:szCs w:val="22"/>
          <w:lang w:eastAsia="ja-JP"/>
        </w:rPr>
        <w:t>pharmacy insurance claims data from the approximately 80 private health care payers, public health care payers (including Medica</w:t>
      </w:r>
      <w:r>
        <w:rPr>
          <w:rFonts w:ascii="Calibri" w:hAnsi="Calibri" w:cs="Arial"/>
          <w:sz w:val="22"/>
          <w:szCs w:val="22"/>
          <w:lang w:eastAsia="ja-JP"/>
        </w:rPr>
        <w:t>re and MassHealth) and publicly-s</w:t>
      </w:r>
      <w:r w:rsidRPr="003D75D4">
        <w:rPr>
          <w:rFonts w:ascii="Calibri" w:hAnsi="Calibri" w:cs="Arial"/>
          <w:sz w:val="22"/>
          <w:szCs w:val="22"/>
          <w:lang w:eastAsia="ja-JP"/>
        </w:rPr>
        <w:t>upported managed care organizations and senior care organizations across the entire state of Massachusetts</w:t>
      </w:r>
      <w:r w:rsidR="00301E0D">
        <w:rPr>
          <w:rFonts w:ascii="Calibri" w:hAnsi="Calibri" w:cs="Arial"/>
          <w:sz w:val="22"/>
          <w:szCs w:val="22"/>
          <w:lang w:eastAsia="ja-JP"/>
        </w:rPr>
        <w:t>.  T</w:t>
      </w:r>
      <w:r w:rsidRPr="003D75D4">
        <w:rPr>
          <w:rFonts w:ascii="Calibri" w:hAnsi="Calibri" w:cs="Arial"/>
          <w:sz w:val="22"/>
          <w:szCs w:val="22"/>
          <w:lang w:eastAsia="ja-JP"/>
        </w:rPr>
        <w:t xml:space="preserve">he APCD insurance eligibility files include basic identifying information like full name, address, gender, date of birth, race, ethnicity, and </w:t>
      </w:r>
      <w:r>
        <w:rPr>
          <w:rFonts w:ascii="Calibri" w:hAnsi="Calibri" w:cs="Arial"/>
          <w:sz w:val="22"/>
          <w:szCs w:val="22"/>
          <w:lang w:eastAsia="ja-JP"/>
        </w:rPr>
        <w:t>S</w:t>
      </w:r>
      <w:r w:rsidRPr="003D75D4">
        <w:rPr>
          <w:rFonts w:ascii="Calibri" w:hAnsi="Calibri" w:cs="Arial"/>
          <w:sz w:val="22"/>
          <w:szCs w:val="22"/>
          <w:lang w:eastAsia="ja-JP"/>
        </w:rPr>
        <w:t xml:space="preserve">ocial </w:t>
      </w:r>
      <w:r>
        <w:rPr>
          <w:rFonts w:ascii="Calibri" w:hAnsi="Calibri" w:cs="Arial"/>
          <w:sz w:val="22"/>
          <w:szCs w:val="22"/>
          <w:lang w:eastAsia="ja-JP"/>
        </w:rPr>
        <w:t>S</w:t>
      </w:r>
      <w:r w:rsidRPr="003D75D4">
        <w:rPr>
          <w:rFonts w:ascii="Calibri" w:hAnsi="Calibri" w:cs="Arial"/>
          <w:sz w:val="22"/>
          <w:szCs w:val="22"/>
          <w:lang w:eastAsia="ja-JP"/>
        </w:rPr>
        <w:t>ecurity number.  Most APCD data requested from CHIA focused on pharmacy claims for non-scheduled medications.</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t>Availability of data:</w:t>
      </w:r>
      <w:r w:rsidRPr="003D75D4">
        <w:rPr>
          <w:rFonts w:ascii="Calibri" w:hAnsi="Calibri"/>
          <w:sz w:val="22"/>
          <w:szCs w:val="22"/>
        </w:rPr>
        <w:t xml:space="preserve"> </w:t>
      </w:r>
      <w:r w:rsidRPr="003D75D4">
        <w:rPr>
          <w:rFonts w:ascii="Calibri" w:hAnsi="Calibri" w:cs="Arial"/>
          <w:sz w:val="22"/>
          <w:szCs w:val="22"/>
          <w:lang w:eastAsia="ja-JP"/>
        </w:rPr>
        <w:t>The APCD is overseen by CHIA, the independent state agency responsible for collecting, cleaning, maintaining, and manag</w:t>
      </w:r>
      <w:r>
        <w:rPr>
          <w:rFonts w:ascii="Calibri" w:hAnsi="Calibri" w:cs="Arial"/>
          <w:sz w:val="22"/>
          <w:szCs w:val="22"/>
          <w:lang w:eastAsia="ja-JP"/>
        </w:rPr>
        <w:t>ing access to the data.  Data are</w:t>
      </w:r>
      <w:r w:rsidRPr="003D75D4">
        <w:rPr>
          <w:rFonts w:ascii="Calibri" w:hAnsi="Calibri" w:cs="Arial"/>
          <w:sz w:val="22"/>
          <w:szCs w:val="22"/>
          <w:lang w:eastAsia="ja-JP"/>
        </w:rPr>
        <w:t xml:space="preserve"> reported out once a year and </w:t>
      </w:r>
      <w:r>
        <w:rPr>
          <w:rFonts w:ascii="Calibri" w:hAnsi="Calibri" w:cs="Arial"/>
          <w:sz w:val="22"/>
          <w:szCs w:val="22"/>
          <w:lang w:eastAsia="ja-JP"/>
        </w:rPr>
        <w:t xml:space="preserve">each report </w:t>
      </w:r>
      <w:r w:rsidRPr="003D75D4">
        <w:rPr>
          <w:rFonts w:ascii="Calibri" w:hAnsi="Calibri" w:cs="Arial"/>
          <w:sz w:val="22"/>
          <w:szCs w:val="22"/>
          <w:lang w:eastAsia="ja-JP"/>
        </w:rPr>
        <w:t>contains all data from the previous calendar year</w:t>
      </w:r>
      <w:r w:rsidR="00301E0D">
        <w:rPr>
          <w:rFonts w:ascii="Calibri" w:hAnsi="Calibri" w:cs="Arial"/>
          <w:sz w:val="22"/>
          <w:szCs w:val="22"/>
          <w:lang w:eastAsia="ja-JP"/>
        </w:rPr>
        <w:t>.  T</w:t>
      </w:r>
      <w:r w:rsidRPr="003D75D4">
        <w:rPr>
          <w:rFonts w:ascii="Calibri" w:hAnsi="Calibri" w:cs="Arial"/>
          <w:sz w:val="22"/>
          <w:szCs w:val="22"/>
          <w:lang w:eastAsia="ja-JP"/>
        </w:rPr>
        <w:t>he newest version is available approximately 6 months after the close of the preceding calendar year.</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t xml:space="preserve">Limitations of the data: </w:t>
      </w:r>
      <w:r w:rsidRPr="003D75D4">
        <w:rPr>
          <w:rFonts w:ascii="Calibri" w:hAnsi="Calibri"/>
          <w:sz w:val="22"/>
          <w:szCs w:val="22"/>
        </w:rPr>
        <w:t xml:space="preserve">The APCD forms the backbone or spine of the linked </w:t>
      </w:r>
      <w:r>
        <w:rPr>
          <w:rFonts w:ascii="Calibri" w:hAnsi="Calibri"/>
          <w:sz w:val="22"/>
          <w:szCs w:val="22"/>
        </w:rPr>
        <w:t>dataset</w:t>
      </w:r>
      <w:r w:rsidRPr="003D75D4">
        <w:rPr>
          <w:rFonts w:ascii="Calibri" w:hAnsi="Calibri"/>
          <w:sz w:val="22"/>
          <w:szCs w:val="22"/>
        </w:rPr>
        <w:t xml:space="preserve">s.  Its completeness and accuracy are critical to the entire effort.  In recent years, CHIA has expended </w:t>
      </w:r>
      <w:r w:rsidRPr="003D75D4">
        <w:rPr>
          <w:rFonts w:ascii="Calibri" w:hAnsi="Calibri"/>
          <w:sz w:val="22"/>
          <w:szCs w:val="22"/>
        </w:rPr>
        <w:lastRenderedPageBreak/>
        <w:t>significant resources to link records across payers.  The current APCD contains roughly 15 million unique records which is substantially above the 6.3 million residents in Massachusetts</w:t>
      </w:r>
      <w:r w:rsidR="00301E0D">
        <w:rPr>
          <w:rFonts w:ascii="Calibri" w:hAnsi="Calibri"/>
          <w:sz w:val="22"/>
          <w:szCs w:val="22"/>
        </w:rPr>
        <w:t>.  M</w:t>
      </w:r>
      <w:r w:rsidRPr="003D75D4">
        <w:rPr>
          <w:rFonts w:ascii="Calibri" w:hAnsi="Calibri"/>
          <w:sz w:val="22"/>
          <w:szCs w:val="22"/>
        </w:rPr>
        <w:t>ost of these records are single records unconnected to a full set of identifiable records.  Other analyses undertaken for this project suggest that the unique records prepared for the APCD serve the purpose intended</w:t>
      </w:r>
      <w:r w:rsidR="00301E0D">
        <w:rPr>
          <w:rFonts w:ascii="Calibri" w:hAnsi="Calibri"/>
          <w:sz w:val="22"/>
          <w:szCs w:val="22"/>
        </w:rPr>
        <w:t>.  O</w:t>
      </w:r>
      <w:r w:rsidRPr="003D75D4">
        <w:rPr>
          <w:rFonts w:ascii="Calibri" w:hAnsi="Calibri"/>
          <w:sz w:val="22"/>
          <w:szCs w:val="22"/>
        </w:rPr>
        <w:t>ther known limitations of the APCD include exclusions such as Workers’ Compensation, TRICARE/Veteran’s Health Administration, and the Federal Employees Health Benefit Plan claims</w:t>
      </w:r>
      <w:r w:rsidR="00301E0D">
        <w:rPr>
          <w:rFonts w:ascii="Calibri" w:hAnsi="Calibri"/>
          <w:sz w:val="22"/>
          <w:szCs w:val="22"/>
        </w:rPr>
        <w:t>.  A</w:t>
      </w:r>
      <w:r w:rsidRPr="003D75D4">
        <w:rPr>
          <w:rFonts w:ascii="Calibri" w:hAnsi="Calibri"/>
          <w:sz w:val="22"/>
          <w:szCs w:val="22"/>
        </w:rPr>
        <w:t>dditionally, uninsured individuals (approximately 3% of the state’s population) are not captured</w:t>
      </w:r>
      <w:r w:rsidR="00301E0D">
        <w:rPr>
          <w:rFonts w:ascii="Calibri" w:hAnsi="Calibri"/>
          <w:sz w:val="22"/>
          <w:szCs w:val="22"/>
        </w:rPr>
        <w:t>.  F</w:t>
      </w:r>
      <w:r w:rsidRPr="003D75D4">
        <w:rPr>
          <w:rFonts w:ascii="Calibri" w:hAnsi="Calibri"/>
          <w:sz w:val="22"/>
          <w:szCs w:val="22"/>
        </w:rPr>
        <w:t>inally, healthcare services provided but paid for out of the patient’s own finances, e.g., cash payment for a convenience care clinic service like a strep throat culture, are excluded because these services do not generate claims.</w:t>
      </w:r>
    </w:p>
    <w:p w:rsidR="00400E42" w:rsidRPr="003D75D4" w:rsidRDefault="00400E42" w:rsidP="00C33429">
      <w:pPr>
        <w:pStyle w:val="NormalWeb"/>
        <w:shd w:val="clear" w:color="auto" w:fill="FFFFFF"/>
        <w:spacing w:after="120" w:line="276" w:lineRule="auto"/>
        <w:rPr>
          <w:rFonts w:ascii="Calibri" w:hAnsi="Calibri" w:cs="Arial"/>
          <w:sz w:val="22"/>
          <w:szCs w:val="22"/>
          <w:lang w:eastAsia="ja-JP"/>
        </w:rPr>
      </w:pPr>
    </w:p>
    <w:p w:rsidR="00400E42" w:rsidRPr="003D75D4" w:rsidRDefault="00400E42" w:rsidP="00C33429">
      <w:pPr>
        <w:spacing w:after="120" w:line="276" w:lineRule="auto"/>
        <w:rPr>
          <w:rFonts w:ascii="Calibri" w:hAnsi="Calibri"/>
          <w:b/>
          <w:sz w:val="22"/>
          <w:szCs w:val="22"/>
          <w:u w:val="single"/>
        </w:rPr>
      </w:pPr>
      <w:r w:rsidRPr="003D75D4">
        <w:rPr>
          <w:rFonts w:ascii="Calibri" w:hAnsi="Calibri"/>
          <w:b/>
          <w:sz w:val="22"/>
          <w:szCs w:val="22"/>
          <w:u w:val="single"/>
        </w:rPr>
        <w:t>Department of Correction (D</w:t>
      </w:r>
      <w:r>
        <w:rPr>
          <w:rFonts w:ascii="Calibri" w:hAnsi="Calibri"/>
          <w:b/>
          <w:sz w:val="22"/>
          <w:szCs w:val="22"/>
          <w:u w:val="single"/>
        </w:rPr>
        <w:t>o</w:t>
      </w:r>
      <w:r w:rsidRPr="003D75D4">
        <w:rPr>
          <w:rFonts w:ascii="Calibri" w:hAnsi="Calibri"/>
          <w:b/>
          <w:sz w:val="22"/>
          <w:szCs w:val="22"/>
          <w:u w:val="single"/>
        </w:rPr>
        <w:t>C)</w:t>
      </w:r>
      <w:r w:rsidRPr="005E2F2A">
        <w:rPr>
          <w:rStyle w:val="FootnoteReference"/>
          <w:b/>
          <w:szCs w:val="22"/>
          <w:u w:val="single"/>
        </w:rPr>
        <w:footnoteReference w:id="80"/>
      </w:r>
      <w:r w:rsidRPr="003D75D4">
        <w:rPr>
          <w:rFonts w:ascii="Calibri" w:hAnsi="Calibri"/>
          <w:b/>
          <w:sz w:val="22"/>
          <w:szCs w:val="22"/>
          <w:u w:val="single"/>
        </w:rPr>
        <w:t xml:space="preserve"> – Incarceration and Treatment</w:t>
      </w:r>
      <w:r w:rsidRPr="005E2F2A">
        <w:rPr>
          <w:rStyle w:val="FootnoteReference"/>
          <w:b/>
          <w:szCs w:val="22"/>
          <w:u w:val="single"/>
        </w:rPr>
        <w:footnoteReference w:id="81"/>
      </w:r>
    </w:p>
    <w:p w:rsidR="00400E42" w:rsidRPr="003D75D4" w:rsidRDefault="00400E42" w:rsidP="00C456E6">
      <w:pPr>
        <w:tabs>
          <w:tab w:val="left" w:pos="-720"/>
        </w:tabs>
        <w:spacing w:after="120" w:line="276" w:lineRule="auto"/>
        <w:ind w:left="288"/>
        <w:jc w:val="both"/>
        <w:rPr>
          <w:rFonts w:ascii="Calibri" w:hAnsi="Calibri"/>
          <w:sz w:val="22"/>
          <w:szCs w:val="22"/>
        </w:rPr>
      </w:pPr>
      <w:r w:rsidRPr="003D75D4">
        <w:rPr>
          <w:rFonts w:ascii="Calibri" w:hAnsi="Calibri"/>
          <w:b/>
          <w:sz w:val="22"/>
          <w:szCs w:val="22"/>
        </w:rPr>
        <w:t xml:space="preserve">What </w:t>
      </w:r>
      <w:r>
        <w:rPr>
          <w:rFonts w:ascii="Calibri" w:hAnsi="Calibri"/>
          <w:b/>
          <w:sz w:val="22"/>
          <w:szCs w:val="22"/>
        </w:rPr>
        <w:t>data are</w:t>
      </w:r>
      <w:r w:rsidRPr="003D75D4">
        <w:rPr>
          <w:rFonts w:ascii="Calibri" w:hAnsi="Calibri"/>
          <w:b/>
          <w:sz w:val="22"/>
          <w:szCs w:val="22"/>
        </w:rPr>
        <w:t xml:space="preserve"> collected:  </w:t>
      </w:r>
      <w:r w:rsidRPr="003D75D4">
        <w:rPr>
          <w:rFonts w:ascii="Calibri" w:hAnsi="Calibri"/>
          <w:sz w:val="22"/>
          <w:szCs w:val="22"/>
        </w:rPr>
        <w:t>The Department of Correction (DoC), a part of the Executive Office of Public Safety and Security, is required by statute to maintain adequate records of persons committed to the custody of the department</w:t>
      </w:r>
      <w:r w:rsidR="00301E0D">
        <w:rPr>
          <w:rFonts w:ascii="Calibri" w:hAnsi="Calibri"/>
          <w:sz w:val="22"/>
          <w:szCs w:val="22"/>
        </w:rPr>
        <w:t>.  I</w:t>
      </w:r>
      <w:r w:rsidRPr="003D75D4">
        <w:rPr>
          <w:rFonts w:ascii="Calibri" w:hAnsi="Calibri"/>
          <w:sz w:val="22"/>
          <w:szCs w:val="22"/>
        </w:rPr>
        <w:t>n addition, DoC must establish and maintain programs of research, statistics</w:t>
      </w:r>
      <w:r>
        <w:rPr>
          <w:rFonts w:ascii="Calibri" w:hAnsi="Calibri"/>
          <w:sz w:val="22"/>
          <w:szCs w:val="22"/>
        </w:rPr>
        <w:t>,</w:t>
      </w:r>
      <w:r w:rsidRPr="003D75D4">
        <w:rPr>
          <w:rFonts w:ascii="Calibri" w:hAnsi="Calibri"/>
          <w:sz w:val="22"/>
          <w:szCs w:val="22"/>
        </w:rPr>
        <w:t xml:space="preserve"> and planning, and conduct studies relating to correctional progra</w:t>
      </w:r>
      <w:r>
        <w:rPr>
          <w:rFonts w:ascii="Calibri" w:hAnsi="Calibri"/>
          <w:sz w:val="22"/>
          <w:szCs w:val="22"/>
        </w:rPr>
        <w:t>ms and responsibilities of the D</w:t>
      </w:r>
      <w:r w:rsidRPr="003D75D4">
        <w:rPr>
          <w:rFonts w:ascii="Calibri" w:hAnsi="Calibri"/>
          <w:sz w:val="22"/>
          <w:szCs w:val="22"/>
        </w:rPr>
        <w:t>epartment.  To achieve those goals, DoC maintains a database of individuals incarcerated in Massachusetts prisons.  This database includes the substance abuse treatment received by prisoners</w:t>
      </w:r>
      <w:r w:rsidR="00301E0D">
        <w:rPr>
          <w:rFonts w:ascii="Calibri" w:hAnsi="Calibri"/>
          <w:sz w:val="22"/>
          <w:szCs w:val="22"/>
        </w:rPr>
        <w:t>.  I</w:t>
      </w:r>
      <w:r w:rsidRPr="003D75D4">
        <w:rPr>
          <w:rFonts w:ascii="Calibri" w:hAnsi="Calibri"/>
          <w:sz w:val="22"/>
          <w:szCs w:val="22"/>
        </w:rPr>
        <w:t>dentifiers like full n</w:t>
      </w:r>
      <w:r>
        <w:rPr>
          <w:rFonts w:ascii="Calibri" w:hAnsi="Calibri"/>
          <w:sz w:val="22"/>
          <w:szCs w:val="22"/>
        </w:rPr>
        <w:t>ame, gender, date of birth and Social S</w:t>
      </w:r>
      <w:r w:rsidRPr="003D75D4">
        <w:rPr>
          <w:rFonts w:ascii="Calibri" w:hAnsi="Calibri"/>
          <w:sz w:val="22"/>
          <w:szCs w:val="22"/>
        </w:rPr>
        <w:t>ecurity numbers are also included.</w:t>
      </w:r>
    </w:p>
    <w:p w:rsidR="00400E42" w:rsidRPr="003D75D4" w:rsidRDefault="00400E42" w:rsidP="00C456E6">
      <w:pPr>
        <w:spacing w:after="120" w:line="276" w:lineRule="auto"/>
        <w:ind w:left="288"/>
        <w:jc w:val="both"/>
        <w:rPr>
          <w:rFonts w:ascii="Calibri" w:hAnsi="Calibri"/>
          <w:sz w:val="22"/>
          <w:szCs w:val="22"/>
        </w:rPr>
      </w:pPr>
      <w:r w:rsidRPr="003D75D4">
        <w:rPr>
          <w:rFonts w:ascii="Calibri" w:hAnsi="Calibri"/>
          <w:b/>
          <w:sz w:val="22"/>
          <w:szCs w:val="22"/>
        </w:rPr>
        <w:t>Availability of data:</w:t>
      </w:r>
      <w:r w:rsidRPr="003D75D4">
        <w:rPr>
          <w:rFonts w:ascii="Calibri" w:hAnsi="Calibri"/>
          <w:sz w:val="22"/>
          <w:szCs w:val="22"/>
        </w:rPr>
        <w:t xml:space="preserve"> As releases from prison are routine, these data are kept current.</w:t>
      </w:r>
    </w:p>
    <w:p w:rsidR="00400E42" w:rsidRPr="00732811" w:rsidRDefault="00400E42" w:rsidP="00C456E6">
      <w:pPr>
        <w:spacing w:after="120" w:line="276" w:lineRule="auto"/>
        <w:ind w:left="288"/>
        <w:jc w:val="both"/>
        <w:rPr>
          <w:rFonts w:ascii="Calibri" w:hAnsi="Calibri"/>
          <w:sz w:val="22"/>
          <w:szCs w:val="22"/>
        </w:rPr>
      </w:pPr>
      <w:r w:rsidRPr="00732811">
        <w:rPr>
          <w:rFonts w:ascii="Calibri" w:hAnsi="Calibri"/>
          <w:b/>
          <w:sz w:val="22"/>
          <w:szCs w:val="22"/>
        </w:rPr>
        <w:t xml:space="preserve">Limitations of the data: </w:t>
      </w:r>
      <w:r w:rsidR="006A2C00" w:rsidRPr="006A2C00">
        <w:rPr>
          <w:rFonts w:ascii="Calibri" w:hAnsi="Calibri"/>
          <w:sz w:val="22"/>
          <w:szCs w:val="22"/>
        </w:rPr>
        <w:t>DoC data includes incarcerations for those in prison and does not include data for people in jails or houses of correction (HoC). The data from DoC used in this analyses (e.g. those incarcerated during the study period and released) is only a subset of the individuals incarcerated within Massachusetts during this study period. This analysis does not included individuals that were not released during the study period, and it does not include ind</w:t>
      </w:r>
      <w:r w:rsidR="006A2C00">
        <w:rPr>
          <w:rFonts w:ascii="Calibri" w:hAnsi="Calibri"/>
          <w:sz w:val="22"/>
          <w:szCs w:val="22"/>
        </w:rPr>
        <w:t>ividuals incarcerated within HoC</w:t>
      </w:r>
      <w:r w:rsidR="006A2C00" w:rsidRPr="006A2C00">
        <w:rPr>
          <w:rFonts w:ascii="Calibri" w:hAnsi="Calibri"/>
          <w:sz w:val="22"/>
          <w:szCs w:val="22"/>
        </w:rPr>
        <w:t>. HoC servers a higher volume of inmates per year in comparison to DoC, primarily due to shorter sentences and those waiting trial within Hoc. Due to this limitation, using DOC data to understand the intersection between fatal opioid overdoses and the criminal justice system in Massachusetts does not provide a full picture to determine associated risks. An additional limitation arises if residents of Massachusetts are incarcerated outside of Massachusetts as that data is not captured by the DoC.</w:t>
      </w:r>
    </w:p>
    <w:p w:rsidR="00400E42" w:rsidRDefault="00400E42" w:rsidP="00C33429">
      <w:pPr>
        <w:spacing w:after="120" w:line="276" w:lineRule="auto"/>
        <w:ind w:left="288"/>
        <w:rPr>
          <w:rFonts w:ascii="Calibri" w:hAnsi="Calibri"/>
          <w:sz w:val="22"/>
          <w:szCs w:val="22"/>
        </w:rPr>
      </w:pPr>
    </w:p>
    <w:p w:rsidR="00400E42" w:rsidRDefault="00400E42" w:rsidP="00400E42">
      <w:pPr>
        <w:rPr>
          <w:rFonts w:ascii="Calibri" w:hAnsi="Calibri"/>
          <w:b/>
          <w:sz w:val="28"/>
          <w:szCs w:val="22"/>
        </w:rPr>
      </w:pPr>
      <w:r>
        <w:rPr>
          <w:rFonts w:ascii="Calibri" w:hAnsi="Calibri"/>
          <w:b/>
          <w:sz w:val="28"/>
          <w:szCs w:val="22"/>
        </w:rPr>
        <w:br w:type="page"/>
      </w:r>
    </w:p>
    <w:p w:rsidR="00400E42" w:rsidRDefault="00400E42" w:rsidP="00400E42">
      <w:pPr>
        <w:spacing w:line="480" w:lineRule="auto"/>
        <w:rPr>
          <w:rFonts w:ascii="Calibri" w:hAnsi="Calibri"/>
          <w:b/>
          <w:color w:val="FF0000"/>
          <w:sz w:val="22"/>
          <w:szCs w:val="22"/>
        </w:rPr>
        <w:sectPr w:rsidR="00400E42" w:rsidSect="001D2DAF">
          <w:pgSz w:w="12240" w:h="15840"/>
          <w:pgMar w:top="1440" w:right="1440" w:bottom="1440" w:left="1440" w:header="720" w:footer="720" w:gutter="0"/>
          <w:cols w:space="720"/>
          <w:titlePg/>
          <w:docGrid w:linePitch="360"/>
        </w:sectPr>
      </w:pPr>
    </w:p>
    <w:p w:rsidR="00400E42" w:rsidRPr="009943F4" w:rsidRDefault="00400E42" w:rsidP="007D21BB">
      <w:pPr>
        <w:pStyle w:val="Heading1"/>
        <w:rPr>
          <w:b w:val="0"/>
        </w:rPr>
      </w:pPr>
      <w:bookmarkStart w:id="28" w:name="_Toc452726671"/>
      <w:bookmarkStart w:id="29" w:name="_Toc453664362"/>
      <w:bookmarkStart w:id="30" w:name="_Toc454724774"/>
      <w:r w:rsidRPr="007D21BB">
        <w:lastRenderedPageBreak/>
        <w:t>Appendix</w:t>
      </w:r>
      <w:r w:rsidRPr="009943F4">
        <w:t xml:space="preserve"> </w:t>
      </w:r>
      <w:r>
        <w:t>C: Additional Single Table Discussion</w:t>
      </w:r>
      <w:bookmarkEnd w:id="28"/>
      <w:bookmarkEnd w:id="29"/>
      <w:bookmarkEnd w:id="30"/>
    </w:p>
    <w:p w:rsidR="00400E42" w:rsidRPr="00313655" w:rsidRDefault="00400E42" w:rsidP="00C33429">
      <w:pPr>
        <w:spacing w:after="120" w:line="276" w:lineRule="auto"/>
        <w:rPr>
          <w:rFonts w:ascii="Calibri" w:hAnsi="Calibri"/>
          <w:b/>
          <w:sz w:val="22"/>
          <w:szCs w:val="22"/>
        </w:rPr>
      </w:pPr>
      <w:r w:rsidRPr="00313655">
        <w:rPr>
          <w:rFonts w:ascii="Calibri" w:hAnsi="Calibri"/>
          <w:b/>
          <w:sz w:val="22"/>
          <w:szCs w:val="22"/>
        </w:rPr>
        <w:t xml:space="preserve">Additional Single Table Discussion: </w:t>
      </w:r>
      <w:r>
        <w:rPr>
          <w:rFonts w:ascii="Calibri" w:hAnsi="Calibri"/>
          <w:b/>
          <w:sz w:val="22"/>
          <w:szCs w:val="22"/>
        </w:rPr>
        <w:t xml:space="preserve"> </w:t>
      </w:r>
      <w:r w:rsidRPr="00313655">
        <w:rPr>
          <w:rFonts w:ascii="Calibri" w:hAnsi="Calibri"/>
          <w:b/>
          <w:sz w:val="22"/>
          <w:szCs w:val="22"/>
        </w:rPr>
        <w:t>Prescription Monitoring Program (PDMP)</w:t>
      </w:r>
    </w:p>
    <w:p w:rsidR="00400E42" w:rsidRPr="006A2C00" w:rsidRDefault="00400E42" w:rsidP="002D6E20">
      <w:pPr>
        <w:pStyle w:val="PBody"/>
      </w:pPr>
      <w:r w:rsidRPr="006A2C00">
        <w:rPr>
          <w:b/>
        </w:rPr>
        <w:t>Key Findings:</w:t>
      </w:r>
      <w:r w:rsidRPr="006A2C00">
        <w:t xml:space="preserve"> The Chapter 55 work has allowed for a robust analysis of key PDMP measures with the other linked datasets.  Looking at PDMP data alone</w:t>
      </w:r>
      <w:r w:rsidR="006A2C00" w:rsidRPr="006A2C00">
        <w:t>,</w:t>
      </w:r>
      <w:r w:rsidRPr="006A2C00">
        <w:t xml:space="preserve"> it is notable that although there has been a seven-percent annual increase in Schedule II filled prescriptions since CY 2000</w:t>
      </w:r>
      <w:r w:rsidR="006318A0">
        <w:t>;</w:t>
      </w:r>
      <w:r w:rsidRPr="006A2C00">
        <w:t xml:space="preserve"> a slowing in that trend in the most recent years has been observed.  This is primarily attributed to a reduction in opioid prescribing in the recent time period</w:t>
      </w:r>
      <w:r w:rsidR="00301E0D" w:rsidRPr="006A2C00">
        <w:t>.  I</w:t>
      </w:r>
      <w:r w:rsidRPr="006A2C00">
        <w:t>t is too early to determine whether this reduction in opioid prescribing will result in fewer opioid-related overdose deaths over time</w:t>
      </w:r>
      <w:r w:rsidR="00301E0D" w:rsidRPr="006A2C00">
        <w:t>.  T</w:t>
      </w:r>
      <w:r w:rsidRPr="006A2C00">
        <w:t>he Chapter 55 work has highlighted the alarming increase in opioid-related overdose deaths attributed to Heroin and most notably Fentanyl</w:t>
      </w:r>
      <w:r w:rsidR="00301E0D" w:rsidRPr="006A2C00">
        <w:t>.  H</w:t>
      </w:r>
      <w:r w:rsidRPr="006A2C00">
        <w:t>ow prescription opioid use/abuse impacts transitioning to these illicit drugs will be a key area of focus moving forward and the Chapter 55 linked databases will play a critical role in addressing these questions.</w:t>
      </w:r>
    </w:p>
    <w:p w:rsidR="00400E42" w:rsidRPr="006318A0" w:rsidRDefault="00400E42" w:rsidP="002D6E20">
      <w:pPr>
        <w:pStyle w:val="PBody"/>
      </w:pPr>
      <w:r w:rsidRPr="006A2C00">
        <w:t>Other key findings identified from analyzing the PDMP dataset are that while 2 in 5 Massachusetts adults had a prescription for an opioid during the study period, only 8 percent of people who died from an opioid-related overdose had legal access to prescription opioids within a month of their death.  This is critical information because without linking the datasets and reviewing medical examiner data, there is no way to estimate the extent to which diversion of prescription opioids plays a role in the opioid overdose epidemic.  Additionally, the linkage with PDMP and death files highlights the significance of polysubstance use in risk of overdose death</w:t>
      </w:r>
      <w:r w:rsidR="00301E0D" w:rsidRPr="006A2C00">
        <w:t>.  T</w:t>
      </w:r>
      <w:r w:rsidRPr="006A2C00">
        <w:t xml:space="preserve">he data show that having a concurrent prescription for opioids and benzodiazepines results in a four-fold increased </w:t>
      </w:r>
      <w:r w:rsidRPr="006318A0">
        <w:t xml:space="preserve">risk of opioid-related death. </w:t>
      </w:r>
    </w:p>
    <w:p w:rsidR="00400E42" w:rsidRPr="006318A0" w:rsidRDefault="00400E42" w:rsidP="002D6E20">
      <w:pPr>
        <w:pStyle w:val="PBody"/>
      </w:pPr>
      <w:r w:rsidRPr="006318A0">
        <w:t>One additional key finding from analyzing the PDMP dataset concerns the issue of individuals obtaining controlled substance prescriptions from multiple providers (i.e., visiting different prescribers for similar or same controlled substances and having these prescriptions dispensed at different pharmacies).  The occurrence of multiple provider episodes (MPEs) can be identified from analyses of the PDMP data.  Linkage with the death records provides a more complete understanding of the risk that this type of activity poses in opioid-related overdose deaths</w:t>
      </w:r>
      <w:r w:rsidR="00301E0D" w:rsidRPr="006318A0">
        <w:t>.  T</w:t>
      </w:r>
      <w:r w:rsidRPr="006318A0">
        <w:t>able C.1 presents the opioid-related overdose death incident rate analysis of having different numbers of prescribers and pharmacies (0 = individuals who died were not linked to any prescription records in the PDMP)</w:t>
      </w:r>
      <w:r w:rsidR="00301E0D" w:rsidRPr="006318A0">
        <w:t>.  T</w:t>
      </w:r>
      <w:r w:rsidRPr="006318A0">
        <w:t>he findings clearly show the increased incidence (more than 3-fold) of having 3 or more different prescribers compared to only 1 prescriber who writes prescriptions for controlled substances</w:t>
      </w:r>
      <w:r w:rsidR="00301E0D" w:rsidRPr="006318A0">
        <w:t>.  E</w:t>
      </w:r>
      <w:r w:rsidRPr="006318A0">
        <w:t>ven more striking is the apparent increase in overdose incidence when obtaining these controlled substance medications filled from three or more pharmacies compared to using only one pharmacy (18.34 versus 1.09, respectively)</w:t>
      </w:r>
      <w:r w:rsidR="00301E0D" w:rsidRPr="006318A0">
        <w:t>.  T</w:t>
      </w:r>
      <w:r w:rsidRPr="006318A0">
        <w:t>his apparent risk that having dispensed controlled substance prescriptions from multiple pharmacies can help inform policy moving forward.</w:t>
      </w:r>
    </w:p>
    <w:p w:rsidR="00400E42" w:rsidRDefault="00400E42" w:rsidP="00C33429">
      <w:pPr>
        <w:spacing w:after="120" w:line="276" w:lineRule="auto"/>
        <w:rPr>
          <w:rFonts w:ascii="Calibri" w:hAnsi="Calibri"/>
          <w:sz w:val="22"/>
          <w:szCs w:val="22"/>
        </w:rPr>
      </w:pPr>
      <w:r>
        <w:rPr>
          <w:rFonts w:ascii="Calibri" w:hAnsi="Calibri"/>
          <w:sz w:val="22"/>
          <w:szCs w:val="22"/>
        </w:rPr>
        <w:t xml:space="preserve">    </w:t>
      </w:r>
    </w:p>
    <w:p w:rsidR="00E11012" w:rsidRDefault="00E11012" w:rsidP="00C33429">
      <w:pPr>
        <w:spacing w:after="120" w:line="276" w:lineRule="auto"/>
        <w:rPr>
          <w:rFonts w:ascii="Calibri" w:hAnsi="Calibri"/>
          <w:sz w:val="22"/>
          <w:szCs w:val="22"/>
        </w:rPr>
      </w:pPr>
    </w:p>
    <w:p w:rsidR="00E11012" w:rsidRPr="008638DC" w:rsidRDefault="00E11012" w:rsidP="00C33429">
      <w:pPr>
        <w:spacing w:after="120" w:line="276" w:lineRule="auto"/>
        <w:rPr>
          <w:rFonts w:ascii="Calibri" w:hAnsi="Calibri"/>
          <w:b/>
          <w:sz w:val="22"/>
          <w:szCs w:val="22"/>
        </w:rPr>
      </w:pPr>
    </w:p>
    <w:tbl>
      <w:tblPr>
        <w:tblW w:w="8280" w:type="dxa"/>
        <w:tblInd w:w="378" w:type="dxa"/>
        <w:tblLook w:val="00A0" w:firstRow="1" w:lastRow="0" w:firstColumn="1" w:lastColumn="0" w:noHBand="0" w:noVBand="0"/>
      </w:tblPr>
      <w:tblGrid>
        <w:gridCol w:w="4230"/>
        <w:gridCol w:w="1057"/>
        <w:gridCol w:w="1053"/>
        <w:gridCol w:w="1053"/>
        <w:gridCol w:w="887"/>
      </w:tblGrid>
      <w:tr w:rsidR="00400E42" w:rsidRPr="00DE65CB" w:rsidTr="00A92FFC">
        <w:trPr>
          <w:trHeight w:val="300"/>
        </w:trPr>
        <w:tc>
          <w:tcPr>
            <w:tcW w:w="8280" w:type="dxa"/>
            <w:gridSpan w:val="5"/>
            <w:tcBorders>
              <w:top w:val="single" w:sz="8" w:space="0" w:color="auto"/>
              <w:left w:val="single" w:sz="8" w:space="0" w:color="auto"/>
              <w:bottom w:val="single" w:sz="8" w:space="0" w:color="auto"/>
              <w:right w:val="single" w:sz="8" w:space="0" w:color="000000"/>
            </w:tcBorders>
            <w:shd w:val="clear" w:color="000000" w:fill="auto"/>
            <w:noWrap/>
            <w:vAlign w:val="bottom"/>
          </w:tcPr>
          <w:p w:rsidR="00400E42" w:rsidRPr="00DE65CB" w:rsidRDefault="00400E42" w:rsidP="003A0AFE">
            <w:pPr>
              <w:jc w:val="center"/>
              <w:rPr>
                <w:rFonts w:ascii="Calibri" w:hAnsi="Calibri"/>
                <w:b/>
                <w:bCs/>
                <w:color w:val="000000"/>
                <w:szCs w:val="22"/>
              </w:rPr>
            </w:pPr>
            <w:r w:rsidRPr="008638DC">
              <w:rPr>
                <w:rFonts w:ascii="Calibri" w:hAnsi="Calibri"/>
                <w:b/>
                <w:sz w:val="22"/>
                <w:szCs w:val="22"/>
              </w:rPr>
              <w:lastRenderedPageBreak/>
              <w:t xml:space="preserve">Table </w:t>
            </w:r>
            <w:r>
              <w:rPr>
                <w:rFonts w:ascii="Calibri" w:hAnsi="Calibri"/>
                <w:b/>
                <w:sz w:val="22"/>
                <w:szCs w:val="22"/>
              </w:rPr>
              <w:t>C.1</w:t>
            </w:r>
            <w:r w:rsidRPr="008638DC">
              <w:rPr>
                <w:rFonts w:ascii="Calibri" w:hAnsi="Calibri"/>
                <w:b/>
                <w:sz w:val="22"/>
                <w:szCs w:val="22"/>
              </w:rPr>
              <w:t xml:space="preserve">: Incidence of </w:t>
            </w:r>
            <w:r w:rsidR="003A0AFE">
              <w:rPr>
                <w:rFonts w:ascii="Calibri" w:hAnsi="Calibri"/>
                <w:b/>
                <w:sz w:val="22"/>
                <w:szCs w:val="22"/>
              </w:rPr>
              <w:t xml:space="preserve">opioid </w:t>
            </w:r>
            <w:r w:rsidRPr="008638DC">
              <w:rPr>
                <w:rFonts w:ascii="Calibri" w:hAnsi="Calibri"/>
                <w:b/>
                <w:sz w:val="22"/>
                <w:szCs w:val="22"/>
              </w:rPr>
              <w:t xml:space="preserve">overdose deaths associated with multiple provider episodes </w:t>
            </w:r>
            <w:r w:rsidR="003A0AFE">
              <w:rPr>
                <w:rFonts w:ascii="Calibri" w:hAnsi="Calibri"/>
                <w:b/>
                <w:sz w:val="22"/>
                <w:szCs w:val="22"/>
              </w:rPr>
              <w:t>(2011-2014)</w:t>
            </w:r>
          </w:p>
        </w:tc>
      </w:tr>
      <w:tr w:rsidR="00400E42" w:rsidRPr="00DE65CB" w:rsidTr="00A92FFC">
        <w:trPr>
          <w:trHeight w:val="300"/>
        </w:trPr>
        <w:tc>
          <w:tcPr>
            <w:tcW w:w="4230" w:type="dxa"/>
            <w:tcBorders>
              <w:top w:val="single" w:sz="8" w:space="0" w:color="auto"/>
              <w:left w:val="single" w:sz="8" w:space="0" w:color="auto"/>
              <w:bottom w:val="single" w:sz="4" w:space="0" w:color="auto"/>
              <w:right w:val="single" w:sz="4" w:space="0" w:color="auto"/>
            </w:tcBorders>
            <w:shd w:val="clear" w:color="000000" w:fill="auto"/>
            <w:noWrap/>
            <w:vAlign w:val="bottom"/>
          </w:tcPr>
          <w:p w:rsidR="00400E42" w:rsidRPr="00DE65CB" w:rsidRDefault="00400E42" w:rsidP="00C33429">
            <w:pPr>
              <w:rPr>
                <w:rFonts w:ascii="Calibri" w:hAnsi="Calibri"/>
                <w:color w:val="000000"/>
                <w:szCs w:val="22"/>
              </w:rPr>
            </w:pPr>
            <w:r w:rsidRPr="00DE65CB">
              <w:rPr>
                <w:rFonts w:ascii="Calibri" w:hAnsi="Calibri"/>
                <w:color w:val="000000"/>
                <w:sz w:val="22"/>
                <w:szCs w:val="22"/>
              </w:rPr>
              <w:t> </w:t>
            </w:r>
          </w:p>
        </w:tc>
        <w:tc>
          <w:tcPr>
            <w:tcW w:w="4050" w:type="dxa"/>
            <w:gridSpan w:val="4"/>
            <w:tcBorders>
              <w:top w:val="single" w:sz="8" w:space="0" w:color="auto"/>
              <w:left w:val="nil"/>
              <w:bottom w:val="single" w:sz="4" w:space="0" w:color="auto"/>
              <w:right w:val="single" w:sz="8" w:space="0" w:color="000000"/>
            </w:tcBorders>
            <w:shd w:val="clear" w:color="000000" w:fill="auto"/>
            <w:noWrap/>
            <w:vAlign w:val="bottom"/>
          </w:tcPr>
          <w:p w:rsidR="00400E42" w:rsidRPr="00DE65CB" w:rsidRDefault="00400E42" w:rsidP="00C33429">
            <w:pPr>
              <w:jc w:val="center"/>
              <w:rPr>
                <w:rFonts w:ascii="Calibri" w:hAnsi="Calibri"/>
                <w:b/>
                <w:bCs/>
                <w:color w:val="000000"/>
                <w:szCs w:val="22"/>
              </w:rPr>
            </w:pPr>
            <w:r w:rsidRPr="00DE65CB">
              <w:rPr>
                <w:rFonts w:ascii="Calibri" w:hAnsi="Calibri"/>
                <w:b/>
                <w:bCs/>
                <w:color w:val="000000"/>
                <w:sz w:val="22"/>
                <w:szCs w:val="22"/>
              </w:rPr>
              <w:t>Prescribers</w:t>
            </w:r>
          </w:p>
        </w:tc>
      </w:tr>
      <w:tr w:rsidR="00400E42" w:rsidRPr="00DE65CB" w:rsidTr="00A92FFC">
        <w:trPr>
          <w:trHeight w:val="300"/>
        </w:trPr>
        <w:tc>
          <w:tcPr>
            <w:tcW w:w="4230" w:type="dxa"/>
            <w:tcBorders>
              <w:top w:val="nil"/>
              <w:left w:val="single" w:sz="8" w:space="0" w:color="auto"/>
              <w:bottom w:val="single" w:sz="4" w:space="0" w:color="auto"/>
              <w:right w:val="single" w:sz="4" w:space="0" w:color="auto"/>
            </w:tcBorders>
            <w:noWrap/>
            <w:vAlign w:val="bottom"/>
          </w:tcPr>
          <w:p w:rsidR="00400E42" w:rsidRPr="00DE65CB" w:rsidRDefault="00400E42" w:rsidP="00C33429">
            <w:pPr>
              <w:rPr>
                <w:rFonts w:ascii="Calibri" w:hAnsi="Calibri"/>
                <w:b/>
                <w:bCs/>
                <w:color w:val="000000"/>
                <w:szCs w:val="22"/>
              </w:rPr>
            </w:pPr>
            <w:r w:rsidRPr="00DE65CB">
              <w:rPr>
                <w:rFonts w:ascii="Calibri" w:hAnsi="Calibri"/>
                <w:b/>
                <w:bCs/>
                <w:color w:val="000000"/>
                <w:sz w:val="22"/>
                <w:szCs w:val="22"/>
              </w:rPr>
              <w:t>Incidence (per 10,000 per year)</w:t>
            </w:r>
          </w:p>
        </w:tc>
        <w:tc>
          <w:tcPr>
            <w:tcW w:w="1057" w:type="dxa"/>
            <w:tcBorders>
              <w:top w:val="nil"/>
              <w:left w:val="nil"/>
              <w:bottom w:val="single" w:sz="4" w:space="0" w:color="auto"/>
              <w:right w:val="single" w:sz="4"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0</w:t>
            </w:r>
          </w:p>
        </w:tc>
        <w:tc>
          <w:tcPr>
            <w:tcW w:w="1053" w:type="dxa"/>
            <w:tcBorders>
              <w:top w:val="nil"/>
              <w:left w:val="nil"/>
              <w:bottom w:val="single" w:sz="4" w:space="0" w:color="auto"/>
              <w:right w:val="single" w:sz="4"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1</w:t>
            </w:r>
          </w:p>
        </w:tc>
        <w:tc>
          <w:tcPr>
            <w:tcW w:w="1053" w:type="dxa"/>
            <w:tcBorders>
              <w:top w:val="nil"/>
              <w:left w:val="nil"/>
              <w:bottom w:val="single" w:sz="4" w:space="0" w:color="auto"/>
              <w:right w:val="single" w:sz="4"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2</w:t>
            </w:r>
          </w:p>
        </w:tc>
        <w:tc>
          <w:tcPr>
            <w:tcW w:w="887" w:type="dxa"/>
            <w:tcBorders>
              <w:top w:val="nil"/>
              <w:left w:val="nil"/>
              <w:bottom w:val="single" w:sz="4" w:space="0" w:color="auto"/>
              <w:right w:val="single" w:sz="8"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3+</w:t>
            </w:r>
          </w:p>
        </w:tc>
      </w:tr>
      <w:tr w:rsidR="00400E42" w:rsidRPr="00DE65CB" w:rsidTr="00A92FFC">
        <w:trPr>
          <w:trHeight w:val="300"/>
        </w:trPr>
        <w:tc>
          <w:tcPr>
            <w:tcW w:w="4230" w:type="dxa"/>
            <w:tcBorders>
              <w:top w:val="nil"/>
              <w:left w:val="single" w:sz="8" w:space="0" w:color="auto"/>
              <w:bottom w:val="single" w:sz="4" w:space="0" w:color="auto"/>
              <w:right w:val="single" w:sz="4" w:space="0" w:color="auto"/>
            </w:tcBorders>
            <w:noWrap/>
            <w:vAlign w:val="bottom"/>
          </w:tcPr>
          <w:p w:rsidR="00400E42" w:rsidRPr="00DE65CB" w:rsidRDefault="00400E42" w:rsidP="00C33429">
            <w:pPr>
              <w:jc w:val="both"/>
              <w:rPr>
                <w:rFonts w:ascii="Calibri" w:hAnsi="Calibri"/>
                <w:color w:val="000000"/>
                <w:szCs w:val="22"/>
              </w:rPr>
            </w:pPr>
            <w:r w:rsidRPr="00DE65CB">
              <w:rPr>
                <w:rFonts w:ascii="Calibri" w:hAnsi="Calibri"/>
                <w:color w:val="000000"/>
                <w:sz w:val="22"/>
                <w:szCs w:val="22"/>
              </w:rPr>
              <w:t>Opioid Deaths</w:t>
            </w:r>
          </w:p>
        </w:tc>
        <w:tc>
          <w:tcPr>
            <w:tcW w:w="1057" w:type="dxa"/>
            <w:tcBorders>
              <w:top w:val="nil"/>
              <w:left w:val="nil"/>
              <w:bottom w:val="single" w:sz="4" w:space="0" w:color="auto"/>
              <w:right w:val="single" w:sz="4"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0.97</w:t>
            </w:r>
          </w:p>
        </w:tc>
        <w:tc>
          <w:tcPr>
            <w:tcW w:w="1053" w:type="dxa"/>
            <w:tcBorders>
              <w:top w:val="nil"/>
              <w:left w:val="nil"/>
              <w:bottom w:val="single" w:sz="4" w:space="0" w:color="auto"/>
              <w:right w:val="single" w:sz="4"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0.99</w:t>
            </w:r>
          </w:p>
        </w:tc>
        <w:tc>
          <w:tcPr>
            <w:tcW w:w="1053" w:type="dxa"/>
            <w:tcBorders>
              <w:top w:val="nil"/>
              <w:left w:val="nil"/>
              <w:bottom w:val="single" w:sz="4" w:space="0" w:color="auto"/>
              <w:right w:val="single" w:sz="4"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2.72</w:t>
            </w:r>
          </w:p>
        </w:tc>
        <w:tc>
          <w:tcPr>
            <w:tcW w:w="887" w:type="dxa"/>
            <w:tcBorders>
              <w:top w:val="nil"/>
              <w:left w:val="nil"/>
              <w:bottom w:val="single" w:sz="4" w:space="0" w:color="auto"/>
              <w:right w:val="single" w:sz="8"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9.73</w:t>
            </w:r>
          </w:p>
        </w:tc>
      </w:tr>
      <w:tr w:rsidR="00400E42" w:rsidRPr="00DE65CB" w:rsidTr="00A92FFC">
        <w:trPr>
          <w:trHeight w:val="135"/>
        </w:trPr>
        <w:tc>
          <w:tcPr>
            <w:tcW w:w="8280" w:type="dxa"/>
            <w:gridSpan w:val="5"/>
            <w:tcBorders>
              <w:top w:val="single" w:sz="4" w:space="0" w:color="auto"/>
              <w:left w:val="single" w:sz="8" w:space="0" w:color="auto"/>
              <w:bottom w:val="single" w:sz="4" w:space="0" w:color="auto"/>
              <w:right w:val="single" w:sz="8" w:space="0" w:color="000000"/>
            </w:tcBorders>
            <w:noWrap/>
            <w:vAlign w:val="bottom"/>
          </w:tcPr>
          <w:p w:rsidR="00400E42" w:rsidRPr="00DE65CB" w:rsidRDefault="00400E42" w:rsidP="00C33429">
            <w:pPr>
              <w:rPr>
                <w:rFonts w:ascii="Calibri" w:hAnsi="Calibri"/>
                <w:color w:val="000000"/>
                <w:szCs w:val="22"/>
              </w:rPr>
            </w:pPr>
            <w:r w:rsidRPr="00DE65CB">
              <w:rPr>
                <w:rFonts w:ascii="Calibri" w:hAnsi="Calibri"/>
                <w:color w:val="000000"/>
                <w:sz w:val="22"/>
                <w:szCs w:val="22"/>
              </w:rPr>
              <w:t> </w:t>
            </w:r>
          </w:p>
        </w:tc>
      </w:tr>
      <w:tr w:rsidR="00400E42" w:rsidRPr="00DE65CB" w:rsidTr="00A92FFC">
        <w:trPr>
          <w:trHeight w:val="300"/>
        </w:trPr>
        <w:tc>
          <w:tcPr>
            <w:tcW w:w="4230" w:type="dxa"/>
            <w:tcBorders>
              <w:top w:val="nil"/>
              <w:left w:val="single" w:sz="8" w:space="0" w:color="auto"/>
              <w:bottom w:val="single" w:sz="4" w:space="0" w:color="auto"/>
              <w:right w:val="single" w:sz="4" w:space="0" w:color="auto"/>
            </w:tcBorders>
            <w:noWrap/>
            <w:vAlign w:val="bottom"/>
          </w:tcPr>
          <w:p w:rsidR="00400E42" w:rsidRPr="00DE65CB" w:rsidRDefault="00400E42" w:rsidP="00C33429">
            <w:pPr>
              <w:rPr>
                <w:rFonts w:ascii="Calibri" w:hAnsi="Calibri"/>
                <w:color w:val="000000"/>
                <w:szCs w:val="22"/>
              </w:rPr>
            </w:pPr>
            <w:r w:rsidRPr="00DE65CB">
              <w:rPr>
                <w:rFonts w:ascii="Calibri" w:hAnsi="Calibri"/>
                <w:color w:val="000000"/>
                <w:sz w:val="22"/>
                <w:szCs w:val="22"/>
              </w:rPr>
              <w:t> </w:t>
            </w:r>
          </w:p>
        </w:tc>
        <w:tc>
          <w:tcPr>
            <w:tcW w:w="4050" w:type="dxa"/>
            <w:gridSpan w:val="4"/>
            <w:tcBorders>
              <w:top w:val="single" w:sz="4" w:space="0" w:color="auto"/>
              <w:left w:val="nil"/>
              <w:bottom w:val="single" w:sz="4" w:space="0" w:color="auto"/>
              <w:right w:val="single" w:sz="8" w:space="0" w:color="000000"/>
            </w:tcBorders>
            <w:noWrap/>
            <w:vAlign w:val="bottom"/>
          </w:tcPr>
          <w:p w:rsidR="00400E42" w:rsidRPr="00DE65CB" w:rsidRDefault="00400E42" w:rsidP="00C33429">
            <w:pPr>
              <w:jc w:val="center"/>
              <w:rPr>
                <w:rFonts w:ascii="Calibri" w:hAnsi="Calibri"/>
                <w:b/>
                <w:bCs/>
                <w:color w:val="000000"/>
                <w:szCs w:val="22"/>
              </w:rPr>
            </w:pPr>
            <w:r w:rsidRPr="00DE65CB">
              <w:rPr>
                <w:rFonts w:ascii="Calibri" w:hAnsi="Calibri"/>
                <w:b/>
                <w:bCs/>
                <w:color w:val="000000"/>
                <w:sz w:val="22"/>
                <w:szCs w:val="22"/>
              </w:rPr>
              <w:t xml:space="preserve">Pharmacies </w:t>
            </w:r>
          </w:p>
        </w:tc>
      </w:tr>
      <w:tr w:rsidR="00400E42" w:rsidRPr="00DE65CB" w:rsidTr="00A92FFC">
        <w:trPr>
          <w:trHeight w:val="300"/>
        </w:trPr>
        <w:tc>
          <w:tcPr>
            <w:tcW w:w="4230" w:type="dxa"/>
            <w:tcBorders>
              <w:top w:val="nil"/>
              <w:left w:val="single" w:sz="8" w:space="0" w:color="auto"/>
              <w:bottom w:val="single" w:sz="4" w:space="0" w:color="auto"/>
              <w:right w:val="single" w:sz="4" w:space="0" w:color="auto"/>
            </w:tcBorders>
            <w:noWrap/>
            <w:vAlign w:val="bottom"/>
          </w:tcPr>
          <w:p w:rsidR="00400E42" w:rsidRPr="00DE65CB" w:rsidRDefault="00400E42" w:rsidP="00C33429">
            <w:pPr>
              <w:rPr>
                <w:rFonts w:ascii="Calibri" w:hAnsi="Calibri"/>
                <w:b/>
                <w:bCs/>
                <w:color w:val="000000"/>
                <w:szCs w:val="22"/>
              </w:rPr>
            </w:pPr>
            <w:r w:rsidRPr="00DE65CB">
              <w:rPr>
                <w:rFonts w:ascii="Calibri" w:hAnsi="Calibri"/>
                <w:b/>
                <w:bCs/>
                <w:color w:val="000000"/>
                <w:sz w:val="22"/>
                <w:szCs w:val="22"/>
              </w:rPr>
              <w:t>Incidence (per 10,000 per year)</w:t>
            </w:r>
          </w:p>
        </w:tc>
        <w:tc>
          <w:tcPr>
            <w:tcW w:w="1057" w:type="dxa"/>
            <w:tcBorders>
              <w:top w:val="nil"/>
              <w:left w:val="nil"/>
              <w:bottom w:val="single" w:sz="4" w:space="0" w:color="auto"/>
              <w:right w:val="single" w:sz="4"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0</w:t>
            </w:r>
          </w:p>
        </w:tc>
        <w:tc>
          <w:tcPr>
            <w:tcW w:w="1053" w:type="dxa"/>
            <w:tcBorders>
              <w:top w:val="nil"/>
              <w:left w:val="nil"/>
              <w:bottom w:val="single" w:sz="4" w:space="0" w:color="auto"/>
              <w:right w:val="single" w:sz="4"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1</w:t>
            </w:r>
          </w:p>
        </w:tc>
        <w:tc>
          <w:tcPr>
            <w:tcW w:w="1053" w:type="dxa"/>
            <w:tcBorders>
              <w:top w:val="nil"/>
              <w:left w:val="nil"/>
              <w:bottom w:val="single" w:sz="4" w:space="0" w:color="auto"/>
              <w:right w:val="single" w:sz="4"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2</w:t>
            </w:r>
          </w:p>
        </w:tc>
        <w:tc>
          <w:tcPr>
            <w:tcW w:w="887" w:type="dxa"/>
            <w:tcBorders>
              <w:top w:val="nil"/>
              <w:left w:val="nil"/>
              <w:bottom w:val="single" w:sz="4" w:space="0" w:color="auto"/>
              <w:right w:val="single" w:sz="8"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3+</w:t>
            </w:r>
          </w:p>
        </w:tc>
      </w:tr>
      <w:tr w:rsidR="00400E42" w:rsidRPr="00DE65CB" w:rsidTr="00A92FFC">
        <w:trPr>
          <w:trHeight w:val="315"/>
        </w:trPr>
        <w:tc>
          <w:tcPr>
            <w:tcW w:w="4230" w:type="dxa"/>
            <w:tcBorders>
              <w:top w:val="nil"/>
              <w:left w:val="single" w:sz="8" w:space="0" w:color="auto"/>
              <w:bottom w:val="single" w:sz="8" w:space="0" w:color="auto"/>
              <w:right w:val="single" w:sz="4" w:space="0" w:color="auto"/>
            </w:tcBorders>
            <w:noWrap/>
            <w:vAlign w:val="bottom"/>
          </w:tcPr>
          <w:p w:rsidR="00400E42" w:rsidRPr="00DE65CB" w:rsidRDefault="00400E42" w:rsidP="00C33429">
            <w:pPr>
              <w:rPr>
                <w:rFonts w:ascii="Calibri" w:hAnsi="Calibri"/>
                <w:color w:val="000000"/>
                <w:szCs w:val="22"/>
              </w:rPr>
            </w:pPr>
            <w:r w:rsidRPr="00DE65CB">
              <w:rPr>
                <w:rFonts w:ascii="Calibri" w:hAnsi="Calibri"/>
                <w:color w:val="000000"/>
                <w:sz w:val="22"/>
                <w:szCs w:val="22"/>
              </w:rPr>
              <w:t>Opioid Deaths</w:t>
            </w:r>
          </w:p>
        </w:tc>
        <w:tc>
          <w:tcPr>
            <w:tcW w:w="1057" w:type="dxa"/>
            <w:tcBorders>
              <w:top w:val="nil"/>
              <w:left w:val="nil"/>
              <w:bottom w:val="single" w:sz="8" w:space="0" w:color="auto"/>
              <w:right w:val="single" w:sz="4"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0.97</w:t>
            </w:r>
          </w:p>
        </w:tc>
        <w:tc>
          <w:tcPr>
            <w:tcW w:w="1053" w:type="dxa"/>
            <w:tcBorders>
              <w:top w:val="nil"/>
              <w:left w:val="nil"/>
              <w:bottom w:val="single" w:sz="8" w:space="0" w:color="auto"/>
              <w:right w:val="single" w:sz="4"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1.0</w:t>
            </w:r>
            <w:r>
              <w:rPr>
                <w:rFonts w:ascii="Calibri" w:hAnsi="Calibri"/>
                <w:color w:val="000000"/>
                <w:sz w:val="22"/>
                <w:szCs w:val="22"/>
              </w:rPr>
              <w:t>9</w:t>
            </w:r>
          </w:p>
        </w:tc>
        <w:tc>
          <w:tcPr>
            <w:tcW w:w="1053" w:type="dxa"/>
            <w:tcBorders>
              <w:top w:val="nil"/>
              <w:left w:val="nil"/>
              <w:bottom w:val="single" w:sz="8" w:space="0" w:color="auto"/>
              <w:right w:val="single" w:sz="4"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4.28</w:t>
            </w:r>
          </w:p>
        </w:tc>
        <w:tc>
          <w:tcPr>
            <w:tcW w:w="887" w:type="dxa"/>
            <w:tcBorders>
              <w:top w:val="nil"/>
              <w:left w:val="nil"/>
              <w:bottom w:val="single" w:sz="8" w:space="0" w:color="auto"/>
              <w:right w:val="single" w:sz="8" w:space="0" w:color="auto"/>
            </w:tcBorders>
            <w:noWrap/>
            <w:vAlign w:val="bottom"/>
          </w:tcPr>
          <w:p w:rsidR="00400E42" w:rsidRPr="00DE65CB" w:rsidRDefault="00400E42" w:rsidP="00C33429">
            <w:pPr>
              <w:jc w:val="center"/>
              <w:rPr>
                <w:rFonts w:ascii="Calibri" w:hAnsi="Calibri"/>
                <w:color w:val="000000"/>
                <w:szCs w:val="22"/>
              </w:rPr>
            </w:pPr>
            <w:r w:rsidRPr="00DE65CB">
              <w:rPr>
                <w:rFonts w:ascii="Calibri" w:hAnsi="Calibri"/>
                <w:color w:val="000000"/>
                <w:sz w:val="22"/>
                <w:szCs w:val="22"/>
              </w:rPr>
              <w:t>18.34</w:t>
            </w:r>
          </w:p>
        </w:tc>
      </w:tr>
    </w:tbl>
    <w:p w:rsidR="00400E42" w:rsidRDefault="00400E42" w:rsidP="00C33429">
      <w:pPr>
        <w:spacing w:after="120" w:line="276" w:lineRule="auto"/>
      </w:pPr>
    </w:p>
    <w:p w:rsidR="00400E42" w:rsidRDefault="00400E42" w:rsidP="00C33429">
      <w:pPr>
        <w:spacing w:after="120" w:line="276" w:lineRule="auto"/>
      </w:pPr>
    </w:p>
    <w:p w:rsidR="00400E42" w:rsidRPr="00313655" w:rsidRDefault="00400E42" w:rsidP="00C33429">
      <w:pPr>
        <w:spacing w:after="120" w:line="276" w:lineRule="auto"/>
        <w:rPr>
          <w:rFonts w:ascii="Calibri" w:hAnsi="Calibri"/>
          <w:b/>
          <w:sz w:val="22"/>
          <w:szCs w:val="22"/>
        </w:rPr>
      </w:pPr>
      <w:r w:rsidRPr="00313655">
        <w:rPr>
          <w:rFonts w:ascii="Calibri" w:hAnsi="Calibri"/>
          <w:b/>
          <w:sz w:val="22"/>
          <w:szCs w:val="22"/>
        </w:rPr>
        <w:t>Additional Single Table Discussion:  Massachusetts Ambulance Trip Record Information System (MATRIS)</w:t>
      </w:r>
    </w:p>
    <w:p w:rsidR="00400E42" w:rsidRPr="006318A0" w:rsidRDefault="00400E42" w:rsidP="002D6E20">
      <w:pPr>
        <w:pStyle w:val="PBody"/>
      </w:pPr>
      <w:r w:rsidRPr="00D13587">
        <w:rPr>
          <w:b/>
        </w:rPr>
        <w:t>Key Findings:</w:t>
      </w:r>
      <w:r w:rsidRPr="006318A0">
        <w:t xml:space="preserve"> By utilizing the linkage authorized by Chapter 55 with MATRIS and death data, EMS response was shown to be highly successful in preventing fatal overdoses.  The finding that 95.8% of the </w:t>
      </w:r>
      <w:r w:rsidRPr="001B2897">
        <w:t xml:space="preserve">patients with an opioid-related ambulance trip did not die during the study period and only 18.6% of opioid-related decedents had one or more opioid-related ambulance trips confirms that 911 response  leads to a high reversal rate.  Overdose campaign strategies encouraging EMS activation should continue.  </w:t>
      </w:r>
      <w:r w:rsidR="001B2897" w:rsidRPr="001B2897">
        <w:t xml:space="preserve">Of people who had an ambulance trip for a nonfatal overdose prior to their fatal overdose, 29.3% did not have an ambulance trip for their fatal overdose. This indicates that there are possible missed opportunities for interventions after the non-fatal overdose. Some examples of these interventions are: recovery coaching, treatment, and education on withdrawal and tolerance. This finding also supports the need for further promotion of the Good Samaritan Laws to encourage calling 911 for an overdose without fear of legal repercussions. </w:t>
      </w:r>
    </w:p>
    <w:p w:rsidR="00400E42" w:rsidRDefault="00400E42" w:rsidP="00C33429">
      <w:pPr>
        <w:pStyle w:val="PlainText"/>
        <w:spacing w:after="120" w:line="276" w:lineRule="auto"/>
        <w:rPr>
          <w:szCs w:val="22"/>
        </w:rPr>
      </w:pPr>
    </w:p>
    <w:p w:rsidR="00400E42" w:rsidRPr="003D75D4" w:rsidRDefault="00400E42" w:rsidP="00C33429">
      <w:pPr>
        <w:spacing w:after="120" w:line="276" w:lineRule="auto"/>
        <w:rPr>
          <w:rFonts w:ascii="Calibri" w:hAnsi="Calibri"/>
          <w:b/>
          <w:sz w:val="22"/>
          <w:szCs w:val="22"/>
          <w:u w:val="single"/>
        </w:rPr>
      </w:pPr>
      <w:r w:rsidRPr="00313655">
        <w:rPr>
          <w:rFonts w:ascii="Calibri" w:hAnsi="Calibri"/>
          <w:b/>
          <w:sz w:val="22"/>
          <w:szCs w:val="22"/>
        </w:rPr>
        <w:t xml:space="preserve">Additional Single Table Discussion: </w:t>
      </w:r>
      <w:r>
        <w:rPr>
          <w:rFonts w:ascii="Calibri" w:hAnsi="Calibri"/>
          <w:b/>
          <w:sz w:val="22"/>
          <w:szCs w:val="22"/>
        </w:rPr>
        <w:t xml:space="preserve"> </w:t>
      </w:r>
      <w:r w:rsidRPr="00313655">
        <w:rPr>
          <w:rFonts w:ascii="Calibri" w:hAnsi="Calibri"/>
          <w:b/>
          <w:sz w:val="22"/>
          <w:szCs w:val="22"/>
        </w:rPr>
        <w:t>Massachusetts Cancer Registry (MCR)</w:t>
      </w:r>
    </w:p>
    <w:p w:rsidR="00400E42" w:rsidRPr="006318A0" w:rsidRDefault="00400E42" w:rsidP="002D6E20">
      <w:pPr>
        <w:pStyle w:val="PBody"/>
      </w:pPr>
      <w:r w:rsidRPr="006318A0">
        <w:rPr>
          <w:b/>
        </w:rPr>
        <w:t>Key Findings:</w:t>
      </w:r>
      <w:r w:rsidRPr="006318A0">
        <w:t xml:space="preserve"> The MCR data are included in this project so that cancer diagnosis can be controlled for in multivariate analyses</w:t>
      </w:r>
      <w:r w:rsidR="00301E0D" w:rsidRPr="006318A0">
        <w:t>.  I</w:t>
      </w:r>
      <w:r w:rsidRPr="006318A0">
        <w:t>t is not intended to be analyzed separately.  There is a well-known association between late stage cancer diagnosis and opioid prescribing.  It was important to be able to take this into account when looking at risk of opioid death as it relates to opioid prescribing patterns.</w:t>
      </w:r>
    </w:p>
    <w:p w:rsidR="006318A0" w:rsidRDefault="006318A0" w:rsidP="00C33429">
      <w:pPr>
        <w:pStyle w:val="PlainText"/>
        <w:spacing w:after="120" w:line="276" w:lineRule="auto"/>
        <w:rPr>
          <w:szCs w:val="22"/>
        </w:rPr>
      </w:pPr>
    </w:p>
    <w:p w:rsidR="00400E42" w:rsidRPr="003D75D4" w:rsidRDefault="00400E42" w:rsidP="00C33429">
      <w:pPr>
        <w:spacing w:after="120" w:line="276" w:lineRule="auto"/>
        <w:rPr>
          <w:rFonts w:ascii="Calibri" w:hAnsi="Calibri"/>
          <w:b/>
          <w:sz w:val="22"/>
          <w:szCs w:val="22"/>
          <w:u w:val="single"/>
        </w:rPr>
      </w:pPr>
      <w:r w:rsidRPr="00313655">
        <w:rPr>
          <w:rFonts w:ascii="Calibri" w:hAnsi="Calibri"/>
          <w:b/>
          <w:sz w:val="22"/>
          <w:szCs w:val="22"/>
        </w:rPr>
        <w:t>Additional Single Table Discussion:  Department of Correction (DoC)</w:t>
      </w:r>
    </w:p>
    <w:p w:rsidR="00400E42" w:rsidRDefault="00400E42" w:rsidP="002D6E20">
      <w:pPr>
        <w:pStyle w:val="PBody"/>
      </w:pPr>
      <w:r w:rsidRPr="0011377E">
        <w:rPr>
          <w:b/>
        </w:rPr>
        <w:t>Key Findings:</w:t>
      </w:r>
      <w:r w:rsidRPr="00DE65CB">
        <w:t xml:space="preserve"> </w:t>
      </w:r>
      <w:r w:rsidRPr="00732811">
        <w:t>Data from the Department of Correction (D</w:t>
      </w:r>
      <w:r>
        <w:t>o</w:t>
      </w:r>
      <w:r w:rsidRPr="00732811">
        <w:t>C) included information on all inmates who have been released from D</w:t>
      </w:r>
      <w:r>
        <w:t>o</w:t>
      </w:r>
      <w:r w:rsidRPr="00732811">
        <w:t>C incarceration between January 1, 2011 and December 31, 2014</w:t>
      </w:r>
      <w:r w:rsidR="00301E0D">
        <w:t>.  T</w:t>
      </w:r>
      <w:r w:rsidRPr="00732811">
        <w:t xml:space="preserve">he cohort included 25,209 </w:t>
      </w:r>
      <w:r w:rsidR="00D13587">
        <w:t xml:space="preserve">inmates </w:t>
      </w:r>
      <w:r w:rsidRPr="00732811">
        <w:t>who had a total of 38,961 releases from prison</w:t>
      </w:r>
      <w:r w:rsidR="00301E0D">
        <w:t>.  P</w:t>
      </w:r>
      <w:r w:rsidRPr="00732811">
        <w:t xml:space="preserve">rior studies have demonstrated that inmates face an increased risk of death, compared with the general population, </w:t>
      </w:r>
      <w:r w:rsidRPr="00732811">
        <w:lastRenderedPageBreak/>
        <w:t>following release from prison in the United States and abroad</w:t>
      </w:r>
      <w:r w:rsidRPr="00732811">
        <w:rPr>
          <w:vertAlign w:val="superscript"/>
        </w:rPr>
        <w:footnoteReference w:id="82"/>
      </w:r>
      <w:r w:rsidRPr="00732811">
        <w:rPr>
          <w:vertAlign w:val="superscript"/>
        </w:rPr>
        <w:t>,</w:t>
      </w:r>
      <w:r w:rsidRPr="00732811">
        <w:rPr>
          <w:vertAlign w:val="superscript"/>
        </w:rPr>
        <w:footnoteReference w:id="83"/>
      </w:r>
      <w:r w:rsidRPr="00732811">
        <w:t xml:space="preserve">.  Since </w:t>
      </w:r>
      <w:r>
        <w:t xml:space="preserve">only </w:t>
      </w:r>
      <w:r w:rsidRPr="00732811">
        <w:t>2013-2014 deaths</w:t>
      </w:r>
      <w:r>
        <w:t xml:space="preserve"> were available</w:t>
      </w:r>
      <w:r w:rsidRPr="00732811">
        <w:t xml:space="preserve">, inmates released only during this same time period </w:t>
      </w:r>
      <w:r>
        <w:t>were used</w:t>
      </w:r>
      <w:r w:rsidRPr="00732811">
        <w:t xml:space="preserve"> to calculate the risk of death faced by those inmates after release from prison and investigate whether they had a higher risk of death after release.</w:t>
      </w:r>
    </w:p>
    <w:p w:rsidR="00400E42" w:rsidRDefault="00400E42" w:rsidP="002D6E20">
      <w:pPr>
        <w:pStyle w:val="PBody"/>
        <w:rPr>
          <w:b/>
          <w:bCs/>
        </w:rPr>
      </w:pPr>
      <w:r w:rsidRPr="00732811">
        <w:rPr>
          <w:rFonts w:asciiTheme="minorHAnsi" w:hAnsiTheme="minorHAnsi"/>
        </w:rPr>
        <w:t xml:space="preserve">Of the </w:t>
      </w:r>
      <w:r>
        <w:rPr>
          <w:rFonts w:asciiTheme="minorHAnsi" w:hAnsiTheme="minorHAnsi"/>
        </w:rPr>
        <w:t>14,533</w:t>
      </w:r>
      <w:r w:rsidRPr="00732811">
        <w:rPr>
          <w:rFonts w:asciiTheme="minorHAnsi" w:hAnsiTheme="minorHAnsi"/>
        </w:rPr>
        <w:t xml:space="preserve"> inmates released</w:t>
      </w:r>
      <w:r>
        <w:rPr>
          <w:rFonts w:asciiTheme="minorHAnsi" w:hAnsiTheme="minorHAnsi"/>
        </w:rPr>
        <w:t xml:space="preserve"> in 2013-2014</w:t>
      </w:r>
      <w:r w:rsidRPr="00732811">
        <w:rPr>
          <w:rFonts w:asciiTheme="minorHAnsi" w:hAnsiTheme="minorHAnsi"/>
        </w:rPr>
        <w:t xml:space="preserve">, </w:t>
      </w:r>
      <w:r>
        <w:rPr>
          <w:rFonts w:asciiTheme="minorHAnsi" w:hAnsiTheme="minorHAnsi"/>
        </w:rPr>
        <w:t>287</w:t>
      </w:r>
      <w:r w:rsidRPr="00732811">
        <w:rPr>
          <w:rFonts w:asciiTheme="minorHAnsi" w:hAnsiTheme="minorHAnsi"/>
        </w:rPr>
        <w:t xml:space="preserve"> died </w:t>
      </w:r>
      <w:r>
        <w:t xml:space="preserve">from all causes and </w:t>
      </w:r>
      <w:r w:rsidRPr="001C26F5">
        <w:t>121 consequently died from an opioid-related overdose during the study period</w:t>
      </w:r>
      <w:r w:rsidR="00301E0D">
        <w:t>.  I</w:t>
      </w:r>
      <w:r w:rsidRPr="00AE76EB">
        <w:t xml:space="preserve">n this group, </w:t>
      </w:r>
      <w:r>
        <w:t>42.2</w:t>
      </w:r>
      <w:r w:rsidRPr="00AE76EB">
        <w:t>% (n=</w:t>
      </w:r>
      <w:r>
        <w:t>121</w:t>
      </w:r>
      <w:r w:rsidRPr="00AE76EB">
        <w:t>) died from an opioid-related overdose</w:t>
      </w:r>
      <w:r w:rsidR="00301E0D">
        <w:t xml:space="preserve">.  </w:t>
      </w:r>
      <w:r w:rsidRPr="00732811">
        <w:rPr>
          <w:rFonts w:asciiTheme="minorHAnsi" w:hAnsiTheme="minorHAnsi"/>
        </w:rPr>
        <w:t>In comparison, for the total population in the state, opioid</w:t>
      </w:r>
      <w:r>
        <w:rPr>
          <w:rFonts w:asciiTheme="minorHAnsi" w:hAnsiTheme="minorHAnsi"/>
        </w:rPr>
        <w:t>-related</w:t>
      </w:r>
      <w:r w:rsidRPr="00732811">
        <w:rPr>
          <w:rFonts w:asciiTheme="minorHAnsi" w:hAnsiTheme="minorHAnsi"/>
        </w:rPr>
        <w:t xml:space="preserve"> deaths accounted for only 2.1% (n=2,192)</w:t>
      </w:r>
      <w:r w:rsidR="00301E0D">
        <w:rPr>
          <w:rFonts w:asciiTheme="minorHAnsi" w:hAnsiTheme="minorHAnsi"/>
        </w:rPr>
        <w:t>.  T</w:t>
      </w:r>
      <w:r w:rsidRPr="001C26F5">
        <w:t>he leading cause of death was injuries of all intents: 124 unintentional injuries, 16 suicides, 9 homicides and 5 injuries of undetermined intent</w:t>
      </w:r>
      <w:r w:rsidR="00301E0D">
        <w:t>.  T</w:t>
      </w:r>
      <w:r w:rsidRPr="00732811">
        <w:rPr>
          <w:rFonts w:asciiTheme="minorHAnsi" w:hAnsiTheme="minorHAnsi"/>
        </w:rPr>
        <w:t>he second leading cause of death were ill-defined conditions-signs and symptoms (</w:t>
      </w:r>
      <w:r>
        <w:rPr>
          <w:rFonts w:asciiTheme="minorHAnsi" w:hAnsiTheme="minorHAnsi"/>
        </w:rPr>
        <w:t xml:space="preserve">30 </w:t>
      </w:r>
      <w:r w:rsidRPr="00732811">
        <w:rPr>
          <w:rFonts w:asciiTheme="minorHAnsi" w:hAnsiTheme="minorHAnsi"/>
        </w:rPr>
        <w:t>deaths), cancer (</w:t>
      </w:r>
      <w:r>
        <w:rPr>
          <w:rFonts w:asciiTheme="minorHAnsi" w:hAnsiTheme="minorHAnsi"/>
        </w:rPr>
        <w:t>20</w:t>
      </w:r>
      <w:r w:rsidRPr="00732811">
        <w:rPr>
          <w:rFonts w:asciiTheme="minorHAnsi" w:hAnsiTheme="minorHAnsi"/>
        </w:rPr>
        <w:t xml:space="preserve"> deaths), heart disease (</w:t>
      </w:r>
      <w:r>
        <w:rPr>
          <w:rFonts w:asciiTheme="minorHAnsi" w:hAnsiTheme="minorHAnsi"/>
        </w:rPr>
        <w:t>20</w:t>
      </w:r>
      <w:r w:rsidRPr="00732811">
        <w:rPr>
          <w:rFonts w:asciiTheme="minorHAnsi" w:hAnsiTheme="minorHAnsi"/>
        </w:rPr>
        <w:t xml:space="preserve"> deaths), </w:t>
      </w:r>
      <w:r>
        <w:rPr>
          <w:rFonts w:asciiTheme="minorHAnsi" w:hAnsiTheme="minorHAnsi"/>
        </w:rPr>
        <w:t xml:space="preserve">and </w:t>
      </w:r>
      <w:r w:rsidRPr="00732811">
        <w:rPr>
          <w:rFonts w:asciiTheme="minorHAnsi" w:hAnsiTheme="minorHAnsi"/>
        </w:rPr>
        <w:t>chronic liver disease (</w:t>
      </w:r>
      <w:r>
        <w:rPr>
          <w:rFonts w:asciiTheme="minorHAnsi" w:hAnsiTheme="minorHAnsi"/>
        </w:rPr>
        <w:t>9</w:t>
      </w:r>
      <w:r w:rsidRPr="00732811">
        <w:rPr>
          <w:rFonts w:asciiTheme="minorHAnsi" w:hAnsiTheme="minorHAnsi"/>
        </w:rPr>
        <w:t xml:space="preserve"> deaths)</w:t>
      </w:r>
      <w:r w:rsidR="00301E0D">
        <w:rPr>
          <w:rFonts w:asciiTheme="minorHAnsi" w:hAnsiTheme="minorHAnsi"/>
        </w:rPr>
        <w:t>.  L</w:t>
      </w:r>
      <w:r w:rsidRPr="00732811">
        <w:rPr>
          <w:rFonts w:asciiTheme="minorHAnsi" w:hAnsiTheme="minorHAnsi"/>
        </w:rPr>
        <w:t>ooking at the leading cause of death, we see that these were mostly unintentional poisonings involving opioids</w:t>
      </w:r>
      <w:r w:rsidR="00301E0D">
        <w:rPr>
          <w:rFonts w:asciiTheme="minorHAnsi" w:hAnsiTheme="minorHAnsi"/>
        </w:rPr>
        <w:t>.  D</w:t>
      </w:r>
      <w:r w:rsidRPr="00732811">
        <w:rPr>
          <w:rFonts w:asciiTheme="minorHAnsi" w:hAnsiTheme="minorHAnsi"/>
        </w:rPr>
        <w:t>eaths from opioid</w:t>
      </w:r>
      <w:r>
        <w:rPr>
          <w:rFonts w:asciiTheme="minorHAnsi" w:hAnsiTheme="minorHAnsi"/>
        </w:rPr>
        <w:t>-related</w:t>
      </w:r>
      <w:r w:rsidRPr="00732811">
        <w:rPr>
          <w:rFonts w:asciiTheme="minorHAnsi" w:hAnsiTheme="minorHAnsi"/>
        </w:rPr>
        <w:t xml:space="preserve"> overdoses were more common among persons younger than 45 years, whereas deaths from cardiovascular disease and cancer were more common among those 45 years of age or older</w:t>
      </w:r>
      <w:r w:rsidR="00301E0D">
        <w:rPr>
          <w:rFonts w:asciiTheme="minorHAnsi" w:hAnsiTheme="minorHAnsi"/>
        </w:rPr>
        <w:t>.  I</w:t>
      </w:r>
      <w:r w:rsidRPr="00732811">
        <w:rPr>
          <w:rFonts w:asciiTheme="minorHAnsi" w:hAnsiTheme="minorHAnsi"/>
        </w:rPr>
        <w:t>nmates who died from opioid</w:t>
      </w:r>
      <w:r>
        <w:rPr>
          <w:rFonts w:asciiTheme="minorHAnsi" w:hAnsiTheme="minorHAnsi"/>
        </w:rPr>
        <w:t>-related</w:t>
      </w:r>
      <w:r w:rsidRPr="00732811">
        <w:rPr>
          <w:rFonts w:asciiTheme="minorHAnsi" w:hAnsiTheme="minorHAnsi"/>
        </w:rPr>
        <w:t xml:space="preserve"> overdoses were </w:t>
      </w:r>
      <w:r w:rsidRPr="00313655">
        <w:rPr>
          <w:rFonts w:asciiTheme="minorHAnsi" w:hAnsiTheme="minorHAnsi"/>
        </w:rPr>
        <w:t>significantly younger than those inmates that died from other causes (35.0 vs. 47.0 years).</w:t>
      </w:r>
      <w:r w:rsidRPr="00313655">
        <w:rPr>
          <w:rFonts w:asciiTheme="minorHAnsi" w:hAnsiTheme="minorHAnsi"/>
          <w:bCs/>
        </w:rPr>
        <w:t xml:space="preserve">  See Table </w:t>
      </w:r>
      <w:r>
        <w:rPr>
          <w:rFonts w:asciiTheme="minorHAnsi" w:hAnsiTheme="minorHAnsi"/>
          <w:bCs/>
        </w:rPr>
        <w:t>C.3.</w:t>
      </w:r>
    </w:p>
    <w:p w:rsidR="00400E42" w:rsidRPr="00BF638C" w:rsidRDefault="00400E42" w:rsidP="00C33429">
      <w:pPr>
        <w:spacing w:after="120" w:line="276" w:lineRule="auto"/>
        <w:rPr>
          <w:b/>
          <w:bCs/>
          <w:color w:val="000000"/>
        </w:rPr>
      </w:pPr>
    </w:p>
    <w:tbl>
      <w:tblPr>
        <w:tblW w:w="8671" w:type="dxa"/>
        <w:tblInd w:w="352" w:type="dxa"/>
        <w:tblLook w:val="00A0" w:firstRow="1" w:lastRow="0" w:firstColumn="1" w:lastColumn="0" w:noHBand="0" w:noVBand="0"/>
      </w:tblPr>
      <w:tblGrid>
        <w:gridCol w:w="3453"/>
        <w:gridCol w:w="1225"/>
        <w:gridCol w:w="1993"/>
        <w:gridCol w:w="2000"/>
      </w:tblGrid>
      <w:tr w:rsidR="00400E42" w:rsidTr="00A92FFC">
        <w:trPr>
          <w:trHeight w:val="368"/>
        </w:trPr>
        <w:tc>
          <w:tcPr>
            <w:tcW w:w="0" w:type="auto"/>
            <w:gridSpan w:val="4"/>
            <w:tcBorders>
              <w:top w:val="single" w:sz="4" w:space="0" w:color="auto"/>
              <w:left w:val="single" w:sz="4" w:space="0" w:color="auto"/>
              <w:bottom w:val="single" w:sz="4" w:space="0" w:color="auto"/>
              <w:right w:val="single" w:sz="4" w:space="0" w:color="auto"/>
            </w:tcBorders>
            <w:noWrap/>
            <w:vAlign w:val="bottom"/>
          </w:tcPr>
          <w:p w:rsidR="00400E42" w:rsidRPr="007E161A" w:rsidRDefault="00400E42" w:rsidP="00C33429">
            <w:pPr>
              <w:spacing w:after="120" w:line="276" w:lineRule="auto"/>
              <w:jc w:val="center"/>
              <w:rPr>
                <w:rFonts w:ascii="Calibri" w:hAnsi="Calibri" w:cs="Arial"/>
                <w:b/>
                <w:bCs/>
                <w:color w:val="000000"/>
                <w:szCs w:val="22"/>
              </w:rPr>
            </w:pPr>
            <w:r w:rsidRPr="00732811">
              <w:rPr>
                <w:rFonts w:ascii="Calibri" w:hAnsi="Calibri"/>
                <w:b/>
                <w:bCs/>
                <w:color w:val="000000"/>
                <w:sz w:val="22"/>
                <w:szCs w:val="22"/>
              </w:rPr>
              <w:t xml:space="preserve">Table </w:t>
            </w:r>
            <w:r>
              <w:rPr>
                <w:rFonts w:ascii="Calibri" w:hAnsi="Calibri"/>
                <w:b/>
                <w:bCs/>
                <w:color w:val="000000"/>
                <w:sz w:val="22"/>
                <w:szCs w:val="22"/>
              </w:rPr>
              <w:t>C.3</w:t>
            </w:r>
            <w:r w:rsidRPr="00732811">
              <w:rPr>
                <w:rFonts w:ascii="Calibri" w:hAnsi="Calibri"/>
                <w:b/>
                <w:bCs/>
                <w:color w:val="000000"/>
                <w:sz w:val="22"/>
                <w:szCs w:val="22"/>
              </w:rPr>
              <w:t>: Mean Age at Death with 95% Confidence Intervals</w:t>
            </w:r>
            <w:r w:rsidR="003A0AFE">
              <w:rPr>
                <w:rFonts w:ascii="Calibri" w:hAnsi="Calibri"/>
                <w:b/>
                <w:bCs/>
                <w:color w:val="000000"/>
                <w:sz w:val="22"/>
                <w:szCs w:val="22"/>
              </w:rPr>
              <w:t xml:space="preserve"> (2013-2014)</w:t>
            </w:r>
          </w:p>
        </w:tc>
      </w:tr>
      <w:tr w:rsidR="00400E42" w:rsidTr="00A92FFC">
        <w:trPr>
          <w:trHeight w:val="238"/>
        </w:trPr>
        <w:tc>
          <w:tcPr>
            <w:tcW w:w="0" w:type="auto"/>
            <w:tcBorders>
              <w:top w:val="single" w:sz="4" w:space="0" w:color="auto"/>
              <w:left w:val="single" w:sz="4" w:space="0" w:color="auto"/>
              <w:bottom w:val="single" w:sz="4" w:space="0" w:color="auto"/>
              <w:right w:val="single" w:sz="4" w:space="0" w:color="auto"/>
            </w:tcBorders>
            <w:noWrap/>
            <w:vAlign w:val="bottom"/>
          </w:tcPr>
          <w:p w:rsidR="00400E42" w:rsidRPr="00732811" w:rsidRDefault="00400E42" w:rsidP="00C33429">
            <w:pPr>
              <w:spacing w:after="120" w:line="276" w:lineRule="auto"/>
              <w:rPr>
                <w:rFonts w:ascii="Calibri" w:hAnsi="Calibri"/>
                <w:b/>
                <w:bCs/>
                <w:color w:val="000000"/>
                <w:szCs w:val="22"/>
              </w:rPr>
            </w:pPr>
            <w:r w:rsidRPr="00732811">
              <w:rPr>
                <w:rFonts w:ascii="Calibri" w:hAnsi="Calibri"/>
                <w:b/>
                <w:bCs/>
                <w:color w:val="000000"/>
                <w:sz w:val="22"/>
                <w:szCs w:val="22"/>
              </w:rPr>
              <w:t>Age At Death (years)</w:t>
            </w:r>
          </w:p>
        </w:tc>
        <w:tc>
          <w:tcPr>
            <w:tcW w:w="0" w:type="auto"/>
            <w:tcBorders>
              <w:top w:val="single" w:sz="4" w:space="0" w:color="auto"/>
              <w:left w:val="single" w:sz="4" w:space="0" w:color="auto"/>
              <w:bottom w:val="single" w:sz="4" w:space="0" w:color="auto"/>
              <w:right w:val="single" w:sz="4" w:space="0" w:color="auto"/>
            </w:tcBorders>
          </w:tcPr>
          <w:p w:rsidR="00400E42" w:rsidRPr="007E161A" w:rsidRDefault="00400E42" w:rsidP="00C33429">
            <w:pPr>
              <w:spacing w:after="120" w:line="276" w:lineRule="auto"/>
              <w:jc w:val="center"/>
              <w:rPr>
                <w:rFonts w:ascii="Calibri" w:hAnsi="Calibri" w:cs="Arial"/>
                <w:b/>
                <w:bCs/>
                <w:color w:val="000000"/>
                <w:szCs w:val="22"/>
              </w:rPr>
            </w:pPr>
            <w:r w:rsidRPr="007E161A">
              <w:rPr>
                <w:rFonts w:ascii="Calibri" w:hAnsi="Calibri" w:cs="Arial"/>
                <w:b/>
                <w:bCs/>
                <w:color w:val="000000"/>
                <w:sz w:val="22"/>
                <w:szCs w:val="22"/>
              </w:rPr>
              <w:t>Mean</w:t>
            </w:r>
          </w:p>
        </w:tc>
        <w:tc>
          <w:tcPr>
            <w:tcW w:w="0" w:type="auto"/>
            <w:tcBorders>
              <w:top w:val="single" w:sz="4" w:space="0" w:color="auto"/>
              <w:left w:val="single" w:sz="4" w:space="0" w:color="auto"/>
              <w:bottom w:val="single" w:sz="4" w:space="0" w:color="auto"/>
              <w:right w:val="single" w:sz="4" w:space="0" w:color="auto"/>
            </w:tcBorders>
            <w:noWrap/>
          </w:tcPr>
          <w:p w:rsidR="00400E42" w:rsidRPr="007E161A" w:rsidRDefault="00400E42" w:rsidP="00C33429">
            <w:pPr>
              <w:spacing w:after="120" w:line="276" w:lineRule="auto"/>
              <w:jc w:val="center"/>
              <w:rPr>
                <w:rFonts w:ascii="Calibri" w:hAnsi="Calibri" w:cs="Arial"/>
                <w:b/>
                <w:bCs/>
                <w:color w:val="000000"/>
                <w:szCs w:val="22"/>
              </w:rPr>
            </w:pPr>
            <w:r w:rsidRPr="007E161A">
              <w:rPr>
                <w:rFonts w:ascii="Calibri" w:hAnsi="Calibri" w:cs="Arial"/>
                <w:b/>
                <w:bCs/>
                <w:color w:val="000000"/>
                <w:sz w:val="22"/>
                <w:szCs w:val="22"/>
              </w:rPr>
              <w:t>Lower 95%</w:t>
            </w:r>
          </w:p>
        </w:tc>
        <w:tc>
          <w:tcPr>
            <w:tcW w:w="0" w:type="auto"/>
            <w:tcBorders>
              <w:top w:val="single" w:sz="4" w:space="0" w:color="auto"/>
              <w:left w:val="single" w:sz="4" w:space="0" w:color="auto"/>
              <w:bottom w:val="single" w:sz="4" w:space="0" w:color="auto"/>
              <w:right w:val="single" w:sz="4" w:space="0" w:color="auto"/>
            </w:tcBorders>
            <w:noWrap/>
          </w:tcPr>
          <w:p w:rsidR="00400E42" w:rsidRPr="007E161A" w:rsidRDefault="00400E42" w:rsidP="00C33429">
            <w:pPr>
              <w:spacing w:after="120" w:line="276" w:lineRule="auto"/>
              <w:jc w:val="center"/>
              <w:rPr>
                <w:rFonts w:ascii="Calibri" w:hAnsi="Calibri" w:cs="Arial"/>
                <w:b/>
                <w:bCs/>
                <w:color w:val="000000"/>
                <w:szCs w:val="22"/>
              </w:rPr>
            </w:pPr>
            <w:r w:rsidRPr="007E161A">
              <w:rPr>
                <w:rFonts w:ascii="Calibri" w:hAnsi="Calibri" w:cs="Arial"/>
                <w:b/>
                <w:bCs/>
                <w:color w:val="000000"/>
                <w:sz w:val="22"/>
                <w:szCs w:val="22"/>
              </w:rPr>
              <w:t>Upper 95%</w:t>
            </w:r>
          </w:p>
        </w:tc>
      </w:tr>
      <w:tr w:rsidR="00400E42" w:rsidTr="00A92FFC">
        <w:trPr>
          <w:trHeight w:val="242"/>
        </w:trPr>
        <w:tc>
          <w:tcPr>
            <w:tcW w:w="0" w:type="auto"/>
            <w:tcBorders>
              <w:top w:val="single" w:sz="4" w:space="0" w:color="auto"/>
              <w:left w:val="single" w:sz="4" w:space="0" w:color="auto"/>
              <w:bottom w:val="single" w:sz="4" w:space="0" w:color="auto"/>
              <w:right w:val="single" w:sz="4" w:space="0" w:color="auto"/>
            </w:tcBorders>
            <w:noWrap/>
          </w:tcPr>
          <w:p w:rsidR="00400E42" w:rsidRPr="00163D74" w:rsidRDefault="00400E42" w:rsidP="00C33429">
            <w:pPr>
              <w:spacing w:after="120" w:line="276" w:lineRule="auto"/>
              <w:rPr>
                <w:rFonts w:ascii="Calibri" w:hAnsi="Calibri"/>
                <w:b/>
                <w:color w:val="000000"/>
                <w:szCs w:val="22"/>
              </w:rPr>
            </w:pPr>
            <w:r w:rsidRPr="00163D74">
              <w:rPr>
                <w:rFonts w:ascii="Calibri" w:hAnsi="Calibri"/>
                <w:b/>
                <w:color w:val="000000"/>
                <w:sz w:val="22"/>
                <w:szCs w:val="22"/>
              </w:rPr>
              <w:t>All deaths</w:t>
            </w:r>
          </w:p>
        </w:tc>
        <w:tc>
          <w:tcPr>
            <w:tcW w:w="0" w:type="auto"/>
            <w:tcBorders>
              <w:top w:val="single" w:sz="4" w:space="0" w:color="auto"/>
              <w:left w:val="single" w:sz="4" w:space="0" w:color="auto"/>
              <w:bottom w:val="single" w:sz="4" w:space="0" w:color="auto"/>
              <w:right w:val="single" w:sz="4" w:space="0" w:color="auto"/>
            </w:tcBorders>
          </w:tcPr>
          <w:p w:rsidR="00400E42" w:rsidRPr="007E161A" w:rsidRDefault="00400E42" w:rsidP="00C33429">
            <w:pPr>
              <w:spacing w:after="120" w:line="276" w:lineRule="auto"/>
              <w:jc w:val="center"/>
              <w:rPr>
                <w:rFonts w:ascii="Calibri" w:hAnsi="Calibri"/>
                <w:color w:val="000000"/>
                <w:szCs w:val="22"/>
              </w:rPr>
            </w:pPr>
            <w:r w:rsidRPr="007E161A">
              <w:rPr>
                <w:rFonts w:ascii="Calibri" w:hAnsi="Calibri"/>
                <w:color w:val="000000"/>
                <w:sz w:val="22"/>
                <w:szCs w:val="22"/>
              </w:rPr>
              <w:t>41.9</w:t>
            </w:r>
          </w:p>
        </w:tc>
        <w:tc>
          <w:tcPr>
            <w:tcW w:w="0" w:type="auto"/>
            <w:tcBorders>
              <w:top w:val="single" w:sz="4" w:space="0" w:color="auto"/>
              <w:left w:val="single" w:sz="4" w:space="0" w:color="auto"/>
              <w:bottom w:val="single" w:sz="4" w:space="0" w:color="auto"/>
              <w:right w:val="single" w:sz="4" w:space="0" w:color="auto"/>
            </w:tcBorders>
            <w:noWrap/>
          </w:tcPr>
          <w:p w:rsidR="00400E42" w:rsidRPr="007E161A" w:rsidRDefault="00400E42" w:rsidP="00C33429">
            <w:pPr>
              <w:spacing w:after="120" w:line="276" w:lineRule="auto"/>
              <w:jc w:val="center"/>
              <w:rPr>
                <w:rFonts w:ascii="Calibri" w:hAnsi="Calibri"/>
                <w:color w:val="000000"/>
                <w:szCs w:val="22"/>
              </w:rPr>
            </w:pPr>
            <w:r w:rsidRPr="007E161A">
              <w:rPr>
                <w:rFonts w:ascii="Calibri" w:hAnsi="Calibri"/>
                <w:color w:val="000000"/>
                <w:sz w:val="22"/>
                <w:szCs w:val="22"/>
              </w:rPr>
              <w:t>40.3</w:t>
            </w:r>
          </w:p>
        </w:tc>
        <w:tc>
          <w:tcPr>
            <w:tcW w:w="0" w:type="auto"/>
            <w:tcBorders>
              <w:top w:val="single" w:sz="4" w:space="0" w:color="auto"/>
              <w:left w:val="single" w:sz="4" w:space="0" w:color="auto"/>
              <w:bottom w:val="single" w:sz="4" w:space="0" w:color="auto"/>
              <w:right w:val="single" w:sz="4" w:space="0" w:color="auto"/>
            </w:tcBorders>
            <w:noWrap/>
          </w:tcPr>
          <w:p w:rsidR="00400E42" w:rsidRPr="007E161A" w:rsidRDefault="00400E42" w:rsidP="00C33429">
            <w:pPr>
              <w:spacing w:after="120" w:line="276" w:lineRule="auto"/>
              <w:jc w:val="center"/>
              <w:rPr>
                <w:rFonts w:ascii="Calibri" w:hAnsi="Calibri"/>
                <w:color w:val="000000"/>
                <w:szCs w:val="22"/>
              </w:rPr>
            </w:pPr>
            <w:r w:rsidRPr="007E161A">
              <w:rPr>
                <w:rFonts w:ascii="Calibri" w:hAnsi="Calibri"/>
                <w:color w:val="000000"/>
                <w:sz w:val="22"/>
                <w:szCs w:val="22"/>
              </w:rPr>
              <w:t>43.6</w:t>
            </w:r>
          </w:p>
        </w:tc>
      </w:tr>
      <w:tr w:rsidR="00400E42" w:rsidTr="00A92FFC">
        <w:trPr>
          <w:trHeight w:val="242"/>
        </w:trPr>
        <w:tc>
          <w:tcPr>
            <w:tcW w:w="0" w:type="auto"/>
            <w:tcBorders>
              <w:top w:val="single" w:sz="4" w:space="0" w:color="auto"/>
              <w:left w:val="single" w:sz="4" w:space="0" w:color="auto"/>
              <w:bottom w:val="single" w:sz="4" w:space="0" w:color="auto"/>
              <w:right w:val="single" w:sz="4" w:space="0" w:color="auto"/>
            </w:tcBorders>
            <w:noWrap/>
          </w:tcPr>
          <w:p w:rsidR="00400E42" w:rsidRPr="00163D74" w:rsidRDefault="00400E42" w:rsidP="00CA466A">
            <w:pPr>
              <w:spacing w:after="120" w:line="276" w:lineRule="auto"/>
              <w:ind w:firstLineChars="200" w:firstLine="442"/>
              <w:rPr>
                <w:rFonts w:ascii="Calibri" w:hAnsi="Calibri"/>
                <w:b/>
                <w:color w:val="000000"/>
                <w:szCs w:val="22"/>
              </w:rPr>
            </w:pPr>
            <w:r w:rsidRPr="00163D74">
              <w:rPr>
                <w:rFonts w:ascii="Calibri" w:hAnsi="Calibri"/>
                <w:b/>
                <w:color w:val="000000"/>
                <w:sz w:val="22"/>
                <w:szCs w:val="22"/>
              </w:rPr>
              <w:t>Opioid Deaths</w:t>
            </w:r>
          </w:p>
        </w:tc>
        <w:tc>
          <w:tcPr>
            <w:tcW w:w="0" w:type="auto"/>
            <w:tcBorders>
              <w:top w:val="single" w:sz="4" w:space="0" w:color="auto"/>
              <w:left w:val="single" w:sz="4" w:space="0" w:color="auto"/>
              <w:bottom w:val="single" w:sz="4" w:space="0" w:color="auto"/>
              <w:right w:val="single" w:sz="4" w:space="0" w:color="auto"/>
            </w:tcBorders>
          </w:tcPr>
          <w:p w:rsidR="00400E42" w:rsidRPr="007E161A" w:rsidRDefault="00400E42" w:rsidP="00C33429">
            <w:pPr>
              <w:spacing w:after="120" w:line="276" w:lineRule="auto"/>
              <w:jc w:val="center"/>
              <w:rPr>
                <w:rFonts w:ascii="Calibri" w:hAnsi="Calibri"/>
                <w:color w:val="000000"/>
                <w:szCs w:val="22"/>
              </w:rPr>
            </w:pPr>
            <w:r w:rsidRPr="007E161A">
              <w:rPr>
                <w:rFonts w:ascii="Calibri" w:hAnsi="Calibri"/>
                <w:color w:val="000000"/>
                <w:sz w:val="22"/>
                <w:szCs w:val="22"/>
              </w:rPr>
              <w:t>35.0</w:t>
            </w:r>
          </w:p>
        </w:tc>
        <w:tc>
          <w:tcPr>
            <w:tcW w:w="0" w:type="auto"/>
            <w:tcBorders>
              <w:top w:val="single" w:sz="4" w:space="0" w:color="auto"/>
              <w:left w:val="single" w:sz="4" w:space="0" w:color="auto"/>
              <w:bottom w:val="single" w:sz="4" w:space="0" w:color="auto"/>
              <w:right w:val="single" w:sz="4" w:space="0" w:color="auto"/>
            </w:tcBorders>
            <w:noWrap/>
          </w:tcPr>
          <w:p w:rsidR="00400E42" w:rsidRPr="007E161A" w:rsidRDefault="00400E42" w:rsidP="00C33429">
            <w:pPr>
              <w:spacing w:after="120" w:line="276" w:lineRule="auto"/>
              <w:jc w:val="center"/>
              <w:rPr>
                <w:rFonts w:ascii="Calibri" w:hAnsi="Calibri"/>
                <w:color w:val="000000"/>
                <w:szCs w:val="22"/>
              </w:rPr>
            </w:pPr>
            <w:r w:rsidRPr="007E161A">
              <w:rPr>
                <w:rFonts w:ascii="Calibri" w:hAnsi="Calibri"/>
                <w:color w:val="000000"/>
                <w:sz w:val="22"/>
                <w:szCs w:val="22"/>
              </w:rPr>
              <w:t>33.2</w:t>
            </w:r>
          </w:p>
        </w:tc>
        <w:tc>
          <w:tcPr>
            <w:tcW w:w="0" w:type="auto"/>
            <w:tcBorders>
              <w:top w:val="single" w:sz="4" w:space="0" w:color="auto"/>
              <w:left w:val="single" w:sz="4" w:space="0" w:color="auto"/>
              <w:bottom w:val="single" w:sz="4" w:space="0" w:color="auto"/>
              <w:right w:val="single" w:sz="4" w:space="0" w:color="auto"/>
            </w:tcBorders>
            <w:noWrap/>
          </w:tcPr>
          <w:p w:rsidR="00400E42" w:rsidRPr="007E161A" w:rsidRDefault="00400E42" w:rsidP="00C33429">
            <w:pPr>
              <w:spacing w:after="120" w:line="276" w:lineRule="auto"/>
              <w:jc w:val="center"/>
              <w:rPr>
                <w:rFonts w:ascii="Calibri" w:hAnsi="Calibri"/>
                <w:color w:val="000000"/>
                <w:szCs w:val="22"/>
              </w:rPr>
            </w:pPr>
            <w:r w:rsidRPr="007E161A">
              <w:rPr>
                <w:rFonts w:ascii="Calibri" w:hAnsi="Calibri"/>
                <w:color w:val="000000"/>
                <w:sz w:val="22"/>
                <w:szCs w:val="22"/>
              </w:rPr>
              <w:t>36.7</w:t>
            </w:r>
          </w:p>
        </w:tc>
      </w:tr>
      <w:tr w:rsidR="00400E42" w:rsidTr="00A92FFC">
        <w:trPr>
          <w:trHeight w:val="238"/>
        </w:trPr>
        <w:tc>
          <w:tcPr>
            <w:tcW w:w="0" w:type="auto"/>
            <w:tcBorders>
              <w:top w:val="single" w:sz="4" w:space="0" w:color="auto"/>
              <w:left w:val="single" w:sz="4" w:space="0" w:color="auto"/>
              <w:bottom w:val="single" w:sz="4" w:space="0" w:color="auto"/>
              <w:right w:val="single" w:sz="4" w:space="0" w:color="auto"/>
            </w:tcBorders>
            <w:noWrap/>
          </w:tcPr>
          <w:p w:rsidR="00400E42" w:rsidRPr="00163D74" w:rsidRDefault="00400E42" w:rsidP="00CA466A">
            <w:pPr>
              <w:spacing w:after="120" w:line="276" w:lineRule="auto"/>
              <w:ind w:firstLineChars="200" w:firstLine="442"/>
              <w:rPr>
                <w:rFonts w:ascii="Calibri" w:hAnsi="Calibri"/>
                <w:b/>
                <w:color w:val="000000"/>
                <w:szCs w:val="22"/>
              </w:rPr>
            </w:pPr>
            <w:r>
              <w:rPr>
                <w:rFonts w:ascii="Calibri" w:hAnsi="Calibri"/>
                <w:b/>
                <w:color w:val="000000"/>
                <w:sz w:val="22"/>
                <w:szCs w:val="22"/>
              </w:rPr>
              <w:t>Non-</w:t>
            </w:r>
            <w:r w:rsidRPr="00163D74">
              <w:rPr>
                <w:rFonts w:ascii="Calibri" w:hAnsi="Calibri"/>
                <w:b/>
                <w:color w:val="000000"/>
                <w:sz w:val="22"/>
                <w:szCs w:val="22"/>
              </w:rPr>
              <w:t>Opioid Deaths</w:t>
            </w:r>
          </w:p>
        </w:tc>
        <w:tc>
          <w:tcPr>
            <w:tcW w:w="0" w:type="auto"/>
            <w:tcBorders>
              <w:top w:val="single" w:sz="4" w:space="0" w:color="auto"/>
              <w:left w:val="single" w:sz="4" w:space="0" w:color="auto"/>
              <w:bottom w:val="single" w:sz="4" w:space="0" w:color="auto"/>
              <w:right w:val="single" w:sz="4" w:space="0" w:color="auto"/>
            </w:tcBorders>
          </w:tcPr>
          <w:p w:rsidR="00400E42" w:rsidRPr="007E161A" w:rsidRDefault="00400E42" w:rsidP="00C33429">
            <w:pPr>
              <w:spacing w:after="120" w:line="276" w:lineRule="auto"/>
              <w:jc w:val="center"/>
              <w:rPr>
                <w:rFonts w:ascii="Calibri" w:hAnsi="Calibri"/>
                <w:color w:val="000000"/>
                <w:szCs w:val="22"/>
              </w:rPr>
            </w:pPr>
            <w:r w:rsidRPr="007E161A">
              <w:rPr>
                <w:rFonts w:ascii="Calibri" w:hAnsi="Calibri"/>
                <w:color w:val="000000"/>
                <w:sz w:val="22"/>
                <w:szCs w:val="22"/>
              </w:rPr>
              <w:t>47.0</w:t>
            </w:r>
          </w:p>
        </w:tc>
        <w:tc>
          <w:tcPr>
            <w:tcW w:w="0" w:type="auto"/>
            <w:tcBorders>
              <w:top w:val="single" w:sz="4" w:space="0" w:color="auto"/>
              <w:left w:val="single" w:sz="4" w:space="0" w:color="auto"/>
              <w:bottom w:val="single" w:sz="4" w:space="0" w:color="auto"/>
              <w:right w:val="single" w:sz="4" w:space="0" w:color="auto"/>
            </w:tcBorders>
            <w:noWrap/>
          </w:tcPr>
          <w:p w:rsidR="00400E42" w:rsidRPr="007E161A" w:rsidRDefault="00400E42" w:rsidP="00C33429">
            <w:pPr>
              <w:spacing w:after="120" w:line="276" w:lineRule="auto"/>
              <w:jc w:val="center"/>
              <w:rPr>
                <w:rFonts w:ascii="Calibri" w:hAnsi="Calibri"/>
                <w:color w:val="000000"/>
                <w:szCs w:val="22"/>
              </w:rPr>
            </w:pPr>
            <w:r w:rsidRPr="007E161A">
              <w:rPr>
                <w:rFonts w:ascii="Calibri" w:hAnsi="Calibri"/>
                <w:color w:val="000000"/>
                <w:sz w:val="22"/>
                <w:szCs w:val="22"/>
              </w:rPr>
              <w:t>44.7</w:t>
            </w:r>
          </w:p>
        </w:tc>
        <w:tc>
          <w:tcPr>
            <w:tcW w:w="0" w:type="auto"/>
            <w:tcBorders>
              <w:top w:val="single" w:sz="4" w:space="0" w:color="auto"/>
              <w:left w:val="single" w:sz="4" w:space="0" w:color="auto"/>
              <w:bottom w:val="single" w:sz="4" w:space="0" w:color="auto"/>
              <w:right w:val="single" w:sz="4" w:space="0" w:color="auto"/>
            </w:tcBorders>
            <w:noWrap/>
          </w:tcPr>
          <w:p w:rsidR="00400E42" w:rsidRPr="007E161A" w:rsidRDefault="00400E42" w:rsidP="00C33429">
            <w:pPr>
              <w:spacing w:after="120" w:line="276" w:lineRule="auto"/>
              <w:jc w:val="center"/>
              <w:rPr>
                <w:rFonts w:ascii="Calibri" w:hAnsi="Calibri"/>
                <w:color w:val="000000"/>
                <w:szCs w:val="22"/>
              </w:rPr>
            </w:pPr>
            <w:r w:rsidRPr="007E161A">
              <w:rPr>
                <w:rFonts w:ascii="Calibri" w:hAnsi="Calibri"/>
                <w:color w:val="000000"/>
                <w:sz w:val="22"/>
                <w:szCs w:val="22"/>
              </w:rPr>
              <w:t>49.2</w:t>
            </w:r>
          </w:p>
        </w:tc>
      </w:tr>
    </w:tbl>
    <w:p w:rsidR="00400E42" w:rsidRPr="007E161A" w:rsidRDefault="00400E42" w:rsidP="00C33429">
      <w:pPr>
        <w:spacing w:after="120" w:line="276" w:lineRule="auto"/>
        <w:rPr>
          <w:rFonts w:ascii="Calibri" w:hAnsi="Calibri"/>
          <w:sz w:val="22"/>
          <w:szCs w:val="22"/>
        </w:rPr>
      </w:pPr>
    </w:p>
    <w:p w:rsidR="00400E42" w:rsidRDefault="00400E42" w:rsidP="002D6E20">
      <w:pPr>
        <w:pStyle w:val="PBody"/>
      </w:pPr>
      <w:r w:rsidRPr="007E161A">
        <w:t>Nearly one-quarter of released inmates in 2013-2014 who died of an opioid-</w:t>
      </w:r>
      <w:r>
        <w:t xml:space="preserve">related </w:t>
      </w:r>
      <w:r w:rsidRPr="007E161A">
        <w:t>overdose died within 30 days of release</w:t>
      </w:r>
      <w:r w:rsidR="00301E0D">
        <w:t>.  T</w:t>
      </w:r>
      <w:r w:rsidRPr="007E161A">
        <w:t>he mean time from release to death was 13 months, ranging from dying within the same month as release (or in prison) to 42 months later</w:t>
      </w:r>
      <w:r w:rsidR="00301E0D">
        <w:t>.  S</w:t>
      </w:r>
      <w:r>
        <w:t>ee Figure C.4.</w:t>
      </w:r>
    </w:p>
    <w:p w:rsidR="00400E42" w:rsidRPr="004173AA" w:rsidRDefault="00400E42" w:rsidP="00C33429">
      <w:pPr>
        <w:spacing w:after="120" w:line="276" w:lineRule="auto"/>
        <w:rPr>
          <w:rFonts w:cs="Arial"/>
          <w:color w:val="000000"/>
        </w:rPr>
      </w:pPr>
    </w:p>
    <w:p w:rsidR="00400E42" w:rsidRPr="007E161A" w:rsidRDefault="00400E42" w:rsidP="00C33429">
      <w:pPr>
        <w:spacing w:after="120" w:line="276" w:lineRule="auto"/>
        <w:rPr>
          <w:rFonts w:ascii="Calibri" w:hAnsi="Calibri"/>
          <w:sz w:val="22"/>
          <w:szCs w:val="22"/>
        </w:rPr>
      </w:pPr>
      <w:r>
        <w:rPr>
          <w:noProof/>
        </w:rPr>
        <w:lastRenderedPageBreak/>
        <w:drawing>
          <wp:inline distT="0" distB="0" distL="0" distR="0" wp14:anchorId="2271E338" wp14:editId="0626A5FA">
            <wp:extent cx="5962650" cy="2809875"/>
            <wp:effectExtent l="0" t="0" r="19050" b="9525"/>
            <wp:docPr id="12"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00E42" w:rsidRDefault="00400E42" w:rsidP="00C33429">
      <w:pPr>
        <w:spacing w:after="120" w:line="276" w:lineRule="auto"/>
        <w:rPr>
          <w:rFonts w:ascii="Calibri" w:hAnsi="Calibri"/>
          <w:color w:val="1F497D"/>
          <w:sz w:val="22"/>
          <w:szCs w:val="22"/>
        </w:rPr>
      </w:pPr>
    </w:p>
    <w:p w:rsidR="00400E42" w:rsidRPr="00064257" w:rsidRDefault="00400E42" w:rsidP="00C33429">
      <w:pPr>
        <w:spacing w:after="120" w:line="276" w:lineRule="auto"/>
        <w:rPr>
          <w:rFonts w:ascii="Calibri" w:hAnsi="Calibri"/>
          <w:b/>
          <w:sz w:val="22"/>
          <w:szCs w:val="22"/>
        </w:rPr>
      </w:pPr>
      <w:r w:rsidRPr="004F263D">
        <w:rPr>
          <w:rFonts w:ascii="Calibri" w:hAnsi="Calibri"/>
          <w:b/>
          <w:color w:val="000000"/>
          <w:sz w:val="22"/>
          <w:szCs w:val="22"/>
        </w:rPr>
        <w:t>Additional Single Table Discussion</w:t>
      </w:r>
      <w:r>
        <w:rPr>
          <w:rFonts w:ascii="Calibri" w:hAnsi="Calibri"/>
          <w:b/>
          <w:color w:val="000000"/>
          <w:sz w:val="28"/>
          <w:szCs w:val="22"/>
        </w:rPr>
        <w:t xml:space="preserve">: </w:t>
      </w:r>
      <w:r w:rsidRPr="00064257">
        <w:rPr>
          <w:rFonts w:ascii="Calibri" w:hAnsi="Calibri"/>
          <w:b/>
          <w:sz w:val="22"/>
          <w:szCs w:val="22"/>
        </w:rPr>
        <w:t xml:space="preserve">Bureau of Substance Abuse Services (BSAS) </w:t>
      </w:r>
    </w:p>
    <w:p w:rsidR="00400E42" w:rsidRPr="00064257" w:rsidRDefault="00400E42" w:rsidP="002D6E20">
      <w:pPr>
        <w:pStyle w:val="PBody"/>
      </w:pPr>
      <w:r>
        <w:rPr>
          <w:b/>
        </w:rPr>
        <w:t>Key</w:t>
      </w:r>
      <w:r w:rsidRPr="00064257">
        <w:rPr>
          <w:b/>
        </w:rPr>
        <w:t xml:space="preserve"> Findings</w:t>
      </w:r>
      <w:r>
        <w:rPr>
          <w:b/>
        </w:rPr>
        <w:t xml:space="preserve">:  </w:t>
      </w:r>
      <w:r w:rsidRPr="00064257">
        <w:t xml:space="preserve">Between 2011 and 2014, 149,351 people received addiction treatment or other recovery related services from providers that report to the </w:t>
      </w:r>
      <w:r>
        <w:t>BSAS</w:t>
      </w:r>
      <w:r w:rsidR="00301E0D">
        <w:t>.  T</w:t>
      </w:r>
      <w:r w:rsidRPr="00064257">
        <w:t>hese clients were 76% white non-Hispanic, 68% male, had a median age of 37 years</w:t>
      </w:r>
      <w:r w:rsidR="00301E0D">
        <w:t>.  O</w:t>
      </w:r>
      <w:r w:rsidRPr="00064257">
        <w:t>f the 149,351 people utilizing services, 87% (130,452) had at least one admission in 2011-2014; the remaining 13% utilized services in programs in which they were admitted to prior to 2011</w:t>
      </w:r>
      <w:r w:rsidR="00301E0D">
        <w:t>.  B</w:t>
      </w:r>
      <w:r w:rsidRPr="00064257">
        <w:t xml:space="preserve">ased on clients with admissions in the study period, 60% reported prior mental health treatment and 20% reported a prior overdose. </w:t>
      </w:r>
    </w:p>
    <w:p w:rsidR="00400E42" w:rsidRPr="00064257" w:rsidRDefault="00400E42" w:rsidP="002D6E20">
      <w:pPr>
        <w:pStyle w:val="PBody"/>
      </w:pPr>
      <w:r w:rsidRPr="00064257">
        <w:t xml:space="preserve">Additionally, 47% had at least one opioid-related admission.  Similarly, </w:t>
      </w:r>
      <w:r w:rsidR="00D13587">
        <w:t>people admitted to treatment reporting opioid use has increased since FY 2012</w:t>
      </w:r>
      <w:r w:rsidR="00301E0D">
        <w:t>.  O</w:t>
      </w:r>
      <w:r w:rsidRPr="00064257">
        <w:t xml:space="preserve">f the clients reporting an </w:t>
      </w:r>
      <w:r>
        <w:t>o</w:t>
      </w:r>
      <w:r w:rsidRPr="00064257">
        <w:t>pioid problem, the percentage that report a Heroin problem has increased over the last several years, as those that report a problem with other Opioids has simultaneously decreased.  In fact, treatment admissions for non-</w:t>
      </w:r>
      <w:r>
        <w:t>H</w:t>
      </w:r>
      <w:r w:rsidRPr="00064257">
        <w:t>eroin opioids increased from 3.7% of all opioid admissions in 2000 to 21.8% in 2011 and then dropped to 9.9% in 2014</w:t>
      </w:r>
      <w:r w:rsidR="00301E0D">
        <w:t>.  T</w:t>
      </w:r>
      <w:r w:rsidRPr="00064257">
        <w:t xml:space="preserve">his suggests that </w:t>
      </w:r>
      <w:r>
        <w:t>H</w:t>
      </w:r>
      <w:r w:rsidRPr="00064257">
        <w:t>eroin is a major contributor</w:t>
      </w:r>
      <w:r>
        <w:t xml:space="preserve"> in regards to the</w:t>
      </w:r>
      <w:r w:rsidRPr="00064257">
        <w:t xml:space="preserve"> increase in treatment admissions for </w:t>
      </w:r>
      <w:r>
        <w:t>O</w:t>
      </w:r>
      <w:r w:rsidRPr="00064257">
        <w:t>pioid addiction.  Although it is important t</w:t>
      </w:r>
      <w:r w:rsidR="00D13587">
        <w:t>o</w:t>
      </w:r>
      <w:r w:rsidRPr="00064257">
        <w:t xml:space="preserve"> note </w:t>
      </w:r>
      <w:r w:rsidR="00D13587">
        <w:t xml:space="preserve">that </w:t>
      </w:r>
      <w:r w:rsidRPr="00064257">
        <w:t>prescription opioids still play a role in opioid addiction and overdose</w:t>
      </w:r>
      <w:r w:rsidR="00301E0D">
        <w:t>.  O</w:t>
      </w:r>
      <w:r w:rsidRPr="00064257">
        <w:t xml:space="preserve">ver half of the individuals who received treatment through BSAS had a prescription for an </w:t>
      </w:r>
      <w:r>
        <w:t>O</w:t>
      </w:r>
      <w:r w:rsidRPr="00064257">
        <w:t>pioid in the PDMP during the study period.</w:t>
      </w:r>
    </w:p>
    <w:p w:rsidR="00400E42" w:rsidRPr="00064257" w:rsidRDefault="00400E42" w:rsidP="002D6E20">
      <w:pPr>
        <w:pStyle w:val="PBody"/>
        <w:rPr>
          <w:b/>
        </w:rPr>
      </w:pPr>
      <w:r w:rsidRPr="00064257">
        <w:t>2,832 of the 149,351 clients</w:t>
      </w:r>
      <w:r>
        <w:t xml:space="preserve"> (1.9%)</w:t>
      </w:r>
      <w:r w:rsidRPr="00064257">
        <w:t xml:space="preserve"> died in 2013 and 2014</w:t>
      </w:r>
      <w:r w:rsidR="00301E0D">
        <w:t>.  O</w:t>
      </w:r>
      <w:r w:rsidRPr="00064257">
        <w:t xml:space="preserve">f these deaths, 1,026 were due to </w:t>
      </w:r>
      <w:r>
        <w:t>o</w:t>
      </w:r>
      <w:r w:rsidRPr="00064257">
        <w:t>pioid-related overdoses</w:t>
      </w:r>
      <w:r>
        <w:t xml:space="preserve"> (36.2%)</w:t>
      </w:r>
      <w:r w:rsidR="00301E0D">
        <w:t>.  T</w:t>
      </w:r>
      <w:r w:rsidRPr="00064257">
        <w:t>he remaining 1,806 deaths were due to chronic disease or other causes (Figure</w:t>
      </w:r>
      <w:r>
        <w:t xml:space="preserve"> C.6</w:t>
      </w:r>
      <w:r w:rsidRPr="00064257">
        <w:t>)</w:t>
      </w:r>
      <w:r w:rsidRPr="00064257">
        <w:rPr>
          <w:b/>
        </w:rPr>
        <w:t>.</w:t>
      </w:r>
    </w:p>
    <w:p w:rsidR="00400E42" w:rsidRPr="00064257" w:rsidRDefault="00400E42" w:rsidP="00C33429">
      <w:pPr>
        <w:tabs>
          <w:tab w:val="left" w:pos="-720"/>
        </w:tabs>
        <w:spacing w:after="120" w:line="276" w:lineRule="auto"/>
        <w:rPr>
          <w:rFonts w:ascii="Calibri" w:hAnsi="Calibri"/>
          <w:b/>
          <w:sz w:val="22"/>
          <w:szCs w:val="22"/>
        </w:rPr>
      </w:pPr>
    </w:p>
    <w:p w:rsidR="00400E42" w:rsidRPr="00064257" w:rsidRDefault="00400E42" w:rsidP="00C33429">
      <w:pPr>
        <w:tabs>
          <w:tab w:val="left" w:pos="-720"/>
        </w:tabs>
        <w:spacing w:after="120" w:line="276" w:lineRule="auto"/>
        <w:rPr>
          <w:rFonts w:ascii="Calibri" w:hAnsi="Calibri"/>
          <w:b/>
          <w:sz w:val="22"/>
          <w:szCs w:val="22"/>
        </w:rPr>
      </w:pPr>
      <w:r>
        <w:rPr>
          <w:noProof/>
        </w:rPr>
        <w:lastRenderedPageBreak/>
        <w:drawing>
          <wp:inline distT="0" distB="0" distL="0" distR="0" wp14:anchorId="13BA1801" wp14:editId="653789F8">
            <wp:extent cx="5895340" cy="2419350"/>
            <wp:effectExtent l="0" t="0" r="10160" b="19050"/>
            <wp:docPr id="1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00E42" w:rsidRPr="00064257" w:rsidRDefault="00400E42" w:rsidP="00C33429">
      <w:pPr>
        <w:tabs>
          <w:tab w:val="left" w:pos="-720"/>
        </w:tabs>
        <w:spacing w:after="120" w:line="276" w:lineRule="auto"/>
        <w:rPr>
          <w:rFonts w:ascii="Calibri" w:hAnsi="Calibri"/>
          <w:sz w:val="22"/>
          <w:szCs w:val="22"/>
        </w:rPr>
      </w:pPr>
    </w:p>
    <w:p w:rsidR="00400E42" w:rsidRDefault="00400E42" w:rsidP="002D6E20">
      <w:pPr>
        <w:pStyle w:val="PBody"/>
      </w:pPr>
      <w:r w:rsidRPr="00064257">
        <w:t xml:space="preserve">Of all confirmed </w:t>
      </w:r>
      <w:r>
        <w:t>opioid-</w:t>
      </w:r>
      <w:r w:rsidRPr="00064257">
        <w:t xml:space="preserve">related overdose deaths in 2013-2014 (n = 2,192), 47% (n=1,026) utilized addiction treatment and recovery services in BSAS system (Figure </w:t>
      </w:r>
      <w:r>
        <w:t>C.7</w:t>
      </w:r>
      <w:r w:rsidRPr="00064257">
        <w:t>).</w:t>
      </w:r>
    </w:p>
    <w:p w:rsidR="00C33429" w:rsidRPr="00064257" w:rsidRDefault="00C33429" w:rsidP="00C33429">
      <w:pPr>
        <w:tabs>
          <w:tab w:val="left" w:pos="-720"/>
        </w:tabs>
        <w:spacing w:after="120" w:line="276" w:lineRule="auto"/>
        <w:rPr>
          <w:rFonts w:ascii="Calibri" w:hAnsi="Calibri"/>
          <w:sz w:val="22"/>
          <w:szCs w:val="22"/>
        </w:rPr>
      </w:pPr>
    </w:p>
    <w:p w:rsidR="00400E42" w:rsidRPr="00064257" w:rsidRDefault="00400E42" w:rsidP="00C33429">
      <w:pPr>
        <w:tabs>
          <w:tab w:val="left" w:pos="-720"/>
        </w:tabs>
        <w:spacing w:after="120" w:line="276" w:lineRule="auto"/>
        <w:rPr>
          <w:rFonts w:ascii="Calibri" w:hAnsi="Calibri"/>
          <w:b/>
          <w:sz w:val="22"/>
          <w:szCs w:val="22"/>
        </w:rPr>
      </w:pPr>
      <w:r>
        <w:rPr>
          <w:noProof/>
        </w:rPr>
        <w:drawing>
          <wp:inline distT="0" distB="0" distL="0" distR="0" wp14:anchorId="1EB4E45C" wp14:editId="1CA95B2A">
            <wp:extent cx="5895340" cy="2648585"/>
            <wp:effectExtent l="0" t="0" r="10160" b="18415"/>
            <wp:docPr id="14"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00E42" w:rsidRPr="00064257" w:rsidRDefault="00400E42" w:rsidP="00C33429">
      <w:pPr>
        <w:tabs>
          <w:tab w:val="left" w:pos="-720"/>
        </w:tabs>
        <w:spacing w:after="120" w:line="276" w:lineRule="auto"/>
        <w:rPr>
          <w:rFonts w:ascii="Calibri" w:hAnsi="Calibri"/>
          <w:b/>
          <w:sz w:val="22"/>
          <w:szCs w:val="22"/>
        </w:rPr>
      </w:pPr>
    </w:p>
    <w:p w:rsidR="006318A0" w:rsidRDefault="006318A0" w:rsidP="00C33429">
      <w:pPr>
        <w:tabs>
          <w:tab w:val="left" w:pos="-720"/>
        </w:tabs>
        <w:spacing w:after="120" w:line="276" w:lineRule="auto"/>
        <w:rPr>
          <w:rFonts w:ascii="Calibri" w:hAnsi="Calibri"/>
          <w:b/>
          <w:sz w:val="22"/>
          <w:szCs w:val="22"/>
        </w:rPr>
      </w:pPr>
    </w:p>
    <w:p w:rsidR="006318A0" w:rsidRDefault="006318A0" w:rsidP="00C33429">
      <w:pPr>
        <w:tabs>
          <w:tab w:val="left" w:pos="-720"/>
        </w:tabs>
        <w:spacing w:after="120" w:line="276" w:lineRule="auto"/>
        <w:rPr>
          <w:rFonts w:ascii="Calibri" w:hAnsi="Calibri"/>
          <w:b/>
          <w:sz w:val="22"/>
          <w:szCs w:val="22"/>
        </w:rPr>
      </w:pPr>
    </w:p>
    <w:p w:rsidR="00400E42" w:rsidRPr="00064257" w:rsidRDefault="00400E42" w:rsidP="00C33429">
      <w:pPr>
        <w:tabs>
          <w:tab w:val="left" w:pos="-720"/>
        </w:tabs>
        <w:spacing w:after="120" w:line="276" w:lineRule="auto"/>
        <w:rPr>
          <w:rFonts w:ascii="Calibri" w:hAnsi="Calibri"/>
          <w:b/>
          <w:sz w:val="22"/>
          <w:szCs w:val="22"/>
        </w:rPr>
      </w:pPr>
      <w:r w:rsidRPr="00064257">
        <w:rPr>
          <w:rFonts w:ascii="Calibri" w:hAnsi="Calibri"/>
          <w:b/>
          <w:sz w:val="22"/>
          <w:szCs w:val="22"/>
        </w:rPr>
        <w:t>Demographics of Fatal Opioid Overdoses among BSAS clients</w:t>
      </w:r>
    </w:p>
    <w:p w:rsidR="00400E42" w:rsidRPr="00064257" w:rsidRDefault="00400E42" w:rsidP="002D6E20">
      <w:pPr>
        <w:pStyle w:val="PBody"/>
      </w:pPr>
      <w:r w:rsidRPr="00064257">
        <w:t xml:space="preserve">Among the 1,026 people who died of an </w:t>
      </w:r>
      <w:r>
        <w:t>o</w:t>
      </w:r>
      <w:r w:rsidRPr="00064257">
        <w:t>pioid-related overdose and utilized addiction treatment and recovery services in</w:t>
      </w:r>
      <w:r>
        <w:t xml:space="preserve"> the BSAS system, 85% were W</w:t>
      </w:r>
      <w:r w:rsidRPr="00064257">
        <w:t>hite non-Hispanic, 71% were male</w:t>
      </w:r>
      <w:r>
        <w:t>,</w:t>
      </w:r>
      <w:r w:rsidRPr="00064257">
        <w:t xml:space="preserve"> and </w:t>
      </w:r>
      <w:r>
        <w:t xml:space="preserve">they </w:t>
      </w:r>
      <w:r w:rsidRPr="00064257">
        <w:t xml:space="preserve">had a median age of 36 at the time of death. </w:t>
      </w:r>
    </w:p>
    <w:p w:rsidR="00400E42" w:rsidRPr="00064257" w:rsidRDefault="00400E42" w:rsidP="00C33429">
      <w:pPr>
        <w:tabs>
          <w:tab w:val="left" w:pos="-720"/>
        </w:tabs>
        <w:spacing w:after="120" w:line="276" w:lineRule="auto"/>
        <w:rPr>
          <w:rFonts w:ascii="Calibri" w:hAnsi="Calibri"/>
          <w:b/>
          <w:sz w:val="22"/>
          <w:szCs w:val="22"/>
        </w:rPr>
      </w:pPr>
      <w:r w:rsidRPr="00064257">
        <w:rPr>
          <w:rFonts w:ascii="Calibri" w:hAnsi="Calibri"/>
          <w:b/>
          <w:sz w:val="22"/>
          <w:szCs w:val="22"/>
        </w:rPr>
        <w:lastRenderedPageBreak/>
        <w:t>BSAS Treatment Population: Comparing No Death vs. Fatal Opioid overdose</w:t>
      </w:r>
    </w:p>
    <w:p w:rsidR="00400E42" w:rsidRPr="00064257" w:rsidRDefault="00400E42" w:rsidP="002D6E20">
      <w:pPr>
        <w:pStyle w:val="PBody"/>
      </w:pPr>
      <w:r w:rsidRPr="00064257">
        <w:t>BSAS clients that died of an opioid</w:t>
      </w:r>
      <w:r>
        <w:t>-related</w:t>
      </w:r>
      <w:r w:rsidRPr="00064257">
        <w:t xml:space="preserve"> overdose in 2013 and 2014 utilized more acute services within the BSAS treatment system relative to other clients</w:t>
      </w:r>
      <w:r w:rsidR="00301E0D">
        <w:t>.  O</w:t>
      </w:r>
      <w:r w:rsidRPr="00064257">
        <w:t>f the 1,026 people utilizing services, 91% (933) had at least one recent admission in 2011-2014; the remaining 9% utilized services in programs in which they were admitted to prior to 2011</w:t>
      </w:r>
      <w:r w:rsidR="00301E0D">
        <w:t>.  B</w:t>
      </w:r>
      <w:r w:rsidRPr="00064257">
        <w:t>ased on these 933 clients with recent admissions, 87% had at least one opioid-related admission, 79% reported prior mental health treatment</w:t>
      </w:r>
      <w:r>
        <w:t>,</w:t>
      </w:r>
      <w:r w:rsidRPr="00064257">
        <w:t xml:space="preserve"> and 51% reported a prior overdose.</w:t>
      </w:r>
    </w:p>
    <w:p w:rsidR="00400E42" w:rsidRPr="00064257" w:rsidRDefault="00400E42" w:rsidP="00C33429">
      <w:pPr>
        <w:tabs>
          <w:tab w:val="left" w:pos="-720"/>
        </w:tabs>
        <w:spacing w:after="120" w:line="276" w:lineRule="auto"/>
        <w:rPr>
          <w:rFonts w:ascii="Calibri" w:hAnsi="Calibri"/>
          <w:sz w:val="22"/>
          <w:szCs w:val="22"/>
        </w:rPr>
      </w:pPr>
    </w:p>
    <w:p w:rsidR="00400E42" w:rsidRPr="00064257" w:rsidRDefault="00400E42" w:rsidP="00C33429">
      <w:pPr>
        <w:tabs>
          <w:tab w:val="left" w:pos="-720"/>
        </w:tabs>
        <w:spacing w:after="120" w:line="276" w:lineRule="auto"/>
        <w:rPr>
          <w:rFonts w:ascii="Calibri" w:hAnsi="Calibri"/>
          <w:b/>
          <w:sz w:val="22"/>
          <w:szCs w:val="22"/>
        </w:rPr>
      </w:pPr>
      <w:r w:rsidRPr="00064257">
        <w:rPr>
          <w:rFonts w:ascii="Calibri" w:hAnsi="Calibri"/>
          <w:b/>
          <w:sz w:val="22"/>
          <w:szCs w:val="22"/>
        </w:rPr>
        <w:t>Key Take Aways</w:t>
      </w:r>
    </w:p>
    <w:p w:rsidR="00400E42" w:rsidRPr="00064257" w:rsidRDefault="00400E42" w:rsidP="00C33429">
      <w:pPr>
        <w:pStyle w:val="ListParagraph"/>
        <w:numPr>
          <w:ilvl w:val="0"/>
          <w:numId w:val="29"/>
        </w:numPr>
        <w:tabs>
          <w:tab w:val="left" w:pos="-720"/>
        </w:tabs>
        <w:spacing w:after="120" w:line="276" w:lineRule="auto"/>
        <w:rPr>
          <w:rFonts w:ascii="Calibri" w:hAnsi="Calibri"/>
          <w:sz w:val="22"/>
          <w:szCs w:val="22"/>
        </w:rPr>
      </w:pPr>
      <w:r w:rsidRPr="00064257">
        <w:rPr>
          <w:rFonts w:ascii="Calibri" w:hAnsi="Calibri"/>
          <w:sz w:val="22"/>
          <w:szCs w:val="22"/>
        </w:rPr>
        <w:t xml:space="preserve">Treatment admissions for opioid problems now account for more than half of all BSAS treatment admissions. </w:t>
      </w:r>
    </w:p>
    <w:p w:rsidR="00400E42" w:rsidRPr="00064257" w:rsidRDefault="00400E42" w:rsidP="00C33429">
      <w:pPr>
        <w:pStyle w:val="ListParagraph"/>
        <w:numPr>
          <w:ilvl w:val="0"/>
          <w:numId w:val="29"/>
        </w:numPr>
        <w:tabs>
          <w:tab w:val="left" w:pos="-720"/>
        </w:tabs>
        <w:spacing w:after="120" w:line="276" w:lineRule="auto"/>
        <w:rPr>
          <w:rFonts w:ascii="Calibri" w:hAnsi="Calibri"/>
          <w:sz w:val="22"/>
          <w:szCs w:val="22"/>
        </w:rPr>
      </w:pPr>
      <w:r w:rsidRPr="00064257">
        <w:rPr>
          <w:rFonts w:ascii="Calibri" w:hAnsi="Calibri"/>
          <w:sz w:val="22"/>
          <w:szCs w:val="22"/>
        </w:rPr>
        <w:t>Treatment admissions for non-</w:t>
      </w:r>
      <w:r>
        <w:rPr>
          <w:rFonts w:ascii="Calibri" w:hAnsi="Calibri"/>
          <w:sz w:val="22"/>
          <w:szCs w:val="22"/>
        </w:rPr>
        <w:t>Heroin</w:t>
      </w:r>
      <w:r w:rsidRPr="00064257">
        <w:rPr>
          <w:rFonts w:ascii="Calibri" w:hAnsi="Calibri"/>
          <w:sz w:val="22"/>
          <w:szCs w:val="22"/>
        </w:rPr>
        <w:t xml:space="preserve"> opioids increased from 3.7% of all opioid admissions in 2000 to 21.8% in 2011 and dropped to 9.9% in 2014.</w:t>
      </w:r>
      <w:r w:rsidRPr="00064257">
        <w:rPr>
          <w:rFonts w:ascii="Calibri" w:hAnsi="Calibri"/>
          <w:sz w:val="22"/>
          <w:szCs w:val="22"/>
        </w:rPr>
        <w:tab/>
      </w:r>
    </w:p>
    <w:p w:rsidR="00400E42" w:rsidRPr="00064257" w:rsidRDefault="00400E42" w:rsidP="00C33429">
      <w:pPr>
        <w:pStyle w:val="ListParagraph"/>
        <w:numPr>
          <w:ilvl w:val="0"/>
          <w:numId w:val="29"/>
        </w:numPr>
        <w:tabs>
          <w:tab w:val="left" w:pos="-720"/>
        </w:tabs>
        <w:spacing w:after="120" w:line="276" w:lineRule="auto"/>
        <w:rPr>
          <w:rFonts w:ascii="Calibri" w:hAnsi="Calibri"/>
          <w:sz w:val="22"/>
          <w:szCs w:val="22"/>
        </w:rPr>
      </w:pPr>
      <w:r w:rsidRPr="00064257">
        <w:rPr>
          <w:rFonts w:ascii="Calibri" w:hAnsi="Calibri"/>
          <w:sz w:val="22"/>
          <w:szCs w:val="22"/>
        </w:rPr>
        <w:t>Over half of persons who received treatment through BSAS had a prescription for an opioid during the study period.</w:t>
      </w:r>
    </w:p>
    <w:p w:rsidR="00400E42" w:rsidRPr="00064257" w:rsidRDefault="00400E42" w:rsidP="00C33429">
      <w:pPr>
        <w:pStyle w:val="ListParagraph"/>
        <w:numPr>
          <w:ilvl w:val="0"/>
          <w:numId w:val="29"/>
        </w:numPr>
        <w:tabs>
          <w:tab w:val="left" w:pos="-720"/>
        </w:tabs>
        <w:spacing w:after="120" w:line="276" w:lineRule="auto"/>
        <w:rPr>
          <w:rFonts w:ascii="Calibri" w:hAnsi="Calibri"/>
          <w:sz w:val="22"/>
          <w:szCs w:val="22"/>
        </w:rPr>
      </w:pPr>
      <w:r w:rsidRPr="00064257">
        <w:rPr>
          <w:rFonts w:ascii="Calibri" w:hAnsi="Calibri"/>
          <w:sz w:val="22"/>
          <w:szCs w:val="22"/>
        </w:rPr>
        <w:t>Nearly half of individuals who died of opioid-related overdoses had a confirmed addiction treatment history in the BSAS system.</w:t>
      </w:r>
      <w:r w:rsidRPr="00064257">
        <w:rPr>
          <w:rFonts w:ascii="Calibri" w:hAnsi="Calibri"/>
          <w:sz w:val="22"/>
          <w:szCs w:val="22"/>
        </w:rPr>
        <w:tab/>
      </w:r>
    </w:p>
    <w:p w:rsidR="00400E42" w:rsidRPr="00064257" w:rsidRDefault="00400E42" w:rsidP="00C33429">
      <w:pPr>
        <w:pStyle w:val="ListParagraph"/>
        <w:numPr>
          <w:ilvl w:val="0"/>
          <w:numId w:val="29"/>
        </w:numPr>
        <w:tabs>
          <w:tab w:val="left" w:pos="-720"/>
        </w:tabs>
        <w:spacing w:after="120" w:line="276" w:lineRule="auto"/>
        <w:rPr>
          <w:rFonts w:ascii="Calibri" w:hAnsi="Calibri"/>
          <w:sz w:val="22"/>
          <w:szCs w:val="22"/>
        </w:rPr>
      </w:pPr>
      <w:r w:rsidRPr="00064257">
        <w:rPr>
          <w:rFonts w:ascii="Calibri" w:hAnsi="Calibri"/>
          <w:sz w:val="22"/>
          <w:szCs w:val="22"/>
        </w:rPr>
        <w:t>Of the BSAS clients who died of an opioid-related overdose, 60% utilized acute treatment services and 91% had a recent admission to any BSAS treatment or service.</w:t>
      </w:r>
    </w:p>
    <w:p w:rsidR="00400E42" w:rsidRPr="00064257" w:rsidRDefault="00400E42" w:rsidP="00C33429">
      <w:pPr>
        <w:tabs>
          <w:tab w:val="left" w:pos="-720"/>
        </w:tabs>
        <w:spacing w:after="120" w:line="276" w:lineRule="auto"/>
        <w:ind w:left="288"/>
        <w:rPr>
          <w:rFonts w:ascii="Calibri" w:hAnsi="Calibri"/>
          <w:b/>
          <w:sz w:val="22"/>
          <w:szCs w:val="22"/>
        </w:rPr>
      </w:pPr>
    </w:p>
    <w:p w:rsidR="00400E42" w:rsidRDefault="00400E42" w:rsidP="00C33429">
      <w:pPr>
        <w:spacing w:after="120" w:line="276" w:lineRule="auto"/>
        <w:rPr>
          <w:rFonts w:ascii="Calibri" w:hAnsi="Calibri"/>
          <w:b/>
          <w:color w:val="000000"/>
          <w:sz w:val="28"/>
          <w:szCs w:val="22"/>
        </w:rPr>
      </w:pPr>
    </w:p>
    <w:p w:rsidR="00400E42" w:rsidRDefault="00400E42" w:rsidP="00400E42">
      <w:pPr>
        <w:rPr>
          <w:rFonts w:ascii="Calibri" w:hAnsi="Calibri"/>
          <w:b/>
          <w:color w:val="000000"/>
          <w:sz w:val="28"/>
          <w:szCs w:val="22"/>
        </w:rPr>
      </w:pPr>
      <w:bookmarkStart w:id="31" w:name="_Toc452726672"/>
      <w:r>
        <w:rPr>
          <w:rFonts w:ascii="Calibri" w:hAnsi="Calibri"/>
          <w:b/>
          <w:color w:val="000000"/>
          <w:sz w:val="28"/>
          <w:szCs w:val="22"/>
        </w:rPr>
        <w:br w:type="page"/>
      </w:r>
    </w:p>
    <w:p w:rsidR="00400E42" w:rsidRPr="009943F4" w:rsidRDefault="00400E42" w:rsidP="007D21BB">
      <w:pPr>
        <w:pStyle w:val="Heading1"/>
      </w:pPr>
      <w:bookmarkStart w:id="32" w:name="_Toc453664363"/>
      <w:bookmarkStart w:id="33" w:name="_Toc454724775"/>
      <w:r w:rsidRPr="009943F4">
        <w:lastRenderedPageBreak/>
        <w:t xml:space="preserve">Appendix </w:t>
      </w:r>
      <w:r>
        <w:t xml:space="preserve">D: </w:t>
      </w:r>
      <w:r w:rsidRPr="009943F4">
        <w:t>Data Linkage</w:t>
      </w:r>
      <w:bookmarkEnd w:id="31"/>
      <w:bookmarkEnd w:id="32"/>
      <w:bookmarkEnd w:id="33"/>
    </w:p>
    <w:p w:rsidR="00400E42" w:rsidRDefault="00400E42" w:rsidP="002D6E20">
      <w:pPr>
        <w:pStyle w:val="PBody"/>
      </w:pPr>
      <w:r>
        <w:t>Data linkage for the Chapter 55 work was conducted by the Center for Health Information and Analysis (CHIA) in consultation with the Department of Public Health (DPH).  Six levels of matches were tested between individual Chapter 55 datasets and identifiers found in the All Payer Claims Database (APCD).  All matches were deterministic.  A conservative approach to matching was used, so no “near” or “close” matches were considered</w:t>
      </w:r>
      <w:r w:rsidR="00301E0D">
        <w:t>.  I</w:t>
      </w:r>
      <w:r>
        <w:t xml:space="preserve">n other words, all successful matches had to be exact at one of six levels.  The complete matching scheme is described below.  The most reliable match is a </w:t>
      </w:r>
      <w:r w:rsidR="006318A0">
        <w:t>“</w:t>
      </w:r>
      <w:r>
        <w:t>1</w:t>
      </w:r>
      <w:r w:rsidR="006318A0">
        <w:t>”</w:t>
      </w:r>
      <w:r>
        <w:t xml:space="preserve">, and so on down the chart to the least reliable, a </w:t>
      </w:r>
      <w:r w:rsidR="006318A0">
        <w:t>“</w:t>
      </w:r>
      <w:r>
        <w:t>6</w:t>
      </w:r>
      <w:r w:rsidR="006318A0">
        <w:t>”</w:t>
      </w:r>
      <w:r>
        <w:t xml:space="preserve">. </w:t>
      </w:r>
    </w:p>
    <w:p w:rsidR="00400E42" w:rsidRDefault="00400E42" w:rsidP="00C33429">
      <w:pPr>
        <w:spacing w:after="120"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7830"/>
      </w:tblGrid>
      <w:tr w:rsidR="00400E42" w:rsidTr="00A92FFC">
        <w:trPr>
          <w:trHeight w:val="368"/>
        </w:trPr>
        <w:tc>
          <w:tcPr>
            <w:tcW w:w="1368" w:type="dxa"/>
          </w:tcPr>
          <w:p w:rsidR="00400E42" w:rsidRPr="00570FB0" w:rsidRDefault="00400E42" w:rsidP="00C33429">
            <w:pPr>
              <w:spacing w:after="120" w:line="276" w:lineRule="auto"/>
              <w:jc w:val="center"/>
              <w:rPr>
                <w:rFonts w:ascii="Calibri" w:hAnsi="Calibri"/>
                <w:b/>
                <w:szCs w:val="22"/>
              </w:rPr>
            </w:pPr>
            <w:r w:rsidRPr="00570FB0">
              <w:rPr>
                <w:rFonts w:ascii="Calibri" w:hAnsi="Calibri"/>
                <w:b/>
                <w:sz w:val="22"/>
                <w:szCs w:val="22"/>
              </w:rPr>
              <w:t>Match Level</w:t>
            </w:r>
          </w:p>
        </w:tc>
        <w:tc>
          <w:tcPr>
            <w:tcW w:w="7830" w:type="dxa"/>
          </w:tcPr>
          <w:p w:rsidR="00400E42" w:rsidRPr="00570FB0" w:rsidRDefault="00400E42" w:rsidP="00C33429">
            <w:pPr>
              <w:spacing w:after="120" w:line="276" w:lineRule="auto"/>
              <w:jc w:val="center"/>
              <w:rPr>
                <w:rFonts w:ascii="Calibri" w:hAnsi="Calibri"/>
                <w:b/>
                <w:szCs w:val="22"/>
              </w:rPr>
            </w:pPr>
            <w:r w:rsidRPr="00570FB0">
              <w:rPr>
                <w:rFonts w:ascii="Calibri" w:hAnsi="Calibri"/>
                <w:b/>
                <w:sz w:val="22"/>
                <w:szCs w:val="22"/>
              </w:rPr>
              <w:t>Identifiers To Be Matched</w:t>
            </w:r>
          </w:p>
        </w:tc>
      </w:tr>
      <w:tr w:rsidR="00400E42" w:rsidTr="00A92FFC">
        <w:tc>
          <w:tcPr>
            <w:tcW w:w="1368" w:type="dxa"/>
          </w:tcPr>
          <w:p w:rsidR="00400E42" w:rsidRPr="00570FB0" w:rsidRDefault="00400E42" w:rsidP="00C33429">
            <w:pPr>
              <w:spacing w:after="120" w:line="276" w:lineRule="auto"/>
              <w:jc w:val="center"/>
              <w:rPr>
                <w:rFonts w:ascii="Calibri" w:hAnsi="Calibri"/>
                <w:b/>
                <w:szCs w:val="22"/>
              </w:rPr>
            </w:pPr>
            <w:r w:rsidRPr="00570FB0">
              <w:rPr>
                <w:rFonts w:ascii="Calibri" w:hAnsi="Calibri"/>
                <w:b/>
                <w:sz w:val="22"/>
                <w:szCs w:val="22"/>
              </w:rPr>
              <w:t>1</w:t>
            </w:r>
          </w:p>
        </w:tc>
        <w:tc>
          <w:tcPr>
            <w:tcW w:w="7830" w:type="dxa"/>
          </w:tcPr>
          <w:p w:rsidR="00400E42" w:rsidRPr="00570FB0" w:rsidRDefault="00400E42" w:rsidP="00C33429">
            <w:pPr>
              <w:spacing w:after="120" w:line="276" w:lineRule="auto"/>
              <w:rPr>
                <w:rFonts w:ascii="Calibri" w:hAnsi="Calibri"/>
                <w:szCs w:val="22"/>
              </w:rPr>
            </w:pPr>
            <w:r w:rsidRPr="00570FB0">
              <w:rPr>
                <w:rFonts w:ascii="Calibri" w:hAnsi="Calibri"/>
                <w:sz w:val="22"/>
                <w:szCs w:val="22"/>
              </w:rPr>
              <w:t xml:space="preserve">Exact match on first name, last name, </w:t>
            </w:r>
            <w:r>
              <w:rPr>
                <w:rFonts w:ascii="Calibri" w:hAnsi="Calibri"/>
                <w:sz w:val="22"/>
                <w:szCs w:val="22"/>
              </w:rPr>
              <w:t>Social Security</w:t>
            </w:r>
            <w:r w:rsidRPr="00570FB0">
              <w:rPr>
                <w:rFonts w:ascii="Calibri" w:hAnsi="Calibri"/>
                <w:sz w:val="22"/>
                <w:szCs w:val="22"/>
              </w:rPr>
              <w:t xml:space="preserve"> number, gender, birth date, street address #1, street address #2, town of residence, and zip code.</w:t>
            </w:r>
          </w:p>
        </w:tc>
      </w:tr>
      <w:tr w:rsidR="00400E42" w:rsidTr="00A92FFC">
        <w:tc>
          <w:tcPr>
            <w:tcW w:w="1368" w:type="dxa"/>
          </w:tcPr>
          <w:p w:rsidR="00400E42" w:rsidRPr="00570FB0" w:rsidRDefault="00400E42" w:rsidP="00C33429">
            <w:pPr>
              <w:spacing w:after="120" w:line="276" w:lineRule="auto"/>
              <w:jc w:val="center"/>
              <w:rPr>
                <w:rFonts w:ascii="Calibri" w:hAnsi="Calibri"/>
                <w:b/>
                <w:szCs w:val="22"/>
              </w:rPr>
            </w:pPr>
            <w:r w:rsidRPr="00570FB0">
              <w:rPr>
                <w:rFonts w:ascii="Calibri" w:hAnsi="Calibri"/>
                <w:b/>
                <w:sz w:val="22"/>
                <w:szCs w:val="22"/>
              </w:rPr>
              <w:t>2</w:t>
            </w:r>
          </w:p>
        </w:tc>
        <w:tc>
          <w:tcPr>
            <w:tcW w:w="7830" w:type="dxa"/>
          </w:tcPr>
          <w:p w:rsidR="00400E42" w:rsidRPr="00570FB0" w:rsidRDefault="00400E42" w:rsidP="00C33429">
            <w:pPr>
              <w:spacing w:after="120" w:line="276" w:lineRule="auto"/>
              <w:rPr>
                <w:rFonts w:ascii="Calibri" w:hAnsi="Calibri"/>
                <w:szCs w:val="22"/>
              </w:rPr>
            </w:pPr>
            <w:r w:rsidRPr="00570FB0">
              <w:rPr>
                <w:rFonts w:ascii="Calibri" w:hAnsi="Calibri"/>
                <w:sz w:val="22"/>
                <w:szCs w:val="22"/>
              </w:rPr>
              <w:t xml:space="preserve">Exact match on last name, </w:t>
            </w:r>
            <w:r>
              <w:rPr>
                <w:rFonts w:ascii="Calibri" w:hAnsi="Calibri"/>
                <w:sz w:val="22"/>
                <w:szCs w:val="22"/>
              </w:rPr>
              <w:t>Social Security</w:t>
            </w:r>
            <w:r w:rsidRPr="00570FB0">
              <w:rPr>
                <w:rFonts w:ascii="Calibri" w:hAnsi="Calibri"/>
                <w:sz w:val="22"/>
                <w:szCs w:val="22"/>
              </w:rPr>
              <w:t xml:space="preserve"> number, gender, birth date, town of residence, and zip code.</w:t>
            </w:r>
          </w:p>
        </w:tc>
      </w:tr>
      <w:tr w:rsidR="00400E42" w:rsidTr="00A92FFC">
        <w:tc>
          <w:tcPr>
            <w:tcW w:w="1368" w:type="dxa"/>
          </w:tcPr>
          <w:p w:rsidR="00400E42" w:rsidRPr="00570FB0" w:rsidRDefault="00400E42" w:rsidP="00C33429">
            <w:pPr>
              <w:spacing w:after="120" w:line="276" w:lineRule="auto"/>
              <w:jc w:val="center"/>
              <w:rPr>
                <w:rFonts w:ascii="Calibri" w:hAnsi="Calibri"/>
                <w:b/>
                <w:szCs w:val="22"/>
              </w:rPr>
            </w:pPr>
            <w:r w:rsidRPr="00570FB0">
              <w:rPr>
                <w:rFonts w:ascii="Calibri" w:hAnsi="Calibri"/>
                <w:b/>
                <w:sz w:val="22"/>
                <w:szCs w:val="22"/>
              </w:rPr>
              <w:t>3</w:t>
            </w:r>
          </w:p>
        </w:tc>
        <w:tc>
          <w:tcPr>
            <w:tcW w:w="7830" w:type="dxa"/>
          </w:tcPr>
          <w:p w:rsidR="00400E42" w:rsidRPr="00570FB0" w:rsidRDefault="00400E42" w:rsidP="00C33429">
            <w:pPr>
              <w:spacing w:after="120" w:line="276" w:lineRule="auto"/>
              <w:rPr>
                <w:rFonts w:ascii="Calibri" w:hAnsi="Calibri"/>
                <w:szCs w:val="22"/>
              </w:rPr>
            </w:pPr>
            <w:r w:rsidRPr="00570FB0">
              <w:rPr>
                <w:rFonts w:ascii="Calibri" w:hAnsi="Calibri"/>
                <w:sz w:val="22"/>
                <w:szCs w:val="22"/>
              </w:rPr>
              <w:t xml:space="preserve">Exact match on </w:t>
            </w:r>
            <w:r>
              <w:rPr>
                <w:rFonts w:ascii="Calibri" w:hAnsi="Calibri"/>
                <w:sz w:val="22"/>
                <w:szCs w:val="22"/>
              </w:rPr>
              <w:t>Social Security</w:t>
            </w:r>
            <w:r w:rsidRPr="00570FB0">
              <w:rPr>
                <w:rFonts w:ascii="Calibri" w:hAnsi="Calibri"/>
                <w:sz w:val="22"/>
                <w:szCs w:val="22"/>
              </w:rPr>
              <w:t xml:space="preserve"> number, gender, and birth date.</w:t>
            </w:r>
          </w:p>
        </w:tc>
      </w:tr>
      <w:tr w:rsidR="00400E42" w:rsidTr="00A92FFC">
        <w:tc>
          <w:tcPr>
            <w:tcW w:w="1368" w:type="dxa"/>
          </w:tcPr>
          <w:p w:rsidR="00400E42" w:rsidRPr="00570FB0" w:rsidRDefault="00400E42" w:rsidP="00C33429">
            <w:pPr>
              <w:spacing w:after="120" w:line="276" w:lineRule="auto"/>
              <w:jc w:val="center"/>
              <w:rPr>
                <w:rFonts w:ascii="Calibri" w:hAnsi="Calibri"/>
                <w:b/>
                <w:szCs w:val="22"/>
              </w:rPr>
            </w:pPr>
            <w:r w:rsidRPr="00570FB0">
              <w:rPr>
                <w:rFonts w:ascii="Calibri" w:hAnsi="Calibri"/>
                <w:b/>
                <w:sz w:val="22"/>
                <w:szCs w:val="22"/>
              </w:rPr>
              <w:t>4</w:t>
            </w:r>
          </w:p>
        </w:tc>
        <w:tc>
          <w:tcPr>
            <w:tcW w:w="7830" w:type="dxa"/>
          </w:tcPr>
          <w:p w:rsidR="00400E42" w:rsidRPr="00570FB0" w:rsidRDefault="00400E42" w:rsidP="00C33429">
            <w:pPr>
              <w:spacing w:after="120" w:line="276" w:lineRule="auto"/>
              <w:rPr>
                <w:rFonts w:ascii="Calibri" w:hAnsi="Calibri"/>
                <w:szCs w:val="22"/>
              </w:rPr>
            </w:pPr>
            <w:r w:rsidRPr="00570FB0">
              <w:rPr>
                <w:rFonts w:ascii="Calibri" w:hAnsi="Calibri"/>
                <w:sz w:val="22"/>
                <w:szCs w:val="22"/>
              </w:rPr>
              <w:t>Exact match on first name, last name, gender, birth date, street address #1, street address #2, town of residence, and zip code.</w:t>
            </w:r>
          </w:p>
        </w:tc>
      </w:tr>
      <w:tr w:rsidR="00400E42" w:rsidTr="00A92FFC">
        <w:tc>
          <w:tcPr>
            <w:tcW w:w="1368" w:type="dxa"/>
          </w:tcPr>
          <w:p w:rsidR="00400E42" w:rsidRPr="00570FB0" w:rsidRDefault="00400E42" w:rsidP="00C33429">
            <w:pPr>
              <w:spacing w:after="120" w:line="276" w:lineRule="auto"/>
              <w:jc w:val="center"/>
              <w:rPr>
                <w:rFonts w:ascii="Calibri" w:hAnsi="Calibri"/>
                <w:b/>
                <w:szCs w:val="22"/>
              </w:rPr>
            </w:pPr>
            <w:r w:rsidRPr="00570FB0">
              <w:rPr>
                <w:rFonts w:ascii="Calibri" w:hAnsi="Calibri"/>
                <w:b/>
                <w:sz w:val="22"/>
                <w:szCs w:val="22"/>
              </w:rPr>
              <w:t>5</w:t>
            </w:r>
          </w:p>
        </w:tc>
        <w:tc>
          <w:tcPr>
            <w:tcW w:w="7830" w:type="dxa"/>
          </w:tcPr>
          <w:p w:rsidR="00400E42" w:rsidRPr="00570FB0" w:rsidRDefault="00400E42" w:rsidP="00C33429">
            <w:pPr>
              <w:spacing w:after="120" w:line="276" w:lineRule="auto"/>
              <w:rPr>
                <w:rFonts w:ascii="Calibri" w:hAnsi="Calibri"/>
                <w:szCs w:val="22"/>
              </w:rPr>
            </w:pPr>
            <w:r w:rsidRPr="00570FB0">
              <w:rPr>
                <w:rFonts w:ascii="Calibri" w:hAnsi="Calibri"/>
                <w:sz w:val="22"/>
                <w:szCs w:val="22"/>
              </w:rPr>
              <w:t>Exact match on first name, last name, gender, birth date, town of residence, and zip code.</w:t>
            </w:r>
          </w:p>
        </w:tc>
      </w:tr>
      <w:tr w:rsidR="00400E42" w:rsidTr="00A92FFC">
        <w:tc>
          <w:tcPr>
            <w:tcW w:w="1368" w:type="dxa"/>
          </w:tcPr>
          <w:p w:rsidR="00400E42" w:rsidRPr="00570FB0" w:rsidRDefault="00400E42" w:rsidP="00C33429">
            <w:pPr>
              <w:spacing w:after="120" w:line="276" w:lineRule="auto"/>
              <w:jc w:val="center"/>
              <w:rPr>
                <w:rFonts w:ascii="Calibri" w:hAnsi="Calibri"/>
                <w:b/>
                <w:szCs w:val="22"/>
              </w:rPr>
            </w:pPr>
            <w:r w:rsidRPr="00570FB0">
              <w:rPr>
                <w:rFonts w:ascii="Calibri" w:hAnsi="Calibri"/>
                <w:b/>
                <w:sz w:val="22"/>
                <w:szCs w:val="22"/>
              </w:rPr>
              <w:t>6</w:t>
            </w:r>
          </w:p>
        </w:tc>
        <w:tc>
          <w:tcPr>
            <w:tcW w:w="7830" w:type="dxa"/>
          </w:tcPr>
          <w:p w:rsidR="00400E42" w:rsidRPr="00570FB0" w:rsidRDefault="00400E42" w:rsidP="00C33429">
            <w:pPr>
              <w:spacing w:after="120" w:line="276" w:lineRule="auto"/>
              <w:rPr>
                <w:rFonts w:ascii="Calibri" w:hAnsi="Calibri"/>
                <w:szCs w:val="22"/>
              </w:rPr>
            </w:pPr>
            <w:r w:rsidRPr="00570FB0">
              <w:rPr>
                <w:rFonts w:ascii="Calibri" w:hAnsi="Calibri"/>
                <w:sz w:val="22"/>
                <w:szCs w:val="22"/>
              </w:rPr>
              <w:t xml:space="preserve">Exact match on first name, last name, </w:t>
            </w:r>
            <w:r>
              <w:rPr>
                <w:rFonts w:ascii="Calibri" w:hAnsi="Calibri"/>
                <w:sz w:val="22"/>
                <w:szCs w:val="22"/>
              </w:rPr>
              <w:t xml:space="preserve">gender, and </w:t>
            </w:r>
            <w:r w:rsidRPr="00570FB0">
              <w:rPr>
                <w:rFonts w:ascii="Calibri" w:hAnsi="Calibri"/>
                <w:sz w:val="22"/>
                <w:szCs w:val="22"/>
              </w:rPr>
              <w:t>birth date.</w:t>
            </w:r>
          </w:p>
        </w:tc>
      </w:tr>
    </w:tbl>
    <w:p w:rsidR="00400E42" w:rsidRDefault="00400E42" w:rsidP="00C33429">
      <w:pPr>
        <w:spacing w:after="120" w:line="276" w:lineRule="auto"/>
        <w:jc w:val="center"/>
        <w:rPr>
          <w:rFonts w:ascii="Calibri" w:hAnsi="Calibri"/>
          <w:sz w:val="22"/>
          <w:szCs w:val="22"/>
        </w:rPr>
      </w:pPr>
    </w:p>
    <w:p w:rsidR="00400E42" w:rsidRDefault="00400E42" w:rsidP="002D6E20">
      <w:pPr>
        <w:pStyle w:val="PBody"/>
      </w:pPr>
      <w:r>
        <w:t>CHIA processed each Chapter 55 file independent of all other files.  To speed the process of the linkage work, th</w:t>
      </w:r>
      <w:r w:rsidRPr="00990DE0">
        <w:t>ere was no requirement for CHIA to perform data standardization or to dedup</w:t>
      </w:r>
      <w:r>
        <w:t>licat</w:t>
      </w:r>
      <w:r w:rsidRPr="00990DE0">
        <w:t xml:space="preserve">e the data </w:t>
      </w:r>
      <w:r>
        <w:t xml:space="preserve">within or </w:t>
      </w:r>
      <w:r w:rsidRPr="00990DE0">
        <w:t xml:space="preserve">across files.  </w:t>
      </w:r>
      <w:r>
        <w:t xml:space="preserve">Since data fields, collection methods, oversight, and quality vary from source to source – and even record to record – </w:t>
      </w:r>
      <w:r w:rsidRPr="00990DE0">
        <w:t xml:space="preserve">it is possible that “John Smith” got a Level 1 match in </w:t>
      </w:r>
      <w:r w:rsidRPr="00990DE0">
        <w:rPr>
          <w:b/>
          <w:bCs/>
          <w:i/>
          <w:iCs/>
        </w:rPr>
        <w:t>File1</w:t>
      </w:r>
      <w:r w:rsidRPr="00990DE0">
        <w:t xml:space="preserve"> but then the same “John Smith” </w:t>
      </w:r>
      <w:r>
        <w:t xml:space="preserve">appeared twice in </w:t>
      </w:r>
      <w:r w:rsidRPr="00990DE0">
        <w:rPr>
          <w:b/>
          <w:bCs/>
          <w:i/>
          <w:iCs/>
        </w:rPr>
        <w:t>File2</w:t>
      </w:r>
      <w:r>
        <w:t>, getting a  Level 2 and a</w:t>
      </w:r>
      <w:r w:rsidRPr="00990DE0">
        <w:t xml:space="preserve"> </w:t>
      </w:r>
      <w:r>
        <w:t>L</w:t>
      </w:r>
      <w:r w:rsidRPr="00990DE0">
        <w:t xml:space="preserve">evel 3 match due to </w:t>
      </w:r>
      <w:r>
        <w:t xml:space="preserve">algorithm </w:t>
      </w:r>
      <w:r w:rsidRPr="00990DE0">
        <w:t>rules and</w:t>
      </w:r>
      <w:r>
        <w:t>/or</w:t>
      </w:r>
      <w:r w:rsidRPr="00990DE0">
        <w:t xml:space="preserve"> missing data</w:t>
      </w:r>
      <w:r>
        <w:t>.  Alternatively,</w:t>
      </w:r>
      <w:r w:rsidRPr="00990DE0">
        <w:t xml:space="preserve"> the </w:t>
      </w:r>
      <w:r>
        <w:t>various John Smiths</w:t>
      </w:r>
      <w:r w:rsidRPr="00990DE0">
        <w:t xml:space="preserve"> may not be related</w:t>
      </w:r>
      <w:r>
        <w:t>.  Without a focused deduplication effort, or a secondary weighted probabilistic match, it is impossible to know how often this might have occurred.  Other tests of reliability of the matching scheme indicated that this was not a frequent occurrence.</w:t>
      </w:r>
      <w:r w:rsidRPr="00990DE0">
        <w:t> </w:t>
      </w:r>
      <w:r>
        <w:t xml:space="preserve"> If duplicates were found within a file, each of these records was assigned the same project-specific ID (see Appendix F, de-identification).  A summary of the matches across all datasets can be found in Table D.1 below.</w:t>
      </w:r>
    </w:p>
    <w:p w:rsidR="00400E42" w:rsidRDefault="00400E42" w:rsidP="00400E42">
      <w:pPr>
        <w:spacing w:line="480" w:lineRule="auto"/>
        <w:rPr>
          <w:rFonts w:ascii="Calibri" w:hAnsi="Calibri"/>
          <w:sz w:val="22"/>
          <w:szCs w:val="22"/>
        </w:rPr>
        <w:sectPr w:rsidR="00400E42" w:rsidSect="00501D4E">
          <w:pgSz w:w="12240" w:h="15840"/>
          <w:pgMar w:top="1440" w:right="1440" w:bottom="1440" w:left="1440" w:header="720" w:footer="720" w:gutter="0"/>
          <w:cols w:space="720"/>
          <w:titlePg/>
          <w:docGrid w:linePitch="360"/>
        </w:sectPr>
      </w:pPr>
    </w:p>
    <w:tbl>
      <w:tblPr>
        <w:tblW w:w="10234" w:type="dxa"/>
        <w:jc w:val="center"/>
        <w:tblLook w:val="00A0" w:firstRow="1" w:lastRow="0" w:firstColumn="1" w:lastColumn="0" w:noHBand="0" w:noVBand="0"/>
      </w:tblPr>
      <w:tblGrid>
        <w:gridCol w:w="1118"/>
        <w:gridCol w:w="960"/>
        <w:gridCol w:w="1118"/>
        <w:gridCol w:w="960"/>
        <w:gridCol w:w="960"/>
        <w:gridCol w:w="960"/>
        <w:gridCol w:w="960"/>
        <w:gridCol w:w="1029"/>
        <w:gridCol w:w="1131"/>
        <w:gridCol w:w="1038"/>
      </w:tblGrid>
      <w:tr w:rsidR="00400E42" w:rsidRPr="000745D4" w:rsidTr="00E11012">
        <w:trPr>
          <w:trHeight w:val="144"/>
          <w:jc w:val="center"/>
        </w:trPr>
        <w:tc>
          <w:tcPr>
            <w:tcW w:w="10234" w:type="dxa"/>
            <w:gridSpan w:val="10"/>
            <w:tcBorders>
              <w:top w:val="single" w:sz="8" w:space="0" w:color="auto"/>
              <w:left w:val="single" w:sz="8" w:space="0" w:color="auto"/>
              <w:bottom w:val="single" w:sz="8" w:space="0" w:color="auto"/>
              <w:right w:val="single" w:sz="8" w:space="0" w:color="auto"/>
            </w:tcBorders>
            <w:shd w:val="clear" w:color="000000" w:fill="D9D9D9"/>
            <w:vAlign w:val="center"/>
          </w:tcPr>
          <w:p w:rsidR="00400E42" w:rsidRPr="000745D4" w:rsidRDefault="00400E42" w:rsidP="00E11012">
            <w:pPr>
              <w:jc w:val="center"/>
              <w:rPr>
                <w:rFonts w:ascii="Calibri" w:hAnsi="Calibri"/>
                <w:b/>
                <w:bCs/>
                <w:color w:val="000000"/>
                <w:sz w:val="20"/>
              </w:rPr>
            </w:pPr>
            <w:r>
              <w:rPr>
                <w:rFonts w:ascii="Calibri" w:hAnsi="Calibri"/>
                <w:b/>
                <w:sz w:val="22"/>
                <w:szCs w:val="22"/>
              </w:rPr>
              <w:lastRenderedPageBreak/>
              <w:t>Table D.1: Linkage rates across Chapter 55 datasets.</w:t>
            </w:r>
          </w:p>
        </w:tc>
      </w:tr>
      <w:tr w:rsidR="00E11012" w:rsidRPr="000745D4" w:rsidTr="00E11012">
        <w:trPr>
          <w:trHeight w:val="144"/>
          <w:jc w:val="center"/>
        </w:trPr>
        <w:tc>
          <w:tcPr>
            <w:tcW w:w="1118" w:type="dxa"/>
            <w:tcBorders>
              <w:top w:val="single" w:sz="8" w:space="0" w:color="auto"/>
              <w:left w:val="single" w:sz="8" w:space="0" w:color="auto"/>
              <w:bottom w:val="single" w:sz="8" w:space="0" w:color="auto"/>
              <w:right w:val="single" w:sz="8" w:space="0" w:color="auto"/>
            </w:tcBorders>
            <w:shd w:val="clear" w:color="000000" w:fill="D9D9D9"/>
            <w:vAlign w:val="center"/>
          </w:tcPr>
          <w:p w:rsidR="00E11012" w:rsidRPr="000745D4" w:rsidRDefault="00E11012" w:rsidP="00A92FFC">
            <w:pPr>
              <w:rPr>
                <w:rFonts w:ascii="Calibri" w:hAnsi="Calibri"/>
                <w:b/>
                <w:bCs/>
                <w:color w:val="000000"/>
                <w:sz w:val="20"/>
              </w:rPr>
            </w:pPr>
            <w:r w:rsidRPr="000745D4">
              <w:rPr>
                <w:rFonts w:ascii="Calibri" w:hAnsi="Calibri"/>
                <w:b/>
                <w:bCs/>
                <w:color w:val="000000"/>
                <w:sz w:val="20"/>
              </w:rPr>
              <w:t> </w:t>
            </w:r>
          </w:p>
        </w:tc>
        <w:tc>
          <w:tcPr>
            <w:tcW w:w="960" w:type="dxa"/>
            <w:tcBorders>
              <w:top w:val="single" w:sz="8" w:space="0" w:color="auto"/>
              <w:left w:val="nil"/>
              <w:bottom w:val="single" w:sz="8" w:space="0" w:color="auto"/>
              <w:right w:val="nil"/>
            </w:tcBorders>
            <w:shd w:val="clear" w:color="000000" w:fill="D9D9D9"/>
            <w:vAlign w:val="center"/>
          </w:tcPr>
          <w:p w:rsidR="00E11012" w:rsidRPr="000745D4" w:rsidRDefault="00E11012" w:rsidP="00A92FFC">
            <w:pPr>
              <w:jc w:val="center"/>
              <w:rPr>
                <w:rFonts w:ascii="Calibri" w:hAnsi="Calibri"/>
                <w:b/>
                <w:bCs/>
                <w:color w:val="000000"/>
                <w:sz w:val="20"/>
              </w:rPr>
            </w:pPr>
            <w:r w:rsidRPr="000745D4">
              <w:rPr>
                <w:rFonts w:ascii="Calibri" w:hAnsi="Calibri"/>
                <w:b/>
                <w:bCs/>
                <w:color w:val="000000"/>
                <w:sz w:val="20"/>
              </w:rPr>
              <w:t>DEATH</w:t>
            </w:r>
            <w:r>
              <w:rPr>
                <w:rFonts w:ascii="Calibri" w:hAnsi="Calibri"/>
                <w:b/>
                <w:bCs/>
                <w:color w:val="000000"/>
                <w:sz w:val="20"/>
              </w:rPr>
              <w:t>S</w:t>
            </w:r>
            <w:r w:rsidRPr="000745D4">
              <w:rPr>
                <w:rFonts w:ascii="Calibri" w:hAnsi="Calibri"/>
                <w:b/>
                <w:bCs/>
                <w:color w:val="000000"/>
                <w:sz w:val="20"/>
              </w:rPr>
              <w:t xml:space="preserve"> 103</w:t>
            </w:r>
            <w:r>
              <w:rPr>
                <w:rFonts w:ascii="Calibri" w:hAnsi="Calibri"/>
                <w:b/>
                <w:bCs/>
                <w:color w:val="000000"/>
                <w:sz w:val="20"/>
              </w:rPr>
              <w:t>,</w:t>
            </w:r>
            <w:r w:rsidRPr="000745D4">
              <w:rPr>
                <w:rFonts w:ascii="Calibri" w:hAnsi="Calibri"/>
                <w:b/>
                <w:bCs/>
                <w:color w:val="000000"/>
                <w:sz w:val="20"/>
              </w:rPr>
              <w:t>505</w:t>
            </w:r>
          </w:p>
        </w:tc>
        <w:tc>
          <w:tcPr>
            <w:tcW w:w="1118" w:type="dxa"/>
            <w:tcBorders>
              <w:top w:val="single" w:sz="8" w:space="0" w:color="auto"/>
              <w:left w:val="single" w:sz="8" w:space="0" w:color="auto"/>
              <w:bottom w:val="single" w:sz="8" w:space="0" w:color="auto"/>
              <w:right w:val="single" w:sz="8" w:space="0" w:color="auto"/>
            </w:tcBorders>
            <w:shd w:val="clear" w:color="000000" w:fill="D9D9D9"/>
            <w:vAlign w:val="center"/>
          </w:tcPr>
          <w:p w:rsidR="00E11012" w:rsidRPr="000745D4" w:rsidRDefault="00E11012" w:rsidP="00A92FFC">
            <w:pPr>
              <w:jc w:val="center"/>
              <w:rPr>
                <w:rFonts w:ascii="Calibri" w:hAnsi="Calibri"/>
                <w:b/>
                <w:bCs/>
                <w:color w:val="000000"/>
                <w:sz w:val="20"/>
              </w:rPr>
            </w:pPr>
            <w:r>
              <w:rPr>
                <w:rFonts w:ascii="Calibri" w:hAnsi="Calibri"/>
                <w:b/>
                <w:bCs/>
                <w:color w:val="000000"/>
                <w:sz w:val="20"/>
              </w:rPr>
              <w:t>PDMP</w:t>
            </w:r>
            <w:r w:rsidRPr="000745D4">
              <w:rPr>
                <w:rFonts w:ascii="Calibri" w:hAnsi="Calibri"/>
                <w:b/>
                <w:bCs/>
                <w:color w:val="000000"/>
                <w:sz w:val="20"/>
              </w:rPr>
              <w:t xml:space="preserve"> 3</w:t>
            </w:r>
            <w:r>
              <w:rPr>
                <w:rFonts w:ascii="Calibri" w:hAnsi="Calibri"/>
                <w:b/>
                <w:bCs/>
                <w:color w:val="000000"/>
                <w:sz w:val="20"/>
              </w:rPr>
              <w:t>,</w:t>
            </w:r>
            <w:r w:rsidRPr="000745D4">
              <w:rPr>
                <w:rFonts w:ascii="Calibri" w:hAnsi="Calibri"/>
                <w:b/>
                <w:bCs/>
                <w:color w:val="000000"/>
                <w:sz w:val="20"/>
              </w:rPr>
              <w:t>475</w:t>
            </w:r>
            <w:r>
              <w:rPr>
                <w:rFonts w:ascii="Calibri" w:hAnsi="Calibri"/>
                <w:b/>
                <w:bCs/>
                <w:color w:val="000000"/>
                <w:sz w:val="20"/>
              </w:rPr>
              <w:t>,</w:t>
            </w:r>
            <w:r w:rsidRPr="000745D4">
              <w:rPr>
                <w:rFonts w:ascii="Calibri" w:hAnsi="Calibri"/>
                <w:b/>
                <w:bCs/>
                <w:color w:val="000000"/>
                <w:sz w:val="20"/>
              </w:rPr>
              <w:t>545</w:t>
            </w:r>
          </w:p>
        </w:tc>
        <w:tc>
          <w:tcPr>
            <w:tcW w:w="960" w:type="dxa"/>
            <w:tcBorders>
              <w:top w:val="single" w:sz="8" w:space="0" w:color="auto"/>
              <w:left w:val="nil"/>
              <w:bottom w:val="single" w:sz="8" w:space="0" w:color="auto"/>
              <w:right w:val="single" w:sz="8" w:space="0" w:color="auto"/>
            </w:tcBorders>
            <w:shd w:val="clear" w:color="000000" w:fill="D9D9D9"/>
            <w:vAlign w:val="center"/>
          </w:tcPr>
          <w:p w:rsidR="00E11012" w:rsidRPr="000745D4" w:rsidRDefault="00E11012" w:rsidP="00A92FFC">
            <w:pPr>
              <w:jc w:val="center"/>
              <w:rPr>
                <w:rFonts w:ascii="Calibri" w:hAnsi="Calibri"/>
                <w:b/>
                <w:bCs/>
                <w:color w:val="000000"/>
                <w:sz w:val="20"/>
              </w:rPr>
            </w:pPr>
            <w:r w:rsidRPr="000745D4">
              <w:rPr>
                <w:rFonts w:ascii="Calibri" w:hAnsi="Calibri"/>
                <w:b/>
                <w:bCs/>
                <w:color w:val="000000"/>
                <w:sz w:val="20"/>
              </w:rPr>
              <w:t>BSAS 149</w:t>
            </w:r>
            <w:r>
              <w:rPr>
                <w:rFonts w:ascii="Calibri" w:hAnsi="Calibri"/>
                <w:b/>
                <w:bCs/>
                <w:color w:val="000000"/>
                <w:sz w:val="20"/>
              </w:rPr>
              <w:t>,</w:t>
            </w:r>
            <w:r w:rsidRPr="000745D4">
              <w:rPr>
                <w:rFonts w:ascii="Calibri" w:hAnsi="Calibri"/>
                <w:b/>
                <w:bCs/>
                <w:color w:val="000000"/>
                <w:sz w:val="20"/>
              </w:rPr>
              <w:t>351</w:t>
            </w:r>
          </w:p>
        </w:tc>
        <w:tc>
          <w:tcPr>
            <w:tcW w:w="960" w:type="dxa"/>
            <w:tcBorders>
              <w:top w:val="single" w:sz="8" w:space="0" w:color="auto"/>
              <w:left w:val="nil"/>
              <w:bottom w:val="single" w:sz="8" w:space="0" w:color="auto"/>
              <w:right w:val="single" w:sz="8" w:space="0" w:color="auto"/>
            </w:tcBorders>
            <w:shd w:val="clear" w:color="000000" w:fill="D9D9D9"/>
            <w:vAlign w:val="center"/>
          </w:tcPr>
          <w:p w:rsidR="00E11012" w:rsidRPr="000745D4" w:rsidRDefault="00E11012" w:rsidP="00A92FFC">
            <w:pPr>
              <w:jc w:val="center"/>
              <w:rPr>
                <w:rFonts w:ascii="Calibri" w:hAnsi="Calibri"/>
                <w:b/>
                <w:bCs/>
                <w:color w:val="000000"/>
                <w:sz w:val="20"/>
              </w:rPr>
            </w:pPr>
            <w:r w:rsidRPr="000745D4">
              <w:rPr>
                <w:rFonts w:ascii="Calibri" w:hAnsi="Calibri"/>
                <w:b/>
                <w:bCs/>
                <w:color w:val="000000"/>
                <w:sz w:val="20"/>
              </w:rPr>
              <w:t>MATRIS 515</w:t>
            </w:r>
            <w:r>
              <w:rPr>
                <w:rFonts w:ascii="Calibri" w:hAnsi="Calibri"/>
                <w:b/>
                <w:bCs/>
                <w:color w:val="000000"/>
                <w:sz w:val="20"/>
              </w:rPr>
              <w:t>,</w:t>
            </w:r>
            <w:r w:rsidRPr="000745D4">
              <w:rPr>
                <w:rFonts w:ascii="Calibri" w:hAnsi="Calibri"/>
                <w:b/>
                <w:bCs/>
                <w:color w:val="000000"/>
                <w:sz w:val="20"/>
              </w:rPr>
              <w:t>229</w:t>
            </w:r>
          </w:p>
        </w:tc>
        <w:tc>
          <w:tcPr>
            <w:tcW w:w="960" w:type="dxa"/>
            <w:tcBorders>
              <w:top w:val="single" w:sz="8" w:space="0" w:color="auto"/>
              <w:left w:val="nil"/>
              <w:bottom w:val="single" w:sz="8" w:space="0" w:color="auto"/>
              <w:right w:val="single" w:sz="8" w:space="0" w:color="auto"/>
            </w:tcBorders>
            <w:shd w:val="clear" w:color="000000" w:fill="D9D9D9"/>
            <w:vAlign w:val="center"/>
          </w:tcPr>
          <w:p w:rsidR="00E11012" w:rsidRPr="000745D4" w:rsidRDefault="00E11012" w:rsidP="00A92FFC">
            <w:pPr>
              <w:jc w:val="center"/>
              <w:rPr>
                <w:rFonts w:ascii="Calibri" w:hAnsi="Calibri"/>
                <w:b/>
                <w:bCs/>
                <w:color w:val="000000"/>
                <w:sz w:val="20"/>
              </w:rPr>
            </w:pPr>
            <w:r w:rsidRPr="000745D4">
              <w:rPr>
                <w:rFonts w:ascii="Calibri" w:hAnsi="Calibri"/>
                <w:b/>
                <w:bCs/>
                <w:color w:val="000000"/>
                <w:sz w:val="20"/>
              </w:rPr>
              <w:t>MCR 147</w:t>
            </w:r>
            <w:r>
              <w:rPr>
                <w:rFonts w:ascii="Calibri" w:hAnsi="Calibri"/>
                <w:b/>
                <w:bCs/>
                <w:color w:val="000000"/>
                <w:sz w:val="20"/>
              </w:rPr>
              <w:t>,</w:t>
            </w:r>
            <w:r w:rsidRPr="000745D4">
              <w:rPr>
                <w:rFonts w:ascii="Calibri" w:hAnsi="Calibri"/>
                <w:b/>
                <w:bCs/>
                <w:color w:val="000000"/>
                <w:sz w:val="20"/>
              </w:rPr>
              <w:t>066</w:t>
            </w:r>
          </w:p>
        </w:tc>
        <w:tc>
          <w:tcPr>
            <w:tcW w:w="960" w:type="dxa"/>
            <w:tcBorders>
              <w:top w:val="single" w:sz="8" w:space="0" w:color="auto"/>
              <w:left w:val="nil"/>
              <w:bottom w:val="single" w:sz="8" w:space="0" w:color="auto"/>
              <w:right w:val="single" w:sz="8" w:space="0" w:color="auto"/>
            </w:tcBorders>
            <w:shd w:val="clear" w:color="000000" w:fill="D9D9D9"/>
            <w:vAlign w:val="center"/>
          </w:tcPr>
          <w:p w:rsidR="00E11012" w:rsidRPr="000745D4" w:rsidRDefault="00E11012" w:rsidP="00A92FFC">
            <w:pPr>
              <w:jc w:val="center"/>
              <w:rPr>
                <w:rFonts w:ascii="Calibri" w:hAnsi="Calibri"/>
                <w:b/>
                <w:bCs/>
                <w:color w:val="000000"/>
                <w:sz w:val="20"/>
              </w:rPr>
            </w:pPr>
            <w:r w:rsidRPr="000745D4">
              <w:rPr>
                <w:rFonts w:ascii="Calibri" w:hAnsi="Calibri"/>
                <w:b/>
                <w:bCs/>
                <w:color w:val="000000"/>
                <w:sz w:val="20"/>
              </w:rPr>
              <w:t>OCME 4</w:t>
            </w:r>
            <w:r>
              <w:rPr>
                <w:rFonts w:ascii="Calibri" w:hAnsi="Calibri"/>
                <w:b/>
                <w:bCs/>
                <w:color w:val="000000"/>
                <w:sz w:val="20"/>
              </w:rPr>
              <w:t>,</w:t>
            </w:r>
            <w:r w:rsidRPr="000745D4">
              <w:rPr>
                <w:rFonts w:ascii="Calibri" w:hAnsi="Calibri"/>
                <w:b/>
                <w:bCs/>
                <w:color w:val="000000"/>
                <w:sz w:val="20"/>
              </w:rPr>
              <w:t>832</w:t>
            </w:r>
          </w:p>
        </w:tc>
        <w:tc>
          <w:tcPr>
            <w:tcW w:w="1029" w:type="dxa"/>
            <w:tcBorders>
              <w:top w:val="single" w:sz="8" w:space="0" w:color="auto"/>
              <w:left w:val="nil"/>
              <w:bottom w:val="single" w:sz="8" w:space="0" w:color="auto"/>
              <w:right w:val="single" w:sz="8" w:space="0" w:color="auto"/>
            </w:tcBorders>
            <w:shd w:val="clear" w:color="000000" w:fill="D9D9D9"/>
            <w:vAlign w:val="center"/>
          </w:tcPr>
          <w:p w:rsidR="00E11012" w:rsidRPr="000745D4" w:rsidRDefault="00E11012" w:rsidP="00A92FFC">
            <w:pPr>
              <w:jc w:val="center"/>
              <w:rPr>
                <w:rFonts w:ascii="Calibri" w:hAnsi="Calibri"/>
                <w:b/>
                <w:bCs/>
                <w:color w:val="000000"/>
                <w:sz w:val="20"/>
              </w:rPr>
            </w:pPr>
            <w:r>
              <w:rPr>
                <w:rFonts w:ascii="Calibri" w:hAnsi="Calibri"/>
                <w:b/>
                <w:bCs/>
                <w:color w:val="000000"/>
                <w:sz w:val="20"/>
              </w:rPr>
              <w:t>Case Mix</w:t>
            </w:r>
            <w:r w:rsidRPr="000745D4">
              <w:rPr>
                <w:rFonts w:ascii="Calibri" w:hAnsi="Calibri"/>
                <w:b/>
                <w:bCs/>
                <w:color w:val="000000"/>
                <w:sz w:val="20"/>
              </w:rPr>
              <w:t xml:space="preserve"> </w:t>
            </w:r>
            <w:r>
              <w:rPr>
                <w:rFonts w:ascii="Calibri" w:hAnsi="Calibri"/>
                <w:b/>
                <w:bCs/>
                <w:color w:val="000000"/>
                <w:sz w:val="20"/>
              </w:rPr>
              <w:t>1,333,862</w:t>
            </w:r>
          </w:p>
        </w:tc>
        <w:tc>
          <w:tcPr>
            <w:tcW w:w="1131" w:type="dxa"/>
            <w:tcBorders>
              <w:top w:val="single" w:sz="8" w:space="0" w:color="auto"/>
              <w:left w:val="nil"/>
              <w:bottom w:val="single" w:sz="8" w:space="0" w:color="auto"/>
              <w:right w:val="single" w:sz="8" w:space="0" w:color="auto"/>
            </w:tcBorders>
            <w:shd w:val="clear" w:color="000000" w:fill="D9D9D9"/>
            <w:vAlign w:val="center"/>
          </w:tcPr>
          <w:p w:rsidR="00E11012" w:rsidRPr="00E11012" w:rsidRDefault="00E11012" w:rsidP="00A92FFC">
            <w:pPr>
              <w:jc w:val="center"/>
              <w:rPr>
                <w:rFonts w:ascii="Calibri" w:hAnsi="Calibri"/>
                <w:b/>
                <w:bCs/>
                <w:color w:val="000000"/>
                <w:sz w:val="20"/>
              </w:rPr>
            </w:pPr>
            <w:r w:rsidRPr="00E11012">
              <w:rPr>
                <w:rFonts w:ascii="Calibri" w:hAnsi="Calibri"/>
                <w:b/>
                <w:bCs/>
                <w:color w:val="000000"/>
                <w:sz w:val="20"/>
              </w:rPr>
              <w:t>APCD 14,484,061</w:t>
            </w:r>
          </w:p>
        </w:tc>
        <w:tc>
          <w:tcPr>
            <w:tcW w:w="1038" w:type="dxa"/>
            <w:tcBorders>
              <w:top w:val="single" w:sz="8" w:space="0" w:color="auto"/>
              <w:left w:val="nil"/>
              <w:bottom w:val="single" w:sz="8" w:space="0" w:color="auto"/>
              <w:right w:val="single" w:sz="8" w:space="0" w:color="auto"/>
            </w:tcBorders>
            <w:shd w:val="clear" w:color="000000" w:fill="D9D9D9"/>
            <w:vAlign w:val="center"/>
          </w:tcPr>
          <w:p w:rsidR="00E11012" w:rsidRPr="00E11012" w:rsidRDefault="00E11012" w:rsidP="00A92FFC">
            <w:pPr>
              <w:jc w:val="center"/>
              <w:rPr>
                <w:rFonts w:ascii="Calibri" w:hAnsi="Calibri"/>
                <w:b/>
                <w:bCs/>
                <w:color w:val="000000"/>
                <w:sz w:val="20"/>
              </w:rPr>
            </w:pPr>
            <w:r w:rsidRPr="00E11012">
              <w:rPr>
                <w:rFonts w:ascii="Calibri" w:hAnsi="Calibri"/>
                <w:b/>
                <w:bCs/>
                <w:color w:val="000000"/>
                <w:sz w:val="20"/>
              </w:rPr>
              <w:t>DoC     25,209</w:t>
            </w:r>
          </w:p>
        </w:tc>
      </w:tr>
      <w:tr w:rsidR="00E11012" w:rsidRPr="00FC7204" w:rsidTr="00E11012">
        <w:trPr>
          <w:trHeight w:val="144"/>
          <w:jc w:val="center"/>
        </w:trPr>
        <w:tc>
          <w:tcPr>
            <w:tcW w:w="1118" w:type="dxa"/>
            <w:tcBorders>
              <w:top w:val="single" w:sz="8" w:space="0" w:color="auto"/>
              <w:left w:val="single" w:sz="8" w:space="0" w:color="auto"/>
              <w:bottom w:val="nil"/>
              <w:right w:val="nil"/>
            </w:tcBorders>
            <w:shd w:val="clear" w:color="000000" w:fill="D9D9D9"/>
            <w:noWrap/>
            <w:vAlign w:val="bottom"/>
          </w:tcPr>
          <w:p w:rsidR="00E11012" w:rsidRPr="000745D4" w:rsidRDefault="00E11012" w:rsidP="00A92FFC">
            <w:pPr>
              <w:rPr>
                <w:rFonts w:ascii="Calibri" w:hAnsi="Calibri"/>
                <w:b/>
                <w:bCs/>
                <w:color w:val="000000"/>
                <w:sz w:val="20"/>
              </w:rPr>
            </w:pPr>
            <w:r w:rsidRPr="000745D4">
              <w:rPr>
                <w:rFonts w:ascii="Calibri" w:hAnsi="Calibri"/>
                <w:b/>
                <w:bCs/>
                <w:color w:val="000000"/>
                <w:sz w:val="20"/>
              </w:rPr>
              <w:t>DEATH</w:t>
            </w:r>
            <w:r>
              <w:rPr>
                <w:rFonts w:ascii="Calibri" w:hAnsi="Calibri"/>
                <w:b/>
                <w:bCs/>
                <w:color w:val="000000"/>
                <w:sz w:val="20"/>
              </w:rPr>
              <w:t>S</w:t>
            </w:r>
          </w:p>
        </w:tc>
        <w:tc>
          <w:tcPr>
            <w:tcW w:w="960" w:type="dxa"/>
            <w:tcBorders>
              <w:top w:val="nil"/>
              <w:left w:val="single" w:sz="8" w:space="0" w:color="auto"/>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118"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80508</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2832</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47103</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20202</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4781</w:t>
            </w:r>
          </w:p>
        </w:tc>
        <w:tc>
          <w:tcPr>
            <w:tcW w:w="1029" w:type="dxa"/>
            <w:tcBorders>
              <w:top w:val="single" w:sz="8" w:space="0" w:color="auto"/>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55616</w:t>
            </w:r>
          </w:p>
        </w:tc>
        <w:tc>
          <w:tcPr>
            <w:tcW w:w="1131" w:type="dxa"/>
            <w:tcBorders>
              <w:top w:val="single" w:sz="8" w:space="0" w:color="auto"/>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103499</w:t>
            </w:r>
          </w:p>
        </w:tc>
        <w:tc>
          <w:tcPr>
            <w:tcW w:w="1038" w:type="dxa"/>
            <w:tcBorders>
              <w:top w:val="single" w:sz="8" w:space="0" w:color="auto"/>
              <w:left w:val="nil"/>
              <w:bottom w:val="nil"/>
              <w:right w:val="single" w:sz="8" w:space="0" w:color="auto"/>
            </w:tcBorders>
            <w:shd w:val="clear" w:color="auto" w:fill="FFFFFF" w:themeFill="background1"/>
            <w:noWrap/>
            <w:vAlign w:val="center"/>
          </w:tcPr>
          <w:p w:rsidR="00E11012" w:rsidRPr="00E11012" w:rsidRDefault="00E11012" w:rsidP="001C267C">
            <w:pPr>
              <w:jc w:val="center"/>
              <w:rPr>
                <w:rFonts w:ascii="Calibri" w:hAnsi="Calibri"/>
                <w:color w:val="000000"/>
                <w:sz w:val="20"/>
              </w:rPr>
            </w:pPr>
            <w:r w:rsidRPr="00E11012">
              <w:rPr>
                <w:rFonts w:ascii="Calibri" w:hAnsi="Calibri"/>
                <w:color w:val="000000"/>
                <w:sz w:val="20"/>
              </w:rPr>
              <w:t> 565</w:t>
            </w:r>
          </w:p>
        </w:tc>
      </w:tr>
      <w:tr w:rsidR="00E11012" w:rsidRPr="00FC7204" w:rsidTr="00E11012">
        <w:trPr>
          <w:trHeight w:val="144"/>
          <w:jc w:val="center"/>
        </w:trPr>
        <w:tc>
          <w:tcPr>
            <w:tcW w:w="1118" w:type="dxa"/>
            <w:tcBorders>
              <w:top w:val="nil"/>
              <w:left w:val="single" w:sz="8" w:space="0" w:color="auto"/>
              <w:bottom w:val="nil"/>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Column %</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X</w:t>
            </w:r>
          </w:p>
        </w:tc>
        <w:tc>
          <w:tcPr>
            <w:tcW w:w="1118"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2.3</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1.9</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9.1</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13.7</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98.9</w:t>
            </w:r>
          </w:p>
        </w:tc>
        <w:tc>
          <w:tcPr>
            <w:tcW w:w="1029"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4.2</w:t>
            </w: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0.7</w:t>
            </w:r>
          </w:p>
        </w:tc>
        <w:tc>
          <w:tcPr>
            <w:tcW w:w="1038" w:type="dxa"/>
            <w:tcBorders>
              <w:top w:val="nil"/>
              <w:left w:val="nil"/>
              <w:bottom w:val="nil"/>
              <w:right w:val="single" w:sz="8" w:space="0" w:color="auto"/>
            </w:tcBorders>
            <w:shd w:val="clear" w:color="auto" w:fill="FFFFFF" w:themeFill="background1"/>
            <w:noWrap/>
            <w:vAlign w:val="center"/>
          </w:tcPr>
          <w:p w:rsidR="00E11012" w:rsidRPr="00E11012" w:rsidRDefault="00E11012" w:rsidP="001C267C">
            <w:pPr>
              <w:jc w:val="center"/>
              <w:rPr>
                <w:rFonts w:ascii="Calibri" w:hAnsi="Calibri"/>
                <w:color w:val="000000"/>
                <w:sz w:val="20"/>
              </w:rPr>
            </w:pPr>
            <w:r w:rsidRPr="00E11012">
              <w:rPr>
                <w:rFonts w:ascii="Calibri" w:hAnsi="Calibri"/>
                <w:color w:val="000000"/>
                <w:sz w:val="20"/>
              </w:rPr>
              <w:t>2.2</w:t>
            </w:r>
          </w:p>
        </w:tc>
      </w:tr>
      <w:tr w:rsidR="00E11012" w:rsidRPr="00FC7204" w:rsidTr="00E11012">
        <w:trPr>
          <w:trHeight w:val="144"/>
          <w:jc w:val="center"/>
        </w:trPr>
        <w:tc>
          <w:tcPr>
            <w:tcW w:w="1118" w:type="dxa"/>
            <w:tcBorders>
              <w:top w:val="nil"/>
              <w:left w:val="single" w:sz="8" w:space="0" w:color="auto"/>
              <w:bottom w:val="single" w:sz="8" w:space="0" w:color="auto"/>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Row %</w:t>
            </w:r>
          </w:p>
        </w:tc>
        <w:tc>
          <w:tcPr>
            <w:tcW w:w="960" w:type="dxa"/>
            <w:tcBorders>
              <w:top w:val="nil"/>
              <w:left w:val="nil"/>
              <w:bottom w:val="single" w:sz="8" w:space="0" w:color="auto"/>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118" w:type="dxa"/>
            <w:tcBorders>
              <w:top w:val="nil"/>
              <w:left w:val="nil"/>
              <w:bottom w:val="single" w:sz="8" w:space="0" w:color="auto"/>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77.8</w:t>
            </w:r>
          </w:p>
        </w:tc>
        <w:tc>
          <w:tcPr>
            <w:tcW w:w="960" w:type="dxa"/>
            <w:tcBorders>
              <w:top w:val="nil"/>
              <w:left w:val="nil"/>
              <w:bottom w:val="single" w:sz="8" w:space="0" w:color="auto"/>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2.7</w:t>
            </w:r>
          </w:p>
        </w:tc>
        <w:tc>
          <w:tcPr>
            <w:tcW w:w="960" w:type="dxa"/>
            <w:tcBorders>
              <w:top w:val="nil"/>
              <w:left w:val="nil"/>
              <w:bottom w:val="single" w:sz="8" w:space="0" w:color="auto"/>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45.6</w:t>
            </w:r>
          </w:p>
        </w:tc>
        <w:tc>
          <w:tcPr>
            <w:tcW w:w="960" w:type="dxa"/>
            <w:tcBorders>
              <w:top w:val="nil"/>
              <w:left w:val="nil"/>
              <w:bottom w:val="single" w:sz="8" w:space="0" w:color="auto"/>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19.5</w:t>
            </w:r>
          </w:p>
        </w:tc>
        <w:tc>
          <w:tcPr>
            <w:tcW w:w="960" w:type="dxa"/>
            <w:tcBorders>
              <w:top w:val="nil"/>
              <w:left w:val="nil"/>
              <w:bottom w:val="single" w:sz="8" w:space="0" w:color="auto"/>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4.6</w:t>
            </w:r>
          </w:p>
        </w:tc>
        <w:tc>
          <w:tcPr>
            <w:tcW w:w="1029"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53.7</w:t>
            </w:r>
          </w:p>
        </w:tc>
        <w:tc>
          <w:tcPr>
            <w:tcW w:w="1131"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&gt;99.9</w:t>
            </w:r>
          </w:p>
        </w:tc>
        <w:tc>
          <w:tcPr>
            <w:tcW w:w="1038" w:type="dxa"/>
            <w:tcBorders>
              <w:top w:val="nil"/>
              <w:left w:val="nil"/>
              <w:bottom w:val="single" w:sz="8" w:space="0" w:color="auto"/>
              <w:right w:val="single" w:sz="8" w:space="0" w:color="auto"/>
            </w:tcBorders>
            <w:shd w:val="clear" w:color="auto" w:fill="FFFFFF" w:themeFill="background1"/>
            <w:noWrap/>
            <w:vAlign w:val="center"/>
          </w:tcPr>
          <w:p w:rsidR="00E11012" w:rsidRPr="00E11012" w:rsidRDefault="00E11012" w:rsidP="001C267C">
            <w:pPr>
              <w:jc w:val="center"/>
              <w:rPr>
                <w:rFonts w:ascii="Calibri" w:hAnsi="Calibri"/>
                <w:color w:val="000000"/>
                <w:sz w:val="20"/>
              </w:rPr>
            </w:pPr>
            <w:r w:rsidRPr="00E11012">
              <w:rPr>
                <w:rFonts w:ascii="Calibri" w:hAnsi="Calibri"/>
                <w:color w:val="000000"/>
                <w:sz w:val="20"/>
              </w:rPr>
              <w:t>0.6</w:t>
            </w:r>
          </w:p>
        </w:tc>
      </w:tr>
      <w:tr w:rsidR="00E11012" w:rsidRPr="00FC7204" w:rsidTr="00E11012">
        <w:trPr>
          <w:trHeight w:val="144"/>
          <w:jc w:val="center"/>
        </w:trPr>
        <w:tc>
          <w:tcPr>
            <w:tcW w:w="1118" w:type="dxa"/>
            <w:tcBorders>
              <w:top w:val="nil"/>
              <w:left w:val="single" w:sz="8" w:space="0" w:color="auto"/>
              <w:bottom w:val="nil"/>
              <w:right w:val="nil"/>
            </w:tcBorders>
            <w:shd w:val="clear" w:color="000000" w:fill="D9D9D9"/>
            <w:noWrap/>
            <w:vAlign w:val="bottom"/>
          </w:tcPr>
          <w:p w:rsidR="00E11012" w:rsidRPr="000745D4" w:rsidRDefault="00E11012" w:rsidP="00A92FFC">
            <w:pPr>
              <w:rPr>
                <w:rFonts w:ascii="Calibri" w:hAnsi="Calibri"/>
                <w:b/>
                <w:bCs/>
                <w:color w:val="000000"/>
                <w:sz w:val="20"/>
              </w:rPr>
            </w:pPr>
            <w:r>
              <w:rPr>
                <w:rFonts w:ascii="Calibri" w:hAnsi="Calibri"/>
                <w:b/>
                <w:bCs/>
                <w:color w:val="000000"/>
                <w:sz w:val="20"/>
              </w:rPr>
              <w:t>PDMP</w:t>
            </w:r>
          </w:p>
        </w:tc>
        <w:tc>
          <w:tcPr>
            <w:tcW w:w="960" w:type="dxa"/>
            <w:vMerge w:val="restart"/>
            <w:tcBorders>
              <w:top w:val="single" w:sz="8" w:space="0" w:color="auto"/>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118"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107658</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37617</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122109</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3504</w:t>
            </w:r>
          </w:p>
        </w:tc>
        <w:tc>
          <w:tcPr>
            <w:tcW w:w="1029"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892716 </w:t>
            </w: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3470474 </w:t>
            </w:r>
          </w:p>
        </w:tc>
        <w:tc>
          <w:tcPr>
            <w:tcW w:w="1038"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16814</w:t>
            </w:r>
          </w:p>
        </w:tc>
      </w:tr>
      <w:tr w:rsidR="00E11012" w:rsidRPr="00FC7204" w:rsidTr="00E11012">
        <w:trPr>
          <w:trHeight w:val="144"/>
          <w:jc w:val="center"/>
        </w:trPr>
        <w:tc>
          <w:tcPr>
            <w:tcW w:w="1118" w:type="dxa"/>
            <w:tcBorders>
              <w:top w:val="nil"/>
              <w:left w:val="single" w:sz="8" w:space="0" w:color="auto"/>
              <w:bottom w:val="nil"/>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Column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X</w:t>
            </w: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72.1</w:t>
            </w: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1.1</w:t>
            </w: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83.0</w:t>
            </w: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72.3</w:t>
            </w:r>
          </w:p>
        </w:tc>
        <w:tc>
          <w:tcPr>
            <w:tcW w:w="1029"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66.9</w:t>
            </w: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24.0</w:t>
            </w:r>
          </w:p>
        </w:tc>
        <w:tc>
          <w:tcPr>
            <w:tcW w:w="1038" w:type="dxa"/>
            <w:tcBorders>
              <w:top w:val="nil"/>
              <w:left w:val="nil"/>
              <w:bottom w:val="nil"/>
              <w:right w:val="single" w:sz="8" w:space="0" w:color="auto"/>
            </w:tcBorders>
            <w:shd w:val="clear" w:color="auto" w:fill="FFFFFF" w:themeFill="background1"/>
            <w:noWrap/>
          </w:tcPr>
          <w:p w:rsidR="00E11012" w:rsidRPr="00E11012" w:rsidRDefault="00E11012" w:rsidP="00A92FFC">
            <w:pPr>
              <w:jc w:val="center"/>
              <w:rPr>
                <w:rFonts w:ascii="Calibri" w:hAnsi="Calibri"/>
                <w:color w:val="000000"/>
                <w:sz w:val="20"/>
              </w:rPr>
            </w:pPr>
            <w:r w:rsidRPr="00E11012">
              <w:rPr>
                <w:rFonts w:ascii="Calibri" w:hAnsi="Calibri"/>
                <w:color w:val="000000"/>
                <w:sz w:val="20"/>
              </w:rPr>
              <w:t>66.7</w:t>
            </w:r>
          </w:p>
        </w:tc>
      </w:tr>
      <w:tr w:rsidR="00E11012" w:rsidRPr="00FC7204" w:rsidTr="00E11012">
        <w:trPr>
          <w:trHeight w:val="144"/>
          <w:jc w:val="center"/>
        </w:trPr>
        <w:tc>
          <w:tcPr>
            <w:tcW w:w="1118" w:type="dxa"/>
            <w:tcBorders>
              <w:top w:val="nil"/>
              <w:left w:val="single" w:sz="8" w:space="0" w:color="auto"/>
              <w:bottom w:val="single" w:sz="8" w:space="0" w:color="auto"/>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Row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w:t>
            </w: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3.1</w:t>
            </w: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7.3</w:t>
            </w: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3.5</w:t>
            </w: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0.7</w:t>
            </w:r>
          </w:p>
        </w:tc>
        <w:tc>
          <w:tcPr>
            <w:tcW w:w="1029"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25.7</w:t>
            </w:r>
          </w:p>
        </w:tc>
        <w:tc>
          <w:tcPr>
            <w:tcW w:w="1131"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99.9 </w:t>
            </w:r>
          </w:p>
        </w:tc>
        <w:tc>
          <w:tcPr>
            <w:tcW w:w="1038" w:type="dxa"/>
            <w:tcBorders>
              <w:top w:val="nil"/>
              <w:left w:val="nil"/>
              <w:bottom w:val="single" w:sz="8" w:space="0" w:color="auto"/>
              <w:right w:val="single" w:sz="8" w:space="0" w:color="auto"/>
            </w:tcBorders>
            <w:shd w:val="clear" w:color="auto" w:fill="FFFFFF" w:themeFill="background1"/>
            <w:noWrap/>
          </w:tcPr>
          <w:p w:rsidR="00E11012" w:rsidRPr="00E11012" w:rsidRDefault="00E11012" w:rsidP="00A92FFC">
            <w:pPr>
              <w:jc w:val="center"/>
              <w:rPr>
                <w:rFonts w:ascii="Calibri" w:hAnsi="Calibri"/>
                <w:color w:val="000000"/>
                <w:sz w:val="20"/>
              </w:rPr>
            </w:pPr>
            <w:r w:rsidRPr="00E11012">
              <w:rPr>
                <w:rFonts w:ascii="Calibri" w:hAnsi="Calibri"/>
                <w:color w:val="000000"/>
                <w:sz w:val="20"/>
              </w:rPr>
              <w:t>0.48</w:t>
            </w:r>
          </w:p>
        </w:tc>
      </w:tr>
      <w:tr w:rsidR="00E11012" w:rsidRPr="00FC7204" w:rsidTr="00E11012">
        <w:trPr>
          <w:trHeight w:val="144"/>
          <w:jc w:val="center"/>
        </w:trPr>
        <w:tc>
          <w:tcPr>
            <w:tcW w:w="1118" w:type="dxa"/>
            <w:tcBorders>
              <w:top w:val="nil"/>
              <w:left w:val="single" w:sz="8" w:space="0" w:color="auto"/>
              <w:bottom w:val="nil"/>
              <w:right w:val="nil"/>
            </w:tcBorders>
            <w:shd w:val="clear" w:color="000000" w:fill="D9D9D9"/>
            <w:noWrap/>
            <w:vAlign w:val="bottom"/>
          </w:tcPr>
          <w:p w:rsidR="00E11012" w:rsidRPr="000745D4" w:rsidRDefault="00E11012" w:rsidP="00A92FFC">
            <w:pPr>
              <w:rPr>
                <w:rFonts w:ascii="Calibri" w:hAnsi="Calibri"/>
                <w:b/>
                <w:bCs/>
                <w:color w:val="000000"/>
                <w:sz w:val="20"/>
              </w:rPr>
            </w:pPr>
            <w:r w:rsidRPr="000745D4">
              <w:rPr>
                <w:rFonts w:ascii="Calibri" w:hAnsi="Calibri"/>
                <w:b/>
                <w:bCs/>
                <w:color w:val="000000"/>
                <w:sz w:val="20"/>
              </w:rPr>
              <w:t>BSAS</w:t>
            </w:r>
          </w:p>
        </w:tc>
        <w:tc>
          <w:tcPr>
            <w:tcW w:w="960" w:type="dxa"/>
            <w:vMerge w:val="restart"/>
            <w:tcBorders>
              <w:top w:val="single" w:sz="8" w:space="0" w:color="auto"/>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118"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37811</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1679</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1340</w:t>
            </w:r>
          </w:p>
        </w:tc>
        <w:tc>
          <w:tcPr>
            <w:tcW w:w="1029"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55956 </w:t>
            </w: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149252 </w:t>
            </w:r>
          </w:p>
        </w:tc>
        <w:tc>
          <w:tcPr>
            <w:tcW w:w="1038" w:type="dxa"/>
            <w:tcBorders>
              <w:top w:val="nil"/>
              <w:left w:val="nil"/>
              <w:bottom w:val="nil"/>
              <w:right w:val="single" w:sz="8" w:space="0" w:color="auto"/>
            </w:tcBorders>
            <w:shd w:val="clear" w:color="auto" w:fill="FFFFFF" w:themeFill="background1"/>
            <w:noWrap/>
            <w:vAlign w:val="center"/>
          </w:tcPr>
          <w:p w:rsidR="00E11012" w:rsidRPr="00E11012" w:rsidRDefault="00E11012" w:rsidP="001C267C">
            <w:pPr>
              <w:jc w:val="center"/>
              <w:rPr>
                <w:rFonts w:ascii="Calibri" w:hAnsi="Calibri"/>
                <w:color w:val="000000"/>
                <w:sz w:val="20"/>
              </w:rPr>
            </w:pPr>
            <w:r w:rsidRPr="00E11012">
              <w:rPr>
                <w:rFonts w:ascii="Calibri" w:hAnsi="Calibri"/>
                <w:color w:val="000000"/>
                <w:sz w:val="20"/>
              </w:rPr>
              <w:t> 13131</w:t>
            </w:r>
          </w:p>
        </w:tc>
      </w:tr>
      <w:tr w:rsidR="00E11012" w:rsidRPr="00FC7204" w:rsidTr="00E11012">
        <w:trPr>
          <w:trHeight w:val="144"/>
          <w:jc w:val="center"/>
        </w:trPr>
        <w:tc>
          <w:tcPr>
            <w:tcW w:w="1118" w:type="dxa"/>
            <w:tcBorders>
              <w:top w:val="nil"/>
              <w:left w:val="single" w:sz="8" w:space="0" w:color="auto"/>
              <w:bottom w:val="nil"/>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Column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X</w:t>
            </w: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7.3</w:t>
            </w: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1.1</w:t>
            </w: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27.7</w:t>
            </w:r>
          </w:p>
        </w:tc>
        <w:tc>
          <w:tcPr>
            <w:tcW w:w="1029"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4.2</w:t>
            </w: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1.0 </w:t>
            </w:r>
          </w:p>
        </w:tc>
        <w:tc>
          <w:tcPr>
            <w:tcW w:w="1038" w:type="dxa"/>
            <w:tcBorders>
              <w:top w:val="nil"/>
              <w:left w:val="nil"/>
              <w:bottom w:val="nil"/>
              <w:right w:val="single" w:sz="8" w:space="0" w:color="auto"/>
            </w:tcBorders>
            <w:shd w:val="clear" w:color="auto" w:fill="FFFFFF" w:themeFill="background1"/>
            <w:noWrap/>
            <w:vAlign w:val="center"/>
          </w:tcPr>
          <w:p w:rsidR="00E11012" w:rsidRPr="00E11012" w:rsidRDefault="00E11012" w:rsidP="00A92FFC">
            <w:pPr>
              <w:jc w:val="center"/>
              <w:rPr>
                <w:rFonts w:ascii="Calibri" w:hAnsi="Calibri"/>
                <w:color w:val="000000"/>
                <w:sz w:val="20"/>
              </w:rPr>
            </w:pPr>
            <w:r w:rsidRPr="00E11012">
              <w:rPr>
                <w:rFonts w:ascii="Calibri" w:hAnsi="Calibri"/>
                <w:color w:val="000000"/>
                <w:sz w:val="20"/>
              </w:rPr>
              <w:t> 52.2</w:t>
            </w:r>
          </w:p>
        </w:tc>
      </w:tr>
      <w:tr w:rsidR="00E11012" w:rsidRPr="00FC7204" w:rsidTr="00E11012">
        <w:trPr>
          <w:trHeight w:val="144"/>
          <w:jc w:val="center"/>
        </w:trPr>
        <w:tc>
          <w:tcPr>
            <w:tcW w:w="1118" w:type="dxa"/>
            <w:tcBorders>
              <w:top w:val="nil"/>
              <w:left w:val="single" w:sz="8" w:space="0" w:color="auto"/>
              <w:bottom w:val="single" w:sz="8" w:space="0" w:color="auto"/>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Row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w:t>
            </w: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25.3</w:t>
            </w: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1.1</w:t>
            </w: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0.9</w:t>
            </w:r>
          </w:p>
        </w:tc>
        <w:tc>
          <w:tcPr>
            <w:tcW w:w="1029"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37.5</w:t>
            </w:r>
          </w:p>
        </w:tc>
        <w:tc>
          <w:tcPr>
            <w:tcW w:w="1131"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&gt;99.9</w:t>
            </w:r>
          </w:p>
        </w:tc>
        <w:tc>
          <w:tcPr>
            <w:tcW w:w="1038" w:type="dxa"/>
            <w:tcBorders>
              <w:top w:val="nil"/>
              <w:left w:val="nil"/>
              <w:bottom w:val="single" w:sz="8" w:space="0" w:color="auto"/>
              <w:right w:val="single" w:sz="8" w:space="0" w:color="auto"/>
            </w:tcBorders>
            <w:shd w:val="clear" w:color="auto" w:fill="FFFFFF" w:themeFill="background1"/>
            <w:noWrap/>
            <w:vAlign w:val="center"/>
          </w:tcPr>
          <w:p w:rsidR="00E11012" w:rsidRPr="00E11012" w:rsidRDefault="00E11012" w:rsidP="00A92FFC">
            <w:pPr>
              <w:jc w:val="center"/>
              <w:rPr>
                <w:rFonts w:ascii="Calibri" w:hAnsi="Calibri"/>
                <w:color w:val="000000"/>
                <w:sz w:val="20"/>
              </w:rPr>
            </w:pPr>
            <w:r w:rsidRPr="00E11012">
              <w:rPr>
                <w:rFonts w:ascii="Calibri" w:hAnsi="Calibri"/>
                <w:color w:val="000000"/>
                <w:sz w:val="20"/>
              </w:rPr>
              <w:t>8.8</w:t>
            </w:r>
          </w:p>
        </w:tc>
      </w:tr>
      <w:tr w:rsidR="00E11012" w:rsidRPr="00FC7204" w:rsidTr="00E11012">
        <w:trPr>
          <w:trHeight w:val="144"/>
          <w:jc w:val="center"/>
        </w:trPr>
        <w:tc>
          <w:tcPr>
            <w:tcW w:w="1118" w:type="dxa"/>
            <w:tcBorders>
              <w:top w:val="nil"/>
              <w:left w:val="single" w:sz="8" w:space="0" w:color="auto"/>
              <w:bottom w:val="nil"/>
              <w:right w:val="nil"/>
            </w:tcBorders>
            <w:shd w:val="clear" w:color="000000" w:fill="D9D9D9"/>
            <w:noWrap/>
            <w:vAlign w:val="bottom"/>
          </w:tcPr>
          <w:p w:rsidR="00E11012" w:rsidRPr="000745D4" w:rsidRDefault="00E11012" w:rsidP="00A92FFC">
            <w:pPr>
              <w:rPr>
                <w:rFonts w:ascii="Calibri" w:hAnsi="Calibri"/>
                <w:b/>
                <w:bCs/>
                <w:color w:val="000000"/>
                <w:sz w:val="20"/>
              </w:rPr>
            </w:pPr>
            <w:r w:rsidRPr="000745D4">
              <w:rPr>
                <w:rFonts w:ascii="Calibri" w:hAnsi="Calibri"/>
                <w:b/>
                <w:bCs/>
                <w:color w:val="000000"/>
                <w:sz w:val="20"/>
              </w:rPr>
              <w:t>MATRIS</w:t>
            </w:r>
          </w:p>
        </w:tc>
        <w:tc>
          <w:tcPr>
            <w:tcW w:w="960" w:type="dxa"/>
            <w:vMerge w:val="restart"/>
            <w:tcBorders>
              <w:top w:val="single" w:sz="8" w:space="0" w:color="auto"/>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118"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25138</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2864</w:t>
            </w:r>
          </w:p>
        </w:tc>
        <w:tc>
          <w:tcPr>
            <w:tcW w:w="1029"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221811</w:t>
            </w: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514866</w:t>
            </w:r>
          </w:p>
        </w:tc>
        <w:tc>
          <w:tcPr>
            <w:tcW w:w="1038" w:type="dxa"/>
            <w:tcBorders>
              <w:top w:val="nil"/>
              <w:left w:val="nil"/>
              <w:bottom w:val="nil"/>
              <w:right w:val="single" w:sz="8" w:space="0" w:color="auto"/>
            </w:tcBorders>
            <w:shd w:val="clear" w:color="auto" w:fill="FFFFFF" w:themeFill="background1"/>
            <w:noWrap/>
            <w:vAlign w:val="center"/>
          </w:tcPr>
          <w:p w:rsidR="00E11012" w:rsidRPr="00E11012" w:rsidRDefault="00E11012" w:rsidP="001C267C">
            <w:pPr>
              <w:jc w:val="center"/>
              <w:rPr>
                <w:rFonts w:ascii="Calibri" w:hAnsi="Calibri"/>
                <w:color w:val="000000"/>
                <w:sz w:val="20"/>
              </w:rPr>
            </w:pPr>
            <w:r w:rsidRPr="00E11012">
              <w:rPr>
                <w:rFonts w:ascii="Calibri" w:hAnsi="Calibri"/>
                <w:color w:val="000000"/>
                <w:sz w:val="20"/>
              </w:rPr>
              <w:t> 8664</w:t>
            </w:r>
          </w:p>
        </w:tc>
      </w:tr>
      <w:tr w:rsidR="00E11012" w:rsidRPr="00FC7204" w:rsidTr="00E11012">
        <w:trPr>
          <w:trHeight w:val="144"/>
          <w:jc w:val="center"/>
        </w:trPr>
        <w:tc>
          <w:tcPr>
            <w:tcW w:w="1118" w:type="dxa"/>
            <w:tcBorders>
              <w:top w:val="nil"/>
              <w:left w:val="single" w:sz="8" w:space="0" w:color="auto"/>
              <w:bottom w:val="nil"/>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Column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X</w:t>
            </w: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17.1</w:t>
            </w: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59.3</w:t>
            </w:r>
          </w:p>
        </w:tc>
        <w:tc>
          <w:tcPr>
            <w:tcW w:w="1029"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16.6</w:t>
            </w: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3.6</w:t>
            </w:r>
          </w:p>
        </w:tc>
        <w:tc>
          <w:tcPr>
            <w:tcW w:w="1038" w:type="dxa"/>
            <w:tcBorders>
              <w:top w:val="nil"/>
              <w:left w:val="nil"/>
              <w:bottom w:val="nil"/>
              <w:right w:val="single" w:sz="8" w:space="0" w:color="auto"/>
            </w:tcBorders>
            <w:shd w:val="clear" w:color="auto" w:fill="FFFFFF" w:themeFill="background1"/>
            <w:noWrap/>
            <w:vAlign w:val="center"/>
          </w:tcPr>
          <w:p w:rsidR="00E11012" w:rsidRPr="00E11012" w:rsidRDefault="00E11012" w:rsidP="00A92FFC">
            <w:pPr>
              <w:jc w:val="center"/>
              <w:rPr>
                <w:rFonts w:ascii="Calibri" w:hAnsi="Calibri"/>
                <w:color w:val="000000"/>
                <w:sz w:val="20"/>
              </w:rPr>
            </w:pPr>
            <w:r w:rsidRPr="00E11012">
              <w:rPr>
                <w:rFonts w:ascii="Calibri" w:hAnsi="Calibri"/>
                <w:color w:val="000000"/>
                <w:sz w:val="20"/>
              </w:rPr>
              <w:t>34.4</w:t>
            </w:r>
          </w:p>
        </w:tc>
      </w:tr>
      <w:tr w:rsidR="00E11012" w:rsidRPr="00FC7204" w:rsidTr="00E11012">
        <w:trPr>
          <w:trHeight w:val="144"/>
          <w:jc w:val="center"/>
        </w:trPr>
        <w:tc>
          <w:tcPr>
            <w:tcW w:w="1118" w:type="dxa"/>
            <w:tcBorders>
              <w:top w:val="nil"/>
              <w:left w:val="single" w:sz="8" w:space="0" w:color="auto"/>
              <w:bottom w:val="single" w:sz="8" w:space="0" w:color="auto"/>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Row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w:t>
            </w: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4.9</w:t>
            </w: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0.6</w:t>
            </w:r>
          </w:p>
        </w:tc>
        <w:tc>
          <w:tcPr>
            <w:tcW w:w="1029"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43.1</w:t>
            </w:r>
          </w:p>
        </w:tc>
        <w:tc>
          <w:tcPr>
            <w:tcW w:w="1131"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99.9</w:t>
            </w:r>
          </w:p>
        </w:tc>
        <w:tc>
          <w:tcPr>
            <w:tcW w:w="1038" w:type="dxa"/>
            <w:tcBorders>
              <w:top w:val="nil"/>
              <w:left w:val="nil"/>
              <w:bottom w:val="single" w:sz="8" w:space="0" w:color="auto"/>
              <w:right w:val="single" w:sz="8" w:space="0" w:color="auto"/>
            </w:tcBorders>
            <w:shd w:val="clear" w:color="auto" w:fill="FFFFFF" w:themeFill="background1"/>
            <w:noWrap/>
            <w:vAlign w:val="center"/>
          </w:tcPr>
          <w:p w:rsidR="00E11012" w:rsidRPr="00E11012" w:rsidRDefault="00E11012" w:rsidP="00A92FFC">
            <w:pPr>
              <w:jc w:val="center"/>
              <w:rPr>
                <w:rFonts w:ascii="Calibri" w:hAnsi="Calibri"/>
                <w:color w:val="000000"/>
                <w:sz w:val="20"/>
              </w:rPr>
            </w:pPr>
            <w:r w:rsidRPr="00E11012">
              <w:rPr>
                <w:rFonts w:ascii="Calibri" w:hAnsi="Calibri"/>
                <w:color w:val="000000"/>
                <w:sz w:val="20"/>
              </w:rPr>
              <w:t>1.7</w:t>
            </w:r>
          </w:p>
        </w:tc>
      </w:tr>
      <w:tr w:rsidR="00E11012" w:rsidRPr="00FC7204" w:rsidTr="00E11012">
        <w:trPr>
          <w:trHeight w:val="144"/>
          <w:jc w:val="center"/>
        </w:trPr>
        <w:tc>
          <w:tcPr>
            <w:tcW w:w="1118" w:type="dxa"/>
            <w:tcBorders>
              <w:top w:val="nil"/>
              <w:left w:val="single" w:sz="8" w:space="0" w:color="auto"/>
              <w:bottom w:val="nil"/>
              <w:right w:val="nil"/>
            </w:tcBorders>
            <w:shd w:val="clear" w:color="000000" w:fill="D9D9D9"/>
            <w:noWrap/>
            <w:vAlign w:val="bottom"/>
          </w:tcPr>
          <w:p w:rsidR="00E11012" w:rsidRPr="000745D4" w:rsidRDefault="00E11012" w:rsidP="00A92FFC">
            <w:pPr>
              <w:rPr>
                <w:rFonts w:ascii="Calibri" w:hAnsi="Calibri"/>
                <w:b/>
                <w:bCs/>
                <w:color w:val="000000"/>
                <w:sz w:val="20"/>
              </w:rPr>
            </w:pPr>
            <w:r w:rsidRPr="000745D4">
              <w:rPr>
                <w:rFonts w:ascii="Calibri" w:hAnsi="Calibri"/>
                <w:b/>
                <w:bCs/>
                <w:color w:val="000000"/>
                <w:sz w:val="20"/>
              </w:rPr>
              <w:t>MCR</w:t>
            </w:r>
          </w:p>
        </w:tc>
        <w:tc>
          <w:tcPr>
            <w:tcW w:w="960" w:type="dxa"/>
            <w:vMerge w:val="restart"/>
            <w:tcBorders>
              <w:top w:val="single" w:sz="8" w:space="0" w:color="auto"/>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118"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99</w:t>
            </w:r>
          </w:p>
        </w:tc>
        <w:tc>
          <w:tcPr>
            <w:tcW w:w="1029"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67898</w:t>
            </w: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146673</w:t>
            </w:r>
          </w:p>
        </w:tc>
        <w:tc>
          <w:tcPr>
            <w:tcW w:w="1038" w:type="dxa"/>
            <w:tcBorders>
              <w:top w:val="nil"/>
              <w:left w:val="nil"/>
              <w:bottom w:val="nil"/>
              <w:right w:val="single" w:sz="8" w:space="0" w:color="auto"/>
            </w:tcBorders>
            <w:shd w:val="clear" w:color="auto" w:fill="FFFFFF" w:themeFill="background1"/>
            <w:noWrap/>
            <w:vAlign w:val="center"/>
          </w:tcPr>
          <w:p w:rsidR="00E11012" w:rsidRPr="00E11012" w:rsidRDefault="00E11012" w:rsidP="001C267C">
            <w:pPr>
              <w:jc w:val="center"/>
              <w:rPr>
                <w:rFonts w:ascii="Calibri" w:hAnsi="Calibri"/>
                <w:color w:val="000000"/>
                <w:sz w:val="20"/>
              </w:rPr>
            </w:pPr>
            <w:r w:rsidRPr="00E11012">
              <w:rPr>
                <w:rFonts w:ascii="Calibri" w:hAnsi="Calibri"/>
                <w:color w:val="000000"/>
                <w:sz w:val="20"/>
              </w:rPr>
              <w:t> 234</w:t>
            </w:r>
          </w:p>
        </w:tc>
      </w:tr>
      <w:tr w:rsidR="00E11012" w:rsidRPr="00FC7204" w:rsidTr="00E11012">
        <w:trPr>
          <w:trHeight w:val="144"/>
          <w:jc w:val="center"/>
        </w:trPr>
        <w:tc>
          <w:tcPr>
            <w:tcW w:w="1118" w:type="dxa"/>
            <w:tcBorders>
              <w:top w:val="nil"/>
              <w:left w:val="single" w:sz="8" w:space="0" w:color="auto"/>
              <w:bottom w:val="nil"/>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Column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X</w:t>
            </w: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2.1</w:t>
            </w:r>
          </w:p>
        </w:tc>
        <w:tc>
          <w:tcPr>
            <w:tcW w:w="1029"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5.1</w:t>
            </w: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1.0</w:t>
            </w:r>
          </w:p>
        </w:tc>
        <w:tc>
          <w:tcPr>
            <w:tcW w:w="1038" w:type="dxa"/>
            <w:tcBorders>
              <w:top w:val="nil"/>
              <w:left w:val="nil"/>
              <w:bottom w:val="nil"/>
              <w:right w:val="single" w:sz="8" w:space="0" w:color="auto"/>
            </w:tcBorders>
            <w:shd w:val="clear" w:color="auto" w:fill="FFFFFF" w:themeFill="background1"/>
            <w:noWrap/>
            <w:vAlign w:val="center"/>
          </w:tcPr>
          <w:p w:rsidR="00E11012" w:rsidRPr="00E11012" w:rsidRDefault="00E11012" w:rsidP="00A92FFC">
            <w:pPr>
              <w:jc w:val="center"/>
              <w:rPr>
                <w:rFonts w:ascii="Calibri" w:hAnsi="Calibri"/>
                <w:color w:val="000000"/>
                <w:sz w:val="20"/>
              </w:rPr>
            </w:pPr>
            <w:r w:rsidRPr="00E11012">
              <w:rPr>
                <w:rFonts w:ascii="Calibri" w:hAnsi="Calibri"/>
                <w:color w:val="000000"/>
                <w:sz w:val="20"/>
              </w:rPr>
              <w:t> 0.9</w:t>
            </w:r>
          </w:p>
        </w:tc>
      </w:tr>
      <w:tr w:rsidR="00E11012" w:rsidRPr="00FC7204" w:rsidTr="00E11012">
        <w:trPr>
          <w:trHeight w:val="144"/>
          <w:jc w:val="center"/>
        </w:trPr>
        <w:tc>
          <w:tcPr>
            <w:tcW w:w="1118" w:type="dxa"/>
            <w:tcBorders>
              <w:top w:val="nil"/>
              <w:left w:val="single" w:sz="8" w:space="0" w:color="auto"/>
              <w:bottom w:val="single" w:sz="8" w:space="0" w:color="auto"/>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Row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w:t>
            </w: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0.1</w:t>
            </w:r>
          </w:p>
        </w:tc>
        <w:tc>
          <w:tcPr>
            <w:tcW w:w="1029"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46.2</w:t>
            </w:r>
          </w:p>
        </w:tc>
        <w:tc>
          <w:tcPr>
            <w:tcW w:w="1131"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99.7</w:t>
            </w:r>
          </w:p>
        </w:tc>
        <w:tc>
          <w:tcPr>
            <w:tcW w:w="1038" w:type="dxa"/>
            <w:tcBorders>
              <w:top w:val="nil"/>
              <w:left w:val="nil"/>
              <w:bottom w:val="single" w:sz="8" w:space="0" w:color="auto"/>
              <w:right w:val="single" w:sz="8" w:space="0" w:color="auto"/>
            </w:tcBorders>
            <w:shd w:val="clear" w:color="auto" w:fill="FFFFFF" w:themeFill="background1"/>
            <w:noWrap/>
            <w:vAlign w:val="center"/>
          </w:tcPr>
          <w:p w:rsidR="00E11012" w:rsidRPr="00E11012" w:rsidRDefault="00E11012" w:rsidP="00A92FFC">
            <w:pPr>
              <w:jc w:val="center"/>
              <w:rPr>
                <w:rFonts w:ascii="Calibri" w:hAnsi="Calibri"/>
                <w:color w:val="000000"/>
                <w:sz w:val="20"/>
              </w:rPr>
            </w:pPr>
            <w:r w:rsidRPr="00E11012">
              <w:rPr>
                <w:rFonts w:ascii="Calibri" w:hAnsi="Calibri"/>
                <w:color w:val="000000"/>
                <w:sz w:val="20"/>
              </w:rPr>
              <w:t> 0.2</w:t>
            </w:r>
          </w:p>
        </w:tc>
      </w:tr>
      <w:tr w:rsidR="00E11012" w:rsidRPr="00FC7204" w:rsidTr="00E11012">
        <w:trPr>
          <w:trHeight w:val="144"/>
          <w:jc w:val="center"/>
        </w:trPr>
        <w:tc>
          <w:tcPr>
            <w:tcW w:w="1118" w:type="dxa"/>
            <w:tcBorders>
              <w:top w:val="nil"/>
              <w:left w:val="single" w:sz="8" w:space="0" w:color="auto"/>
              <w:bottom w:val="nil"/>
              <w:right w:val="nil"/>
            </w:tcBorders>
            <w:shd w:val="clear" w:color="000000" w:fill="D9D9D9"/>
            <w:noWrap/>
            <w:vAlign w:val="bottom"/>
          </w:tcPr>
          <w:p w:rsidR="00E11012" w:rsidRPr="000745D4" w:rsidRDefault="00E11012" w:rsidP="00A92FFC">
            <w:pPr>
              <w:rPr>
                <w:rFonts w:ascii="Calibri" w:hAnsi="Calibri"/>
                <w:b/>
                <w:bCs/>
                <w:color w:val="000000"/>
                <w:sz w:val="20"/>
              </w:rPr>
            </w:pPr>
            <w:r w:rsidRPr="000745D4">
              <w:rPr>
                <w:rFonts w:ascii="Calibri" w:hAnsi="Calibri"/>
                <w:b/>
                <w:bCs/>
                <w:color w:val="000000"/>
                <w:sz w:val="20"/>
              </w:rPr>
              <w:t>TOX</w:t>
            </w:r>
          </w:p>
        </w:tc>
        <w:tc>
          <w:tcPr>
            <w:tcW w:w="960" w:type="dxa"/>
            <w:vMerge w:val="restart"/>
            <w:tcBorders>
              <w:top w:val="single" w:sz="8" w:space="0" w:color="auto"/>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118"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029"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2332</w:t>
            </w: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4815</w:t>
            </w:r>
          </w:p>
        </w:tc>
        <w:tc>
          <w:tcPr>
            <w:tcW w:w="1038" w:type="dxa"/>
            <w:tcBorders>
              <w:top w:val="nil"/>
              <w:left w:val="nil"/>
              <w:bottom w:val="nil"/>
              <w:right w:val="single" w:sz="8" w:space="0" w:color="auto"/>
            </w:tcBorders>
            <w:shd w:val="clear" w:color="auto" w:fill="FFFFFF" w:themeFill="background1"/>
            <w:noWrap/>
            <w:vAlign w:val="center"/>
          </w:tcPr>
          <w:p w:rsidR="00E11012" w:rsidRPr="00E11012" w:rsidRDefault="00E11012" w:rsidP="001C267C">
            <w:pPr>
              <w:jc w:val="center"/>
              <w:rPr>
                <w:rFonts w:ascii="Calibri" w:hAnsi="Calibri"/>
                <w:color w:val="000000"/>
                <w:sz w:val="20"/>
              </w:rPr>
            </w:pPr>
            <w:r w:rsidRPr="00E11012">
              <w:rPr>
                <w:rFonts w:ascii="Calibri" w:hAnsi="Calibri"/>
                <w:color w:val="000000"/>
                <w:sz w:val="20"/>
              </w:rPr>
              <w:t>302</w:t>
            </w:r>
          </w:p>
        </w:tc>
      </w:tr>
      <w:tr w:rsidR="00E11012" w:rsidRPr="00FC7204" w:rsidTr="00E11012">
        <w:trPr>
          <w:trHeight w:val="144"/>
          <w:jc w:val="center"/>
        </w:trPr>
        <w:tc>
          <w:tcPr>
            <w:tcW w:w="1118" w:type="dxa"/>
            <w:tcBorders>
              <w:top w:val="nil"/>
              <w:left w:val="single" w:sz="8" w:space="0" w:color="auto"/>
              <w:bottom w:val="nil"/>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Column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X</w:t>
            </w:r>
          </w:p>
        </w:tc>
        <w:tc>
          <w:tcPr>
            <w:tcW w:w="1029"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0.2</w:t>
            </w: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0.03</w:t>
            </w:r>
          </w:p>
        </w:tc>
        <w:tc>
          <w:tcPr>
            <w:tcW w:w="1038" w:type="dxa"/>
            <w:tcBorders>
              <w:top w:val="nil"/>
              <w:left w:val="nil"/>
              <w:bottom w:val="nil"/>
              <w:right w:val="single" w:sz="8" w:space="0" w:color="auto"/>
            </w:tcBorders>
            <w:shd w:val="clear" w:color="auto" w:fill="FFFFFF" w:themeFill="background1"/>
            <w:noWrap/>
            <w:vAlign w:val="center"/>
          </w:tcPr>
          <w:p w:rsidR="00E11012" w:rsidRPr="00E11012" w:rsidRDefault="00E11012" w:rsidP="00A92FFC">
            <w:pPr>
              <w:jc w:val="center"/>
              <w:rPr>
                <w:rFonts w:ascii="Calibri" w:hAnsi="Calibri"/>
                <w:color w:val="000000"/>
                <w:sz w:val="20"/>
              </w:rPr>
            </w:pPr>
            <w:r w:rsidRPr="00E11012">
              <w:rPr>
                <w:rFonts w:ascii="Calibri" w:hAnsi="Calibri"/>
                <w:color w:val="000000"/>
                <w:sz w:val="20"/>
              </w:rPr>
              <w:t>1.2</w:t>
            </w:r>
          </w:p>
        </w:tc>
      </w:tr>
      <w:tr w:rsidR="00E11012" w:rsidRPr="00FC7204" w:rsidTr="00E11012">
        <w:trPr>
          <w:trHeight w:val="144"/>
          <w:jc w:val="center"/>
        </w:trPr>
        <w:tc>
          <w:tcPr>
            <w:tcW w:w="1118" w:type="dxa"/>
            <w:tcBorders>
              <w:top w:val="nil"/>
              <w:left w:val="single" w:sz="8" w:space="0" w:color="auto"/>
              <w:bottom w:val="single" w:sz="8" w:space="0" w:color="auto"/>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Row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w:t>
            </w:r>
          </w:p>
        </w:tc>
        <w:tc>
          <w:tcPr>
            <w:tcW w:w="1029"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48.3</w:t>
            </w:r>
          </w:p>
        </w:tc>
        <w:tc>
          <w:tcPr>
            <w:tcW w:w="1131"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99.6</w:t>
            </w:r>
          </w:p>
        </w:tc>
        <w:tc>
          <w:tcPr>
            <w:tcW w:w="1038" w:type="dxa"/>
            <w:tcBorders>
              <w:top w:val="nil"/>
              <w:left w:val="nil"/>
              <w:bottom w:val="single" w:sz="8" w:space="0" w:color="auto"/>
              <w:right w:val="single" w:sz="8" w:space="0" w:color="auto"/>
            </w:tcBorders>
            <w:shd w:val="clear" w:color="auto" w:fill="FFFFFF" w:themeFill="background1"/>
            <w:noWrap/>
            <w:vAlign w:val="center"/>
          </w:tcPr>
          <w:p w:rsidR="00E11012" w:rsidRPr="00E11012" w:rsidRDefault="00E11012" w:rsidP="00A92FFC">
            <w:pPr>
              <w:jc w:val="center"/>
              <w:rPr>
                <w:rFonts w:ascii="Calibri" w:hAnsi="Calibri"/>
                <w:color w:val="000000"/>
                <w:sz w:val="20"/>
              </w:rPr>
            </w:pPr>
            <w:r w:rsidRPr="00E11012">
              <w:rPr>
                <w:rFonts w:ascii="Calibri" w:hAnsi="Calibri"/>
                <w:color w:val="000000"/>
                <w:sz w:val="20"/>
              </w:rPr>
              <w:t>6.3</w:t>
            </w:r>
          </w:p>
        </w:tc>
      </w:tr>
      <w:tr w:rsidR="00E11012" w:rsidRPr="00FC7204" w:rsidTr="00E11012">
        <w:trPr>
          <w:trHeight w:val="144"/>
          <w:jc w:val="center"/>
        </w:trPr>
        <w:tc>
          <w:tcPr>
            <w:tcW w:w="1118" w:type="dxa"/>
            <w:tcBorders>
              <w:top w:val="nil"/>
              <w:left w:val="single" w:sz="8" w:space="0" w:color="auto"/>
              <w:bottom w:val="nil"/>
              <w:right w:val="nil"/>
            </w:tcBorders>
            <w:shd w:val="clear" w:color="000000" w:fill="D9D9D9"/>
            <w:noWrap/>
            <w:vAlign w:val="bottom"/>
          </w:tcPr>
          <w:p w:rsidR="00E11012" w:rsidRPr="000745D4" w:rsidRDefault="00E11012" w:rsidP="00A92FFC">
            <w:pPr>
              <w:rPr>
                <w:rFonts w:ascii="Calibri" w:hAnsi="Calibri"/>
                <w:b/>
                <w:bCs/>
                <w:color w:val="000000"/>
                <w:sz w:val="20"/>
              </w:rPr>
            </w:pPr>
            <w:r>
              <w:rPr>
                <w:rFonts w:ascii="Calibri" w:hAnsi="Calibri"/>
                <w:b/>
                <w:bCs/>
                <w:color w:val="000000"/>
                <w:sz w:val="20"/>
              </w:rPr>
              <w:t>Case Mix</w:t>
            </w:r>
          </w:p>
        </w:tc>
        <w:tc>
          <w:tcPr>
            <w:tcW w:w="960" w:type="dxa"/>
            <w:vMerge w:val="restart"/>
            <w:tcBorders>
              <w:top w:val="single" w:sz="8" w:space="0" w:color="auto"/>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118"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029" w:type="dxa"/>
            <w:tcBorders>
              <w:top w:val="nil"/>
              <w:left w:val="nil"/>
              <w:bottom w:val="nil"/>
              <w:right w:val="single" w:sz="8" w:space="0" w:color="auto"/>
            </w:tcBorders>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1333862</w:t>
            </w:r>
          </w:p>
        </w:tc>
        <w:tc>
          <w:tcPr>
            <w:tcW w:w="1038"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10298 </w:t>
            </w:r>
          </w:p>
        </w:tc>
      </w:tr>
      <w:tr w:rsidR="00E11012" w:rsidRPr="00FC7204" w:rsidTr="00E11012">
        <w:trPr>
          <w:trHeight w:val="144"/>
          <w:jc w:val="center"/>
        </w:trPr>
        <w:tc>
          <w:tcPr>
            <w:tcW w:w="1118" w:type="dxa"/>
            <w:tcBorders>
              <w:top w:val="nil"/>
              <w:left w:val="single" w:sz="8" w:space="0" w:color="auto"/>
              <w:bottom w:val="nil"/>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Column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029" w:type="dxa"/>
            <w:tcBorders>
              <w:top w:val="nil"/>
              <w:left w:val="nil"/>
              <w:bottom w:val="nil"/>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X</w:t>
            </w: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9.2 </w:t>
            </w:r>
          </w:p>
        </w:tc>
        <w:tc>
          <w:tcPr>
            <w:tcW w:w="1038"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40.8</w:t>
            </w:r>
          </w:p>
        </w:tc>
      </w:tr>
      <w:tr w:rsidR="00E11012" w:rsidRPr="00FC7204" w:rsidTr="00E11012">
        <w:trPr>
          <w:trHeight w:val="144"/>
          <w:jc w:val="center"/>
        </w:trPr>
        <w:tc>
          <w:tcPr>
            <w:tcW w:w="1118" w:type="dxa"/>
            <w:tcBorders>
              <w:top w:val="nil"/>
              <w:left w:val="single" w:sz="8" w:space="0" w:color="auto"/>
              <w:bottom w:val="single" w:sz="8" w:space="0" w:color="auto"/>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Row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029" w:type="dxa"/>
            <w:tcBorders>
              <w:top w:val="nil"/>
              <w:left w:val="nil"/>
              <w:bottom w:val="single" w:sz="8" w:space="0" w:color="auto"/>
              <w:right w:val="single" w:sz="8" w:space="0" w:color="auto"/>
            </w:tcBorders>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w:t>
            </w:r>
          </w:p>
        </w:tc>
        <w:tc>
          <w:tcPr>
            <w:tcW w:w="1131"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100</w:t>
            </w:r>
          </w:p>
        </w:tc>
        <w:tc>
          <w:tcPr>
            <w:tcW w:w="1038"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0.7</w:t>
            </w:r>
          </w:p>
        </w:tc>
      </w:tr>
      <w:tr w:rsidR="00E11012" w:rsidRPr="00FC7204" w:rsidTr="00E11012">
        <w:trPr>
          <w:trHeight w:val="144"/>
          <w:jc w:val="center"/>
        </w:trPr>
        <w:tc>
          <w:tcPr>
            <w:tcW w:w="1118" w:type="dxa"/>
            <w:tcBorders>
              <w:top w:val="nil"/>
              <w:left w:val="single" w:sz="8" w:space="0" w:color="auto"/>
              <w:bottom w:val="nil"/>
              <w:right w:val="nil"/>
            </w:tcBorders>
            <w:shd w:val="clear" w:color="000000" w:fill="D9D9D9"/>
            <w:noWrap/>
            <w:vAlign w:val="bottom"/>
          </w:tcPr>
          <w:p w:rsidR="00E11012" w:rsidRPr="000745D4" w:rsidRDefault="00E11012" w:rsidP="00A92FFC">
            <w:pPr>
              <w:rPr>
                <w:rFonts w:ascii="Calibri" w:hAnsi="Calibri"/>
                <w:b/>
                <w:bCs/>
                <w:color w:val="000000"/>
                <w:sz w:val="20"/>
              </w:rPr>
            </w:pPr>
            <w:r w:rsidRPr="000745D4">
              <w:rPr>
                <w:rFonts w:ascii="Calibri" w:hAnsi="Calibri"/>
                <w:b/>
                <w:bCs/>
                <w:color w:val="000000"/>
                <w:sz w:val="20"/>
              </w:rPr>
              <w:t>APCD</w:t>
            </w:r>
          </w:p>
        </w:tc>
        <w:tc>
          <w:tcPr>
            <w:tcW w:w="960" w:type="dxa"/>
            <w:vMerge w:val="restart"/>
            <w:tcBorders>
              <w:top w:val="single" w:sz="8" w:space="0" w:color="auto"/>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118"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029"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center"/>
          </w:tcPr>
          <w:p w:rsidR="00E11012" w:rsidRPr="00E11012" w:rsidRDefault="00E11012" w:rsidP="001C267C">
            <w:pPr>
              <w:jc w:val="center"/>
              <w:rPr>
                <w:rFonts w:ascii="Calibri" w:hAnsi="Calibri"/>
                <w:b/>
                <w:bCs/>
                <w:color w:val="000000"/>
                <w:sz w:val="20"/>
              </w:rPr>
            </w:pP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038"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25205</w:t>
            </w:r>
          </w:p>
        </w:tc>
      </w:tr>
      <w:tr w:rsidR="00E11012" w:rsidRPr="00FC7204" w:rsidTr="00E11012">
        <w:trPr>
          <w:trHeight w:val="144"/>
          <w:jc w:val="center"/>
        </w:trPr>
        <w:tc>
          <w:tcPr>
            <w:tcW w:w="1118" w:type="dxa"/>
            <w:tcBorders>
              <w:top w:val="nil"/>
              <w:left w:val="single" w:sz="8" w:space="0" w:color="auto"/>
              <w:bottom w:val="nil"/>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Column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029"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31"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X</w:t>
            </w:r>
          </w:p>
        </w:tc>
        <w:tc>
          <w:tcPr>
            <w:tcW w:w="1038"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100</w:t>
            </w:r>
          </w:p>
        </w:tc>
      </w:tr>
      <w:tr w:rsidR="00E11012" w:rsidRPr="00FC7204" w:rsidTr="00E11012">
        <w:trPr>
          <w:trHeight w:val="144"/>
          <w:jc w:val="center"/>
        </w:trPr>
        <w:tc>
          <w:tcPr>
            <w:tcW w:w="1118" w:type="dxa"/>
            <w:tcBorders>
              <w:top w:val="nil"/>
              <w:left w:val="single" w:sz="8" w:space="0" w:color="auto"/>
              <w:bottom w:val="single" w:sz="8" w:space="0" w:color="auto"/>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Row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029"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31"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w:t>
            </w:r>
          </w:p>
        </w:tc>
        <w:tc>
          <w:tcPr>
            <w:tcW w:w="1038"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0.2</w:t>
            </w:r>
          </w:p>
        </w:tc>
      </w:tr>
      <w:tr w:rsidR="00E11012" w:rsidRPr="00E11012" w:rsidTr="00E11012">
        <w:trPr>
          <w:trHeight w:val="144"/>
          <w:jc w:val="center"/>
        </w:trPr>
        <w:tc>
          <w:tcPr>
            <w:tcW w:w="1118" w:type="dxa"/>
            <w:tcBorders>
              <w:top w:val="nil"/>
              <w:left w:val="single" w:sz="8" w:space="0" w:color="auto"/>
              <w:bottom w:val="nil"/>
              <w:right w:val="nil"/>
            </w:tcBorders>
            <w:shd w:val="clear" w:color="000000" w:fill="D9D9D9"/>
            <w:noWrap/>
            <w:vAlign w:val="bottom"/>
          </w:tcPr>
          <w:p w:rsidR="00E11012" w:rsidRPr="000745D4" w:rsidRDefault="00E11012" w:rsidP="00A92FFC">
            <w:pPr>
              <w:rPr>
                <w:rFonts w:ascii="Calibri" w:hAnsi="Calibri"/>
                <w:b/>
                <w:bCs/>
                <w:color w:val="000000"/>
                <w:sz w:val="20"/>
              </w:rPr>
            </w:pPr>
            <w:r w:rsidRPr="000745D4">
              <w:rPr>
                <w:rFonts w:ascii="Calibri" w:hAnsi="Calibri"/>
                <w:b/>
                <w:bCs/>
                <w:color w:val="000000"/>
                <w:sz w:val="20"/>
              </w:rPr>
              <w:t>DoC</w:t>
            </w:r>
          </w:p>
        </w:tc>
        <w:tc>
          <w:tcPr>
            <w:tcW w:w="960" w:type="dxa"/>
            <w:vMerge w:val="restart"/>
            <w:tcBorders>
              <w:top w:val="single" w:sz="8" w:space="0" w:color="auto"/>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118"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960"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029" w:type="dxa"/>
            <w:vMerge w:val="restart"/>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131" w:type="dxa"/>
            <w:vMerge w:val="restart"/>
            <w:tcBorders>
              <w:top w:val="single" w:sz="8" w:space="0" w:color="auto"/>
              <w:left w:val="nil"/>
              <w:bottom w:val="single" w:sz="8" w:space="0" w:color="auto"/>
              <w:right w:val="single" w:sz="8" w:space="0" w:color="auto"/>
              <w:tr2bl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c>
          <w:tcPr>
            <w:tcW w:w="1038" w:type="dxa"/>
            <w:tcBorders>
              <w:top w:val="nil"/>
              <w:left w:val="nil"/>
              <w:bottom w:val="nil"/>
              <w:right w:val="single" w:sz="8" w:space="0" w:color="auto"/>
            </w:tcBorders>
            <w:shd w:val="clear" w:color="auto" w:fill="FFFFFF" w:themeFill="background1"/>
            <w:noWrap/>
            <w:vAlign w:val="bottom"/>
          </w:tcPr>
          <w:p w:rsidR="00E11012" w:rsidRPr="00E11012" w:rsidRDefault="00E11012" w:rsidP="001C267C">
            <w:pPr>
              <w:jc w:val="center"/>
              <w:rPr>
                <w:rFonts w:ascii="Calibri" w:hAnsi="Calibri"/>
                <w:color w:val="000000"/>
                <w:sz w:val="20"/>
              </w:rPr>
            </w:pPr>
            <w:r w:rsidRPr="00E11012">
              <w:rPr>
                <w:rFonts w:ascii="Calibri" w:hAnsi="Calibri"/>
                <w:color w:val="000000"/>
                <w:sz w:val="20"/>
              </w:rPr>
              <w:t> </w:t>
            </w:r>
          </w:p>
        </w:tc>
      </w:tr>
      <w:tr w:rsidR="00E11012" w:rsidRPr="00E11012" w:rsidTr="00E11012">
        <w:trPr>
          <w:trHeight w:val="144"/>
          <w:jc w:val="center"/>
        </w:trPr>
        <w:tc>
          <w:tcPr>
            <w:tcW w:w="1118" w:type="dxa"/>
            <w:tcBorders>
              <w:top w:val="nil"/>
              <w:left w:val="single" w:sz="8" w:space="0" w:color="auto"/>
              <w:bottom w:val="nil"/>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Column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029"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31" w:type="dxa"/>
            <w:vMerge/>
            <w:tcBorders>
              <w:top w:val="single" w:sz="8" w:space="0" w:color="auto"/>
              <w:left w:val="nil"/>
              <w:bottom w:val="single" w:sz="8" w:space="0" w:color="auto"/>
              <w:right w:val="single" w:sz="8" w:space="0" w:color="auto"/>
              <w:tr2bl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p>
        </w:tc>
        <w:tc>
          <w:tcPr>
            <w:tcW w:w="1038" w:type="dxa"/>
            <w:tcBorders>
              <w:top w:val="nil"/>
              <w:left w:val="nil"/>
              <w:bottom w:val="nil"/>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X</w:t>
            </w:r>
          </w:p>
        </w:tc>
      </w:tr>
      <w:tr w:rsidR="00E11012" w:rsidRPr="00E11012" w:rsidTr="00E11012">
        <w:trPr>
          <w:trHeight w:val="144"/>
          <w:jc w:val="center"/>
        </w:trPr>
        <w:tc>
          <w:tcPr>
            <w:tcW w:w="1118" w:type="dxa"/>
            <w:tcBorders>
              <w:top w:val="nil"/>
              <w:left w:val="single" w:sz="8" w:space="0" w:color="auto"/>
              <w:bottom w:val="single" w:sz="8" w:space="0" w:color="auto"/>
              <w:right w:val="single" w:sz="8" w:space="0" w:color="auto"/>
            </w:tcBorders>
            <w:shd w:val="clear" w:color="000000" w:fill="D9D9D9"/>
            <w:vAlign w:val="center"/>
          </w:tcPr>
          <w:p w:rsidR="00E11012" w:rsidRPr="000745D4" w:rsidRDefault="00E11012" w:rsidP="00A92FFC">
            <w:pPr>
              <w:rPr>
                <w:rFonts w:ascii="Calibri" w:hAnsi="Calibri"/>
                <w:color w:val="000000"/>
                <w:sz w:val="20"/>
              </w:rPr>
            </w:pPr>
            <w:r w:rsidRPr="000745D4">
              <w:rPr>
                <w:rFonts w:ascii="Calibri" w:hAnsi="Calibri"/>
                <w:color w:val="000000"/>
                <w:sz w:val="20"/>
              </w:rPr>
              <w:t>Row %</w:t>
            </w:r>
          </w:p>
        </w:tc>
        <w:tc>
          <w:tcPr>
            <w:tcW w:w="960" w:type="dxa"/>
            <w:vMerge/>
            <w:tcBorders>
              <w:left w:val="single" w:sz="8" w:space="0" w:color="auto"/>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18"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960"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029" w:type="dxa"/>
            <w:vMerge/>
            <w:tcBorders>
              <w:top w:val="single" w:sz="8" w:space="0" w:color="auto"/>
              <w:left w:val="nil"/>
              <w:bottom w:val="single" w:sz="8" w:space="0" w:color="auto"/>
              <w:right w:val="single" w:sz="8" w:space="0" w:color="auto"/>
              <w:tr2bl w:val="single" w:sz="8" w:space="0" w:color="auto"/>
            </w:tcBorders>
            <w:shd w:val="clear" w:color="000000" w:fill="F2F2F2"/>
            <w:noWrap/>
            <w:vAlign w:val="bottom"/>
          </w:tcPr>
          <w:p w:rsidR="00E11012" w:rsidRPr="00E11012" w:rsidRDefault="00E11012" w:rsidP="00A92FFC">
            <w:pPr>
              <w:jc w:val="center"/>
              <w:rPr>
                <w:rFonts w:ascii="Calibri" w:hAnsi="Calibri"/>
                <w:color w:val="000000"/>
                <w:sz w:val="20"/>
              </w:rPr>
            </w:pPr>
          </w:p>
        </w:tc>
        <w:tc>
          <w:tcPr>
            <w:tcW w:w="1131" w:type="dxa"/>
            <w:vMerge/>
            <w:tcBorders>
              <w:top w:val="single" w:sz="8" w:space="0" w:color="auto"/>
              <w:left w:val="nil"/>
              <w:bottom w:val="single" w:sz="8" w:space="0" w:color="auto"/>
              <w:right w:val="single" w:sz="8" w:space="0" w:color="auto"/>
              <w:tr2bl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p>
        </w:tc>
        <w:tc>
          <w:tcPr>
            <w:tcW w:w="1038" w:type="dxa"/>
            <w:tcBorders>
              <w:top w:val="nil"/>
              <w:left w:val="nil"/>
              <w:bottom w:val="single" w:sz="8" w:space="0" w:color="auto"/>
              <w:right w:val="single" w:sz="8" w:space="0" w:color="auto"/>
            </w:tcBorders>
            <w:shd w:val="clear" w:color="auto" w:fill="FFFFFF" w:themeFill="background1"/>
            <w:noWrap/>
            <w:vAlign w:val="bottom"/>
          </w:tcPr>
          <w:p w:rsidR="00E11012" w:rsidRPr="00E11012" w:rsidRDefault="00E11012" w:rsidP="00A92FFC">
            <w:pPr>
              <w:jc w:val="center"/>
              <w:rPr>
                <w:rFonts w:ascii="Calibri" w:hAnsi="Calibri"/>
                <w:color w:val="000000"/>
                <w:sz w:val="20"/>
              </w:rPr>
            </w:pPr>
            <w:r w:rsidRPr="00E11012">
              <w:rPr>
                <w:rFonts w:ascii="Calibri" w:hAnsi="Calibri"/>
                <w:color w:val="000000"/>
                <w:sz w:val="20"/>
              </w:rPr>
              <w:t> </w:t>
            </w:r>
          </w:p>
        </w:tc>
      </w:tr>
    </w:tbl>
    <w:p w:rsidR="00400E42" w:rsidRDefault="00400E42" w:rsidP="00400E42">
      <w:pPr>
        <w:spacing w:line="480" w:lineRule="auto"/>
        <w:jc w:val="center"/>
        <w:rPr>
          <w:rFonts w:ascii="Calibri" w:hAnsi="Calibri"/>
          <w:b/>
          <w:sz w:val="22"/>
          <w:szCs w:val="22"/>
        </w:rPr>
      </w:pPr>
    </w:p>
    <w:p w:rsidR="00400E42" w:rsidRDefault="00400E42" w:rsidP="00400E42">
      <w:pPr>
        <w:spacing w:line="480" w:lineRule="auto"/>
        <w:jc w:val="center"/>
        <w:rPr>
          <w:rFonts w:ascii="Calibri" w:hAnsi="Calibri"/>
          <w:b/>
          <w:sz w:val="22"/>
          <w:szCs w:val="22"/>
        </w:rPr>
        <w:sectPr w:rsidR="00400E42" w:rsidSect="0004308E">
          <w:pgSz w:w="15840" w:h="12240" w:orient="landscape"/>
          <w:pgMar w:top="1440" w:right="1440" w:bottom="1440" w:left="1440" w:header="720" w:footer="720" w:gutter="0"/>
          <w:cols w:space="720"/>
          <w:titlePg/>
          <w:docGrid w:linePitch="360"/>
        </w:sectPr>
      </w:pPr>
    </w:p>
    <w:p w:rsidR="00400E42" w:rsidRPr="009943F4" w:rsidRDefault="00400E42" w:rsidP="007D21BB">
      <w:pPr>
        <w:pStyle w:val="Heading1"/>
      </w:pPr>
      <w:bookmarkStart w:id="34" w:name="_Toc452726673"/>
      <w:bookmarkStart w:id="35" w:name="_Toc453664364"/>
      <w:bookmarkStart w:id="36" w:name="_Toc454724776"/>
      <w:r w:rsidRPr="009943F4">
        <w:lastRenderedPageBreak/>
        <w:t xml:space="preserve">Appendix </w:t>
      </w:r>
      <w:r>
        <w:t>E</w:t>
      </w:r>
      <w:r w:rsidRPr="009943F4">
        <w:t>: Data Quality and Strategies for Handling Missing Data</w:t>
      </w:r>
      <w:bookmarkEnd w:id="34"/>
      <w:bookmarkEnd w:id="35"/>
      <w:bookmarkEnd w:id="36"/>
    </w:p>
    <w:p w:rsidR="00400E42" w:rsidRPr="003E679E" w:rsidRDefault="00400E42" w:rsidP="00C33429">
      <w:pPr>
        <w:spacing w:after="120" w:line="276" w:lineRule="auto"/>
        <w:rPr>
          <w:rFonts w:ascii="Calibri" w:hAnsi="Calibri"/>
          <w:b/>
          <w:szCs w:val="22"/>
        </w:rPr>
      </w:pPr>
      <w:r w:rsidRPr="003E679E">
        <w:rPr>
          <w:rFonts w:ascii="Calibri" w:hAnsi="Calibri"/>
          <w:b/>
          <w:szCs w:val="22"/>
        </w:rPr>
        <w:t>Data Quality Analysis:</w:t>
      </w:r>
    </w:p>
    <w:p w:rsidR="00400E42" w:rsidRDefault="00400E42" w:rsidP="002D6E20">
      <w:pPr>
        <w:pStyle w:val="PBody"/>
      </w:pPr>
      <w:r>
        <w:t xml:space="preserve">Each data owner cleaned their data according to their usual standards.  To provide some uniformity to the process of data cleaning, DPH conducted a four-step cleaning process for all analytic datasets that it held prior to delivery to the server on which all Chapter 55 datasets were stored.  The first step was to screen for duplicate records; the second step was to measure the distributions of categorical and numeric variables; the third step was to assess overall data environment quality by examining various aspects of the linkages across tables; and the fourth step was to compare the linked and unlinked records for differences in demographic categories. </w:t>
      </w:r>
    </w:p>
    <w:p w:rsidR="00400E42" w:rsidRPr="003E679E" w:rsidRDefault="00400E42" w:rsidP="00C33429">
      <w:pPr>
        <w:spacing w:after="120" w:line="276" w:lineRule="auto"/>
        <w:ind w:left="432"/>
        <w:rPr>
          <w:rFonts w:ascii="Calibri" w:hAnsi="Calibri"/>
          <w:b/>
          <w:color w:val="000000"/>
          <w:sz w:val="22"/>
          <w:szCs w:val="22"/>
        </w:rPr>
      </w:pPr>
      <w:r w:rsidRPr="003E679E">
        <w:rPr>
          <w:rFonts w:ascii="Calibri" w:hAnsi="Calibri"/>
          <w:b/>
          <w:color w:val="000000"/>
          <w:sz w:val="22"/>
          <w:szCs w:val="22"/>
        </w:rPr>
        <w:t>Step 1. Evaluation of duplicate identification values</w:t>
      </w:r>
    </w:p>
    <w:p w:rsidR="00400E42" w:rsidRDefault="00400E42" w:rsidP="00C456E6">
      <w:pPr>
        <w:spacing w:after="120" w:line="276" w:lineRule="auto"/>
        <w:ind w:left="432"/>
        <w:jc w:val="both"/>
        <w:rPr>
          <w:rFonts w:ascii="Calibri" w:hAnsi="Calibri"/>
          <w:color w:val="000000"/>
          <w:sz w:val="22"/>
          <w:szCs w:val="22"/>
        </w:rPr>
      </w:pPr>
      <w:r w:rsidRPr="00E90F78">
        <w:rPr>
          <w:rFonts w:ascii="Calibri" w:hAnsi="Calibri"/>
          <w:color w:val="000000"/>
          <w:sz w:val="22"/>
          <w:szCs w:val="22"/>
        </w:rPr>
        <w:t xml:space="preserve">A count of identification values was performed and compared to a count of distinct identification values for each analytic </w:t>
      </w:r>
      <w:r>
        <w:rPr>
          <w:rFonts w:ascii="Calibri" w:hAnsi="Calibri"/>
          <w:color w:val="000000"/>
          <w:sz w:val="22"/>
          <w:szCs w:val="22"/>
        </w:rPr>
        <w:t>dataset</w:t>
      </w:r>
      <w:r w:rsidRPr="00E90F78">
        <w:rPr>
          <w:rFonts w:ascii="Calibri" w:hAnsi="Calibri"/>
          <w:color w:val="000000"/>
          <w:sz w:val="22"/>
          <w:szCs w:val="22"/>
        </w:rPr>
        <w:t>.  The ratio of those values indicated the level of duplication if any</w:t>
      </w:r>
      <w:r w:rsidR="00301E0D">
        <w:rPr>
          <w:rFonts w:ascii="Calibri" w:hAnsi="Calibri"/>
          <w:color w:val="000000"/>
          <w:sz w:val="22"/>
          <w:szCs w:val="22"/>
        </w:rPr>
        <w:t>.  T</w:t>
      </w:r>
      <w:r>
        <w:rPr>
          <w:rFonts w:ascii="Calibri" w:hAnsi="Calibri"/>
          <w:color w:val="000000"/>
          <w:sz w:val="22"/>
          <w:szCs w:val="22"/>
        </w:rPr>
        <w:t>he level of record duplication detected was minimal.</w:t>
      </w:r>
    </w:p>
    <w:p w:rsidR="00400E42" w:rsidRPr="003E679E" w:rsidRDefault="00400E42" w:rsidP="00C33429">
      <w:pPr>
        <w:spacing w:after="120" w:line="276" w:lineRule="auto"/>
        <w:ind w:left="432"/>
        <w:rPr>
          <w:rFonts w:ascii="Calibri" w:hAnsi="Calibri"/>
          <w:b/>
          <w:color w:val="000000"/>
          <w:sz w:val="22"/>
          <w:szCs w:val="22"/>
        </w:rPr>
      </w:pPr>
      <w:r w:rsidRPr="003E679E">
        <w:rPr>
          <w:rFonts w:ascii="Calibri" w:hAnsi="Calibri"/>
          <w:b/>
          <w:color w:val="000000"/>
          <w:sz w:val="22"/>
          <w:szCs w:val="22"/>
        </w:rPr>
        <w:t>Step 2. Distribution of Categorical and Numeric Variables</w:t>
      </w:r>
    </w:p>
    <w:p w:rsidR="00400E42" w:rsidRDefault="00400E42" w:rsidP="00C456E6">
      <w:pPr>
        <w:spacing w:after="120" w:line="276" w:lineRule="auto"/>
        <w:ind w:left="432"/>
        <w:jc w:val="both"/>
        <w:rPr>
          <w:rFonts w:ascii="Calibri" w:hAnsi="Calibri"/>
          <w:color w:val="000000"/>
          <w:sz w:val="22"/>
          <w:szCs w:val="22"/>
        </w:rPr>
      </w:pPr>
      <w:r>
        <w:rPr>
          <w:rFonts w:ascii="Calibri" w:hAnsi="Calibri"/>
          <w:color w:val="000000"/>
          <w:sz w:val="22"/>
          <w:szCs w:val="22"/>
        </w:rPr>
        <w:t xml:space="preserve">The larger the dataset the more likely it is to contain some invalid or </w:t>
      </w:r>
      <w:r w:rsidRPr="00A24C4E">
        <w:rPr>
          <w:rFonts w:ascii="Calibri" w:hAnsi="Calibri"/>
          <w:color w:val="000000"/>
          <w:sz w:val="22"/>
          <w:szCs w:val="22"/>
        </w:rPr>
        <w:t xml:space="preserve">unknown </w:t>
      </w:r>
      <w:r>
        <w:rPr>
          <w:rFonts w:ascii="Calibri" w:hAnsi="Calibri"/>
          <w:color w:val="000000"/>
          <w:sz w:val="22"/>
          <w:szCs w:val="22"/>
        </w:rPr>
        <w:t>values</w:t>
      </w:r>
      <w:r w:rsidRPr="00A24C4E">
        <w:rPr>
          <w:rFonts w:ascii="Calibri" w:hAnsi="Calibri"/>
          <w:color w:val="000000"/>
          <w:sz w:val="22"/>
          <w:szCs w:val="22"/>
        </w:rPr>
        <w:t xml:space="preserve">.  </w:t>
      </w:r>
      <w:r>
        <w:rPr>
          <w:rFonts w:ascii="Calibri" w:hAnsi="Calibri"/>
          <w:color w:val="000000"/>
          <w:sz w:val="22"/>
          <w:szCs w:val="22"/>
        </w:rPr>
        <w:t xml:space="preserve">For example, no age should be a negative number and it is unlikely that any age is above 110.  </w:t>
      </w:r>
      <w:r w:rsidRPr="00A24C4E">
        <w:rPr>
          <w:rFonts w:ascii="Calibri" w:hAnsi="Calibri"/>
          <w:color w:val="000000"/>
          <w:sz w:val="22"/>
          <w:szCs w:val="22"/>
        </w:rPr>
        <w:t xml:space="preserve">In order to assess the quality of each variable across the </w:t>
      </w:r>
      <w:r>
        <w:rPr>
          <w:rFonts w:ascii="Calibri" w:hAnsi="Calibri"/>
          <w:color w:val="000000"/>
          <w:sz w:val="22"/>
          <w:szCs w:val="22"/>
        </w:rPr>
        <w:t>dataset</w:t>
      </w:r>
      <w:r w:rsidRPr="00A24C4E">
        <w:rPr>
          <w:rFonts w:ascii="Calibri" w:hAnsi="Calibri"/>
          <w:color w:val="000000"/>
          <w:sz w:val="22"/>
          <w:szCs w:val="22"/>
        </w:rPr>
        <w:t>s</w:t>
      </w:r>
      <w:r>
        <w:rPr>
          <w:rFonts w:ascii="Calibri" w:hAnsi="Calibri"/>
          <w:color w:val="000000"/>
          <w:sz w:val="22"/>
          <w:szCs w:val="22"/>
        </w:rPr>
        <w:t>,</w:t>
      </w:r>
      <w:r w:rsidRPr="00A24C4E">
        <w:rPr>
          <w:rFonts w:ascii="Calibri" w:hAnsi="Calibri"/>
          <w:color w:val="000000"/>
          <w:sz w:val="22"/>
          <w:szCs w:val="22"/>
        </w:rPr>
        <w:t xml:space="preserve"> it was important to quantify the frequency, percent</w:t>
      </w:r>
      <w:r>
        <w:rPr>
          <w:rFonts w:ascii="Calibri" w:hAnsi="Calibri"/>
          <w:color w:val="000000"/>
          <w:sz w:val="22"/>
          <w:szCs w:val="22"/>
        </w:rPr>
        <w:t>,</w:t>
      </w:r>
      <w:r w:rsidRPr="00A24C4E">
        <w:rPr>
          <w:rFonts w:ascii="Calibri" w:hAnsi="Calibri"/>
          <w:color w:val="000000"/>
          <w:sz w:val="22"/>
          <w:szCs w:val="22"/>
        </w:rPr>
        <w:t xml:space="preserve"> and cumulative percent of </w:t>
      </w:r>
      <w:r>
        <w:rPr>
          <w:rFonts w:ascii="Calibri" w:hAnsi="Calibri"/>
          <w:color w:val="000000"/>
          <w:sz w:val="22"/>
          <w:szCs w:val="22"/>
        </w:rPr>
        <w:t>all valid and invalid information</w:t>
      </w:r>
      <w:r w:rsidR="00301E0D">
        <w:rPr>
          <w:rFonts w:ascii="Calibri" w:hAnsi="Calibri"/>
          <w:color w:val="000000"/>
          <w:sz w:val="22"/>
          <w:szCs w:val="22"/>
        </w:rPr>
        <w:t>.  H</w:t>
      </w:r>
      <w:r>
        <w:rPr>
          <w:rFonts w:ascii="Calibri" w:hAnsi="Calibri"/>
          <w:color w:val="000000"/>
          <w:sz w:val="22"/>
          <w:szCs w:val="22"/>
        </w:rPr>
        <w:t xml:space="preserve">igh percentages of invalid data were corrected wherever possible.  </w:t>
      </w:r>
      <w:r w:rsidRPr="00A24C4E">
        <w:rPr>
          <w:rFonts w:ascii="Calibri" w:hAnsi="Calibri"/>
          <w:color w:val="000000"/>
          <w:sz w:val="22"/>
          <w:szCs w:val="22"/>
        </w:rPr>
        <w:t xml:space="preserve">Assessing the quality of each numeric variable was extended to include binary variables represented by 0/1.  The summary of numeric variables included quantifying the mean, maximum, and minimum values and a flag to indicate if the variable was binary.  These values were calculated across all analytic </w:t>
      </w:r>
      <w:r>
        <w:rPr>
          <w:rFonts w:ascii="Calibri" w:hAnsi="Calibri"/>
          <w:color w:val="000000"/>
          <w:sz w:val="22"/>
          <w:szCs w:val="22"/>
        </w:rPr>
        <w:t>dataset</w:t>
      </w:r>
      <w:r w:rsidRPr="00A24C4E">
        <w:rPr>
          <w:rFonts w:ascii="Calibri" w:hAnsi="Calibri"/>
          <w:color w:val="000000"/>
          <w:sz w:val="22"/>
          <w:szCs w:val="22"/>
        </w:rPr>
        <w:t xml:space="preserve">s and applicable variables.  </w:t>
      </w:r>
      <w:r>
        <w:rPr>
          <w:rFonts w:ascii="Calibri" w:hAnsi="Calibri"/>
          <w:color w:val="000000"/>
          <w:sz w:val="22"/>
          <w:szCs w:val="22"/>
        </w:rPr>
        <w:t>As above, the rate of invalid data detected was minimal.</w:t>
      </w:r>
    </w:p>
    <w:p w:rsidR="00400E42" w:rsidRPr="003E679E" w:rsidRDefault="00400E42" w:rsidP="00C33429">
      <w:pPr>
        <w:spacing w:after="120" w:line="276" w:lineRule="auto"/>
        <w:ind w:left="432"/>
        <w:rPr>
          <w:rFonts w:ascii="Calibri" w:hAnsi="Calibri"/>
          <w:b/>
          <w:color w:val="000000"/>
          <w:sz w:val="22"/>
          <w:szCs w:val="22"/>
        </w:rPr>
      </w:pPr>
      <w:r w:rsidRPr="003E679E">
        <w:rPr>
          <w:rFonts w:ascii="Calibri" w:hAnsi="Calibri"/>
          <w:b/>
          <w:color w:val="000000"/>
          <w:sz w:val="22"/>
          <w:szCs w:val="22"/>
        </w:rPr>
        <w:t>Step 3. Overall Environmental Quality</w:t>
      </w:r>
    </w:p>
    <w:p w:rsidR="00400E42" w:rsidRDefault="00400E42" w:rsidP="00C456E6">
      <w:pPr>
        <w:spacing w:after="120" w:line="276" w:lineRule="auto"/>
        <w:ind w:left="432"/>
        <w:jc w:val="both"/>
        <w:rPr>
          <w:rFonts w:ascii="Calibri" w:hAnsi="Calibri"/>
          <w:color w:val="000000"/>
          <w:sz w:val="22"/>
          <w:szCs w:val="22"/>
        </w:rPr>
      </w:pPr>
      <w:r w:rsidRPr="00A24C4E">
        <w:rPr>
          <w:rFonts w:ascii="Calibri" w:hAnsi="Calibri"/>
          <w:color w:val="000000"/>
          <w:sz w:val="22"/>
          <w:szCs w:val="22"/>
        </w:rPr>
        <w:t xml:space="preserve">The data were evaluated for overall quality, which included determining how much overlap exists across </w:t>
      </w:r>
      <w:r>
        <w:rPr>
          <w:rFonts w:ascii="Calibri" w:hAnsi="Calibri"/>
          <w:color w:val="000000"/>
          <w:sz w:val="22"/>
          <w:szCs w:val="22"/>
        </w:rPr>
        <w:t>dataset</w:t>
      </w:r>
      <w:r w:rsidRPr="00A24C4E">
        <w:rPr>
          <w:rFonts w:ascii="Calibri" w:hAnsi="Calibri"/>
          <w:color w:val="000000"/>
          <w:sz w:val="22"/>
          <w:szCs w:val="22"/>
        </w:rPr>
        <w:t xml:space="preserve">s.  Each unique ID was assessed for presence in each </w:t>
      </w:r>
      <w:r>
        <w:rPr>
          <w:rFonts w:ascii="Calibri" w:hAnsi="Calibri"/>
          <w:color w:val="000000"/>
          <w:sz w:val="22"/>
          <w:szCs w:val="22"/>
        </w:rPr>
        <w:t>dataset</w:t>
      </w:r>
      <w:r w:rsidRPr="00A24C4E">
        <w:rPr>
          <w:rFonts w:ascii="Calibri" w:hAnsi="Calibri"/>
          <w:color w:val="000000"/>
          <w:sz w:val="22"/>
          <w:szCs w:val="22"/>
        </w:rPr>
        <w:t xml:space="preserve"> and ultimately </w:t>
      </w:r>
      <w:r>
        <w:rPr>
          <w:rFonts w:ascii="Calibri" w:hAnsi="Calibri"/>
          <w:color w:val="000000"/>
          <w:sz w:val="22"/>
          <w:szCs w:val="22"/>
        </w:rPr>
        <w:t xml:space="preserve">in </w:t>
      </w:r>
      <w:r w:rsidRPr="00A24C4E">
        <w:rPr>
          <w:rFonts w:ascii="Calibri" w:hAnsi="Calibri"/>
          <w:color w:val="000000"/>
          <w:sz w:val="22"/>
          <w:szCs w:val="22"/>
        </w:rPr>
        <w:t xml:space="preserve">how many and in which specific </w:t>
      </w:r>
      <w:r>
        <w:rPr>
          <w:rFonts w:ascii="Calibri" w:hAnsi="Calibri"/>
          <w:color w:val="000000"/>
          <w:sz w:val="22"/>
          <w:szCs w:val="22"/>
        </w:rPr>
        <w:t>dataset</w:t>
      </w:r>
      <w:r w:rsidRPr="00A24C4E">
        <w:rPr>
          <w:rFonts w:ascii="Calibri" w:hAnsi="Calibri"/>
          <w:color w:val="000000"/>
          <w:sz w:val="22"/>
          <w:szCs w:val="22"/>
        </w:rPr>
        <w:t>s the unique ID appears</w:t>
      </w:r>
      <w:r w:rsidR="00301E0D">
        <w:rPr>
          <w:rFonts w:ascii="Calibri" w:hAnsi="Calibri"/>
          <w:color w:val="000000"/>
          <w:sz w:val="22"/>
          <w:szCs w:val="22"/>
        </w:rPr>
        <w:t>.  T</w:t>
      </w:r>
      <w:r w:rsidRPr="00A24C4E">
        <w:rPr>
          <w:rFonts w:ascii="Calibri" w:hAnsi="Calibri"/>
          <w:color w:val="000000"/>
          <w:sz w:val="22"/>
          <w:szCs w:val="22"/>
        </w:rPr>
        <w:t>he total number of ID’s with a single hit as well as the total number of ID’s with more than one hit were reported.  Inconsistencies were evaluated based on prior knowledge of what constitutes irregular patterns among tables in which ID’s appear</w:t>
      </w:r>
      <w:r w:rsidR="00B32B5D">
        <w:rPr>
          <w:rFonts w:ascii="Calibri" w:hAnsi="Calibri"/>
          <w:color w:val="000000"/>
          <w:sz w:val="22"/>
          <w:szCs w:val="22"/>
        </w:rPr>
        <w:t xml:space="preserve">.  </w:t>
      </w:r>
    </w:p>
    <w:p w:rsidR="00400E42" w:rsidRPr="003E679E" w:rsidRDefault="00400E42" w:rsidP="00C33429">
      <w:pPr>
        <w:spacing w:after="120" w:line="276" w:lineRule="auto"/>
        <w:ind w:left="432"/>
        <w:rPr>
          <w:rFonts w:ascii="Calibri" w:hAnsi="Calibri"/>
          <w:b/>
          <w:color w:val="000000"/>
          <w:sz w:val="22"/>
          <w:szCs w:val="22"/>
        </w:rPr>
      </w:pPr>
      <w:r>
        <w:rPr>
          <w:rFonts w:ascii="Calibri" w:hAnsi="Calibri"/>
          <w:b/>
          <w:color w:val="000000"/>
          <w:sz w:val="22"/>
          <w:szCs w:val="22"/>
        </w:rPr>
        <w:t>Step 4</w:t>
      </w:r>
      <w:r w:rsidRPr="003E679E">
        <w:rPr>
          <w:rFonts w:ascii="Calibri" w:hAnsi="Calibri"/>
          <w:b/>
          <w:color w:val="000000"/>
          <w:sz w:val="22"/>
          <w:szCs w:val="22"/>
        </w:rPr>
        <w:t xml:space="preserve">. </w:t>
      </w:r>
      <w:r>
        <w:rPr>
          <w:rFonts w:ascii="Calibri" w:hAnsi="Calibri"/>
          <w:b/>
          <w:color w:val="000000"/>
          <w:sz w:val="22"/>
          <w:szCs w:val="22"/>
        </w:rPr>
        <w:t>Linked Versus Unlinked Data</w:t>
      </w:r>
    </w:p>
    <w:p w:rsidR="00400E42" w:rsidRDefault="00400E42" w:rsidP="00C456E6">
      <w:pPr>
        <w:spacing w:after="120" w:line="276" w:lineRule="auto"/>
        <w:ind w:left="432"/>
        <w:jc w:val="both"/>
        <w:rPr>
          <w:rFonts w:ascii="Calibri" w:hAnsi="Calibri"/>
          <w:color w:val="000000"/>
          <w:sz w:val="22"/>
          <w:szCs w:val="22"/>
        </w:rPr>
      </w:pPr>
      <w:r>
        <w:rPr>
          <w:rFonts w:ascii="Calibri" w:hAnsi="Calibri"/>
          <w:color w:val="000000"/>
          <w:sz w:val="22"/>
          <w:szCs w:val="22"/>
        </w:rPr>
        <w:t xml:space="preserve">A six-level deterministic matching algorithm was used for matching each dataset with the APCD-Spine.  For more information about this process and the percentage of matches for each dataset, please see Appendix D.  Before proceeding with any analysis, it was important to understand whether there were any pronounced biases between those records that were linked to the APCD-Spine and those that were not.  Individual records from original sources, such as MATRIS ambulance trip data, were excluded from the analytic environment when a match could not be </w:t>
      </w:r>
      <w:r>
        <w:rPr>
          <w:rFonts w:ascii="Calibri" w:hAnsi="Calibri"/>
          <w:color w:val="000000"/>
          <w:sz w:val="22"/>
          <w:szCs w:val="22"/>
        </w:rPr>
        <w:lastRenderedPageBreak/>
        <w:t>made to the CHIA spine</w:t>
      </w:r>
      <w:r w:rsidR="00301E0D">
        <w:rPr>
          <w:rFonts w:ascii="Calibri" w:hAnsi="Calibri"/>
          <w:color w:val="000000"/>
          <w:sz w:val="22"/>
          <w:szCs w:val="22"/>
        </w:rPr>
        <w:t>.  B</w:t>
      </w:r>
      <w:r>
        <w:rPr>
          <w:rFonts w:ascii="Calibri" w:hAnsi="Calibri"/>
          <w:color w:val="000000"/>
          <w:sz w:val="22"/>
          <w:szCs w:val="22"/>
        </w:rPr>
        <w:t>y comparing the demographic patterns between the linked and unlinked records, it is possible to gain a basic sense of whether the linking produced a biased dataset and thus required greater care when interpreting the results.  Upon review of the datasets provided by the participating organizations, in general, there were no systemic or nonrandom patterns with two exceptions:</w:t>
      </w:r>
    </w:p>
    <w:p w:rsidR="00400E42" w:rsidRPr="00C908F4" w:rsidRDefault="00400E42" w:rsidP="00C456E6">
      <w:pPr>
        <w:pStyle w:val="ListParagraph"/>
        <w:numPr>
          <w:ilvl w:val="0"/>
          <w:numId w:val="18"/>
        </w:numPr>
        <w:spacing w:after="120" w:line="276" w:lineRule="auto"/>
        <w:ind w:left="1080"/>
        <w:jc w:val="both"/>
        <w:rPr>
          <w:rFonts w:ascii="Calibri" w:hAnsi="Calibri"/>
          <w:color w:val="000000"/>
          <w:sz w:val="22"/>
          <w:szCs w:val="22"/>
        </w:rPr>
      </w:pPr>
      <w:r w:rsidRPr="00C908F4">
        <w:rPr>
          <w:rFonts w:ascii="Calibri" w:hAnsi="Calibri"/>
          <w:color w:val="000000"/>
          <w:sz w:val="22"/>
          <w:szCs w:val="22"/>
        </w:rPr>
        <w:t>30% of all records, 25% of opioid-related records, provided by MATRIS for ambulance trips w</w:t>
      </w:r>
      <w:r>
        <w:rPr>
          <w:rFonts w:ascii="Calibri" w:hAnsi="Calibri"/>
          <w:color w:val="000000"/>
          <w:sz w:val="22"/>
          <w:szCs w:val="22"/>
        </w:rPr>
        <w:t>ere</w:t>
      </w:r>
      <w:r w:rsidRPr="00C908F4">
        <w:rPr>
          <w:rFonts w:ascii="Calibri" w:hAnsi="Calibri"/>
          <w:color w:val="000000"/>
          <w:sz w:val="22"/>
          <w:szCs w:val="22"/>
        </w:rPr>
        <w:t xml:space="preserve"> unlinked due to missing identifiers, such as first name</w:t>
      </w:r>
      <w:r w:rsidR="00301E0D">
        <w:rPr>
          <w:rFonts w:ascii="Calibri" w:hAnsi="Calibri"/>
          <w:color w:val="000000"/>
          <w:sz w:val="22"/>
          <w:szCs w:val="22"/>
        </w:rPr>
        <w:t>.  T</w:t>
      </w:r>
      <w:r w:rsidRPr="00C908F4">
        <w:rPr>
          <w:rFonts w:ascii="Calibri" w:hAnsi="Calibri"/>
          <w:color w:val="000000"/>
          <w:sz w:val="22"/>
          <w:szCs w:val="22"/>
        </w:rPr>
        <w:t>h</w:t>
      </w:r>
      <w:r>
        <w:rPr>
          <w:rFonts w:ascii="Calibri" w:hAnsi="Calibri"/>
          <w:color w:val="000000"/>
          <w:sz w:val="22"/>
          <w:szCs w:val="22"/>
        </w:rPr>
        <w:t>is was observed to be ambulance-</w:t>
      </w:r>
      <w:r w:rsidRPr="00C908F4">
        <w:rPr>
          <w:rFonts w:ascii="Calibri" w:hAnsi="Calibri"/>
          <w:color w:val="000000"/>
          <w:sz w:val="22"/>
          <w:szCs w:val="22"/>
        </w:rPr>
        <w:t>service</w:t>
      </w:r>
      <w:r>
        <w:rPr>
          <w:rFonts w:ascii="Calibri" w:hAnsi="Calibri"/>
          <w:color w:val="000000"/>
          <w:sz w:val="22"/>
          <w:szCs w:val="22"/>
        </w:rPr>
        <w:t>-</w:t>
      </w:r>
      <w:r w:rsidRPr="00C908F4">
        <w:rPr>
          <w:rFonts w:ascii="Calibri" w:hAnsi="Calibri"/>
          <w:color w:val="000000"/>
          <w:sz w:val="22"/>
          <w:szCs w:val="22"/>
        </w:rPr>
        <w:t>specific and therefore geographically biased, causing artificially low representation of Boston</w:t>
      </w:r>
      <w:r w:rsidR="00301E0D">
        <w:rPr>
          <w:rFonts w:ascii="Calibri" w:hAnsi="Calibri"/>
          <w:color w:val="000000"/>
          <w:sz w:val="22"/>
          <w:szCs w:val="22"/>
        </w:rPr>
        <w:t>.  T</w:t>
      </w:r>
      <w:r w:rsidRPr="00C908F4">
        <w:rPr>
          <w:rFonts w:ascii="Calibri" w:hAnsi="Calibri"/>
          <w:color w:val="000000"/>
          <w:sz w:val="22"/>
          <w:szCs w:val="22"/>
        </w:rPr>
        <w:t xml:space="preserve">o address this </w:t>
      </w:r>
      <w:r>
        <w:rPr>
          <w:rFonts w:ascii="Calibri" w:hAnsi="Calibri"/>
          <w:color w:val="000000"/>
          <w:sz w:val="22"/>
          <w:szCs w:val="22"/>
        </w:rPr>
        <w:t>issue m</w:t>
      </w:r>
      <w:r w:rsidRPr="00C908F4">
        <w:rPr>
          <w:rFonts w:ascii="Calibri" w:hAnsi="Calibri"/>
          <w:color w:val="000000"/>
          <w:sz w:val="22"/>
          <w:szCs w:val="22"/>
        </w:rPr>
        <w:t xml:space="preserve">issing geographic information </w:t>
      </w:r>
      <w:r>
        <w:rPr>
          <w:rFonts w:ascii="Calibri" w:hAnsi="Calibri"/>
          <w:color w:val="000000"/>
          <w:sz w:val="22"/>
          <w:szCs w:val="22"/>
        </w:rPr>
        <w:t xml:space="preserve">was imputed </w:t>
      </w:r>
      <w:r w:rsidRPr="00C908F4">
        <w:rPr>
          <w:rFonts w:ascii="Calibri" w:hAnsi="Calibri"/>
          <w:color w:val="000000"/>
          <w:sz w:val="22"/>
          <w:szCs w:val="22"/>
        </w:rPr>
        <w:t>for individual rides, not patients</w:t>
      </w:r>
      <w:r w:rsidR="00301E0D">
        <w:rPr>
          <w:rFonts w:ascii="Calibri" w:hAnsi="Calibri"/>
          <w:color w:val="000000"/>
          <w:sz w:val="22"/>
          <w:szCs w:val="22"/>
        </w:rPr>
        <w:t>.  B</w:t>
      </w:r>
      <w:r>
        <w:rPr>
          <w:rFonts w:ascii="Calibri" w:hAnsi="Calibri"/>
          <w:color w:val="000000"/>
          <w:sz w:val="22"/>
          <w:szCs w:val="22"/>
        </w:rPr>
        <w:t>y imputing the geographic information, ambulance trip data could be analyzed on an aggregate basis and the 25% of opioid-related events that would have been excluded were able to be used.</w:t>
      </w:r>
      <w:r w:rsidRPr="00C908F4">
        <w:rPr>
          <w:rFonts w:ascii="Calibri" w:hAnsi="Calibri"/>
          <w:color w:val="000000"/>
          <w:sz w:val="22"/>
          <w:szCs w:val="22"/>
        </w:rPr>
        <w:t xml:space="preserve"> </w:t>
      </w:r>
      <w:r>
        <w:rPr>
          <w:rFonts w:ascii="Calibri" w:hAnsi="Calibri"/>
          <w:color w:val="000000"/>
          <w:sz w:val="22"/>
          <w:szCs w:val="22"/>
        </w:rPr>
        <w:t xml:space="preserve"> See the section below titled “Data Strategies” for further information about this work.</w:t>
      </w:r>
    </w:p>
    <w:p w:rsidR="00400E42" w:rsidRDefault="00400E42" w:rsidP="00C456E6">
      <w:pPr>
        <w:pStyle w:val="ListParagraph"/>
        <w:numPr>
          <w:ilvl w:val="0"/>
          <w:numId w:val="18"/>
        </w:numPr>
        <w:spacing w:after="120" w:line="276" w:lineRule="auto"/>
        <w:ind w:left="1080"/>
        <w:jc w:val="both"/>
        <w:rPr>
          <w:rFonts w:ascii="Calibri" w:hAnsi="Calibri"/>
          <w:color w:val="000000"/>
          <w:sz w:val="22"/>
          <w:szCs w:val="22"/>
        </w:rPr>
      </w:pPr>
      <w:r>
        <w:rPr>
          <w:rFonts w:ascii="Calibri" w:hAnsi="Calibri"/>
          <w:color w:val="000000"/>
          <w:sz w:val="22"/>
          <w:szCs w:val="22"/>
        </w:rPr>
        <w:t>The Department of Corrections dataset also exhibited statistically significant deviations when comparing the linked and unlinked comparison</w:t>
      </w:r>
      <w:r w:rsidR="00301E0D">
        <w:rPr>
          <w:rFonts w:ascii="Calibri" w:hAnsi="Calibri"/>
          <w:color w:val="000000"/>
          <w:sz w:val="22"/>
          <w:szCs w:val="22"/>
        </w:rPr>
        <w:t>.  T</w:t>
      </w:r>
      <w:r>
        <w:rPr>
          <w:rFonts w:ascii="Calibri" w:hAnsi="Calibri"/>
          <w:color w:val="000000"/>
          <w:sz w:val="22"/>
          <w:szCs w:val="22"/>
        </w:rPr>
        <w:t>his dataset is being examined to understand the root cause of the deviations and to determine what, if any, adjustments need to be made</w:t>
      </w:r>
      <w:r w:rsidR="00301E0D">
        <w:rPr>
          <w:rFonts w:ascii="Calibri" w:hAnsi="Calibri"/>
          <w:color w:val="000000"/>
          <w:sz w:val="22"/>
          <w:szCs w:val="22"/>
        </w:rPr>
        <w:t>.  T</w:t>
      </w:r>
      <w:r>
        <w:rPr>
          <w:rFonts w:ascii="Calibri" w:hAnsi="Calibri"/>
          <w:color w:val="000000"/>
          <w:sz w:val="22"/>
          <w:szCs w:val="22"/>
        </w:rPr>
        <w:t xml:space="preserve">he current hypothesis is that longer duration prison terms lead to shorter windows of opportunity to acquire health insurance or file a health claim and therefore appear in the Mass APCD. </w:t>
      </w:r>
    </w:p>
    <w:p w:rsidR="00400E42" w:rsidRPr="00604C38" w:rsidRDefault="00400E42" w:rsidP="00C456E6">
      <w:pPr>
        <w:pStyle w:val="ListParagraph"/>
        <w:numPr>
          <w:ilvl w:val="0"/>
          <w:numId w:val="18"/>
        </w:numPr>
        <w:spacing w:after="120" w:line="276" w:lineRule="auto"/>
        <w:ind w:left="1080"/>
        <w:jc w:val="both"/>
        <w:rPr>
          <w:rFonts w:ascii="Calibri" w:hAnsi="Calibri"/>
          <w:color w:val="000000"/>
          <w:sz w:val="22"/>
          <w:szCs w:val="22"/>
        </w:rPr>
      </w:pPr>
      <w:r>
        <w:rPr>
          <w:rFonts w:ascii="Calibri" w:hAnsi="Calibri"/>
          <w:color w:val="000000"/>
          <w:sz w:val="22"/>
          <w:szCs w:val="22"/>
        </w:rPr>
        <w:t>Given the large data files in use, many demographic categories showed statistically significant difference but these were not considered to be of practical importance.</w:t>
      </w:r>
    </w:p>
    <w:p w:rsidR="00400E42" w:rsidRPr="003E679E" w:rsidRDefault="00400E42" w:rsidP="00C33429">
      <w:pPr>
        <w:spacing w:after="120" w:line="276" w:lineRule="auto"/>
        <w:rPr>
          <w:rFonts w:ascii="Calibri" w:hAnsi="Calibri"/>
          <w:b/>
          <w:szCs w:val="22"/>
        </w:rPr>
      </w:pPr>
      <w:r w:rsidRPr="003E679E">
        <w:rPr>
          <w:rFonts w:ascii="Calibri" w:hAnsi="Calibri"/>
          <w:b/>
          <w:szCs w:val="22"/>
        </w:rPr>
        <w:t>Missing Data Strategy:</w:t>
      </w:r>
    </w:p>
    <w:p w:rsidR="00400E42" w:rsidRDefault="00400E42" w:rsidP="002D6E20">
      <w:pPr>
        <w:pStyle w:val="PBody"/>
      </w:pPr>
      <w:r>
        <w:t>In any complex analytics project, data quality is a key consideration</w:t>
      </w:r>
      <w:r w:rsidR="00301E0D">
        <w:t>.  H</w:t>
      </w:r>
      <w:r>
        <w:t>igh quality data leads to high quality results and trustworthy interpretations</w:t>
      </w:r>
      <w:r w:rsidR="00301E0D">
        <w:t>.  K</w:t>
      </w:r>
      <w:r>
        <w:t>nowing the importance of the opioid threat and the criticality of providing trustworthy interpretations, the project team developed a data quality strategy to overcome known limitations in the data</w:t>
      </w:r>
      <w:r w:rsidR="00301E0D">
        <w:t>.  T</w:t>
      </w:r>
      <w:r>
        <w:t>hese limitations are caused by imperfections in the data capturing mechanisms</w:t>
      </w:r>
      <w:r w:rsidR="00301E0D">
        <w:t>.  F</w:t>
      </w:r>
      <w:r>
        <w:t>or example, some fields or data elements may be optional from an operational perspective, but turned out to be critical from an analytics perspective</w:t>
      </w:r>
      <w:r w:rsidR="00301E0D">
        <w:t>.  F</w:t>
      </w:r>
      <w:r>
        <w:t xml:space="preserve">or this Chapter 55 Report, the team adhered to two guiding principles, identified three types of archetypal data limitations, and devised five approaches to deal with them. </w:t>
      </w:r>
    </w:p>
    <w:p w:rsidR="00400E42" w:rsidRPr="003E679E" w:rsidRDefault="00400E42" w:rsidP="00C33429">
      <w:pPr>
        <w:spacing w:after="120" w:line="276" w:lineRule="auto"/>
        <w:rPr>
          <w:rFonts w:ascii="Calibri" w:hAnsi="Calibri"/>
          <w:b/>
          <w:sz w:val="22"/>
          <w:szCs w:val="22"/>
        </w:rPr>
      </w:pPr>
      <w:r w:rsidRPr="003E679E">
        <w:rPr>
          <w:rFonts w:ascii="Calibri" w:hAnsi="Calibri"/>
          <w:b/>
          <w:sz w:val="22"/>
          <w:szCs w:val="22"/>
        </w:rPr>
        <w:t>Guiding Principles:</w:t>
      </w:r>
    </w:p>
    <w:p w:rsidR="00400E42" w:rsidRDefault="00400E42" w:rsidP="002D6E20">
      <w:pPr>
        <w:pStyle w:val="PBody"/>
      </w:pPr>
      <w:r>
        <w:t>The guiding principles informed the strategy by helping to frame the problem and align the solution to the aims of the Ch. 55 Report</w:t>
      </w:r>
      <w:r w:rsidR="00301E0D">
        <w:t>.  T</w:t>
      </w:r>
      <w:r>
        <w:t>he first guiding principle was to be analytically rigorous and valid</w:t>
      </w:r>
      <w:r w:rsidR="00301E0D">
        <w:t>.  T</w:t>
      </w:r>
      <w:r>
        <w:t>his principle should allow readers to focus on results, conclusions, and interpretations rather than flaws in methodology</w:t>
      </w:r>
      <w:r w:rsidR="00301E0D">
        <w:t>.  T</w:t>
      </w:r>
      <w:r>
        <w:t>he second guiding principle was that a false positive was less harmful than a false negative</w:t>
      </w:r>
      <w:r w:rsidR="00301E0D">
        <w:t>.  W</w:t>
      </w:r>
      <w:r>
        <w:t>hat this means is that the approach slightly biases toward over-reporting of critical incidents rather than under-reporting since the data capture is inherently biased towards under-capturing</w:t>
      </w:r>
      <w:r w:rsidR="00301E0D">
        <w:t>.  T</w:t>
      </w:r>
      <w:r>
        <w:t>o illustrate this, consider a nonfatal opioid-related overdose</w:t>
      </w:r>
      <w:r w:rsidR="00301E0D">
        <w:t>.  T</w:t>
      </w:r>
      <w:r>
        <w:t xml:space="preserve">he data may show 1,000 for a given time period in a given geographic area.  In reality, however, if perfect data was available the real </w:t>
      </w:r>
      <w:r>
        <w:lastRenderedPageBreak/>
        <w:t>number may be as high as 1,100</w:t>
      </w:r>
      <w:r w:rsidR="00301E0D">
        <w:t>.  I</w:t>
      </w:r>
      <w:r>
        <w:t>t is well known that some nonfatal overdoses are not recorded if the person is not transported by EMS or is seen in a hospital emergency department.  The strategy taken here seeks to modify the data to get closer to the true value of 1,100 by using the observed values as a minimum instead of a mid-point for confidence intervals.</w:t>
      </w:r>
    </w:p>
    <w:p w:rsidR="00400E42" w:rsidRPr="003E679E" w:rsidRDefault="00400E42" w:rsidP="00C33429">
      <w:pPr>
        <w:spacing w:after="120" w:line="276" w:lineRule="auto"/>
        <w:rPr>
          <w:rFonts w:ascii="Calibri" w:hAnsi="Calibri"/>
          <w:b/>
          <w:sz w:val="22"/>
          <w:szCs w:val="22"/>
        </w:rPr>
      </w:pPr>
      <w:r>
        <w:rPr>
          <w:rFonts w:ascii="Calibri" w:hAnsi="Calibri"/>
          <w:b/>
          <w:sz w:val="22"/>
          <w:szCs w:val="22"/>
        </w:rPr>
        <w:t>Common</w:t>
      </w:r>
      <w:r w:rsidRPr="003E679E">
        <w:rPr>
          <w:rFonts w:ascii="Calibri" w:hAnsi="Calibri"/>
          <w:b/>
          <w:sz w:val="22"/>
          <w:szCs w:val="22"/>
        </w:rPr>
        <w:t xml:space="preserve"> Data Limitations:</w:t>
      </w:r>
    </w:p>
    <w:p w:rsidR="00400E42" w:rsidRDefault="00400E42" w:rsidP="002D6E20">
      <w:pPr>
        <w:pStyle w:val="PBody"/>
      </w:pPr>
      <w:r>
        <w:t>As the word implies, common data limitations are not unusual.  They are seen in many datasets including the Chapter 55 datasets.  They are partially-missing or conflicting data, missing columns, and missing rows</w:t>
      </w:r>
      <w:r w:rsidR="00301E0D">
        <w:t>.  P</w:t>
      </w:r>
      <w:r>
        <w:t>artially-missing or conflicting data occurs when the linkage across datasets results in either one dataset having a field that another lacks (e.g., a death record for a particular individual may contain their gender while their PDMP record may not), or when two datasets have different values for the same field (e.g., a death record for a particular individual may indicate they are male while their PDMP record indicates they are female)</w:t>
      </w:r>
      <w:r w:rsidR="00301E0D">
        <w:t>.  A</w:t>
      </w:r>
      <w:r>
        <w:t xml:space="preserve"> missing column arises when a one or more types of information are not included in a dataset</w:t>
      </w:r>
      <w:r w:rsidR="00301E0D">
        <w:t>.  F</w:t>
      </w:r>
      <w:r>
        <w:t>or example, education level is only recorded within the death records but not the other nine Chapter 55 datasets</w:t>
      </w:r>
      <w:r w:rsidR="00301E0D">
        <w:t>.  A</w:t>
      </w:r>
      <w:r>
        <w:t xml:space="preserve"> missing row arises when either a record for an individual is never recorded but service was provided or when an event occurs that is normally recorded but no record is ever made. </w:t>
      </w:r>
    </w:p>
    <w:p w:rsidR="00400E42" w:rsidRPr="003E679E" w:rsidRDefault="00400E42" w:rsidP="00C33429">
      <w:pPr>
        <w:spacing w:after="120" w:line="276" w:lineRule="auto"/>
        <w:rPr>
          <w:rFonts w:ascii="Calibri" w:hAnsi="Calibri"/>
          <w:b/>
          <w:sz w:val="22"/>
          <w:szCs w:val="22"/>
        </w:rPr>
      </w:pPr>
      <w:r w:rsidRPr="003E679E">
        <w:rPr>
          <w:rFonts w:ascii="Calibri" w:hAnsi="Calibri"/>
          <w:b/>
          <w:sz w:val="22"/>
          <w:szCs w:val="22"/>
        </w:rPr>
        <w:t>Data Strategies:</w:t>
      </w:r>
    </w:p>
    <w:p w:rsidR="00400E42" w:rsidRDefault="00400E42" w:rsidP="002D6E20">
      <w:pPr>
        <w:pStyle w:val="PBody"/>
      </w:pPr>
      <w:r>
        <w:t>To address these limitations, five strategies were deployed</w:t>
      </w:r>
      <w:r w:rsidR="00301E0D">
        <w:t>.  T</w:t>
      </w:r>
      <w:r>
        <w:t>he first strategy addressed the partial and conflicting data challenge by establishing a “trust hierarchy” that created a single source of truth for each resident’s demographic data based on reliability of the respective sources of that data</w:t>
      </w:r>
      <w:r w:rsidR="00301E0D">
        <w:t>.  T</w:t>
      </w:r>
      <w:r>
        <w:t>he second strategy addresses missing columns caused by “border leakage”, a problem that arises when services are rendered outside of the State of Massachusetts and therefore not captured by any governmental agencies</w:t>
      </w:r>
      <w:r w:rsidR="00301E0D">
        <w:t>.  T</w:t>
      </w:r>
      <w:r>
        <w:t>o address this challenge, a border flag was created and appended to each record with a residence zip code that was near any Massachusetts state border.  This variable could then be used as a covariate to help manage the risk of services missing due to geographic constraints</w:t>
      </w:r>
      <w:r w:rsidR="00301E0D">
        <w:t>.  T</w:t>
      </w:r>
      <w:r>
        <w:t>he third strategy dealt with missing columns due to cash payments</w:t>
      </w:r>
      <w:r w:rsidR="00301E0D">
        <w:t>.  S</w:t>
      </w:r>
      <w:r>
        <w:t>ince healthcare is so heavily claims and payer-oriented, when a resident chooses to pay cash instead of use their insurance for select services, those records would not be found in the data, with one notable exception which is the PDMP</w:t>
      </w:r>
      <w:r w:rsidR="00301E0D">
        <w:t>.  B</w:t>
      </w:r>
      <w:r>
        <w:t xml:space="preserve">y using the PDMP’s cash payment indicator, researchers developed a Propensity </w:t>
      </w:r>
      <w:r w:rsidR="00BA3381">
        <w:t>to</w:t>
      </w:r>
      <w:r>
        <w:t xml:space="preserve"> Use Cash Model, which helps account for utilization that may be hidden due to cash payments</w:t>
      </w:r>
      <w:r w:rsidR="00301E0D">
        <w:t>.  T</w:t>
      </w:r>
      <w:r>
        <w:t>o address missing rows, a SAS Macro was developed to create confidence intervals around summary statistics using a technique known as bootstrapping</w:t>
      </w:r>
      <w:r w:rsidR="00301E0D">
        <w:t>.  T</w:t>
      </w:r>
      <w:r>
        <w:t>his methodology incorporates uncertainty about the data to resample known data over and over again</w:t>
      </w:r>
      <w:r w:rsidR="00301E0D">
        <w:t>.  T</w:t>
      </w:r>
      <w:r>
        <w:t>his resampling leads to multiple simulated alternatives from which a distribution of outcomes can be derived and used to infer what the actual true value would be with perfect data</w:t>
      </w:r>
      <w:r w:rsidR="00301E0D">
        <w:t>.  F</w:t>
      </w:r>
      <w:r>
        <w:t>or example, data may show 50 opioid-related deaths in a given month, by using this methodology, one could observe that 90% of simulated alternative samples are below 57 opioid-related deaths and therefore establish a confidence interval that the true number of opioid-related deaths is between 50 and 57 for that specific month</w:t>
      </w:r>
      <w:r w:rsidR="00301E0D">
        <w:t>.  T</w:t>
      </w:r>
      <w:r>
        <w:t>he difference between observed and calculated is based on the trustworthiness of the underlying datasets</w:t>
      </w:r>
      <w:r w:rsidR="00301E0D">
        <w:t>.  F</w:t>
      </w:r>
      <w:r>
        <w:t xml:space="preserve">inally, the fifth solution to missing data was to </w:t>
      </w:r>
      <w:r>
        <w:lastRenderedPageBreak/>
        <w:t>impute missing geographic fields in MATRIS ambulance rides that were excluded from the integrated data warehouse due to a lack of matching</w:t>
      </w:r>
      <w:r w:rsidR="00301E0D">
        <w:t>.  T</w:t>
      </w:r>
      <w:r>
        <w:t>his approach allowed the researchers to use data for aggregate analytics despite not being able to use it to analyze individuals, thus retaining more of the information content of the MATRIS data extract</w:t>
      </w:r>
      <w:r w:rsidR="00301E0D">
        <w:t>.  W</w:t>
      </w:r>
      <w:r>
        <w:t>ithout this imputation approach, roughly 25% of opioid-related ambulance rides would have had to have been excluded from the Chapter55 Report.  See Figure E.1 for a visual depiction of these strategies.</w:t>
      </w:r>
    </w:p>
    <w:p w:rsidR="00C33429" w:rsidRDefault="00C33429" w:rsidP="00400E42">
      <w:pPr>
        <w:spacing w:line="480" w:lineRule="auto"/>
        <w:rPr>
          <w:rFonts w:ascii="Calibri" w:hAnsi="Calibri"/>
          <w:b/>
          <w:sz w:val="22"/>
          <w:szCs w:val="22"/>
        </w:rPr>
      </w:pPr>
    </w:p>
    <w:p w:rsidR="00400E42" w:rsidRDefault="00400E42" w:rsidP="00400E42">
      <w:pPr>
        <w:spacing w:line="480" w:lineRule="auto"/>
        <w:rPr>
          <w:rFonts w:ascii="Calibri" w:hAnsi="Calibri"/>
          <w:b/>
          <w:color w:val="FF0000"/>
          <w:sz w:val="22"/>
          <w:szCs w:val="22"/>
        </w:rPr>
      </w:pPr>
      <w:r>
        <w:rPr>
          <w:rFonts w:ascii="Calibri" w:hAnsi="Calibri"/>
          <w:b/>
          <w:sz w:val="22"/>
          <w:szCs w:val="22"/>
        </w:rPr>
        <w:t xml:space="preserve">Figure E.1: </w:t>
      </w:r>
      <w:r w:rsidRPr="00CF75A8">
        <w:rPr>
          <w:rFonts w:ascii="Calibri" w:hAnsi="Calibri"/>
          <w:b/>
          <w:sz w:val="22"/>
          <w:szCs w:val="22"/>
        </w:rPr>
        <w:t>Visualization of Data Strategy</w:t>
      </w:r>
      <w:r>
        <w:rPr>
          <w:rFonts w:ascii="Calibri" w:hAnsi="Calibri"/>
          <w:b/>
          <w:noProof/>
          <w:sz w:val="20"/>
          <w:szCs w:val="22"/>
        </w:rPr>
        <w:drawing>
          <wp:inline distT="0" distB="0" distL="0" distR="0" wp14:anchorId="281B2783" wp14:editId="34C78A7B">
            <wp:extent cx="5027930" cy="3555365"/>
            <wp:effectExtent l="0" t="0" r="1270" b="6985"/>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27930" cy="3555365"/>
                    </a:xfrm>
                    <a:prstGeom prst="rect">
                      <a:avLst/>
                    </a:prstGeom>
                    <a:noFill/>
                    <a:ln>
                      <a:noFill/>
                    </a:ln>
                  </pic:spPr>
                </pic:pic>
              </a:graphicData>
            </a:graphic>
          </wp:inline>
        </w:drawing>
      </w:r>
      <w:r>
        <w:rPr>
          <w:rFonts w:ascii="Calibri" w:hAnsi="Calibri"/>
          <w:b/>
          <w:color w:val="FF0000"/>
          <w:sz w:val="22"/>
          <w:szCs w:val="22"/>
        </w:rPr>
        <w:br w:type="page"/>
      </w:r>
    </w:p>
    <w:p w:rsidR="00400E42" w:rsidRPr="00C456E6" w:rsidRDefault="00400E42" w:rsidP="007D21BB">
      <w:pPr>
        <w:pStyle w:val="Heading1"/>
        <w:rPr>
          <w:b w:val="0"/>
        </w:rPr>
      </w:pPr>
      <w:bookmarkStart w:id="37" w:name="_Toc452726674"/>
      <w:bookmarkStart w:id="38" w:name="_Toc453664365"/>
      <w:bookmarkStart w:id="39" w:name="_Toc454724777"/>
      <w:bookmarkStart w:id="40" w:name="_Toc450213066"/>
      <w:r w:rsidRPr="009943F4">
        <w:lastRenderedPageBreak/>
        <w:t xml:space="preserve">Appendix </w:t>
      </w:r>
      <w:r>
        <w:t xml:space="preserve">F: </w:t>
      </w:r>
      <w:r w:rsidRPr="009943F4">
        <w:t xml:space="preserve">Data </w:t>
      </w:r>
      <w:r w:rsidRPr="007D21BB">
        <w:t>Privacy</w:t>
      </w:r>
      <w:r w:rsidRPr="009943F4">
        <w:t xml:space="preserve"> and System Architecture</w:t>
      </w:r>
      <w:bookmarkEnd w:id="37"/>
      <w:bookmarkEnd w:id="38"/>
      <w:bookmarkEnd w:id="39"/>
    </w:p>
    <w:p w:rsidR="00400E42" w:rsidRPr="003D75D4" w:rsidRDefault="00400E42" w:rsidP="002D6E20">
      <w:pPr>
        <w:pStyle w:val="PBody"/>
      </w:pPr>
      <w:r w:rsidRPr="003D75D4">
        <w:t xml:space="preserve">A </w:t>
      </w:r>
      <w:r>
        <w:t>determination</w:t>
      </w:r>
      <w:r w:rsidRPr="003D75D4">
        <w:t xml:space="preserve"> was made at the outset of the Chapter 55 project to </w:t>
      </w:r>
      <w:r>
        <w:t xml:space="preserve">be able to </w:t>
      </w:r>
      <w:r w:rsidRPr="003D75D4">
        <w:t xml:space="preserve">examine all </w:t>
      </w:r>
      <w:r>
        <w:t>dataset</w:t>
      </w:r>
      <w:r w:rsidRPr="003D75D4">
        <w:t xml:space="preserve">s in relation to each other.  This required </w:t>
      </w:r>
      <w:r>
        <w:t xml:space="preserve">the development of </w:t>
      </w:r>
      <w:r w:rsidRPr="003D75D4">
        <w:t>a linkage or crosswalk so that individuals in one set could be located in the others</w:t>
      </w:r>
      <w:r>
        <w:t>, yet without revealing the identity of the matched person</w:t>
      </w:r>
      <w:r w:rsidRPr="003D75D4">
        <w:t xml:space="preserve">.  The privacy concerns about holding, managing, and processing direct identifiers for so many sensitive </w:t>
      </w:r>
      <w:r>
        <w:t>dataset</w:t>
      </w:r>
      <w:r w:rsidRPr="003D75D4">
        <w:t>s are considerable</w:t>
      </w:r>
      <w:r>
        <w:t>,</w:t>
      </w:r>
      <w:r w:rsidRPr="003D75D4">
        <w:t xml:space="preserve"> and the processes developed to address these concerns were both thoughtful and innovative</w:t>
      </w:r>
      <w:r w:rsidR="00301E0D">
        <w:t>.  I</w:t>
      </w:r>
      <w:r w:rsidRPr="003D75D4">
        <w:t xml:space="preserve">n order to protect the privacy of the individual </w:t>
      </w:r>
      <w:r>
        <w:t>dataset</w:t>
      </w:r>
      <w:r w:rsidRPr="003D75D4">
        <w:t xml:space="preserve">s, </w:t>
      </w:r>
      <w:r>
        <w:t>four</w:t>
      </w:r>
      <w:r w:rsidRPr="003D75D4">
        <w:t xml:space="preserve"> approaches were used:</w:t>
      </w:r>
    </w:p>
    <w:p w:rsidR="00400E42" w:rsidRPr="00946534" w:rsidRDefault="00400E42" w:rsidP="002D6E20">
      <w:pPr>
        <w:pStyle w:val="PBody"/>
      </w:pPr>
      <w:r w:rsidRPr="003D75D4">
        <w:rPr>
          <w:b/>
        </w:rPr>
        <w:t>Encryption:</w:t>
      </w:r>
      <w:r w:rsidRPr="003D75D4">
        <w:t xml:space="preserve"> All data was encrypted in transport</w:t>
      </w:r>
      <w:r>
        <w:t xml:space="preserve"> and at rest.</w:t>
      </w:r>
      <w:r w:rsidRPr="003D75D4" w:rsidDel="00946534">
        <w:t xml:space="preserve"> </w:t>
      </w:r>
    </w:p>
    <w:p w:rsidR="00400E42" w:rsidRPr="00DC32F7" w:rsidRDefault="00400E42" w:rsidP="002D6E20">
      <w:pPr>
        <w:pStyle w:val="PBody"/>
      </w:pPr>
      <w:r w:rsidRPr="003D75D4">
        <w:rPr>
          <w:b/>
        </w:rPr>
        <w:t>De-identification:</w:t>
      </w:r>
      <w:r w:rsidRPr="003D75D4">
        <w:t xml:space="preserve"> </w:t>
      </w:r>
      <w:r>
        <w:t>D</w:t>
      </w:r>
      <w:r w:rsidRPr="003D75D4">
        <w:t xml:space="preserve">irect identifiers were removed </w:t>
      </w:r>
      <w:r>
        <w:t xml:space="preserve">from </w:t>
      </w:r>
      <w:r w:rsidRPr="003D75D4">
        <w:t>each</w:t>
      </w:r>
      <w:r>
        <w:t xml:space="preserve"> dataset prior to analyst access.</w:t>
      </w:r>
      <w:r w:rsidRPr="003D75D4">
        <w:t xml:space="preserve"> </w:t>
      </w:r>
      <w:r>
        <w:t xml:space="preserve"> T</w:t>
      </w:r>
      <w:r w:rsidRPr="003D75D4">
        <w:t xml:space="preserve">he unique identifiers randomly generated for individuals were </w:t>
      </w:r>
      <w:r>
        <w:rPr>
          <w:i/>
        </w:rPr>
        <w:t>project-</w:t>
      </w:r>
      <w:r w:rsidRPr="003D75D4">
        <w:rPr>
          <w:i/>
        </w:rPr>
        <w:t>specific</w:t>
      </w:r>
      <w:r>
        <w:t>, meaning that no record IDs</w:t>
      </w:r>
      <w:r w:rsidRPr="003D75D4">
        <w:t xml:space="preserve"> could be</w:t>
      </w:r>
      <w:r>
        <w:t xml:space="preserve"> used to </w:t>
      </w:r>
      <w:r w:rsidRPr="003D75D4">
        <w:t>trace</w:t>
      </w:r>
      <w:r>
        <w:t xml:space="preserve"> information</w:t>
      </w:r>
      <w:r w:rsidRPr="003D75D4">
        <w:t xml:space="preserve"> back to any </w:t>
      </w:r>
      <w:r>
        <w:t>dataset</w:t>
      </w:r>
      <w:r w:rsidRPr="003D75D4">
        <w:t xml:space="preserve"> held by any data owner now or in the future.</w:t>
      </w:r>
    </w:p>
    <w:p w:rsidR="00400E42" w:rsidRPr="003D75D4" w:rsidRDefault="00400E42" w:rsidP="002D6E20">
      <w:pPr>
        <w:pStyle w:val="PBody"/>
      </w:pPr>
      <w:r w:rsidRPr="003D75D4">
        <w:rPr>
          <w:b/>
        </w:rPr>
        <w:t xml:space="preserve">Securing the Server: </w:t>
      </w:r>
      <w:r w:rsidRPr="003D75D4">
        <w:t xml:space="preserve">The server on which the Chapter 55 </w:t>
      </w:r>
      <w:r>
        <w:t>dataset</w:t>
      </w:r>
      <w:r w:rsidRPr="003D75D4">
        <w:t>s were stored was secured so the likelihood of unauthorized access was minimized to the extent possible.</w:t>
      </w:r>
    </w:p>
    <w:p w:rsidR="00400E42" w:rsidRPr="003D75D4" w:rsidRDefault="00400E42" w:rsidP="002D6E20">
      <w:pPr>
        <w:pStyle w:val="PBody"/>
      </w:pPr>
      <w:r w:rsidRPr="003D75D4">
        <w:rPr>
          <w:b/>
        </w:rPr>
        <w:t xml:space="preserve">Preventing Misuse by Analysts: </w:t>
      </w:r>
      <w:r w:rsidRPr="003D75D4">
        <w:t xml:space="preserve">Additional restrictions were placed on authorized access to the server on which the Chapter 55 </w:t>
      </w:r>
      <w:r>
        <w:t>dataset</w:t>
      </w:r>
      <w:r w:rsidRPr="003D75D4">
        <w:t xml:space="preserve">s were stored </w:t>
      </w:r>
      <w:r>
        <w:t xml:space="preserve">in order </w:t>
      </w:r>
      <w:r w:rsidRPr="003D75D4">
        <w:t>to minimize the likelihood of intentional or unintentional misuse of the data.</w:t>
      </w:r>
    </w:p>
    <w:p w:rsidR="00400E42" w:rsidRPr="003D75D4" w:rsidRDefault="00400E42" w:rsidP="00C33429">
      <w:pPr>
        <w:spacing w:after="120" w:line="276" w:lineRule="auto"/>
        <w:rPr>
          <w:rFonts w:ascii="Calibri" w:hAnsi="Calibri"/>
          <w:sz w:val="22"/>
          <w:szCs w:val="22"/>
        </w:rPr>
      </w:pPr>
      <w:r w:rsidRPr="003D75D4">
        <w:rPr>
          <w:rFonts w:ascii="Calibri" w:hAnsi="Calibri"/>
          <w:sz w:val="22"/>
          <w:szCs w:val="22"/>
        </w:rPr>
        <w:t xml:space="preserve">Each of these approaches is described briefly below. </w:t>
      </w:r>
    </w:p>
    <w:p w:rsidR="00C456E6" w:rsidRDefault="00C456E6" w:rsidP="00C33429">
      <w:pPr>
        <w:spacing w:after="120" w:line="276" w:lineRule="auto"/>
        <w:rPr>
          <w:rFonts w:ascii="Calibri" w:hAnsi="Calibri"/>
          <w:b/>
          <w:sz w:val="22"/>
          <w:szCs w:val="22"/>
          <w:u w:val="single"/>
        </w:rPr>
      </w:pPr>
    </w:p>
    <w:p w:rsidR="00400E42" w:rsidRPr="003D75D4" w:rsidRDefault="00400E42" w:rsidP="00C33429">
      <w:pPr>
        <w:spacing w:after="120" w:line="276" w:lineRule="auto"/>
        <w:rPr>
          <w:rFonts w:ascii="Calibri" w:hAnsi="Calibri"/>
          <w:b/>
          <w:sz w:val="22"/>
          <w:szCs w:val="22"/>
          <w:u w:val="single"/>
        </w:rPr>
      </w:pPr>
      <w:r w:rsidRPr="003D75D4">
        <w:rPr>
          <w:rFonts w:ascii="Calibri" w:hAnsi="Calibri"/>
          <w:b/>
          <w:sz w:val="22"/>
          <w:szCs w:val="22"/>
          <w:u w:val="single"/>
        </w:rPr>
        <w:t xml:space="preserve">Encryption </w:t>
      </w:r>
    </w:p>
    <w:p w:rsidR="00400E42" w:rsidRDefault="00400E42" w:rsidP="002D6E20">
      <w:pPr>
        <w:pStyle w:val="PBody"/>
      </w:pPr>
      <w:r>
        <w:t xml:space="preserve">Given the sensitivity of the data involved in the </w:t>
      </w:r>
      <w:r w:rsidRPr="003D75D4">
        <w:t>Chapter 55</w:t>
      </w:r>
      <w:r>
        <w:t xml:space="preserve"> analysis, multiple levels of encryption were used</w:t>
      </w:r>
      <w:r w:rsidRPr="003D75D4">
        <w:t xml:space="preserve"> </w:t>
      </w:r>
      <w:r>
        <w:t>with the intent to limit data access to only authorized parties.</w:t>
      </w:r>
    </w:p>
    <w:p w:rsidR="006318A0" w:rsidRDefault="00400E42" w:rsidP="002D6E20">
      <w:pPr>
        <w:pStyle w:val="PBody"/>
        <w:rPr>
          <w:b/>
          <w:u w:val="single"/>
        </w:rPr>
      </w:pPr>
      <w:r>
        <w:t>Whenever data was stored at rest, whether on the server or other hard media, it was protected by at least 256-bit encryption and industry-standard strong passwords.  Further, whenever data needed to be transported – for example between DPH and CHIA – it was placed in an encrypted file container on physical media that used hardware-based encryption</w:t>
      </w:r>
      <w:r w:rsidR="00301E0D">
        <w:t>.  T</w:t>
      </w:r>
      <w:r>
        <w:t>his doubly-encrypted drive was then manually transported by a trusted and authorized team member to its destination and hand-delivered to the proper recipient, or similarly retrieved for a return trip.</w:t>
      </w:r>
    </w:p>
    <w:p w:rsidR="00400E42" w:rsidRPr="003D75D4" w:rsidRDefault="00400E42" w:rsidP="00C33429">
      <w:pPr>
        <w:spacing w:after="120" w:line="276" w:lineRule="auto"/>
        <w:rPr>
          <w:rFonts w:ascii="Calibri" w:hAnsi="Calibri"/>
          <w:b/>
          <w:sz w:val="22"/>
          <w:szCs w:val="22"/>
          <w:u w:val="single"/>
        </w:rPr>
      </w:pPr>
      <w:r w:rsidRPr="003D75D4">
        <w:rPr>
          <w:rFonts w:ascii="Calibri" w:hAnsi="Calibri"/>
          <w:b/>
          <w:sz w:val="22"/>
          <w:szCs w:val="22"/>
          <w:u w:val="single"/>
        </w:rPr>
        <w:t>De-identification</w:t>
      </w:r>
    </w:p>
    <w:p w:rsidR="00400E42" w:rsidRPr="003D75D4" w:rsidRDefault="00400E42" w:rsidP="002D6E20">
      <w:pPr>
        <w:pStyle w:val="PBody"/>
      </w:pPr>
      <w:r w:rsidRPr="003D75D4">
        <w:t xml:space="preserve">Chapter 55 </w:t>
      </w:r>
      <w:r>
        <w:t>dataset</w:t>
      </w:r>
      <w:r w:rsidRPr="003D75D4">
        <w:t xml:space="preserve">s are not truly linked in the most commonly used sense of that word.  In most cases, linkage implies a merger of </w:t>
      </w:r>
      <w:r>
        <w:t>dataset</w:t>
      </w:r>
      <w:r w:rsidRPr="003D75D4">
        <w:t xml:space="preserve">s.  For Chapter 55, a crosswalk is developed between </w:t>
      </w:r>
      <w:r>
        <w:t>dataset</w:t>
      </w:r>
      <w:r w:rsidRPr="003D75D4">
        <w:t xml:space="preserve">s but the </w:t>
      </w:r>
      <w:r>
        <w:t>dataset</w:t>
      </w:r>
      <w:r w:rsidRPr="003D75D4">
        <w:t xml:space="preserve">s themselves were never actually merged.  This is </w:t>
      </w:r>
      <w:r>
        <w:t xml:space="preserve">an </w:t>
      </w:r>
      <w:r w:rsidRPr="003D75D4">
        <w:t xml:space="preserve">important distinction.  By not merging data, it is argued that risk of re-identification of individuals who have information in two or more </w:t>
      </w:r>
      <w:r>
        <w:t>dataset</w:t>
      </w:r>
      <w:r w:rsidRPr="003D75D4">
        <w:t xml:space="preserve">s is minimized.  Furthermore, the unique identifiers contained in each </w:t>
      </w:r>
      <w:r>
        <w:t>dataset</w:t>
      </w:r>
      <w:r w:rsidRPr="003D75D4">
        <w:t xml:space="preserve"> are not </w:t>
      </w:r>
      <w:r w:rsidRPr="003D75D4">
        <w:lastRenderedPageBreak/>
        <w:t>found in any other project.  Thus, if any breach of data or transmission protocol occurred, then the data could not be linked back to any source data file.</w:t>
      </w:r>
    </w:p>
    <w:p w:rsidR="00400E42" w:rsidRPr="003D75D4" w:rsidRDefault="00400E42" w:rsidP="002D6E20">
      <w:pPr>
        <w:pStyle w:val="PBody"/>
      </w:pPr>
      <w:r w:rsidRPr="003D75D4">
        <w:t xml:space="preserve">The specific steps taken to minimize of the risk to data privacy through de-identification are below.  See Figure </w:t>
      </w:r>
      <w:r>
        <w:t>F.1</w:t>
      </w:r>
      <w:r w:rsidRPr="003D75D4">
        <w:t xml:space="preserve"> for a visual depiction of this process.</w:t>
      </w:r>
    </w:p>
    <w:p w:rsidR="00400E42" w:rsidRDefault="00400E42" w:rsidP="00C456E6">
      <w:pPr>
        <w:pStyle w:val="ListParagraph"/>
        <w:numPr>
          <w:ilvl w:val="0"/>
          <w:numId w:val="5"/>
        </w:numPr>
        <w:spacing w:after="120" w:line="276" w:lineRule="auto"/>
        <w:jc w:val="both"/>
        <w:rPr>
          <w:rFonts w:ascii="Calibri" w:hAnsi="Calibri"/>
          <w:sz w:val="22"/>
          <w:szCs w:val="22"/>
        </w:rPr>
      </w:pPr>
      <w:r>
        <w:rPr>
          <w:rFonts w:ascii="Calibri" w:hAnsi="Calibri"/>
          <w:sz w:val="22"/>
          <w:szCs w:val="22"/>
        </w:rPr>
        <w:t xml:space="preserve">A pool of roughly 54 million random, non-sequential, 20-digit IDs (Random IDs or RIDs) was created at DPH.  This number of values was sufficient to assign to every record of each of the constituent Chapter 55 raw datasets an ID that was unique across the entire project. </w:t>
      </w:r>
    </w:p>
    <w:p w:rsidR="00400E42" w:rsidRPr="003D75D4" w:rsidRDefault="00400E42" w:rsidP="00C456E6">
      <w:pPr>
        <w:pStyle w:val="ListParagraph"/>
        <w:numPr>
          <w:ilvl w:val="0"/>
          <w:numId w:val="5"/>
        </w:numPr>
        <w:spacing w:after="120" w:line="276" w:lineRule="auto"/>
        <w:jc w:val="both"/>
        <w:rPr>
          <w:rFonts w:ascii="Calibri" w:hAnsi="Calibri"/>
          <w:sz w:val="22"/>
          <w:szCs w:val="22"/>
        </w:rPr>
      </w:pPr>
      <w:r>
        <w:rPr>
          <w:rFonts w:ascii="Calibri" w:hAnsi="Calibri"/>
          <w:sz w:val="22"/>
          <w:szCs w:val="22"/>
        </w:rPr>
        <w:t>With RIDs affixed, e</w:t>
      </w:r>
      <w:r w:rsidRPr="003D75D4">
        <w:rPr>
          <w:rFonts w:ascii="Calibri" w:hAnsi="Calibri"/>
          <w:sz w:val="22"/>
          <w:szCs w:val="22"/>
        </w:rPr>
        <w:t xml:space="preserve">ach </w:t>
      </w:r>
      <w:r>
        <w:rPr>
          <w:rFonts w:ascii="Calibri" w:hAnsi="Calibri"/>
          <w:sz w:val="22"/>
          <w:szCs w:val="22"/>
        </w:rPr>
        <w:t>dataset</w:t>
      </w:r>
      <w:r w:rsidRPr="003D75D4">
        <w:rPr>
          <w:rFonts w:ascii="Calibri" w:hAnsi="Calibri"/>
          <w:sz w:val="22"/>
          <w:szCs w:val="22"/>
        </w:rPr>
        <w:t xml:space="preserve"> was divided into two parts: direct identifiers </w:t>
      </w:r>
      <w:r>
        <w:rPr>
          <w:rFonts w:ascii="Calibri" w:hAnsi="Calibri"/>
          <w:sz w:val="22"/>
          <w:szCs w:val="22"/>
        </w:rPr>
        <w:t xml:space="preserve">(Identifier set) </w:t>
      </w:r>
      <w:r w:rsidRPr="003D75D4">
        <w:rPr>
          <w:rFonts w:ascii="Calibri" w:hAnsi="Calibri"/>
          <w:sz w:val="22"/>
          <w:szCs w:val="22"/>
        </w:rPr>
        <w:t>and analytic data</w:t>
      </w:r>
      <w:r>
        <w:rPr>
          <w:rFonts w:ascii="Calibri" w:hAnsi="Calibri"/>
          <w:sz w:val="22"/>
          <w:szCs w:val="22"/>
        </w:rPr>
        <w:t xml:space="preserve"> (Analytic set)</w:t>
      </w:r>
      <w:r w:rsidR="00301E0D">
        <w:rPr>
          <w:rFonts w:ascii="Calibri" w:hAnsi="Calibri"/>
          <w:sz w:val="22"/>
          <w:szCs w:val="22"/>
        </w:rPr>
        <w:t>.  T</w:t>
      </w:r>
      <w:r w:rsidRPr="003D75D4">
        <w:rPr>
          <w:rFonts w:ascii="Calibri" w:hAnsi="Calibri"/>
          <w:sz w:val="22"/>
          <w:szCs w:val="22"/>
        </w:rPr>
        <w:t xml:space="preserve">he only common information across both was </w:t>
      </w:r>
      <w:r>
        <w:rPr>
          <w:rFonts w:ascii="Calibri" w:hAnsi="Calibri"/>
          <w:sz w:val="22"/>
          <w:szCs w:val="22"/>
        </w:rPr>
        <w:t>the RID</w:t>
      </w:r>
      <w:r w:rsidRPr="003D75D4">
        <w:rPr>
          <w:rFonts w:ascii="Calibri" w:hAnsi="Calibri"/>
          <w:sz w:val="22"/>
          <w:szCs w:val="22"/>
        </w:rPr>
        <w:t xml:space="preserve">.  The </w:t>
      </w:r>
      <w:r>
        <w:rPr>
          <w:rFonts w:ascii="Calibri" w:hAnsi="Calibri"/>
          <w:sz w:val="22"/>
          <w:szCs w:val="22"/>
        </w:rPr>
        <w:t xml:space="preserve">Identifier sets </w:t>
      </w:r>
      <w:r w:rsidRPr="003D75D4">
        <w:rPr>
          <w:rFonts w:ascii="Calibri" w:hAnsi="Calibri"/>
          <w:sz w:val="22"/>
          <w:szCs w:val="22"/>
        </w:rPr>
        <w:t>were hand delivered to CHIA.</w:t>
      </w:r>
      <w:r>
        <w:rPr>
          <w:rFonts w:ascii="Calibri" w:hAnsi="Calibri"/>
          <w:sz w:val="22"/>
          <w:szCs w:val="22"/>
        </w:rPr>
        <w:t xml:space="preserve">  As noted under the Encryption section, all data was encrypted using </w:t>
      </w:r>
      <w:r w:rsidRPr="00B17EB8">
        <w:rPr>
          <w:rFonts w:ascii="Calibri" w:hAnsi="Calibri"/>
          <w:sz w:val="22"/>
          <w:szCs w:val="22"/>
        </w:rPr>
        <w:t>256</w:t>
      </w:r>
      <w:r>
        <w:rPr>
          <w:rFonts w:ascii="Calibri" w:hAnsi="Calibri"/>
          <w:sz w:val="22"/>
          <w:szCs w:val="22"/>
        </w:rPr>
        <w:t>-</w:t>
      </w:r>
      <w:r w:rsidRPr="00B17EB8">
        <w:rPr>
          <w:rFonts w:ascii="Calibri" w:hAnsi="Calibri"/>
          <w:sz w:val="22"/>
          <w:szCs w:val="22"/>
        </w:rPr>
        <w:t>bit AES encryption</w:t>
      </w:r>
      <w:r>
        <w:rPr>
          <w:rFonts w:ascii="Calibri" w:hAnsi="Calibri"/>
          <w:sz w:val="22"/>
          <w:szCs w:val="22"/>
        </w:rPr>
        <w:t xml:space="preserve"> with</w:t>
      </w:r>
      <w:r w:rsidRPr="00B17EB8">
        <w:rPr>
          <w:rFonts w:ascii="Calibri" w:hAnsi="Calibri"/>
          <w:sz w:val="22"/>
          <w:szCs w:val="22"/>
        </w:rPr>
        <w:t xml:space="preserve"> strong protection consistent with EOHHS and MassIT policy regarding password contents and length</w:t>
      </w:r>
      <w:r>
        <w:rPr>
          <w:rFonts w:ascii="Calibri" w:hAnsi="Calibri"/>
          <w:sz w:val="22"/>
          <w:szCs w:val="22"/>
        </w:rPr>
        <w:t>.</w:t>
      </w:r>
    </w:p>
    <w:p w:rsidR="00400E42" w:rsidRDefault="00400E42" w:rsidP="00C456E6">
      <w:pPr>
        <w:pStyle w:val="ListParagraph"/>
        <w:numPr>
          <w:ilvl w:val="0"/>
          <w:numId w:val="5"/>
        </w:numPr>
        <w:spacing w:after="120" w:line="276" w:lineRule="auto"/>
        <w:jc w:val="both"/>
        <w:rPr>
          <w:rFonts w:ascii="Calibri" w:hAnsi="Calibri"/>
          <w:sz w:val="22"/>
          <w:szCs w:val="22"/>
        </w:rPr>
      </w:pPr>
      <w:r>
        <w:rPr>
          <w:rFonts w:ascii="Calibri" w:hAnsi="Calibri"/>
          <w:sz w:val="22"/>
          <w:szCs w:val="22"/>
        </w:rPr>
        <w:t xml:space="preserve">Distinct from DPH’s RID-creation effort, CHIA created an extract of the </w:t>
      </w:r>
      <w:r w:rsidRPr="003D75D4">
        <w:rPr>
          <w:rFonts w:ascii="Calibri" w:hAnsi="Calibri"/>
          <w:sz w:val="22"/>
          <w:szCs w:val="22"/>
        </w:rPr>
        <w:t>All Payer Claims Database</w:t>
      </w:r>
      <w:r>
        <w:rPr>
          <w:rFonts w:ascii="Calibri" w:hAnsi="Calibri"/>
          <w:sz w:val="22"/>
          <w:szCs w:val="22"/>
        </w:rPr>
        <w:t xml:space="preserve"> (APCD) that included only the fields to be used for the linkage scheme matching (Appendix D), plus an additional project-specific ID (PID).  This PID was a random unique 20-digit number.  It was in no way related to, nor derivative of, CHIA’s Master Person Index (MPID) or any other persistent identifying code</w:t>
      </w:r>
      <w:r w:rsidR="00301E0D">
        <w:rPr>
          <w:rFonts w:ascii="Calibri" w:hAnsi="Calibri"/>
          <w:sz w:val="22"/>
          <w:szCs w:val="22"/>
        </w:rPr>
        <w:t>.  T</w:t>
      </w:r>
      <w:r>
        <w:rPr>
          <w:rFonts w:ascii="Calibri" w:hAnsi="Calibri"/>
          <w:sz w:val="22"/>
          <w:szCs w:val="22"/>
        </w:rPr>
        <w:t>his master extract-plus-PID is known as the APCD-Spine.</w:t>
      </w:r>
    </w:p>
    <w:p w:rsidR="00400E42" w:rsidRDefault="00400E42" w:rsidP="00C456E6">
      <w:pPr>
        <w:pStyle w:val="ListParagraph"/>
        <w:numPr>
          <w:ilvl w:val="0"/>
          <w:numId w:val="5"/>
        </w:numPr>
        <w:spacing w:after="120" w:line="276" w:lineRule="auto"/>
        <w:jc w:val="both"/>
        <w:rPr>
          <w:rFonts w:ascii="Calibri" w:hAnsi="Calibri"/>
          <w:sz w:val="22"/>
          <w:szCs w:val="22"/>
        </w:rPr>
      </w:pPr>
      <w:r>
        <w:rPr>
          <w:rFonts w:ascii="Calibri" w:hAnsi="Calibri"/>
          <w:sz w:val="22"/>
          <w:szCs w:val="22"/>
        </w:rPr>
        <w:t>For each Identifier set, CHIA compared each record to the APCD-Spine.  (For additional details on the data linkage, please see Appendix D.) Where a match was found</w:t>
      </w:r>
      <w:r w:rsidRPr="003D75D4">
        <w:rPr>
          <w:rFonts w:ascii="Calibri" w:hAnsi="Calibri"/>
          <w:sz w:val="22"/>
          <w:szCs w:val="22"/>
        </w:rPr>
        <w:t>,</w:t>
      </w:r>
      <w:r>
        <w:rPr>
          <w:rFonts w:ascii="Calibri" w:hAnsi="Calibri"/>
          <w:sz w:val="22"/>
          <w:szCs w:val="22"/>
        </w:rPr>
        <w:t xml:space="preserve"> the PID and match level were associated with the RID from the Identifier set.</w:t>
      </w:r>
      <w:r w:rsidRPr="003D75D4">
        <w:rPr>
          <w:rFonts w:ascii="Calibri" w:hAnsi="Calibri"/>
          <w:sz w:val="22"/>
          <w:szCs w:val="22"/>
        </w:rPr>
        <w:t xml:space="preserve"> </w:t>
      </w:r>
    </w:p>
    <w:p w:rsidR="00525D51" w:rsidRPr="000511DA" w:rsidRDefault="00525D51" w:rsidP="00525D51">
      <w:pPr>
        <w:pStyle w:val="ListParagraph"/>
        <w:numPr>
          <w:ilvl w:val="0"/>
          <w:numId w:val="5"/>
        </w:numPr>
        <w:spacing w:after="120" w:line="276" w:lineRule="auto"/>
        <w:jc w:val="both"/>
        <w:rPr>
          <w:rFonts w:ascii="Calibri" w:hAnsi="Calibri"/>
          <w:sz w:val="22"/>
          <w:szCs w:val="22"/>
        </w:rPr>
      </w:pPr>
      <w:r w:rsidRPr="003D75D4">
        <w:rPr>
          <w:rFonts w:ascii="Calibri" w:hAnsi="Calibri"/>
          <w:sz w:val="22"/>
          <w:szCs w:val="22"/>
        </w:rPr>
        <w:t xml:space="preserve">Upon confirmation from CHIA that </w:t>
      </w:r>
      <w:r>
        <w:rPr>
          <w:rFonts w:ascii="Calibri" w:hAnsi="Calibri"/>
          <w:sz w:val="22"/>
          <w:szCs w:val="22"/>
        </w:rPr>
        <w:t>an</w:t>
      </w:r>
      <w:r w:rsidRPr="003D75D4">
        <w:rPr>
          <w:rFonts w:ascii="Calibri" w:hAnsi="Calibri"/>
          <w:sz w:val="22"/>
          <w:szCs w:val="22"/>
        </w:rPr>
        <w:t xml:space="preserve"> </w:t>
      </w:r>
      <w:r>
        <w:rPr>
          <w:rFonts w:ascii="Calibri" w:hAnsi="Calibri"/>
          <w:sz w:val="22"/>
          <w:szCs w:val="22"/>
        </w:rPr>
        <w:t>Identifier set</w:t>
      </w:r>
      <w:r w:rsidRPr="003D75D4">
        <w:rPr>
          <w:rFonts w:ascii="Calibri" w:hAnsi="Calibri"/>
          <w:sz w:val="22"/>
          <w:szCs w:val="22"/>
        </w:rPr>
        <w:t xml:space="preserve"> </w:t>
      </w:r>
      <w:r>
        <w:rPr>
          <w:rFonts w:ascii="Calibri" w:hAnsi="Calibri"/>
          <w:sz w:val="22"/>
          <w:szCs w:val="22"/>
        </w:rPr>
        <w:t>was</w:t>
      </w:r>
      <w:r w:rsidRPr="003D75D4">
        <w:rPr>
          <w:rFonts w:ascii="Calibri" w:hAnsi="Calibri"/>
          <w:sz w:val="22"/>
          <w:szCs w:val="22"/>
        </w:rPr>
        <w:t xml:space="preserve"> </w:t>
      </w:r>
      <w:r>
        <w:rPr>
          <w:rFonts w:ascii="Calibri" w:hAnsi="Calibri"/>
          <w:sz w:val="22"/>
          <w:szCs w:val="22"/>
        </w:rPr>
        <w:t xml:space="preserve">successfully </w:t>
      </w:r>
      <w:r w:rsidRPr="003D75D4">
        <w:rPr>
          <w:rFonts w:ascii="Calibri" w:hAnsi="Calibri"/>
          <w:sz w:val="22"/>
          <w:szCs w:val="22"/>
        </w:rPr>
        <w:t xml:space="preserve">matched to the APCD-Spine, DPH </w:t>
      </w:r>
      <w:r>
        <w:rPr>
          <w:rFonts w:ascii="Calibri" w:hAnsi="Calibri"/>
          <w:sz w:val="22"/>
          <w:szCs w:val="22"/>
        </w:rPr>
        <w:t xml:space="preserve">then </w:t>
      </w:r>
      <w:r w:rsidRPr="003D75D4">
        <w:rPr>
          <w:rFonts w:ascii="Calibri" w:hAnsi="Calibri"/>
          <w:sz w:val="22"/>
          <w:szCs w:val="22"/>
        </w:rPr>
        <w:t>delete</w:t>
      </w:r>
      <w:r>
        <w:rPr>
          <w:rFonts w:ascii="Calibri" w:hAnsi="Calibri"/>
          <w:sz w:val="22"/>
          <w:szCs w:val="22"/>
        </w:rPr>
        <w:t>d</w:t>
      </w:r>
      <w:r w:rsidRPr="003D75D4">
        <w:rPr>
          <w:rFonts w:ascii="Calibri" w:hAnsi="Calibri"/>
          <w:sz w:val="22"/>
          <w:szCs w:val="22"/>
        </w:rPr>
        <w:t xml:space="preserve"> th</w:t>
      </w:r>
      <w:r>
        <w:rPr>
          <w:rFonts w:ascii="Calibri" w:hAnsi="Calibri"/>
          <w:sz w:val="22"/>
          <w:szCs w:val="22"/>
        </w:rPr>
        <w:t xml:space="preserve">at Identifier set </w:t>
      </w:r>
      <w:r w:rsidRPr="003D75D4">
        <w:rPr>
          <w:rFonts w:ascii="Calibri" w:hAnsi="Calibri"/>
          <w:sz w:val="22"/>
          <w:szCs w:val="22"/>
        </w:rPr>
        <w:t>from its server.</w:t>
      </w:r>
    </w:p>
    <w:p w:rsidR="00400E42" w:rsidRDefault="00400E42" w:rsidP="00C456E6">
      <w:pPr>
        <w:pStyle w:val="ListParagraph"/>
        <w:numPr>
          <w:ilvl w:val="0"/>
          <w:numId w:val="5"/>
        </w:numPr>
        <w:spacing w:after="120" w:line="276" w:lineRule="auto"/>
        <w:jc w:val="both"/>
        <w:rPr>
          <w:rFonts w:ascii="Calibri" w:hAnsi="Calibri"/>
          <w:sz w:val="22"/>
          <w:szCs w:val="22"/>
        </w:rPr>
      </w:pPr>
      <w:r>
        <w:rPr>
          <w:rFonts w:ascii="Calibri" w:hAnsi="Calibri"/>
          <w:sz w:val="22"/>
          <w:szCs w:val="22"/>
        </w:rPr>
        <w:t xml:space="preserve">The result set of matched PID/RID and match level were returned to DPH through the same secure mechanism as the delivery of the Identifier sets. </w:t>
      </w:r>
    </w:p>
    <w:p w:rsidR="00400E42" w:rsidRDefault="00400E42" w:rsidP="00C456E6">
      <w:pPr>
        <w:pStyle w:val="ListParagraph"/>
        <w:numPr>
          <w:ilvl w:val="0"/>
          <w:numId w:val="5"/>
        </w:numPr>
        <w:spacing w:after="120" w:line="276" w:lineRule="auto"/>
        <w:jc w:val="both"/>
        <w:rPr>
          <w:rFonts w:ascii="Calibri" w:hAnsi="Calibri"/>
          <w:sz w:val="22"/>
          <w:szCs w:val="22"/>
        </w:rPr>
      </w:pPr>
      <w:r>
        <w:rPr>
          <w:rFonts w:ascii="Calibri" w:hAnsi="Calibri"/>
          <w:sz w:val="22"/>
          <w:szCs w:val="22"/>
        </w:rPr>
        <w:t>The RIDs within the returned result set were used to appropriately assign PIDs (and match confidence) to matching records in the Analytic sets</w:t>
      </w:r>
      <w:r w:rsidR="00301E0D">
        <w:rPr>
          <w:rFonts w:ascii="Calibri" w:hAnsi="Calibri"/>
          <w:sz w:val="22"/>
          <w:szCs w:val="22"/>
        </w:rPr>
        <w:t>.  T</w:t>
      </w:r>
      <w:r>
        <w:rPr>
          <w:rFonts w:ascii="Calibri" w:hAnsi="Calibri"/>
          <w:sz w:val="22"/>
          <w:szCs w:val="22"/>
        </w:rPr>
        <w:t>his allows the Analytic sets to be de-identified, but also connectable across datasets.</w:t>
      </w:r>
    </w:p>
    <w:p w:rsidR="00400E42" w:rsidRPr="003D75D4" w:rsidRDefault="00525D51" w:rsidP="00C456E6">
      <w:pPr>
        <w:pStyle w:val="ListParagraph"/>
        <w:numPr>
          <w:ilvl w:val="0"/>
          <w:numId w:val="5"/>
        </w:numPr>
        <w:spacing w:after="120" w:line="276" w:lineRule="auto"/>
        <w:jc w:val="both"/>
        <w:rPr>
          <w:rFonts w:ascii="Calibri" w:hAnsi="Calibri"/>
          <w:sz w:val="22"/>
          <w:szCs w:val="22"/>
        </w:rPr>
      </w:pPr>
      <w:r>
        <w:rPr>
          <w:rFonts w:ascii="Calibri" w:hAnsi="Calibri"/>
          <w:sz w:val="22"/>
          <w:szCs w:val="22"/>
        </w:rPr>
        <w:t>Because DPH had deleted the Identifier set, it was never in possession of the PID, RID and direct identifiers at the same time.</w:t>
      </w:r>
    </w:p>
    <w:p w:rsidR="00400E42" w:rsidRPr="003D75D4" w:rsidRDefault="00525D51" w:rsidP="00C456E6">
      <w:pPr>
        <w:pStyle w:val="ListParagraph"/>
        <w:numPr>
          <w:ilvl w:val="0"/>
          <w:numId w:val="5"/>
        </w:numPr>
        <w:spacing w:after="120" w:line="276" w:lineRule="auto"/>
        <w:jc w:val="both"/>
        <w:rPr>
          <w:rFonts w:ascii="Calibri" w:hAnsi="Calibri"/>
          <w:sz w:val="22"/>
          <w:szCs w:val="22"/>
        </w:rPr>
      </w:pPr>
      <w:r w:rsidRPr="003D75D4">
        <w:rPr>
          <w:rFonts w:ascii="Calibri" w:hAnsi="Calibri"/>
          <w:sz w:val="22"/>
          <w:szCs w:val="22"/>
        </w:rPr>
        <w:t xml:space="preserve">After </w:t>
      </w:r>
      <w:r>
        <w:rPr>
          <w:rFonts w:ascii="Calibri" w:hAnsi="Calibri"/>
          <w:sz w:val="22"/>
          <w:szCs w:val="22"/>
        </w:rPr>
        <w:t>assigning the PIDs to the Analytic sets</w:t>
      </w:r>
      <w:r w:rsidRPr="003D75D4">
        <w:rPr>
          <w:rFonts w:ascii="Calibri" w:hAnsi="Calibri"/>
          <w:sz w:val="22"/>
          <w:szCs w:val="22"/>
        </w:rPr>
        <w:t>, DPH securely deliver</w:t>
      </w:r>
      <w:r>
        <w:rPr>
          <w:rFonts w:ascii="Calibri" w:hAnsi="Calibri"/>
          <w:sz w:val="22"/>
          <w:szCs w:val="22"/>
        </w:rPr>
        <w:t>ed</w:t>
      </w:r>
      <w:r w:rsidRPr="003D75D4">
        <w:rPr>
          <w:rFonts w:ascii="Calibri" w:hAnsi="Calibri"/>
          <w:sz w:val="22"/>
          <w:szCs w:val="22"/>
        </w:rPr>
        <w:t xml:space="preserve"> </w:t>
      </w:r>
      <w:r w:rsidR="00400E42">
        <w:rPr>
          <w:rFonts w:ascii="Calibri" w:hAnsi="Calibri"/>
          <w:sz w:val="22"/>
          <w:szCs w:val="22"/>
        </w:rPr>
        <w:t>each</w:t>
      </w:r>
      <w:r w:rsidR="00400E42" w:rsidRPr="003D75D4">
        <w:rPr>
          <w:rFonts w:ascii="Calibri" w:hAnsi="Calibri"/>
          <w:sz w:val="22"/>
          <w:szCs w:val="22"/>
        </w:rPr>
        <w:t xml:space="preserve"> </w:t>
      </w:r>
      <w:r w:rsidR="00400E42">
        <w:rPr>
          <w:rFonts w:ascii="Calibri" w:hAnsi="Calibri"/>
          <w:sz w:val="22"/>
          <w:szCs w:val="22"/>
        </w:rPr>
        <w:t>A</w:t>
      </w:r>
      <w:r w:rsidR="00400E42" w:rsidRPr="003D75D4">
        <w:rPr>
          <w:rFonts w:ascii="Calibri" w:hAnsi="Calibri"/>
          <w:sz w:val="22"/>
          <w:szCs w:val="22"/>
        </w:rPr>
        <w:t>nalytic file to the Massachusetts Information Technology Center (MITC)</w:t>
      </w:r>
      <w:r w:rsidR="00400E42">
        <w:rPr>
          <w:rFonts w:ascii="Calibri" w:hAnsi="Calibri"/>
          <w:sz w:val="22"/>
          <w:szCs w:val="22"/>
        </w:rPr>
        <w:t xml:space="preserve"> to be securely loaded onto the designated server</w:t>
      </w:r>
      <w:r w:rsidR="00400E42" w:rsidRPr="003D75D4">
        <w:rPr>
          <w:rFonts w:ascii="Calibri" w:hAnsi="Calibri"/>
          <w:sz w:val="22"/>
          <w:szCs w:val="22"/>
        </w:rPr>
        <w:t>.</w:t>
      </w:r>
    </w:p>
    <w:p w:rsidR="00400E42" w:rsidRDefault="00400E42" w:rsidP="00C456E6">
      <w:pPr>
        <w:pStyle w:val="ListParagraph"/>
        <w:numPr>
          <w:ilvl w:val="0"/>
          <w:numId w:val="5"/>
        </w:numPr>
        <w:spacing w:after="120" w:line="276" w:lineRule="auto"/>
        <w:jc w:val="both"/>
        <w:rPr>
          <w:rFonts w:ascii="Calibri" w:hAnsi="Calibri"/>
          <w:sz w:val="22"/>
          <w:szCs w:val="22"/>
        </w:rPr>
      </w:pPr>
      <w:r w:rsidRPr="003D75D4">
        <w:rPr>
          <w:rFonts w:ascii="Calibri" w:hAnsi="Calibri"/>
          <w:sz w:val="22"/>
          <w:szCs w:val="22"/>
        </w:rPr>
        <w:t>In order to prevent merging of data, the project</w:t>
      </w:r>
      <w:r>
        <w:rPr>
          <w:rFonts w:ascii="Calibri" w:hAnsi="Calibri"/>
          <w:sz w:val="22"/>
          <w:szCs w:val="22"/>
        </w:rPr>
        <w:t>-</w:t>
      </w:r>
      <w:r w:rsidRPr="003D75D4">
        <w:rPr>
          <w:rFonts w:ascii="Calibri" w:hAnsi="Calibri"/>
          <w:sz w:val="22"/>
          <w:szCs w:val="22"/>
        </w:rPr>
        <w:t xml:space="preserve">specific identifiers and the analytic files for each Chapter 55 </w:t>
      </w:r>
      <w:r>
        <w:rPr>
          <w:rFonts w:ascii="Calibri" w:hAnsi="Calibri"/>
          <w:sz w:val="22"/>
          <w:szCs w:val="22"/>
        </w:rPr>
        <w:t>dataset</w:t>
      </w:r>
      <w:r w:rsidRPr="003D75D4">
        <w:rPr>
          <w:rFonts w:ascii="Calibri" w:hAnsi="Calibri"/>
          <w:sz w:val="22"/>
          <w:szCs w:val="22"/>
        </w:rPr>
        <w:t xml:space="preserve"> were permanently stored in separate folders.  </w:t>
      </w:r>
    </w:p>
    <w:p w:rsidR="00400E42" w:rsidRDefault="00400E42" w:rsidP="00C456E6">
      <w:pPr>
        <w:pStyle w:val="ListParagraph"/>
        <w:numPr>
          <w:ilvl w:val="0"/>
          <w:numId w:val="5"/>
        </w:numPr>
        <w:spacing w:after="120" w:line="276" w:lineRule="auto"/>
        <w:jc w:val="both"/>
        <w:rPr>
          <w:rFonts w:ascii="Calibri" w:hAnsi="Calibri"/>
          <w:sz w:val="22"/>
          <w:szCs w:val="22"/>
        </w:rPr>
      </w:pPr>
      <w:r w:rsidRPr="001543DA">
        <w:rPr>
          <w:rFonts w:ascii="Calibri" w:hAnsi="Calibri"/>
          <w:sz w:val="22"/>
          <w:szCs w:val="22"/>
        </w:rPr>
        <w:t xml:space="preserve">After all Chapter 55 Identifier sets have been matched and the Chapter 55 project no longer needs the APCD-Spine, CHIA </w:t>
      </w:r>
      <w:r w:rsidR="00525D51">
        <w:rPr>
          <w:rFonts w:ascii="Calibri" w:hAnsi="Calibri"/>
          <w:sz w:val="22"/>
          <w:szCs w:val="22"/>
        </w:rPr>
        <w:t xml:space="preserve">will </w:t>
      </w:r>
      <w:r w:rsidRPr="001543DA">
        <w:rPr>
          <w:rFonts w:ascii="Calibri" w:hAnsi="Calibri"/>
          <w:sz w:val="22"/>
          <w:szCs w:val="22"/>
        </w:rPr>
        <w:t xml:space="preserve">then delete it, destroying any connection </w:t>
      </w:r>
      <w:r w:rsidR="00525D51">
        <w:rPr>
          <w:rFonts w:ascii="Calibri" w:hAnsi="Calibri"/>
          <w:sz w:val="22"/>
          <w:szCs w:val="22"/>
        </w:rPr>
        <w:t>between direct identifiers and</w:t>
      </w:r>
      <w:r w:rsidR="00525D51" w:rsidRPr="001543DA">
        <w:rPr>
          <w:rFonts w:ascii="Calibri" w:hAnsi="Calibri"/>
          <w:sz w:val="22"/>
          <w:szCs w:val="22"/>
        </w:rPr>
        <w:t xml:space="preserve"> </w:t>
      </w:r>
      <w:r w:rsidRPr="001543DA">
        <w:rPr>
          <w:rFonts w:ascii="Calibri" w:hAnsi="Calibri"/>
          <w:sz w:val="22"/>
          <w:szCs w:val="22"/>
        </w:rPr>
        <w:t>PIDs at CHIA.</w:t>
      </w:r>
    </w:p>
    <w:p w:rsidR="00400E42" w:rsidRPr="00163D74" w:rsidRDefault="00400E42" w:rsidP="00400E42">
      <w:pPr>
        <w:spacing w:line="480" w:lineRule="auto"/>
        <w:rPr>
          <w:rFonts w:ascii="Calibri" w:hAnsi="Calibri"/>
          <w:sz w:val="22"/>
          <w:szCs w:val="22"/>
        </w:rPr>
        <w:sectPr w:rsidR="00400E42" w:rsidRPr="00163D74" w:rsidSect="00501D4E">
          <w:pgSz w:w="12240" w:h="15840"/>
          <w:pgMar w:top="1440" w:right="1440" w:bottom="1440" w:left="1440" w:header="720" w:footer="720" w:gutter="0"/>
          <w:cols w:space="720"/>
          <w:titlePg/>
          <w:rtlGutter/>
          <w:docGrid w:linePitch="360"/>
        </w:sectPr>
      </w:pPr>
    </w:p>
    <w:p w:rsidR="00400E42" w:rsidRPr="003D75D4" w:rsidRDefault="00400E42" w:rsidP="00400E42">
      <w:pPr>
        <w:spacing w:line="480" w:lineRule="auto"/>
        <w:jc w:val="center"/>
        <w:rPr>
          <w:rFonts w:ascii="Calibri" w:hAnsi="Calibri"/>
          <w:b/>
          <w:noProof/>
          <w:sz w:val="22"/>
          <w:szCs w:val="22"/>
        </w:rPr>
      </w:pPr>
      <w:r w:rsidRPr="003D75D4">
        <w:rPr>
          <w:rFonts w:ascii="Calibri" w:hAnsi="Calibri"/>
          <w:b/>
          <w:noProof/>
          <w:sz w:val="22"/>
          <w:szCs w:val="22"/>
        </w:rPr>
        <w:lastRenderedPageBreak/>
        <w:t xml:space="preserve">Figure </w:t>
      </w:r>
      <w:r>
        <w:rPr>
          <w:rFonts w:ascii="Calibri" w:hAnsi="Calibri"/>
          <w:b/>
          <w:noProof/>
          <w:sz w:val="22"/>
          <w:szCs w:val="22"/>
        </w:rPr>
        <w:t>F.1</w:t>
      </w:r>
      <w:r w:rsidRPr="003D75D4">
        <w:rPr>
          <w:rFonts w:ascii="Calibri" w:hAnsi="Calibri"/>
          <w:b/>
          <w:noProof/>
          <w:sz w:val="22"/>
          <w:szCs w:val="22"/>
        </w:rPr>
        <w:t xml:space="preserve">: </w:t>
      </w:r>
      <w:r>
        <w:rPr>
          <w:rFonts w:ascii="Calibri" w:hAnsi="Calibri"/>
          <w:b/>
          <w:noProof/>
          <w:sz w:val="22"/>
          <w:szCs w:val="22"/>
        </w:rPr>
        <w:t>Step by step process for transferring data securely from DPH tp CHIA to MITC</w:t>
      </w:r>
      <w:r w:rsidRPr="003D75D4">
        <w:rPr>
          <w:rFonts w:ascii="Calibri" w:hAnsi="Calibri"/>
          <w:b/>
          <w:noProof/>
          <w:sz w:val="22"/>
          <w:szCs w:val="22"/>
        </w:rPr>
        <w:t xml:space="preserve"> </w:t>
      </w:r>
      <w:r>
        <w:rPr>
          <w:rFonts w:ascii="Calibri" w:hAnsi="Calibri"/>
          <w:b/>
          <w:noProof/>
          <w:sz w:val="22"/>
          <w:szCs w:val="22"/>
        </w:rPr>
        <w:drawing>
          <wp:inline distT="0" distB="0" distL="0" distR="0" wp14:anchorId="66186BDF" wp14:editId="51EF2606">
            <wp:extent cx="6949440" cy="5212080"/>
            <wp:effectExtent l="0" t="0" r="3810" b="7620"/>
            <wp:docPr id="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949440" cy="5212080"/>
                    </a:xfrm>
                    <a:prstGeom prst="rect">
                      <a:avLst/>
                    </a:prstGeom>
                    <a:noFill/>
                    <a:ln>
                      <a:noFill/>
                    </a:ln>
                  </pic:spPr>
                </pic:pic>
              </a:graphicData>
            </a:graphic>
          </wp:inline>
        </w:drawing>
      </w:r>
    </w:p>
    <w:p w:rsidR="00400E42" w:rsidRPr="003D75D4" w:rsidRDefault="00400E42" w:rsidP="00400E42">
      <w:pPr>
        <w:spacing w:line="480" w:lineRule="auto"/>
        <w:jc w:val="center"/>
        <w:rPr>
          <w:rFonts w:ascii="Calibri" w:hAnsi="Calibri"/>
          <w:sz w:val="22"/>
          <w:szCs w:val="22"/>
        </w:rPr>
      </w:pPr>
      <w:r w:rsidRPr="003D75D4">
        <w:rPr>
          <w:rFonts w:ascii="Calibri" w:hAnsi="Calibri"/>
          <w:sz w:val="22"/>
          <w:szCs w:val="22"/>
        </w:rPr>
        <w:br w:type="page"/>
      </w:r>
    </w:p>
    <w:p w:rsidR="00400E42" w:rsidRPr="003D75D4" w:rsidRDefault="00400E42" w:rsidP="00400E42">
      <w:pPr>
        <w:pStyle w:val="BodyText"/>
        <w:spacing w:before="0" w:line="480" w:lineRule="auto"/>
        <w:jc w:val="center"/>
        <w:rPr>
          <w:rFonts w:ascii="Calibri" w:hAnsi="Calibri"/>
          <w:szCs w:val="22"/>
        </w:rPr>
        <w:sectPr w:rsidR="00400E42" w:rsidRPr="003D75D4" w:rsidSect="00797DF8">
          <w:pgSz w:w="15840" w:h="12240" w:orient="landscape"/>
          <w:pgMar w:top="1440" w:right="1440" w:bottom="1440" w:left="1440" w:header="720" w:footer="720" w:gutter="0"/>
          <w:cols w:space="720"/>
          <w:titlePg/>
          <w:docGrid w:linePitch="360"/>
        </w:sectPr>
      </w:pPr>
    </w:p>
    <w:p w:rsidR="00400E42" w:rsidRPr="003D75D4" w:rsidRDefault="00400E42" w:rsidP="00C33429">
      <w:pPr>
        <w:pStyle w:val="BodyText"/>
        <w:spacing w:before="0" w:after="120" w:line="276" w:lineRule="auto"/>
        <w:ind w:firstLine="0"/>
        <w:rPr>
          <w:rFonts w:ascii="Calibri" w:hAnsi="Calibri"/>
          <w:b/>
          <w:szCs w:val="22"/>
          <w:u w:val="single"/>
        </w:rPr>
      </w:pPr>
      <w:r w:rsidRPr="003D75D4">
        <w:rPr>
          <w:rFonts w:ascii="Calibri" w:hAnsi="Calibri"/>
          <w:b/>
          <w:szCs w:val="22"/>
          <w:u w:val="single"/>
        </w:rPr>
        <w:lastRenderedPageBreak/>
        <w:t>Securing the Server</w:t>
      </w:r>
    </w:p>
    <w:p w:rsidR="00400E42" w:rsidRPr="003D75D4" w:rsidRDefault="00400E42" w:rsidP="00C456E6">
      <w:pPr>
        <w:pStyle w:val="BodyText"/>
        <w:spacing w:before="0" w:after="120" w:line="276" w:lineRule="auto"/>
        <w:ind w:firstLine="0"/>
        <w:jc w:val="both"/>
        <w:rPr>
          <w:rFonts w:ascii="Calibri" w:hAnsi="Calibri"/>
          <w:szCs w:val="22"/>
        </w:rPr>
      </w:pPr>
      <w:r w:rsidRPr="003D75D4">
        <w:rPr>
          <w:rFonts w:ascii="Calibri" w:hAnsi="Calibri"/>
          <w:szCs w:val="22"/>
        </w:rPr>
        <w:t>There were three main goals in securing the SAS server:</w:t>
      </w:r>
    </w:p>
    <w:p w:rsidR="00400E42" w:rsidRPr="003D75D4" w:rsidRDefault="00400E42" w:rsidP="00C456E6">
      <w:pPr>
        <w:pStyle w:val="BodyText"/>
        <w:numPr>
          <w:ilvl w:val="0"/>
          <w:numId w:val="6"/>
        </w:numPr>
        <w:spacing w:before="0" w:after="120" w:line="276" w:lineRule="auto"/>
        <w:jc w:val="both"/>
        <w:rPr>
          <w:rFonts w:ascii="Calibri" w:hAnsi="Calibri"/>
          <w:szCs w:val="22"/>
        </w:rPr>
      </w:pPr>
      <w:r w:rsidRPr="003D75D4">
        <w:rPr>
          <w:rFonts w:ascii="Calibri" w:hAnsi="Calibri"/>
          <w:szCs w:val="22"/>
        </w:rPr>
        <w:t>Develop a clear audit process</w:t>
      </w:r>
    </w:p>
    <w:p w:rsidR="00400E42" w:rsidRPr="003D75D4" w:rsidRDefault="00400E42" w:rsidP="00C456E6">
      <w:pPr>
        <w:pStyle w:val="BodyText"/>
        <w:numPr>
          <w:ilvl w:val="0"/>
          <w:numId w:val="6"/>
        </w:numPr>
        <w:spacing w:before="0" w:after="120" w:line="276" w:lineRule="auto"/>
        <w:jc w:val="both"/>
        <w:rPr>
          <w:rFonts w:ascii="Calibri" w:hAnsi="Calibri"/>
          <w:szCs w:val="22"/>
        </w:rPr>
      </w:pPr>
      <w:r w:rsidRPr="003D75D4">
        <w:rPr>
          <w:rFonts w:ascii="Calibri" w:hAnsi="Calibri"/>
          <w:szCs w:val="22"/>
        </w:rPr>
        <w:t>Ensure proper encryption for the different needs of the users</w:t>
      </w:r>
    </w:p>
    <w:p w:rsidR="00400E42" w:rsidRPr="003D75D4" w:rsidRDefault="00400E42" w:rsidP="00C456E6">
      <w:pPr>
        <w:pStyle w:val="BodyText"/>
        <w:numPr>
          <w:ilvl w:val="0"/>
          <w:numId w:val="6"/>
        </w:numPr>
        <w:spacing w:before="0" w:after="120" w:line="276" w:lineRule="auto"/>
        <w:jc w:val="both"/>
        <w:rPr>
          <w:rFonts w:ascii="Calibri" w:hAnsi="Calibri"/>
          <w:szCs w:val="22"/>
        </w:rPr>
      </w:pPr>
      <w:r w:rsidRPr="003D75D4">
        <w:rPr>
          <w:rFonts w:ascii="Calibri" w:hAnsi="Calibri"/>
          <w:szCs w:val="22"/>
        </w:rPr>
        <w:t xml:space="preserve">Make it so that </w:t>
      </w:r>
      <w:r>
        <w:rPr>
          <w:rFonts w:ascii="Calibri" w:hAnsi="Calibri"/>
          <w:szCs w:val="22"/>
        </w:rPr>
        <w:t>it was possible to</w:t>
      </w:r>
      <w:r w:rsidRPr="003D75D4">
        <w:rPr>
          <w:rFonts w:ascii="Calibri" w:hAnsi="Calibri"/>
          <w:szCs w:val="22"/>
        </w:rPr>
        <w:t xml:space="preserve"> handle more than a </w:t>
      </w:r>
      <w:r>
        <w:rPr>
          <w:rFonts w:ascii="Calibri" w:hAnsi="Calibri"/>
          <w:szCs w:val="22"/>
        </w:rPr>
        <w:t xml:space="preserve">small number of </w:t>
      </w:r>
      <w:r w:rsidRPr="003D75D4">
        <w:rPr>
          <w:rFonts w:ascii="Calibri" w:hAnsi="Calibri"/>
          <w:szCs w:val="22"/>
        </w:rPr>
        <w:t>group type</w:t>
      </w:r>
      <w:r>
        <w:rPr>
          <w:rFonts w:ascii="Calibri" w:hAnsi="Calibri"/>
          <w:szCs w:val="22"/>
        </w:rPr>
        <w:t>s</w:t>
      </w:r>
      <w:r w:rsidRPr="003D75D4">
        <w:rPr>
          <w:rFonts w:ascii="Calibri" w:hAnsi="Calibri"/>
          <w:szCs w:val="22"/>
        </w:rPr>
        <w:t xml:space="preserve"> in the system</w:t>
      </w:r>
    </w:p>
    <w:p w:rsidR="00400E42" w:rsidRPr="003D75D4" w:rsidRDefault="00400E42" w:rsidP="00C456E6">
      <w:pPr>
        <w:pStyle w:val="BodyText"/>
        <w:spacing w:before="0" w:after="120" w:line="276" w:lineRule="auto"/>
        <w:ind w:firstLine="0"/>
        <w:jc w:val="both"/>
        <w:rPr>
          <w:rFonts w:ascii="Calibri" w:hAnsi="Calibri"/>
          <w:szCs w:val="22"/>
        </w:rPr>
      </w:pPr>
      <w:r w:rsidRPr="003D75D4">
        <w:rPr>
          <w:rFonts w:ascii="Calibri" w:hAnsi="Calibri"/>
          <w:szCs w:val="22"/>
        </w:rPr>
        <w:t>These three goals were achieved in the following manner:</w:t>
      </w:r>
    </w:p>
    <w:p w:rsidR="00400E42" w:rsidRPr="003D75D4" w:rsidRDefault="00400E42" w:rsidP="00C456E6">
      <w:pPr>
        <w:pStyle w:val="BodyText"/>
        <w:numPr>
          <w:ilvl w:val="0"/>
          <w:numId w:val="7"/>
        </w:numPr>
        <w:spacing w:before="0" w:after="120" w:line="276" w:lineRule="auto"/>
        <w:jc w:val="both"/>
        <w:rPr>
          <w:rFonts w:ascii="Calibri" w:hAnsi="Calibri"/>
          <w:szCs w:val="22"/>
        </w:rPr>
      </w:pPr>
      <w:r w:rsidRPr="003D75D4">
        <w:rPr>
          <w:rFonts w:ascii="Calibri" w:hAnsi="Calibri"/>
          <w:szCs w:val="22"/>
        </w:rPr>
        <w:t>The disk partition on which the Chapter 55 data was stored was encrypted using LUKS (Linux Unified Key Setup).  Linu</w:t>
      </w:r>
      <w:r>
        <w:rPr>
          <w:rFonts w:ascii="Calibri" w:hAnsi="Calibri"/>
          <w:szCs w:val="22"/>
        </w:rPr>
        <w:t>x</w:t>
      </w:r>
      <w:r w:rsidRPr="003D75D4">
        <w:rPr>
          <w:rFonts w:ascii="Calibri" w:hAnsi="Calibri"/>
          <w:szCs w:val="22"/>
        </w:rPr>
        <w:t xml:space="preserve"> is the open-source version of the UNIX operati</w:t>
      </w:r>
      <w:r>
        <w:rPr>
          <w:rFonts w:ascii="Calibri" w:hAnsi="Calibri"/>
          <w:szCs w:val="22"/>
        </w:rPr>
        <w:t>ng</w:t>
      </w:r>
      <w:r w:rsidRPr="003D75D4">
        <w:rPr>
          <w:rFonts w:ascii="Calibri" w:hAnsi="Calibri"/>
          <w:szCs w:val="22"/>
        </w:rPr>
        <w:t xml:space="preserve"> system and LUKS is the standard hard disk encryption method for Linux servers.</w:t>
      </w:r>
    </w:p>
    <w:p w:rsidR="00400E42" w:rsidRPr="003D75D4" w:rsidRDefault="00400E42" w:rsidP="00C456E6">
      <w:pPr>
        <w:pStyle w:val="BodyText"/>
        <w:numPr>
          <w:ilvl w:val="0"/>
          <w:numId w:val="7"/>
        </w:numPr>
        <w:spacing w:before="0" w:after="120" w:line="276" w:lineRule="auto"/>
        <w:jc w:val="both"/>
        <w:rPr>
          <w:rFonts w:ascii="Calibri" w:hAnsi="Calibri"/>
          <w:szCs w:val="22"/>
        </w:rPr>
      </w:pPr>
      <w:r w:rsidRPr="003D75D4">
        <w:rPr>
          <w:rFonts w:ascii="Calibri" w:hAnsi="Calibri"/>
          <w:szCs w:val="22"/>
        </w:rPr>
        <w:t>To provide further flexibility in the design of the secure data ecosystem to the needs of the Chapter 55 project, Red</w:t>
      </w:r>
      <w:r>
        <w:rPr>
          <w:rFonts w:ascii="Calibri" w:hAnsi="Calibri"/>
          <w:szCs w:val="22"/>
        </w:rPr>
        <w:t xml:space="preserve"> H</w:t>
      </w:r>
      <w:r w:rsidRPr="003D75D4">
        <w:rPr>
          <w:rFonts w:ascii="Calibri" w:hAnsi="Calibri"/>
          <w:szCs w:val="22"/>
        </w:rPr>
        <w:t xml:space="preserve">at Enterprise Linux version 6.0 was used. </w:t>
      </w:r>
    </w:p>
    <w:p w:rsidR="00400E42" w:rsidRPr="003D75D4" w:rsidRDefault="00400E42" w:rsidP="00C456E6">
      <w:pPr>
        <w:pStyle w:val="BodyText"/>
        <w:numPr>
          <w:ilvl w:val="0"/>
          <w:numId w:val="7"/>
        </w:numPr>
        <w:spacing w:before="0" w:after="120" w:line="276" w:lineRule="auto"/>
        <w:jc w:val="both"/>
        <w:rPr>
          <w:rFonts w:ascii="Calibri" w:hAnsi="Calibri"/>
          <w:szCs w:val="22"/>
        </w:rPr>
      </w:pPr>
      <w:r w:rsidRPr="003D75D4">
        <w:rPr>
          <w:rFonts w:ascii="Calibri" w:hAnsi="Calibri"/>
          <w:szCs w:val="22"/>
        </w:rPr>
        <w:t>Accounts were authenticated by LDAP</w:t>
      </w:r>
      <w:r>
        <w:rPr>
          <w:rFonts w:ascii="Calibri" w:hAnsi="Calibri"/>
          <w:szCs w:val="22"/>
        </w:rPr>
        <w:t>,</w:t>
      </w:r>
      <w:r w:rsidRPr="003D75D4">
        <w:rPr>
          <w:rFonts w:ascii="Calibri" w:hAnsi="Calibri"/>
          <w:szCs w:val="22"/>
        </w:rPr>
        <w:t xml:space="preserve"> which is the MITC standard</w:t>
      </w:r>
      <w:r>
        <w:rPr>
          <w:rFonts w:ascii="Calibri" w:hAnsi="Calibri"/>
          <w:szCs w:val="22"/>
        </w:rPr>
        <w:t>,</w:t>
      </w:r>
      <w:r w:rsidRPr="003D75D4">
        <w:rPr>
          <w:rFonts w:ascii="Calibri" w:hAnsi="Calibri"/>
          <w:szCs w:val="22"/>
        </w:rPr>
        <w:t xml:space="preserve"> and account creation was handled through specific (not automated) requests to the MITC Linux team.</w:t>
      </w:r>
    </w:p>
    <w:p w:rsidR="00400E42" w:rsidRPr="003D75D4" w:rsidRDefault="00400E42" w:rsidP="00C456E6">
      <w:pPr>
        <w:pStyle w:val="BodyText"/>
        <w:numPr>
          <w:ilvl w:val="0"/>
          <w:numId w:val="7"/>
        </w:numPr>
        <w:spacing w:before="0" w:after="120" w:line="276" w:lineRule="auto"/>
        <w:jc w:val="both"/>
        <w:rPr>
          <w:rFonts w:ascii="Calibri" w:hAnsi="Calibri"/>
          <w:szCs w:val="22"/>
        </w:rPr>
      </w:pPr>
      <w:r w:rsidRPr="003D75D4">
        <w:rPr>
          <w:rFonts w:ascii="Calibri" w:hAnsi="Calibri"/>
          <w:szCs w:val="22"/>
        </w:rPr>
        <w:t>A unique mount point for the Chapter 55 project was created so that only group participants could gain access.</w:t>
      </w:r>
    </w:p>
    <w:p w:rsidR="00400E42" w:rsidRPr="003D75D4" w:rsidRDefault="00400E42" w:rsidP="00C456E6">
      <w:pPr>
        <w:pStyle w:val="BodyText"/>
        <w:numPr>
          <w:ilvl w:val="0"/>
          <w:numId w:val="7"/>
        </w:numPr>
        <w:spacing w:before="0" w:after="120" w:line="276" w:lineRule="auto"/>
        <w:jc w:val="both"/>
        <w:rPr>
          <w:rFonts w:ascii="Calibri" w:hAnsi="Calibri"/>
          <w:szCs w:val="22"/>
        </w:rPr>
      </w:pPr>
      <w:r w:rsidRPr="003D75D4">
        <w:rPr>
          <w:rFonts w:ascii="Calibri" w:hAnsi="Calibri"/>
          <w:szCs w:val="22"/>
        </w:rPr>
        <w:t>The interface for Chapter 55 work was through the web server interface with data encrypted at rest including all individual work files.</w:t>
      </w:r>
    </w:p>
    <w:p w:rsidR="00400E42" w:rsidRPr="003D75D4" w:rsidRDefault="00400E42" w:rsidP="00C456E6">
      <w:pPr>
        <w:pStyle w:val="BodyText"/>
        <w:numPr>
          <w:ilvl w:val="0"/>
          <w:numId w:val="7"/>
        </w:numPr>
        <w:spacing w:before="0" w:after="120" w:line="276" w:lineRule="auto"/>
        <w:jc w:val="both"/>
        <w:rPr>
          <w:rFonts w:ascii="Calibri" w:hAnsi="Calibri"/>
          <w:szCs w:val="22"/>
        </w:rPr>
      </w:pPr>
      <w:r w:rsidRPr="003D75D4">
        <w:rPr>
          <w:rFonts w:ascii="Calibri" w:hAnsi="Calibri"/>
          <w:szCs w:val="22"/>
        </w:rPr>
        <w:t xml:space="preserve">An audit process was implemented to record when and who was doing maintenance on/for SAS. </w:t>
      </w:r>
    </w:p>
    <w:p w:rsidR="00400E42" w:rsidRDefault="00400E42" w:rsidP="00C456E6">
      <w:pPr>
        <w:pStyle w:val="BodyText"/>
        <w:numPr>
          <w:ilvl w:val="0"/>
          <w:numId w:val="7"/>
        </w:numPr>
        <w:spacing w:before="0" w:after="120" w:line="276" w:lineRule="auto"/>
        <w:jc w:val="both"/>
        <w:rPr>
          <w:rFonts w:ascii="Calibri" w:hAnsi="Calibri"/>
          <w:szCs w:val="22"/>
        </w:rPr>
      </w:pPr>
      <w:r w:rsidRPr="001543DA">
        <w:rPr>
          <w:rFonts w:ascii="Calibri" w:hAnsi="Calibri"/>
          <w:szCs w:val="22"/>
        </w:rPr>
        <w:t>All inbound requests to the server were blocked unless the requestor was on a pre-approved whitelist</w:t>
      </w:r>
      <w:r w:rsidR="00301E0D">
        <w:rPr>
          <w:rFonts w:ascii="Calibri" w:hAnsi="Calibri"/>
          <w:szCs w:val="22"/>
        </w:rPr>
        <w:t>.  T</w:t>
      </w:r>
      <w:r w:rsidRPr="001543DA">
        <w:rPr>
          <w:rFonts w:ascii="Calibri" w:hAnsi="Calibri"/>
          <w:szCs w:val="22"/>
        </w:rPr>
        <w:t>he firewall restricted access to specific ports on the server.  Ports were continuously monitored.</w:t>
      </w:r>
    </w:p>
    <w:p w:rsidR="00400E42" w:rsidRPr="001543DA" w:rsidRDefault="00400E42" w:rsidP="00C33429">
      <w:pPr>
        <w:pStyle w:val="BodyText"/>
        <w:spacing w:before="0" w:after="120" w:line="276" w:lineRule="auto"/>
        <w:ind w:left="720" w:firstLine="0"/>
        <w:rPr>
          <w:rFonts w:ascii="Calibri" w:hAnsi="Calibri"/>
          <w:szCs w:val="22"/>
        </w:rPr>
      </w:pPr>
    </w:p>
    <w:p w:rsidR="00400E42" w:rsidRDefault="00400E42" w:rsidP="00C33429">
      <w:pPr>
        <w:spacing w:after="120" w:line="276" w:lineRule="auto"/>
        <w:rPr>
          <w:rFonts w:ascii="Calibri" w:hAnsi="Calibri"/>
          <w:b/>
          <w:sz w:val="22"/>
          <w:szCs w:val="22"/>
          <w:u w:val="single"/>
        </w:rPr>
      </w:pPr>
      <w:r w:rsidRPr="003D75D4">
        <w:rPr>
          <w:rFonts w:ascii="Calibri" w:hAnsi="Calibri"/>
          <w:b/>
          <w:sz w:val="22"/>
          <w:szCs w:val="22"/>
          <w:u w:val="single"/>
        </w:rPr>
        <w:t>Preventing Misuse by Analysts:</w:t>
      </w:r>
    </w:p>
    <w:p w:rsidR="00400E42" w:rsidRPr="003D75D4" w:rsidRDefault="00400E42" w:rsidP="002D6E20">
      <w:pPr>
        <w:pStyle w:val="PBody"/>
      </w:pPr>
      <w:r w:rsidRPr="003D75D4">
        <w:t xml:space="preserve">To minimize the risk of misuse of Chapter 55 data by authorized users, the following processes were implemented as what has been </w:t>
      </w:r>
      <w:r>
        <w:t xml:space="preserve">collectively </w:t>
      </w:r>
      <w:r w:rsidRPr="003D75D4">
        <w:t xml:space="preserve">termed a </w:t>
      </w:r>
      <w:r w:rsidRPr="003D75D4">
        <w:rPr>
          <w:b/>
          <w:u w:val="single"/>
        </w:rPr>
        <w:t>Privacy Shield</w:t>
      </w:r>
      <w:r w:rsidRPr="003D75D4">
        <w:t>.</w:t>
      </w:r>
    </w:p>
    <w:p w:rsidR="00400E42" w:rsidRPr="003D75D4" w:rsidRDefault="00400E42" w:rsidP="00C456E6">
      <w:pPr>
        <w:pStyle w:val="ListParagraph"/>
        <w:numPr>
          <w:ilvl w:val="0"/>
          <w:numId w:val="1"/>
        </w:numPr>
        <w:spacing w:after="120" w:line="276" w:lineRule="auto"/>
        <w:jc w:val="both"/>
        <w:rPr>
          <w:rFonts w:ascii="Calibri" w:hAnsi="Calibri"/>
          <w:sz w:val="22"/>
          <w:szCs w:val="22"/>
        </w:rPr>
      </w:pPr>
      <w:r w:rsidRPr="003D75D4">
        <w:rPr>
          <w:rFonts w:ascii="Calibri" w:hAnsi="Calibri"/>
          <w:sz w:val="22"/>
          <w:szCs w:val="22"/>
        </w:rPr>
        <w:t>Access to Chapter 55 data was only permitted using Enterprise SAS Studio software</w:t>
      </w:r>
    </w:p>
    <w:p w:rsidR="00400E42" w:rsidRPr="003D75D4" w:rsidRDefault="00400E42" w:rsidP="00C456E6">
      <w:pPr>
        <w:pStyle w:val="ListParagraph"/>
        <w:numPr>
          <w:ilvl w:val="0"/>
          <w:numId w:val="1"/>
        </w:numPr>
        <w:spacing w:after="120" w:line="276" w:lineRule="auto"/>
        <w:jc w:val="both"/>
        <w:rPr>
          <w:rFonts w:ascii="Calibri" w:hAnsi="Calibri"/>
          <w:sz w:val="22"/>
          <w:szCs w:val="22"/>
        </w:rPr>
      </w:pPr>
      <w:r w:rsidRPr="003D75D4">
        <w:rPr>
          <w:rFonts w:ascii="Calibri" w:hAnsi="Calibri"/>
          <w:sz w:val="22"/>
          <w:szCs w:val="22"/>
        </w:rPr>
        <w:t>Only authorized users were given User IDs and passwords to access the Chapter 55 data.</w:t>
      </w:r>
    </w:p>
    <w:p w:rsidR="00400E42" w:rsidRDefault="00400E42" w:rsidP="00C456E6">
      <w:pPr>
        <w:pStyle w:val="ListParagraph"/>
        <w:numPr>
          <w:ilvl w:val="0"/>
          <w:numId w:val="1"/>
        </w:numPr>
        <w:spacing w:after="120" w:line="276" w:lineRule="auto"/>
        <w:jc w:val="both"/>
        <w:rPr>
          <w:rFonts w:ascii="Calibri" w:hAnsi="Calibri"/>
          <w:sz w:val="22"/>
          <w:szCs w:val="22"/>
        </w:rPr>
      </w:pPr>
      <w:r w:rsidRPr="003D75D4">
        <w:rPr>
          <w:rFonts w:ascii="Calibri" w:hAnsi="Calibri"/>
          <w:sz w:val="22"/>
          <w:szCs w:val="22"/>
        </w:rPr>
        <w:t>Authorized users were r</w:t>
      </w:r>
      <w:r>
        <w:rPr>
          <w:rFonts w:ascii="Calibri" w:hAnsi="Calibri"/>
          <w:sz w:val="22"/>
          <w:szCs w:val="22"/>
        </w:rPr>
        <w:t>equired to demonstrate that DPH-</w:t>
      </w:r>
      <w:r w:rsidRPr="003D75D4">
        <w:rPr>
          <w:rFonts w:ascii="Calibri" w:hAnsi="Calibri"/>
          <w:sz w:val="22"/>
          <w:szCs w:val="22"/>
        </w:rPr>
        <w:t>required privacy and confidentiality trainings were up to date.</w:t>
      </w:r>
    </w:p>
    <w:p w:rsidR="00400E42" w:rsidRPr="003D75D4" w:rsidRDefault="00400E42" w:rsidP="00C456E6">
      <w:pPr>
        <w:pStyle w:val="ListParagraph"/>
        <w:numPr>
          <w:ilvl w:val="0"/>
          <w:numId w:val="1"/>
        </w:numPr>
        <w:spacing w:after="120" w:line="276" w:lineRule="auto"/>
        <w:jc w:val="both"/>
        <w:rPr>
          <w:rFonts w:ascii="Calibri" w:hAnsi="Calibri"/>
          <w:sz w:val="22"/>
          <w:szCs w:val="22"/>
        </w:rPr>
      </w:pPr>
      <w:r>
        <w:rPr>
          <w:rFonts w:ascii="Calibri" w:hAnsi="Calibri"/>
          <w:sz w:val="22"/>
          <w:szCs w:val="22"/>
        </w:rPr>
        <w:t>Only de-identified Analytic sets were accessible by analysts.</w:t>
      </w:r>
    </w:p>
    <w:p w:rsidR="00400E42" w:rsidRPr="003D75D4" w:rsidRDefault="00400E42" w:rsidP="00C456E6">
      <w:pPr>
        <w:pStyle w:val="ListParagraph"/>
        <w:numPr>
          <w:ilvl w:val="0"/>
          <w:numId w:val="1"/>
        </w:numPr>
        <w:spacing w:after="120" w:line="276" w:lineRule="auto"/>
        <w:jc w:val="both"/>
        <w:rPr>
          <w:rFonts w:ascii="Calibri" w:hAnsi="Calibri"/>
          <w:sz w:val="22"/>
          <w:szCs w:val="22"/>
        </w:rPr>
      </w:pPr>
      <w:r w:rsidRPr="003D75D4">
        <w:rPr>
          <w:rFonts w:ascii="Calibri" w:hAnsi="Calibri"/>
          <w:sz w:val="22"/>
          <w:szCs w:val="22"/>
        </w:rPr>
        <w:t xml:space="preserve">Analysts had “read only” access to Chapter 55 </w:t>
      </w:r>
      <w:r>
        <w:rPr>
          <w:rFonts w:ascii="Calibri" w:hAnsi="Calibri"/>
          <w:sz w:val="22"/>
          <w:szCs w:val="22"/>
        </w:rPr>
        <w:t>dataset</w:t>
      </w:r>
      <w:r w:rsidRPr="003D75D4">
        <w:rPr>
          <w:rFonts w:ascii="Calibri" w:hAnsi="Calibri"/>
          <w:sz w:val="22"/>
          <w:szCs w:val="22"/>
        </w:rPr>
        <w:t>s.  Writ</w:t>
      </w:r>
      <w:r>
        <w:rPr>
          <w:rFonts w:ascii="Calibri" w:hAnsi="Calibri"/>
          <w:sz w:val="22"/>
          <w:szCs w:val="22"/>
        </w:rPr>
        <w:t>es</w:t>
      </w:r>
      <w:r w:rsidRPr="003D75D4">
        <w:rPr>
          <w:rFonts w:ascii="Calibri" w:hAnsi="Calibri"/>
          <w:sz w:val="22"/>
          <w:szCs w:val="22"/>
        </w:rPr>
        <w:t xml:space="preserve"> w</w:t>
      </w:r>
      <w:r>
        <w:rPr>
          <w:rFonts w:ascii="Calibri" w:hAnsi="Calibri"/>
          <w:sz w:val="22"/>
          <w:szCs w:val="22"/>
        </w:rPr>
        <w:t>ere</w:t>
      </w:r>
      <w:r w:rsidRPr="003D75D4">
        <w:rPr>
          <w:rFonts w:ascii="Calibri" w:hAnsi="Calibri"/>
          <w:sz w:val="22"/>
          <w:szCs w:val="22"/>
        </w:rPr>
        <w:t xml:space="preserve"> not permitted.</w:t>
      </w:r>
    </w:p>
    <w:p w:rsidR="00400E42" w:rsidRPr="003D75D4" w:rsidRDefault="00400E42" w:rsidP="00C456E6">
      <w:pPr>
        <w:pStyle w:val="ListParagraph"/>
        <w:numPr>
          <w:ilvl w:val="0"/>
          <w:numId w:val="1"/>
        </w:numPr>
        <w:spacing w:after="120" w:line="276" w:lineRule="auto"/>
        <w:jc w:val="both"/>
        <w:rPr>
          <w:rFonts w:ascii="Calibri" w:hAnsi="Calibri"/>
          <w:sz w:val="22"/>
          <w:szCs w:val="22"/>
        </w:rPr>
      </w:pPr>
      <w:r w:rsidRPr="003D75D4">
        <w:rPr>
          <w:rFonts w:ascii="Calibri" w:hAnsi="Calibri"/>
          <w:sz w:val="22"/>
          <w:szCs w:val="22"/>
        </w:rPr>
        <w:t xml:space="preserve">Analysts were not permitted to see the raw Chapter 55 </w:t>
      </w:r>
      <w:r>
        <w:rPr>
          <w:rFonts w:ascii="Calibri" w:hAnsi="Calibri"/>
          <w:sz w:val="22"/>
          <w:szCs w:val="22"/>
        </w:rPr>
        <w:t xml:space="preserve">Analytic </w:t>
      </w:r>
      <w:r w:rsidRPr="003D75D4">
        <w:rPr>
          <w:rFonts w:ascii="Calibri" w:hAnsi="Calibri"/>
          <w:sz w:val="22"/>
          <w:szCs w:val="22"/>
        </w:rPr>
        <w:t xml:space="preserve">data.  This was accomplished by turning off the ability of authorized users to open and view raw </w:t>
      </w:r>
      <w:r>
        <w:rPr>
          <w:rFonts w:ascii="Calibri" w:hAnsi="Calibri"/>
          <w:sz w:val="22"/>
          <w:szCs w:val="22"/>
        </w:rPr>
        <w:t xml:space="preserve">Analytic </w:t>
      </w:r>
      <w:r w:rsidRPr="003D75D4">
        <w:rPr>
          <w:rFonts w:ascii="Calibri" w:hAnsi="Calibri"/>
          <w:sz w:val="22"/>
          <w:szCs w:val="22"/>
        </w:rPr>
        <w:t>data files.</w:t>
      </w:r>
    </w:p>
    <w:p w:rsidR="00400E42" w:rsidRPr="003D75D4" w:rsidRDefault="00400E42" w:rsidP="00C456E6">
      <w:pPr>
        <w:pStyle w:val="ListParagraph"/>
        <w:numPr>
          <w:ilvl w:val="0"/>
          <w:numId w:val="1"/>
        </w:numPr>
        <w:spacing w:after="120" w:line="276" w:lineRule="auto"/>
        <w:jc w:val="both"/>
        <w:rPr>
          <w:rFonts w:ascii="Calibri" w:hAnsi="Calibri"/>
          <w:sz w:val="22"/>
          <w:szCs w:val="22"/>
        </w:rPr>
      </w:pPr>
      <w:r w:rsidRPr="003D75D4">
        <w:rPr>
          <w:rFonts w:ascii="Calibri" w:hAnsi="Calibri"/>
          <w:sz w:val="22"/>
          <w:szCs w:val="22"/>
        </w:rPr>
        <w:lastRenderedPageBreak/>
        <w:t>Analysts were not permitted to see small cell sizes.  The common SAS procedure for producing counts and cross-tabulations (PROC FREQ) was altered so</w:t>
      </w:r>
      <w:r>
        <w:rPr>
          <w:rFonts w:ascii="Calibri" w:hAnsi="Calibri"/>
          <w:sz w:val="22"/>
          <w:szCs w:val="22"/>
        </w:rPr>
        <w:t xml:space="preserve"> that</w:t>
      </w:r>
      <w:r w:rsidRPr="003D75D4">
        <w:rPr>
          <w:rFonts w:ascii="Calibri" w:hAnsi="Calibri"/>
          <w:sz w:val="22"/>
          <w:szCs w:val="22"/>
        </w:rPr>
        <w:t xml:space="preserve"> it masked </w:t>
      </w:r>
      <w:r>
        <w:rPr>
          <w:rFonts w:ascii="Calibri" w:hAnsi="Calibri"/>
          <w:sz w:val="22"/>
          <w:szCs w:val="22"/>
        </w:rPr>
        <w:t>(</w:t>
      </w:r>
      <w:r w:rsidRPr="003D75D4">
        <w:rPr>
          <w:rFonts w:ascii="Calibri" w:hAnsi="Calibri"/>
          <w:sz w:val="22"/>
          <w:szCs w:val="22"/>
        </w:rPr>
        <w:t xml:space="preserve">by </w:t>
      </w:r>
      <w:r>
        <w:rPr>
          <w:rFonts w:ascii="Calibri" w:hAnsi="Calibri"/>
          <w:sz w:val="22"/>
          <w:szCs w:val="22"/>
        </w:rPr>
        <w:t xml:space="preserve">displaying </w:t>
      </w:r>
      <w:r w:rsidRPr="003D75D4">
        <w:rPr>
          <w:rFonts w:ascii="Calibri" w:hAnsi="Calibri"/>
          <w:sz w:val="22"/>
          <w:szCs w:val="22"/>
        </w:rPr>
        <w:t>asterisks</w:t>
      </w:r>
      <w:r>
        <w:rPr>
          <w:rFonts w:ascii="Calibri" w:hAnsi="Calibri"/>
          <w:sz w:val="22"/>
          <w:szCs w:val="22"/>
        </w:rPr>
        <w:t>)</w:t>
      </w:r>
      <w:r w:rsidRPr="003D75D4">
        <w:rPr>
          <w:rFonts w:ascii="Calibri" w:hAnsi="Calibri"/>
          <w:sz w:val="22"/>
          <w:szCs w:val="22"/>
        </w:rPr>
        <w:t xml:space="preserve"> any cell count that was between 1 and 10.</w:t>
      </w:r>
    </w:p>
    <w:p w:rsidR="00400E42" w:rsidRPr="003D75D4" w:rsidRDefault="00400E42" w:rsidP="00C456E6">
      <w:pPr>
        <w:pStyle w:val="ListParagraph"/>
        <w:numPr>
          <w:ilvl w:val="0"/>
          <w:numId w:val="1"/>
        </w:numPr>
        <w:spacing w:after="120" w:line="276" w:lineRule="auto"/>
        <w:jc w:val="both"/>
        <w:rPr>
          <w:rFonts w:ascii="Calibri" w:hAnsi="Calibri"/>
          <w:sz w:val="22"/>
          <w:szCs w:val="22"/>
        </w:rPr>
      </w:pPr>
      <w:r w:rsidRPr="003D75D4">
        <w:rPr>
          <w:rFonts w:ascii="Calibri" w:hAnsi="Calibri"/>
          <w:sz w:val="22"/>
          <w:szCs w:val="22"/>
        </w:rPr>
        <w:t>All temporary SAS work files were deleted in one of three ways.  If shutdown of a process was typical, files were deleted upon shutdown.  If shutdown was atypical (e.g., power outage), the system searched for orphaned work files every 15 minutes and these files were deleted.  If any data query was open for more than 72 hours, then the system administrator could manually shut down a process which would delete any associated SAS work files.</w:t>
      </w:r>
    </w:p>
    <w:p w:rsidR="00400E42" w:rsidRDefault="00400E42" w:rsidP="00C456E6">
      <w:pPr>
        <w:pStyle w:val="ListParagraph"/>
        <w:numPr>
          <w:ilvl w:val="0"/>
          <w:numId w:val="1"/>
        </w:numPr>
        <w:spacing w:after="120" w:line="276" w:lineRule="auto"/>
        <w:jc w:val="both"/>
        <w:rPr>
          <w:rFonts w:ascii="Calibri" w:hAnsi="Calibri"/>
          <w:sz w:val="22"/>
          <w:szCs w:val="22"/>
        </w:rPr>
      </w:pPr>
      <w:r>
        <w:rPr>
          <w:rFonts w:ascii="Calibri" w:hAnsi="Calibri"/>
          <w:sz w:val="22"/>
          <w:szCs w:val="22"/>
        </w:rPr>
        <w:t>A</w:t>
      </w:r>
      <w:r w:rsidRPr="003D75D4">
        <w:rPr>
          <w:rFonts w:ascii="Calibri" w:hAnsi="Calibri"/>
          <w:sz w:val="22"/>
          <w:szCs w:val="22"/>
        </w:rPr>
        <w:t>n audit process of all commands issued to SAS was implemented.  Logs were checked to ensure that no analyst made any attempt to export, print, or otherwise view any Chapter 55 data.</w:t>
      </w:r>
    </w:p>
    <w:p w:rsidR="00400E42" w:rsidRPr="00DC32F7" w:rsidRDefault="00400E42" w:rsidP="00C33429">
      <w:pPr>
        <w:pStyle w:val="ListParagraph"/>
        <w:spacing w:after="120" w:line="276" w:lineRule="auto"/>
        <w:rPr>
          <w:rFonts w:ascii="Calibri" w:hAnsi="Calibri"/>
          <w:sz w:val="22"/>
          <w:szCs w:val="22"/>
        </w:rPr>
      </w:pPr>
    </w:p>
    <w:p w:rsidR="00400E42" w:rsidRPr="003D75D4" w:rsidRDefault="00400E42" w:rsidP="00C33429">
      <w:pPr>
        <w:spacing w:after="120" w:line="276" w:lineRule="auto"/>
        <w:rPr>
          <w:rFonts w:ascii="Calibri" w:hAnsi="Calibri"/>
          <w:sz w:val="22"/>
          <w:szCs w:val="22"/>
        </w:rPr>
      </w:pPr>
      <w:r w:rsidRPr="003D75D4">
        <w:rPr>
          <w:rFonts w:ascii="Calibri" w:hAnsi="Calibri"/>
          <w:sz w:val="22"/>
          <w:szCs w:val="22"/>
        </w:rPr>
        <w:t xml:space="preserve">See Figure </w:t>
      </w:r>
      <w:r>
        <w:rPr>
          <w:rFonts w:ascii="Calibri" w:hAnsi="Calibri"/>
          <w:sz w:val="22"/>
          <w:szCs w:val="22"/>
        </w:rPr>
        <w:t>F.2</w:t>
      </w:r>
      <w:r w:rsidRPr="003D75D4">
        <w:rPr>
          <w:rFonts w:ascii="Calibri" w:hAnsi="Calibri"/>
          <w:sz w:val="22"/>
          <w:szCs w:val="22"/>
        </w:rPr>
        <w:t xml:space="preserve"> for a visual depiction of the Chapter 55 Data Warehouse.</w:t>
      </w:r>
    </w:p>
    <w:p w:rsidR="00400E42" w:rsidRPr="003D75D4" w:rsidRDefault="00400E42" w:rsidP="00400E42">
      <w:pPr>
        <w:rPr>
          <w:rFonts w:ascii="Calibri" w:hAnsi="Calibri"/>
          <w:sz w:val="22"/>
          <w:szCs w:val="22"/>
        </w:rPr>
      </w:pPr>
    </w:p>
    <w:p w:rsidR="00400E42" w:rsidRPr="003D75D4" w:rsidRDefault="00400E42" w:rsidP="00400E42">
      <w:pPr>
        <w:spacing w:line="480" w:lineRule="auto"/>
        <w:rPr>
          <w:rFonts w:ascii="Calibri" w:hAnsi="Calibri"/>
          <w:sz w:val="22"/>
          <w:szCs w:val="22"/>
        </w:rPr>
      </w:pPr>
    </w:p>
    <w:p w:rsidR="00400E42" w:rsidRPr="003D75D4" w:rsidRDefault="00400E42" w:rsidP="00400E42">
      <w:pPr>
        <w:spacing w:line="480" w:lineRule="auto"/>
        <w:rPr>
          <w:rFonts w:ascii="Calibri" w:hAnsi="Calibri"/>
          <w:sz w:val="22"/>
          <w:szCs w:val="22"/>
        </w:rPr>
        <w:sectPr w:rsidR="00400E42" w:rsidRPr="003D75D4" w:rsidSect="00501D4E">
          <w:pgSz w:w="12240" w:h="15840"/>
          <w:pgMar w:top="1440" w:right="1440" w:bottom="1440" w:left="1440" w:header="720" w:footer="720" w:gutter="0"/>
          <w:cols w:space="720"/>
          <w:titlePg/>
          <w:rtlGutter/>
          <w:docGrid w:linePitch="360"/>
        </w:sectPr>
      </w:pPr>
    </w:p>
    <w:p w:rsidR="00400E42" w:rsidRDefault="00400E42" w:rsidP="00400E42">
      <w:pPr>
        <w:spacing w:line="480" w:lineRule="auto"/>
        <w:jc w:val="center"/>
        <w:rPr>
          <w:rFonts w:ascii="Calibri" w:hAnsi="Calibri"/>
          <w:noProof/>
          <w:sz w:val="22"/>
          <w:szCs w:val="22"/>
        </w:rPr>
      </w:pPr>
      <w:r w:rsidRPr="00B17EB8">
        <w:rPr>
          <w:rFonts w:ascii="Calibri" w:hAnsi="Calibri"/>
          <w:b/>
          <w:sz w:val="22"/>
          <w:szCs w:val="22"/>
        </w:rPr>
        <w:lastRenderedPageBreak/>
        <w:t xml:space="preserve">Figure </w:t>
      </w:r>
      <w:r>
        <w:rPr>
          <w:rFonts w:ascii="Calibri" w:hAnsi="Calibri"/>
          <w:b/>
          <w:sz w:val="22"/>
          <w:szCs w:val="22"/>
        </w:rPr>
        <w:t>F.2</w:t>
      </w:r>
      <w:r w:rsidRPr="00B17EB8">
        <w:rPr>
          <w:rFonts w:ascii="Calibri" w:hAnsi="Calibri"/>
          <w:b/>
          <w:sz w:val="22"/>
          <w:szCs w:val="22"/>
        </w:rPr>
        <w:t>:</w:t>
      </w:r>
      <w:r>
        <w:rPr>
          <w:rFonts w:ascii="Calibri" w:hAnsi="Calibri"/>
          <w:b/>
          <w:sz w:val="22"/>
          <w:szCs w:val="22"/>
        </w:rPr>
        <w:t xml:space="preserve"> Data analyst access to Chapter 55 datasets through a secure hardware and software Privacy Shield.</w:t>
      </w:r>
    </w:p>
    <w:p w:rsidR="00400E42" w:rsidRPr="003D75D4" w:rsidRDefault="00400E42" w:rsidP="00400E42">
      <w:pPr>
        <w:spacing w:line="480" w:lineRule="auto"/>
        <w:jc w:val="center"/>
        <w:rPr>
          <w:rFonts w:ascii="Calibri" w:hAnsi="Calibri"/>
          <w:sz w:val="22"/>
          <w:szCs w:val="22"/>
        </w:rPr>
      </w:pPr>
      <w:r>
        <w:rPr>
          <w:rFonts w:ascii="Calibri" w:hAnsi="Calibri"/>
          <w:noProof/>
          <w:sz w:val="22"/>
          <w:szCs w:val="22"/>
        </w:rPr>
        <w:drawing>
          <wp:inline distT="0" distB="0" distL="0" distR="0" wp14:anchorId="5E92901D" wp14:editId="37AFA3DE">
            <wp:extent cx="7132320" cy="5356225"/>
            <wp:effectExtent l="0" t="0" r="0" b="0"/>
            <wp:docPr id="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32320" cy="5356225"/>
                    </a:xfrm>
                    <a:prstGeom prst="rect">
                      <a:avLst/>
                    </a:prstGeom>
                    <a:noFill/>
                    <a:ln>
                      <a:noFill/>
                    </a:ln>
                  </pic:spPr>
                </pic:pic>
              </a:graphicData>
            </a:graphic>
          </wp:inline>
        </w:drawing>
      </w:r>
    </w:p>
    <w:p w:rsidR="00400E42" w:rsidRPr="00B17EB8" w:rsidRDefault="00400E42" w:rsidP="00400E42">
      <w:pPr>
        <w:spacing w:line="480" w:lineRule="auto"/>
        <w:jc w:val="center"/>
        <w:rPr>
          <w:rFonts w:ascii="Calibri" w:hAnsi="Calibri"/>
          <w:b/>
          <w:sz w:val="22"/>
          <w:szCs w:val="22"/>
        </w:rPr>
        <w:sectPr w:rsidR="00400E42" w:rsidRPr="00B17EB8" w:rsidSect="009350D4">
          <w:pgSz w:w="15840" w:h="12240" w:orient="landscape"/>
          <w:pgMar w:top="1440" w:right="1440" w:bottom="1440" w:left="1440" w:header="720" w:footer="720" w:gutter="0"/>
          <w:cols w:space="720"/>
          <w:titlePg/>
          <w:docGrid w:linePitch="360"/>
        </w:sectPr>
      </w:pPr>
    </w:p>
    <w:p w:rsidR="00400E42" w:rsidRPr="00C456E6" w:rsidRDefault="00400E42" w:rsidP="007D21BB">
      <w:pPr>
        <w:pStyle w:val="Heading1"/>
      </w:pPr>
      <w:bookmarkStart w:id="41" w:name="_Toc452726675"/>
      <w:bookmarkStart w:id="42" w:name="_Toc453664366"/>
      <w:bookmarkStart w:id="43" w:name="_Toc454724778"/>
      <w:bookmarkStart w:id="44" w:name="_Toc450035430"/>
      <w:bookmarkStart w:id="45" w:name="_Toc450213077"/>
      <w:bookmarkEnd w:id="40"/>
      <w:r w:rsidRPr="009943F4">
        <w:lastRenderedPageBreak/>
        <w:t xml:space="preserve">Appendix </w:t>
      </w:r>
      <w:r>
        <w:t>G</w:t>
      </w:r>
      <w:r w:rsidRPr="009943F4">
        <w:t>: Legal Agreements</w:t>
      </w:r>
      <w:bookmarkEnd w:id="41"/>
      <w:r>
        <w:rPr>
          <w:noProof/>
          <w:sz w:val="22"/>
        </w:rPr>
        <w:drawing>
          <wp:inline distT="0" distB="0" distL="0" distR="0" wp14:anchorId="682E54BC" wp14:editId="5475AF60">
            <wp:extent cx="49530" cy="116840"/>
            <wp:effectExtent l="0" t="0" r="7620" b="0"/>
            <wp:docPr id="13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 cy="116840"/>
                    </a:xfrm>
                    <a:prstGeom prst="rect">
                      <a:avLst/>
                    </a:prstGeom>
                    <a:noFill/>
                    <a:ln>
                      <a:noFill/>
                    </a:ln>
                  </pic:spPr>
                </pic:pic>
              </a:graphicData>
            </a:graphic>
          </wp:inline>
        </w:drawing>
      </w:r>
      <w:bookmarkEnd w:id="42"/>
      <w:bookmarkEnd w:id="43"/>
    </w:p>
    <w:bookmarkEnd w:id="44"/>
    <w:bookmarkEnd w:id="45"/>
    <w:p w:rsidR="00400E42" w:rsidRDefault="00400E42" w:rsidP="002D6E20">
      <w:pPr>
        <w:pStyle w:val="PBody"/>
      </w:pPr>
      <w:r w:rsidRPr="003D75D4">
        <w:t>In order to meet the legal requirements of working with all of these protected</w:t>
      </w:r>
      <w:r>
        <w:t xml:space="preserve"> dataset</w:t>
      </w:r>
      <w:r w:rsidRPr="003D75D4">
        <w:t xml:space="preserve">s, a number of legal documents were </w:t>
      </w:r>
      <w:r>
        <w:t>produced</w:t>
      </w:r>
      <w:r w:rsidRPr="003D75D4">
        <w:t xml:space="preserve">.  Four different types of </w:t>
      </w:r>
      <w:r w:rsidR="00525D51">
        <w:t xml:space="preserve">agreements </w:t>
      </w:r>
      <w:r w:rsidRPr="003D75D4">
        <w:t>were signed.</w:t>
      </w:r>
    </w:p>
    <w:p w:rsidR="00400E42" w:rsidRPr="00C33429" w:rsidRDefault="00400E42" w:rsidP="00C456E6">
      <w:pPr>
        <w:pStyle w:val="ListParagraph"/>
        <w:numPr>
          <w:ilvl w:val="0"/>
          <w:numId w:val="9"/>
        </w:numPr>
        <w:spacing w:after="120" w:line="276" w:lineRule="auto"/>
        <w:jc w:val="both"/>
        <w:rPr>
          <w:rFonts w:ascii="Calibri" w:hAnsi="Calibri"/>
          <w:sz w:val="22"/>
          <w:szCs w:val="22"/>
        </w:rPr>
      </w:pPr>
      <w:r w:rsidRPr="00C33429">
        <w:rPr>
          <w:rFonts w:ascii="Calibri" w:hAnsi="Calibri"/>
          <w:sz w:val="22"/>
          <w:szCs w:val="22"/>
        </w:rPr>
        <w:t>Linking – This agreement between DPH and CHIA allowed for the exchange of data for the purposes of securely connecting data at the individual level across secure datasets without exposing the identity of the individual so connected.</w:t>
      </w:r>
    </w:p>
    <w:p w:rsidR="00400E42" w:rsidRPr="00C33429" w:rsidRDefault="00400E42" w:rsidP="00C456E6">
      <w:pPr>
        <w:pStyle w:val="ListParagraph"/>
        <w:numPr>
          <w:ilvl w:val="0"/>
          <w:numId w:val="9"/>
        </w:numPr>
        <w:spacing w:after="120" w:line="276" w:lineRule="auto"/>
        <w:jc w:val="both"/>
        <w:rPr>
          <w:rFonts w:ascii="Calibri" w:hAnsi="Calibri"/>
          <w:sz w:val="22"/>
          <w:szCs w:val="22"/>
        </w:rPr>
      </w:pPr>
      <w:r w:rsidRPr="00C33429">
        <w:rPr>
          <w:rFonts w:ascii="Calibri" w:hAnsi="Calibri"/>
          <w:sz w:val="22"/>
          <w:szCs w:val="22"/>
        </w:rPr>
        <w:t>Sharing – This agreement outlined the methodology and restrictions allowing for the sharing of data between different departments or agencies that were not previously sharing – or even allowed to share, outside of the Chapter 55 project.  Each of the data-supplying entities was a signatory to this ISA</w:t>
      </w:r>
      <w:r w:rsidR="00301E0D">
        <w:rPr>
          <w:rFonts w:ascii="Calibri" w:hAnsi="Calibri"/>
          <w:sz w:val="22"/>
          <w:szCs w:val="22"/>
        </w:rPr>
        <w:t>.  S</w:t>
      </w:r>
      <w:r w:rsidRPr="00C33429">
        <w:rPr>
          <w:rFonts w:ascii="Calibri" w:hAnsi="Calibri"/>
          <w:sz w:val="22"/>
          <w:szCs w:val="22"/>
        </w:rPr>
        <w:t>pecifically, signatories include: the Department of Public Health (DPH), the Department of Correction (DoC), the Office of the Chief Medical Examiner (OCME), and the Center for Health Information and Analysis (CHIA).  While CHIA has previously signed the Linking agreement, they are also intended to be a provider of Analytic data from the All Payer Claims Database (APCD) and Case Mix.</w:t>
      </w:r>
    </w:p>
    <w:p w:rsidR="00400E42" w:rsidRPr="00C33429" w:rsidRDefault="00400E42" w:rsidP="00C456E6">
      <w:pPr>
        <w:pStyle w:val="ListParagraph"/>
        <w:numPr>
          <w:ilvl w:val="0"/>
          <w:numId w:val="9"/>
        </w:numPr>
        <w:spacing w:after="120" w:line="276" w:lineRule="auto"/>
        <w:jc w:val="both"/>
        <w:rPr>
          <w:rFonts w:ascii="Calibri" w:hAnsi="Calibri"/>
          <w:sz w:val="22"/>
          <w:szCs w:val="22"/>
        </w:rPr>
      </w:pPr>
      <w:r w:rsidRPr="00C33429">
        <w:rPr>
          <w:rFonts w:ascii="Calibri" w:hAnsi="Calibri"/>
          <w:sz w:val="22"/>
          <w:szCs w:val="22"/>
        </w:rPr>
        <w:t>Hosting – An agreement between DPH and MassIT specifying the hosting responsibilities and restrictions for the data infrastructure.</w:t>
      </w:r>
    </w:p>
    <w:p w:rsidR="00400E42" w:rsidRDefault="00400E42" w:rsidP="00C456E6">
      <w:pPr>
        <w:pStyle w:val="ListParagraph"/>
        <w:numPr>
          <w:ilvl w:val="0"/>
          <w:numId w:val="9"/>
        </w:numPr>
        <w:spacing w:after="120" w:line="276" w:lineRule="auto"/>
        <w:jc w:val="both"/>
        <w:rPr>
          <w:rFonts w:ascii="Calibri" w:hAnsi="Calibri"/>
          <w:sz w:val="22"/>
          <w:szCs w:val="22"/>
        </w:rPr>
      </w:pPr>
      <w:r w:rsidRPr="003D75D4">
        <w:rPr>
          <w:rFonts w:ascii="Calibri" w:hAnsi="Calibri"/>
          <w:sz w:val="22"/>
          <w:szCs w:val="22"/>
        </w:rPr>
        <w:t xml:space="preserve">Access – An additional agreement created for </w:t>
      </w:r>
      <w:r w:rsidRPr="003D75D4">
        <w:rPr>
          <w:rFonts w:ascii="Calibri" w:hAnsi="Calibri"/>
          <w:i/>
          <w:sz w:val="22"/>
          <w:szCs w:val="22"/>
        </w:rPr>
        <w:t>ad hoc</w:t>
      </w:r>
      <w:r w:rsidRPr="003D75D4">
        <w:rPr>
          <w:rFonts w:ascii="Calibri" w:hAnsi="Calibri"/>
          <w:sz w:val="22"/>
          <w:szCs w:val="22"/>
        </w:rPr>
        <w:t xml:space="preserve"> access to data outside of the purview of the prior three agreements.  For example: If the Data Office within MassIT were to assist in a way that </w:t>
      </w:r>
      <w:r>
        <w:rPr>
          <w:rFonts w:ascii="Calibri" w:hAnsi="Calibri"/>
          <w:sz w:val="22"/>
          <w:szCs w:val="22"/>
        </w:rPr>
        <w:t>required analytical data access</w:t>
      </w:r>
      <w:r w:rsidRPr="003D75D4">
        <w:rPr>
          <w:rFonts w:ascii="Calibri" w:hAnsi="Calibri"/>
          <w:sz w:val="22"/>
          <w:szCs w:val="22"/>
        </w:rPr>
        <w:t xml:space="preserve"> that is not covered by the 3</w:t>
      </w:r>
      <w:r w:rsidRPr="003D75D4">
        <w:rPr>
          <w:rFonts w:ascii="Calibri" w:hAnsi="Calibri"/>
          <w:sz w:val="22"/>
          <w:szCs w:val="22"/>
          <w:vertAlign w:val="superscript"/>
        </w:rPr>
        <w:t>rd</w:t>
      </w:r>
      <w:r w:rsidRPr="003D75D4">
        <w:rPr>
          <w:rFonts w:ascii="Calibri" w:hAnsi="Calibri"/>
          <w:sz w:val="22"/>
          <w:szCs w:val="22"/>
        </w:rPr>
        <w:t xml:space="preserve"> agreement </w:t>
      </w:r>
      <w:r>
        <w:rPr>
          <w:rFonts w:ascii="Calibri" w:hAnsi="Calibri"/>
          <w:sz w:val="22"/>
          <w:szCs w:val="22"/>
        </w:rPr>
        <w:t>(</w:t>
      </w:r>
      <w:r w:rsidRPr="003D75D4">
        <w:rPr>
          <w:rFonts w:ascii="Calibri" w:hAnsi="Calibri"/>
          <w:sz w:val="22"/>
          <w:szCs w:val="22"/>
        </w:rPr>
        <w:t>which is hosting specific</w:t>
      </w:r>
      <w:r>
        <w:rPr>
          <w:rFonts w:ascii="Calibri" w:hAnsi="Calibri"/>
          <w:sz w:val="22"/>
          <w:szCs w:val="22"/>
        </w:rPr>
        <w:t>)</w:t>
      </w:r>
      <w:r w:rsidRPr="003D75D4">
        <w:rPr>
          <w:rFonts w:ascii="Calibri" w:hAnsi="Calibri"/>
          <w:sz w:val="22"/>
          <w:szCs w:val="22"/>
        </w:rPr>
        <w:t>.  This</w:t>
      </w:r>
      <w:r>
        <w:rPr>
          <w:rFonts w:ascii="Calibri" w:hAnsi="Calibri"/>
          <w:sz w:val="22"/>
          <w:szCs w:val="22"/>
        </w:rPr>
        <w:t xml:space="preserve"> 4th</w:t>
      </w:r>
      <w:r w:rsidRPr="003D75D4">
        <w:rPr>
          <w:rFonts w:ascii="Calibri" w:hAnsi="Calibri"/>
          <w:sz w:val="22"/>
          <w:szCs w:val="22"/>
        </w:rPr>
        <w:t xml:space="preserve"> agreement essentially outlines the responsibilities of being a good data steward and requires a signature for access.  There would conceivably be </w:t>
      </w:r>
      <w:r w:rsidRPr="003D75D4">
        <w:rPr>
          <w:rFonts w:ascii="Calibri" w:hAnsi="Calibri"/>
          <w:i/>
          <w:sz w:val="22"/>
          <w:szCs w:val="22"/>
        </w:rPr>
        <w:t>n</w:t>
      </w:r>
      <w:r w:rsidRPr="003D75D4">
        <w:rPr>
          <w:rFonts w:ascii="Calibri" w:hAnsi="Calibri"/>
          <w:sz w:val="22"/>
          <w:szCs w:val="22"/>
        </w:rPr>
        <w:t xml:space="preserve"> number of these agreements signed over time.</w:t>
      </w:r>
    </w:p>
    <w:p w:rsidR="00400E42" w:rsidRDefault="00400E42" w:rsidP="00400E42">
      <w:pPr>
        <w:spacing w:line="480" w:lineRule="auto"/>
        <w:jc w:val="center"/>
        <w:rPr>
          <w:rFonts w:ascii="Calibri" w:hAnsi="Calibri"/>
          <w:b/>
          <w:color w:val="FF0000"/>
          <w:sz w:val="22"/>
          <w:szCs w:val="22"/>
        </w:rPr>
      </w:pPr>
      <w:r w:rsidRPr="003D75D4">
        <w:rPr>
          <w:rFonts w:ascii="Calibri" w:hAnsi="Calibri"/>
          <w:b/>
          <w:sz w:val="22"/>
          <w:szCs w:val="22"/>
        </w:rPr>
        <w:br w:type="page"/>
      </w:r>
    </w:p>
    <w:p w:rsidR="00400E42" w:rsidRDefault="00400E42" w:rsidP="00400E42">
      <w:pPr>
        <w:jc w:val="both"/>
        <w:rPr>
          <w:rFonts w:ascii="Calibri" w:hAnsi="Calibri"/>
          <w:b/>
          <w:color w:val="FF0000"/>
          <w:sz w:val="22"/>
          <w:szCs w:val="22"/>
        </w:rPr>
      </w:pPr>
    </w:p>
    <w:p w:rsidR="00400E42" w:rsidRPr="009943F4" w:rsidRDefault="00400E42" w:rsidP="007D21BB">
      <w:pPr>
        <w:pStyle w:val="Heading1"/>
      </w:pPr>
      <w:bookmarkStart w:id="46" w:name="_Toc452726676"/>
      <w:bookmarkStart w:id="47" w:name="_Toc453664367"/>
      <w:bookmarkStart w:id="48" w:name="_Toc454724779"/>
      <w:r>
        <w:t>Appendix H</w:t>
      </w:r>
      <w:r w:rsidRPr="009943F4">
        <w:t xml:space="preserve">: Cross-tabulations of Chapter 55 </w:t>
      </w:r>
      <w:r>
        <w:t>Dataset</w:t>
      </w:r>
      <w:r w:rsidRPr="009943F4">
        <w:t>s with Death File Demographics</w:t>
      </w:r>
      <w:bookmarkEnd w:id="46"/>
      <w:bookmarkEnd w:id="47"/>
      <w:bookmarkEnd w:id="48"/>
    </w:p>
    <w:tbl>
      <w:tblPr>
        <w:tblW w:w="4991"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3617"/>
        <w:gridCol w:w="2160"/>
        <w:gridCol w:w="1979"/>
        <w:gridCol w:w="1803"/>
      </w:tblGrid>
      <w:tr w:rsidR="00400E42" w:rsidRPr="008D5FF8" w:rsidTr="00A92FFC">
        <w:trPr>
          <w:trHeight w:val="557"/>
        </w:trPr>
        <w:tc>
          <w:tcPr>
            <w:tcW w:w="5000" w:type="pct"/>
            <w:gridSpan w:val="4"/>
            <w:tcBorders>
              <w:top w:val="single" w:sz="8" w:space="0" w:color="4F81BD"/>
            </w:tcBorders>
            <w:shd w:val="clear" w:color="auto" w:fill="4F81BD"/>
            <w:vAlign w:val="center"/>
          </w:tcPr>
          <w:p w:rsidR="00400E42" w:rsidRPr="00570FB0" w:rsidRDefault="00400E42" w:rsidP="00A92FFC">
            <w:pPr>
              <w:jc w:val="center"/>
              <w:rPr>
                <w:rFonts w:ascii="Calibri" w:hAnsi="Calibri"/>
                <w:b/>
                <w:bCs/>
                <w:color w:val="FFFFFF"/>
                <w:szCs w:val="22"/>
              </w:rPr>
            </w:pPr>
            <w:r w:rsidRPr="00570FB0">
              <w:rPr>
                <w:rFonts w:ascii="Calibri" w:hAnsi="Calibri"/>
                <w:b/>
                <w:bCs/>
                <w:color w:val="FFFFFF"/>
                <w:sz w:val="22"/>
                <w:szCs w:val="22"/>
              </w:rPr>
              <w:t xml:space="preserve">Table H.1: All Deaths in </w:t>
            </w:r>
            <w:r>
              <w:rPr>
                <w:rFonts w:ascii="Calibri" w:hAnsi="Calibri"/>
                <w:b/>
                <w:bCs/>
                <w:color w:val="FFFFFF"/>
                <w:sz w:val="22"/>
                <w:szCs w:val="22"/>
              </w:rPr>
              <w:t xml:space="preserve">Massachusetts </w:t>
            </w:r>
            <w:r w:rsidRPr="00570FB0">
              <w:rPr>
                <w:rFonts w:ascii="Calibri" w:hAnsi="Calibri"/>
                <w:b/>
                <w:bCs/>
                <w:color w:val="FFFFFF"/>
                <w:sz w:val="22"/>
                <w:szCs w:val="22"/>
              </w:rPr>
              <w:t>compared to DoC population</w:t>
            </w:r>
          </w:p>
          <w:p w:rsidR="00400E42" w:rsidRPr="00570FB0" w:rsidRDefault="00400E42" w:rsidP="00A92FFC">
            <w:pPr>
              <w:rPr>
                <w:rFonts w:ascii="Calibri" w:hAnsi="Calibri"/>
                <w:b/>
                <w:bCs/>
                <w:color w:val="FFFFFF"/>
                <w:szCs w:val="24"/>
              </w:rPr>
            </w:pPr>
          </w:p>
        </w:tc>
      </w:tr>
      <w:tr w:rsidR="00400E42" w:rsidRPr="008D5FF8" w:rsidTr="00A92FFC">
        <w:trPr>
          <w:trHeight w:val="557"/>
        </w:trPr>
        <w:tc>
          <w:tcPr>
            <w:tcW w:w="1892" w:type="pct"/>
            <w:tcBorders>
              <w:top w:val="single" w:sz="8" w:space="0" w:color="4F81BD"/>
              <w:bottom w:val="single" w:sz="8" w:space="0" w:color="4F81BD"/>
            </w:tcBorders>
            <w:vAlign w:val="center"/>
          </w:tcPr>
          <w:p w:rsidR="00400E42" w:rsidRPr="00570FB0" w:rsidRDefault="00400E42" w:rsidP="00A92FFC">
            <w:pPr>
              <w:rPr>
                <w:rFonts w:ascii="Calibri" w:hAnsi="Calibri"/>
                <w:b/>
                <w:bCs/>
                <w:szCs w:val="22"/>
              </w:rPr>
            </w:pPr>
            <w:r w:rsidRPr="00570FB0">
              <w:rPr>
                <w:rFonts w:ascii="Calibri" w:hAnsi="Calibri"/>
                <w:b/>
                <w:bCs/>
                <w:sz w:val="22"/>
                <w:szCs w:val="24"/>
              </w:rPr>
              <w:t>Characteristic</w:t>
            </w:r>
          </w:p>
        </w:tc>
        <w:tc>
          <w:tcPr>
            <w:tcW w:w="1130" w:type="pct"/>
            <w:tcBorders>
              <w:top w:val="single" w:sz="8" w:space="0" w:color="4F81BD"/>
              <w:bottom w:val="single" w:sz="8" w:space="0" w:color="4F81BD"/>
              <w:right w:val="single" w:sz="8" w:space="0" w:color="4F81BD"/>
            </w:tcBorders>
            <w:vAlign w:val="center"/>
          </w:tcPr>
          <w:p w:rsidR="00400E42" w:rsidRPr="00570FB0" w:rsidRDefault="00400E42" w:rsidP="00A92FFC">
            <w:pPr>
              <w:jc w:val="center"/>
              <w:rPr>
                <w:rFonts w:ascii="Calibri" w:hAnsi="Calibri"/>
                <w:b/>
                <w:szCs w:val="24"/>
              </w:rPr>
            </w:pPr>
            <w:r w:rsidRPr="00570FB0">
              <w:rPr>
                <w:rFonts w:ascii="Calibri" w:hAnsi="Calibri"/>
                <w:b/>
                <w:sz w:val="22"/>
                <w:szCs w:val="24"/>
              </w:rPr>
              <w:t xml:space="preserve">All Deaths </w:t>
            </w:r>
          </w:p>
          <w:p w:rsidR="00400E42" w:rsidRPr="00570FB0" w:rsidRDefault="00400E42" w:rsidP="00A92FFC">
            <w:pPr>
              <w:jc w:val="center"/>
              <w:rPr>
                <w:rFonts w:ascii="Calibri" w:hAnsi="Calibri"/>
                <w:b/>
                <w:szCs w:val="24"/>
              </w:rPr>
            </w:pPr>
            <w:r w:rsidRPr="00570FB0">
              <w:rPr>
                <w:rFonts w:ascii="Calibri" w:hAnsi="Calibri"/>
                <w:b/>
                <w:sz w:val="22"/>
                <w:szCs w:val="24"/>
              </w:rPr>
              <w:t>in MA</w:t>
            </w:r>
          </w:p>
        </w:tc>
        <w:tc>
          <w:tcPr>
            <w:tcW w:w="1978" w:type="pct"/>
            <w:gridSpan w:val="2"/>
            <w:tcBorders>
              <w:top w:val="single" w:sz="8" w:space="0" w:color="4F81BD"/>
              <w:left w:val="single" w:sz="8" w:space="0" w:color="4F81BD"/>
              <w:bottom w:val="single" w:sz="8" w:space="0" w:color="4F81BD"/>
            </w:tcBorders>
            <w:vAlign w:val="center"/>
          </w:tcPr>
          <w:p w:rsidR="00400E42" w:rsidRPr="00570FB0" w:rsidRDefault="00400E42" w:rsidP="00A92FFC">
            <w:pPr>
              <w:jc w:val="center"/>
              <w:rPr>
                <w:rFonts w:ascii="Calibri" w:hAnsi="Calibri"/>
                <w:b/>
                <w:szCs w:val="22"/>
              </w:rPr>
            </w:pPr>
            <w:r w:rsidRPr="00570FB0">
              <w:rPr>
                <w:rFonts w:ascii="Calibri" w:hAnsi="Calibri"/>
                <w:b/>
                <w:sz w:val="22"/>
                <w:szCs w:val="24"/>
              </w:rPr>
              <w:t>DoC</w:t>
            </w: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
                <w:bCs/>
                <w:color w:val="000000"/>
                <w:sz w:val="22"/>
                <w:szCs w:val="22"/>
              </w:rPr>
              <w:t>Age— no.  (%)</w:t>
            </w:r>
          </w:p>
        </w:tc>
        <w:tc>
          <w:tcPr>
            <w:tcW w:w="1130" w:type="pct"/>
            <w:tcBorders>
              <w:left w:val="single" w:sz="8" w:space="0" w:color="4F81BD"/>
              <w:right w:val="single" w:sz="8" w:space="0" w:color="4F81BD"/>
            </w:tcBorders>
          </w:tcPr>
          <w:p w:rsidR="00400E42" w:rsidRPr="00570FB0" w:rsidRDefault="00400E42" w:rsidP="00A92FFC">
            <w:pPr>
              <w:jc w:val="center"/>
              <w:rPr>
                <w:rFonts w:ascii="Calibri" w:hAnsi="Calibri"/>
                <w:b/>
                <w:szCs w:val="22"/>
              </w:rPr>
            </w:pPr>
          </w:p>
        </w:tc>
        <w:tc>
          <w:tcPr>
            <w:tcW w:w="1035" w:type="pct"/>
            <w:tcBorders>
              <w:left w:val="single" w:sz="8" w:space="0" w:color="4F81BD"/>
            </w:tcBorders>
          </w:tcPr>
          <w:p w:rsidR="00400E42" w:rsidRPr="00570FB0" w:rsidRDefault="00400E42" w:rsidP="00A92FFC">
            <w:pPr>
              <w:jc w:val="center"/>
              <w:rPr>
                <w:rFonts w:ascii="Calibri" w:hAnsi="Calibri"/>
                <w:b/>
                <w:szCs w:val="22"/>
              </w:rPr>
            </w:pPr>
            <w:r w:rsidRPr="00570FB0">
              <w:rPr>
                <w:rFonts w:ascii="Calibri" w:hAnsi="Calibri"/>
                <w:b/>
                <w:sz w:val="22"/>
                <w:szCs w:val="22"/>
              </w:rPr>
              <w:t>Died</w:t>
            </w:r>
          </w:p>
        </w:tc>
        <w:tc>
          <w:tcPr>
            <w:tcW w:w="943" w:type="pct"/>
          </w:tcPr>
          <w:p w:rsidR="00400E42" w:rsidRPr="00570FB0" w:rsidRDefault="00400E42" w:rsidP="00A92FFC">
            <w:pPr>
              <w:jc w:val="center"/>
              <w:rPr>
                <w:rFonts w:ascii="Calibri" w:hAnsi="Calibri"/>
                <w:b/>
                <w:szCs w:val="22"/>
              </w:rPr>
            </w:pPr>
            <w:r w:rsidRPr="00570FB0">
              <w:rPr>
                <w:rFonts w:ascii="Calibri" w:hAnsi="Calibri"/>
                <w:b/>
                <w:sz w:val="22"/>
                <w:szCs w:val="22"/>
              </w:rPr>
              <w:t>Living</w:t>
            </w: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11-24</w:t>
            </w:r>
          </w:p>
        </w:tc>
        <w:tc>
          <w:tcPr>
            <w:tcW w:w="1130"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433"/>
              <w:jc w:val="right"/>
              <w:rPr>
                <w:rFonts w:ascii="Calibri" w:hAnsi="Calibri"/>
                <w:color w:val="000000"/>
                <w:szCs w:val="22"/>
              </w:rPr>
            </w:pPr>
            <w:r w:rsidRPr="00570FB0">
              <w:rPr>
                <w:rFonts w:ascii="Calibri" w:hAnsi="Calibri"/>
                <w:color w:val="000000"/>
                <w:sz w:val="22"/>
                <w:szCs w:val="22"/>
              </w:rPr>
              <w:t>902 (0.87)</w:t>
            </w:r>
          </w:p>
        </w:tc>
        <w:tc>
          <w:tcPr>
            <w:tcW w:w="103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34 (6.0)</w:t>
            </w:r>
          </w:p>
        </w:tc>
        <w:tc>
          <w:tcPr>
            <w:tcW w:w="943" w:type="pct"/>
            <w:tcBorders>
              <w:top w:val="single" w:sz="8" w:space="0" w:color="4F81BD"/>
              <w:bottom w:val="single" w:sz="8" w:space="0" w:color="4F81BD"/>
            </w:tcBorders>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2473 (10.0)</w:t>
            </w: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25-34</w:t>
            </w:r>
          </w:p>
        </w:tc>
        <w:tc>
          <w:tcPr>
            <w:tcW w:w="1130" w:type="pct"/>
            <w:tcBorders>
              <w:left w:val="single" w:sz="8" w:space="0" w:color="4F81BD"/>
              <w:right w:val="single" w:sz="8" w:space="0" w:color="4F81BD"/>
            </w:tcBorders>
            <w:vAlign w:val="bottom"/>
          </w:tcPr>
          <w:p w:rsidR="00400E42" w:rsidRPr="00570FB0" w:rsidRDefault="00400E42" w:rsidP="00A92FFC">
            <w:pPr>
              <w:ind w:right="433"/>
              <w:jc w:val="right"/>
              <w:rPr>
                <w:rFonts w:ascii="Calibri" w:hAnsi="Calibri"/>
                <w:color w:val="000000"/>
                <w:szCs w:val="22"/>
              </w:rPr>
            </w:pPr>
            <w:r w:rsidRPr="00570FB0">
              <w:rPr>
                <w:rFonts w:ascii="Calibri" w:hAnsi="Calibri"/>
                <w:color w:val="000000"/>
                <w:sz w:val="22"/>
                <w:szCs w:val="22"/>
              </w:rPr>
              <w:t>1701 (1.64)</w:t>
            </w:r>
          </w:p>
        </w:tc>
        <w:tc>
          <w:tcPr>
            <w:tcW w:w="1035" w:type="pct"/>
            <w:tcBorders>
              <w:left w:val="single" w:sz="8" w:space="0" w:color="4F81BD"/>
            </w:tcBorders>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153 (27.1)</w:t>
            </w:r>
          </w:p>
        </w:tc>
        <w:tc>
          <w:tcPr>
            <w:tcW w:w="943" w:type="pct"/>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8984 (36.5)</w:t>
            </w: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35-44</w:t>
            </w:r>
          </w:p>
        </w:tc>
        <w:tc>
          <w:tcPr>
            <w:tcW w:w="1130"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433"/>
              <w:jc w:val="right"/>
              <w:rPr>
                <w:rFonts w:ascii="Calibri" w:hAnsi="Calibri"/>
                <w:color w:val="000000"/>
                <w:szCs w:val="22"/>
              </w:rPr>
            </w:pPr>
            <w:r w:rsidRPr="00570FB0">
              <w:rPr>
                <w:rFonts w:ascii="Calibri" w:hAnsi="Calibri"/>
                <w:color w:val="000000"/>
                <w:sz w:val="22"/>
                <w:szCs w:val="22"/>
              </w:rPr>
              <w:t>2324 (2.25)</w:t>
            </w:r>
          </w:p>
        </w:tc>
        <w:tc>
          <w:tcPr>
            <w:tcW w:w="103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110 (19.5)</w:t>
            </w:r>
          </w:p>
        </w:tc>
        <w:tc>
          <w:tcPr>
            <w:tcW w:w="943" w:type="pct"/>
            <w:tcBorders>
              <w:top w:val="single" w:sz="8" w:space="0" w:color="4F81BD"/>
              <w:bottom w:val="single" w:sz="8" w:space="0" w:color="4F81BD"/>
            </w:tcBorders>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5998 (24.3)</w:t>
            </w: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45-54</w:t>
            </w:r>
          </w:p>
        </w:tc>
        <w:tc>
          <w:tcPr>
            <w:tcW w:w="1130" w:type="pct"/>
            <w:tcBorders>
              <w:left w:val="single" w:sz="8" w:space="0" w:color="4F81BD"/>
              <w:right w:val="single" w:sz="8" w:space="0" w:color="4F81BD"/>
            </w:tcBorders>
            <w:vAlign w:val="bottom"/>
          </w:tcPr>
          <w:p w:rsidR="00400E42" w:rsidRPr="00570FB0" w:rsidRDefault="00400E42" w:rsidP="00A92FFC">
            <w:pPr>
              <w:ind w:right="433"/>
              <w:jc w:val="right"/>
              <w:rPr>
                <w:rFonts w:ascii="Calibri" w:hAnsi="Calibri"/>
                <w:color w:val="000000"/>
                <w:szCs w:val="22"/>
              </w:rPr>
            </w:pPr>
            <w:r w:rsidRPr="00570FB0">
              <w:rPr>
                <w:rFonts w:ascii="Calibri" w:hAnsi="Calibri"/>
                <w:color w:val="000000"/>
                <w:sz w:val="22"/>
                <w:szCs w:val="22"/>
              </w:rPr>
              <w:t>6098 (5.89)</w:t>
            </w:r>
          </w:p>
        </w:tc>
        <w:tc>
          <w:tcPr>
            <w:tcW w:w="1035" w:type="pct"/>
            <w:tcBorders>
              <w:left w:val="single" w:sz="8" w:space="0" w:color="4F81BD"/>
            </w:tcBorders>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164 (29.0)</w:t>
            </w:r>
          </w:p>
        </w:tc>
        <w:tc>
          <w:tcPr>
            <w:tcW w:w="943" w:type="pct"/>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4894 (19.9)</w:t>
            </w: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55-64</w:t>
            </w:r>
          </w:p>
        </w:tc>
        <w:tc>
          <w:tcPr>
            <w:tcW w:w="1130"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433"/>
              <w:jc w:val="right"/>
              <w:rPr>
                <w:rFonts w:ascii="Calibri" w:hAnsi="Calibri"/>
                <w:color w:val="000000"/>
                <w:szCs w:val="22"/>
              </w:rPr>
            </w:pPr>
            <w:r w:rsidRPr="00570FB0">
              <w:rPr>
                <w:rFonts w:ascii="Calibri" w:hAnsi="Calibri"/>
                <w:color w:val="000000"/>
                <w:sz w:val="22"/>
                <w:szCs w:val="22"/>
              </w:rPr>
              <w:t>11375 (10.99)</w:t>
            </w:r>
          </w:p>
        </w:tc>
        <w:tc>
          <w:tcPr>
            <w:tcW w:w="103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79 (14.0)</w:t>
            </w:r>
          </w:p>
        </w:tc>
        <w:tc>
          <w:tcPr>
            <w:tcW w:w="943" w:type="pct"/>
            <w:tcBorders>
              <w:top w:val="single" w:sz="8" w:space="0" w:color="4F81BD"/>
              <w:bottom w:val="single" w:sz="8" w:space="0" w:color="4F81BD"/>
            </w:tcBorders>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1896 (7.7)</w:t>
            </w: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65+</w:t>
            </w:r>
          </w:p>
        </w:tc>
        <w:tc>
          <w:tcPr>
            <w:tcW w:w="1130" w:type="pct"/>
            <w:tcBorders>
              <w:left w:val="single" w:sz="8" w:space="0" w:color="4F81BD"/>
              <w:right w:val="single" w:sz="8" w:space="0" w:color="4F81BD"/>
            </w:tcBorders>
            <w:vAlign w:val="bottom"/>
          </w:tcPr>
          <w:p w:rsidR="00400E42" w:rsidRPr="00570FB0" w:rsidRDefault="00400E42" w:rsidP="00A92FFC">
            <w:pPr>
              <w:ind w:right="433"/>
              <w:jc w:val="right"/>
              <w:rPr>
                <w:rFonts w:ascii="Calibri" w:hAnsi="Calibri"/>
                <w:color w:val="000000"/>
                <w:szCs w:val="22"/>
              </w:rPr>
            </w:pPr>
            <w:r w:rsidRPr="00570FB0">
              <w:rPr>
                <w:rFonts w:ascii="Calibri" w:hAnsi="Calibri"/>
                <w:color w:val="000000"/>
                <w:sz w:val="22"/>
                <w:szCs w:val="22"/>
              </w:rPr>
              <w:t>81072 (78.33)</w:t>
            </w:r>
          </w:p>
        </w:tc>
        <w:tc>
          <w:tcPr>
            <w:tcW w:w="1035" w:type="pct"/>
            <w:tcBorders>
              <w:left w:val="single" w:sz="8" w:space="0" w:color="4F81BD"/>
            </w:tcBorders>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25 (4.4)</w:t>
            </w:r>
          </w:p>
        </w:tc>
        <w:tc>
          <w:tcPr>
            <w:tcW w:w="943" w:type="pct"/>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399 (1.6)</w:t>
            </w: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1130"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35" w:type="pct"/>
            <w:tcBorders>
              <w:top w:val="single" w:sz="8" w:space="0" w:color="4F81BD"/>
              <w:left w:val="single" w:sz="8" w:space="0" w:color="4F81BD"/>
              <w:bottom w:val="single" w:sz="8" w:space="0" w:color="4F81BD"/>
            </w:tcBorders>
          </w:tcPr>
          <w:p w:rsidR="00400E42" w:rsidRPr="00570FB0" w:rsidRDefault="00400E42" w:rsidP="00A92FFC">
            <w:pPr>
              <w:ind w:right="342"/>
              <w:jc w:val="right"/>
              <w:rPr>
                <w:rFonts w:ascii="Calibri" w:hAnsi="Calibri"/>
                <w:b/>
                <w:szCs w:val="22"/>
              </w:rPr>
            </w:pPr>
          </w:p>
        </w:tc>
        <w:tc>
          <w:tcPr>
            <w:tcW w:w="943" w:type="pct"/>
            <w:tcBorders>
              <w:top w:val="single" w:sz="8" w:space="0" w:color="4F81BD"/>
              <w:bottom w:val="single" w:sz="8" w:space="0" w:color="4F81BD"/>
            </w:tcBorders>
          </w:tcPr>
          <w:p w:rsidR="00400E42" w:rsidRPr="00570FB0" w:rsidRDefault="00400E42" w:rsidP="00A92FFC">
            <w:pPr>
              <w:ind w:right="342"/>
              <w:jc w:val="right"/>
              <w:rPr>
                <w:rFonts w:ascii="Calibri" w:hAnsi="Calibri"/>
                <w:b/>
                <w:szCs w:val="22"/>
              </w:rPr>
            </w:pP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Sex— no.  (%)</w:t>
            </w:r>
          </w:p>
        </w:tc>
        <w:tc>
          <w:tcPr>
            <w:tcW w:w="1130" w:type="pct"/>
            <w:tcBorders>
              <w:left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35" w:type="pct"/>
            <w:tcBorders>
              <w:left w:val="single" w:sz="8" w:space="0" w:color="4F81BD"/>
            </w:tcBorders>
          </w:tcPr>
          <w:p w:rsidR="00400E42" w:rsidRPr="00570FB0" w:rsidRDefault="00400E42" w:rsidP="00A92FFC">
            <w:pPr>
              <w:ind w:right="342"/>
              <w:jc w:val="right"/>
              <w:rPr>
                <w:rFonts w:ascii="Calibri" w:hAnsi="Calibri"/>
                <w:b/>
                <w:szCs w:val="22"/>
              </w:rPr>
            </w:pPr>
          </w:p>
        </w:tc>
        <w:tc>
          <w:tcPr>
            <w:tcW w:w="943" w:type="pct"/>
          </w:tcPr>
          <w:p w:rsidR="00400E42" w:rsidRPr="00570FB0" w:rsidRDefault="00400E42" w:rsidP="00A92FFC">
            <w:pPr>
              <w:ind w:right="342"/>
              <w:jc w:val="right"/>
              <w:rPr>
                <w:rFonts w:ascii="Calibri" w:hAnsi="Calibri"/>
                <w:b/>
                <w:szCs w:val="22"/>
              </w:rPr>
            </w:pP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Male </w:t>
            </w:r>
          </w:p>
        </w:tc>
        <w:tc>
          <w:tcPr>
            <w:tcW w:w="1130"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49438 (47.8)</w:t>
            </w:r>
          </w:p>
        </w:tc>
        <w:tc>
          <w:tcPr>
            <w:tcW w:w="1035" w:type="pct"/>
            <w:tcBorders>
              <w:top w:val="single" w:sz="8" w:space="0" w:color="4F81BD"/>
              <w:left w:val="single" w:sz="8" w:space="0" w:color="4F81BD"/>
              <w:bottom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382 (67.6)</w:t>
            </w:r>
          </w:p>
        </w:tc>
        <w:tc>
          <w:tcPr>
            <w:tcW w:w="943" w:type="pct"/>
            <w:tcBorders>
              <w:top w:val="single" w:sz="8" w:space="0" w:color="4F81BD"/>
              <w:bottom w:val="single" w:sz="8" w:space="0" w:color="4F81BD"/>
            </w:tcBorders>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16140 (65.5)</w:t>
            </w: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Female </w:t>
            </w:r>
          </w:p>
        </w:tc>
        <w:tc>
          <w:tcPr>
            <w:tcW w:w="1130"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54067 (52.2)</w:t>
            </w:r>
          </w:p>
        </w:tc>
        <w:tc>
          <w:tcPr>
            <w:tcW w:w="1035" w:type="pct"/>
            <w:tcBorders>
              <w:lef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183 (32.4)</w:t>
            </w:r>
          </w:p>
        </w:tc>
        <w:tc>
          <w:tcPr>
            <w:tcW w:w="943" w:type="pct"/>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8504 (34.5)</w:t>
            </w: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1130"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35" w:type="pct"/>
            <w:tcBorders>
              <w:top w:val="single" w:sz="8" w:space="0" w:color="4F81BD"/>
              <w:left w:val="single" w:sz="8" w:space="0" w:color="4F81BD"/>
              <w:bottom w:val="single" w:sz="8" w:space="0" w:color="4F81BD"/>
            </w:tcBorders>
          </w:tcPr>
          <w:p w:rsidR="00400E42" w:rsidRPr="00570FB0" w:rsidRDefault="00400E42" w:rsidP="00A92FFC">
            <w:pPr>
              <w:ind w:right="342"/>
              <w:jc w:val="right"/>
              <w:rPr>
                <w:rFonts w:ascii="Calibri" w:hAnsi="Calibri"/>
                <w:b/>
                <w:szCs w:val="22"/>
              </w:rPr>
            </w:pPr>
          </w:p>
        </w:tc>
        <w:tc>
          <w:tcPr>
            <w:tcW w:w="943" w:type="pct"/>
            <w:tcBorders>
              <w:top w:val="single" w:sz="8" w:space="0" w:color="4F81BD"/>
              <w:bottom w:val="single" w:sz="8" w:space="0" w:color="4F81BD"/>
            </w:tcBorders>
            <w:vAlign w:val="bottom"/>
          </w:tcPr>
          <w:p w:rsidR="00400E42" w:rsidRPr="00570FB0" w:rsidRDefault="00400E42" w:rsidP="00A92FFC">
            <w:pPr>
              <w:ind w:right="342"/>
              <w:jc w:val="right"/>
              <w:rPr>
                <w:rFonts w:ascii="Arial" w:hAnsi="Arial" w:cs="Arial"/>
                <w:color w:val="000000"/>
                <w:szCs w:val="22"/>
              </w:rPr>
            </w:pP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Race or ethnic group — no. (%)</w:t>
            </w:r>
          </w:p>
        </w:tc>
        <w:tc>
          <w:tcPr>
            <w:tcW w:w="1130" w:type="pct"/>
            <w:tcBorders>
              <w:left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35" w:type="pct"/>
            <w:tcBorders>
              <w:left w:val="single" w:sz="8" w:space="0" w:color="4F81BD"/>
            </w:tcBorders>
          </w:tcPr>
          <w:p w:rsidR="00400E42" w:rsidRPr="00570FB0" w:rsidRDefault="00400E42" w:rsidP="00A92FFC">
            <w:pPr>
              <w:ind w:right="342"/>
              <w:jc w:val="right"/>
              <w:rPr>
                <w:rFonts w:ascii="Calibri" w:hAnsi="Calibri"/>
                <w:b/>
                <w:szCs w:val="22"/>
              </w:rPr>
            </w:pPr>
          </w:p>
        </w:tc>
        <w:tc>
          <w:tcPr>
            <w:tcW w:w="943" w:type="pct"/>
            <w:vAlign w:val="bottom"/>
          </w:tcPr>
          <w:p w:rsidR="00400E42" w:rsidRPr="00570FB0" w:rsidRDefault="00400E42" w:rsidP="00A92FFC">
            <w:pPr>
              <w:ind w:right="342"/>
              <w:jc w:val="right"/>
              <w:rPr>
                <w:rFonts w:ascii="Arial" w:hAnsi="Arial" w:cs="Arial"/>
                <w:color w:val="000000"/>
                <w:szCs w:val="22"/>
              </w:rPr>
            </w:pP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White non-Hispanic</w:t>
            </w:r>
          </w:p>
        </w:tc>
        <w:tc>
          <w:tcPr>
            <w:tcW w:w="1130"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94012 (90.8)</w:t>
            </w:r>
          </w:p>
        </w:tc>
        <w:tc>
          <w:tcPr>
            <w:tcW w:w="103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454 (80.4)</w:t>
            </w:r>
          </w:p>
        </w:tc>
        <w:tc>
          <w:tcPr>
            <w:tcW w:w="943" w:type="pct"/>
            <w:tcBorders>
              <w:top w:val="single" w:sz="8" w:space="0" w:color="4F81BD"/>
              <w:bottom w:val="single" w:sz="8" w:space="0" w:color="4F81BD"/>
            </w:tcBorders>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15443 (62.7)</w:t>
            </w: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Black non-Hispanic</w:t>
            </w:r>
          </w:p>
        </w:tc>
        <w:tc>
          <w:tcPr>
            <w:tcW w:w="1130"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4361 (4.2)</w:t>
            </w:r>
          </w:p>
        </w:tc>
        <w:tc>
          <w:tcPr>
            <w:tcW w:w="103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43 (7.6)</w:t>
            </w:r>
          </w:p>
        </w:tc>
        <w:tc>
          <w:tcPr>
            <w:tcW w:w="943" w:type="pct"/>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4757 (19.3)</w:t>
            </w: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Asian/PI non-Hispanic</w:t>
            </w:r>
          </w:p>
        </w:tc>
        <w:tc>
          <w:tcPr>
            <w:tcW w:w="1130"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1599 (1.5)</w:t>
            </w:r>
          </w:p>
        </w:tc>
        <w:tc>
          <w:tcPr>
            <w:tcW w:w="103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NA</w:t>
            </w:r>
          </w:p>
        </w:tc>
        <w:tc>
          <w:tcPr>
            <w:tcW w:w="943" w:type="pct"/>
            <w:tcBorders>
              <w:top w:val="single" w:sz="8" w:space="0" w:color="4F81BD"/>
              <w:bottom w:val="single" w:sz="8" w:space="0" w:color="4F81BD"/>
            </w:tcBorders>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176 (0.7)</w:t>
            </w: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Hispanic</w:t>
            </w:r>
          </w:p>
        </w:tc>
        <w:tc>
          <w:tcPr>
            <w:tcW w:w="1130"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2822 (2.7)</w:t>
            </w:r>
          </w:p>
        </w:tc>
        <w:tc>
          <w:tcPr>
            <w:tcW w:w="103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56 (9.9)</w:t>
            </w:r>
          </w:p>
        </w:tc>
        <w:tc>
          <w:tcPr>
            <w:tcW w:w="943" w:type="pct"/>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3489 (14.2)</w:t>
            </w: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Other</w:t>
            </w:r>
          </w:p>
        </w:tc>
        <w:tc>
          <w:tcPr>
            <w:tcW w:w="1130"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703 (0.7)</w:t>
            </w:r>
          </w:p>
        </w:tc>
        <w:tc>
          <w:tcPr>
            <w:tcW w:w="103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10 (1.8)</w:t>
            </w:r>
          </w:p>
        </w:tc>
        <w:tc>
          <w:tcPr>
            <w:tcW w:w="943" w:type="pct"/>
            <w:tcBorders>
              <w:top w:val="single" w:sz="8" w:space="0" w:color="4F81BD"/>
              <w:bottom w:val="single" w:sz="8" w:space="0" w:color="4F81BD"/>
            </w:tcBorders>
            <w:vAlign w:val="bottom"/>
          </w:tcPr>
          <w:p w:rsidR="00400E42" w:rsidRPr="00570FB0" w:rsidRDefault="00400E42" w:rsidP="00A92FFC">
            <w:pPr>
              <w:ind w:right="342"/>
              <w:jc w:val="right"/>
              <w:rPr>
                <w:rFonts w:ascii="Calibri" w:hAnsi="Calibri"/>
                <w:szCs w:val="22"/>
              </w:rPr>
            </w:pPr>
            <w:r w:rsidRPr="00570FB0">
              <w:rPr>
                <w:rFonts w:ascii="Calibri" w:hAnsi="Calibri"/>
                <w:sz w:val="22"/>
                <w:szCs w:val="22"/>
              </w:rPr>
              <w:t>778 (3.2)</w:t>
            </w: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1130" w:type="pct"/>
            <w:tcBorders>
              <w:left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35" w:type="pct"/>
            <w:tcBorders>
              <w:left w:val="single" w:sz="8" w:space="0" w:color="4F81BD"/>
            </w:tcBorders>
            <w:vAlign w:val="bottom"/>
          </w:tcPr>
          <w:p w:rsidR="00400E42" w:rsidRPr="00570FB0" w:rsidRDefault="00400E42" w:rsidP="00A92FFC">
            <w:pPr>
              <w:rPr>
                <w:rFonts w:ascii="Calibri" w:hAnsi="Calibri"/>
                <w:color w:val="000000"/>
                <w:szCs w:val="22"/>
              </w:rPr>
            </w:pPr>
          </w:p>
        </w:tc>
        <w:tc>
          <w:tcPr>
            <w:tcW w:w="943" w:type="pct"/>
            <w:vAlign w:val="bottom"/>
          </w:tcPr>
          <w:p w:rsidR="00400E42" w:rsidRPr="00570FB0" w:rsidRDefault="00400E42" w:rsidP="00A92FFC">
            <w:pPr>
              <w:ind w:right="342"/>
              <w:jc w:val="right"/>
              <w:rPr>
                <w:rFonts w:ascii="Arial" w:hAnsi="Arial" w:cs="Arial"/>
                <w:color w:val="000000"/>
                <w:szCs w:val="22"/>
              </w:rPr>
            </w:pP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Marital status — no. (%)</w:t>
            </w:r>
          </w:p>
        </w:tc>
        <w:tc>
          <w:tcPr>
            <w:tcW w:w="1130"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35" w:type="pct"/>
            <w:tcBorders>
              <w:top w:val="single" w:sz="8" w:space="0" w:color="4F81BD"/>
              <w:left w:val="single" w:sz="8" w:space="0" w:color="4F81BD"/>
              <w:bottom w:val="single" w:sz="8" w:space="0" w:color="4F81BD"/>
            </w:tcBorders>
          </w:tcPr>
          <w:p w:rsidR="00400E42" w:rsidRPr="00570FB0" w:rsidRDefault="00400E42" w:rsidP="00A92FFC">
            <w:pPr>
              <w:ind w:right="342"/>
              <w:jc w:val="right"/>
              <w:rPr>
                <w:rFonts w:ascii="Calibri" w:hAnsi="Calibri"/>
                <w:b/>
                <w:szCs w:val="22"/>
              </w:rPr>
            </w:pPr>
          </w:p>
        </w:tc>
        <w:tc>
          <w:tcPr>
            <w:tcW w:w="943" w:type="pct"/>
            <w:tcBorders>
              <w:top w:val="single" w:sz="8" w:space="0" w:color="4F81BD"/>
              <w:bottom w:val="single" w:sz="8" w:space="0" w:color="4F81BD"/>
            </w:tcBorders>
          </w:tcPr>
          <w:p w:rsidR="00400E42" w:rsidRPr="00570FB0" w:rsidRDefault="00400E42" w:rsidP="00A92FFC">
            <w:pPr>
              <w:ind w:right="342"/>
              <w:jc w:val="right"/>
              <w:rPr>
                <w:rFonts w:ascii="Calibri" w:hAnsi="Calibri"/>
                <w:b/>
                <w:szCs w:val="22"/>
              </w:rPr>
            </w:pP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Single, never married</w:t>
            </w:r>
          </w:p>
        </w:tc>
        <w:tc>
          <w:tcPr>
            <w:tcW w:w="1130"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15042 (14.5)</w:t>
            </w:r>
          </w:p>
        </w:tc>
        <w:tc>
          <w:tcPr>
            <w:tcW w:w="103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337 (59.7)</w:t>
            </w:r>
          </w:p>
        </w:tc>
        <w:tc>
          <w:tcPr>
            <w:tcW w:w="943" w:type="pct"/>
          </w:tcPr>
          <w:p w:rsidR="00400E42" w:rsidRPr="00570FB0" w:rsidRDefault="00400E42" w:rsidP="00A92FFC">
            <w:pPr>
              <w:ind w:right="342"/>
              <w:jc w:val="center"/>
              <w:rPr>
                <w:rFonts w:ascii="Calibri" w:hAnsi="Calibri"/>
                <w:szCs w:val="22"/>
              </w:rPr>
            </w:pPr>
            <w:r w:rsidRPr="00570FB0">
              <w:rPr>
                <w:rFonts w:ascii="Calibri" w:hAnsi="Calibri"/>
                <w:sz w:val="22"/>
                <w:szCs w:val="22"/>
              </w:rPr>
              <w:t>NA</w:t>
            </w: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Married or separated</w:t>
            </w:r>
          </w:p>
        </w:tc>
        <w:tc>
          <w:tcPr>
            <w:tcW w:w="1130"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36133 (34.9)</w:t>
            </w:r>
          </w:p>
        </w:tc>
        <w:tc>
          <w:tcPr>
            <w:tcW w:w="103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85 (15.0)</w:t>
            </w:r>
          </w:p>
        </w:tc>
        <w:tc>
          <w:tcPr>
            <w:tcW w:w="943" w:type="pct"/>
            <w:tcBorders>
              <w:top w:val="single" w:sz="8" w:space="0" w:color="4F81BD"/>
              <w:bottom w:val="single" w:sz="8" w:space="0" w:color="4F81BD"/>
            </w:tcBorders>
          </w:tcPr>
          <w:p w:rsidR="00400E42" w:rsidRPr="00570FB0" w:rsidRDefault="00400E42" w:rsidP="00A92FFC">
            <w:pPr>
              <w:ind w:right="342"/>
              <w:jc w:val="center"/>
              <w:rPr>
                <w:rFonts w:ascii="Calibri" w:hAnsi="Calibri"/>
                <w:b/>
                <w:szCs w:val="22"/>
              </w:rPr>
            </w:pPr>
            <w:r w:rsidRPr="00570FB0">
              <w:rPr>
                <w:rFonts w:ascii="Calibri" w:hAnsi="Calibri"/>
                <w:sz w:val="22"/>
                <w:szCs w:val="22"/>
              </w:rPr>
              <w:t>NA</w:t>
            </w: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Widowed</w:t>
            </w:r>
          </w:p>
        </w:tc>
        <w:tc>
          <w:tcPr>
            <w:tcW w:w="1130"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38800 (37.5)</w:t>
            </w:r>
          </w:p>
        </w:tc>
        <w:tc>
          <w:tcPr>
            <w:tcW w:w="103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17 (3.0)</w:t>
            </w:r>
          </w:p>
        </w:tc>
        <w:tc>
          <w:tcPr>
            <w:tcW w:w="943" w:type="pct"/>
          </w:tcPr>
          <w:p w:rsidR="00400E42" w:rsidRPr="00570FB0" w:rsidRDefault="00400E42" w:rsidP="00A92FFC">
            <w:pPr>
              <w:ind w:right="342"/>
              <w:jc w:val="center"/>
              <w:rPr>
                <w:rFonts w:ascii="Calibri" w:hAnsi="Calibri"/>
                <w:b/>
                <w:szCs w:val="22"/>
              </w:rPr>
            </w:pPr>
            <w:r w:rsidRPr="00570FB0">
              <w:rPr>
                <w:rFonts w:ascii="Calibri" w:hAnsi="Calibri"/>
                <w:sz w:val="22"/>
                <w:szCs w:val="22"/>
              </w:rPr>
              <w:t>NA</w:t>
            </w: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Divorced</w:t>
            </w:r>
          </w:p>
        </w:tc>
        <w:tc>
          <w:tcPr>
            <w:tcW w:w="1130"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13307 (12.9)</w:t>
            </w:r>
          </w:p>
        </w:tc>
        <w:tc>
          <w:tcPr>
            <w:tcW w:w="103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123 (21.8)</w:t>
            </w:r>
          </w:p>
        </w:tc>
        <w:tc>
          <w:tcPr>
            <w:tcW w:w="943" w:type="pct"/>
            <w:tcBorders>
              <w:top w:val="single" w:sz="8" w:space="0" w:color="4F81BD"/>
              <w:bottom w:val="single" w:sz="8" w:space="0" w:color="4F81BD"/>
            </w:tcBorders>
          </w:tcPr>
          <w:p w:rsidR="00400E42" w:rsidRPr="00570FB0" w:rsidRDefault="00400E42" w:rsidP="00A92FFC">
            <w:pPr>
              <w:ind w:right="342"/>
              <w:jc w:val="center"/>
              <w:rPr>
                <w:rFonts w:ascii="Calibri" w:hAnsi="Calibri"/>
                <w:b/>
                <w:szCs w:val="22"/>
              </w:rPr>
            </w:pPr>
            <w:r w:rsidRPr="00570FB0">
              <w:rPr>
                <w:rFonts w:ascii="Calibri" w:hAnsi="Calibri"/>
                <w:sz w:val="22"/>
                <w:szCs w:val="22"/>
              </w:rPr>
              <w:t>NA</w:t>
            </w: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1130"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p>
        </w:tc>
        <w:tc>
          <w:tcPr>
            <w:tcW w:w="103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p>
        </w:tc>
        <w:tc>
          <w:tcPr>
            <w:tcW w:w="943" w:type="pct"/>
          </w:tcPr>
          <w:p w:rsidR="00400E42" w:rsidRPr="00570FB0" w:rsidRDefault="00400E42" w:rsidP="00A92FFC">
            <w:pPr>
              <w:ind w:right="342"/>
              <w:jc w:val="center"/>
              <w:rPr>
                <w:rFonts w:ascii="Calibri" w:hAnsi="Calibri"/>
                <w:b/>
                <w:szCs w:val="22"/>
              </w:rPr>
            </w:pP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Education — no. (%)</w:t>
            </w:r>
          </w:p>
        </w:tc>
        <w:tc>
          <w:tcPr>
            <w:tcW w:w="1130"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3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p>
        </w:tc>
        <w:tc>
          <w:tcPr>
            <w:tcW w:w="943" w:type="pct"/>
            <w:tcBorders>
              <w:top w:val="single" w:sz="8" w:space="0" w:color="4F81BD"/>
              <w:bottom w:val="single" w:sz="8" w:space="0" w:color="4F81BD"/>
            </w:tcBorders>
          </w:tcPr>
          <w:p w:rsidR="00400E42" w:rsidRPr="00570FB0" w:rsidRDefault="00400E42" w:rsidP="00A92FFC">
            <w:pPr>
              <w:ind w:right="342"/>
              <w:jc w:val="center"/>
              <w:rPr>
                <w:rFonts w:ascii="Calibri" w:hAnsi="Calibri"/>
                <w:b/>
                <w:szCs w:val="22"/>
              </w:rPr>
            </w:pPr>
          </w:p>
        </w:tc>
      </w:tr>
      <w:tr w:rsidR="00400E42" w:rsidRPr="008D5FF8" w:rsidTr="00A92FFC">
        <w:tc>
          <w:tcPr>
            <w:tcW w:w="1892"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High School or Less</w:t>
            </w:r>
          </w:p>
        </w:tc>
        <w:tc>
          <w:tcPr>
            <w:tcW w:w="1130"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67362 (65.1)</w:t>
            </w:r>
          </w:p>
        </w:tc>
        <w:tc>
          <w:tcPr>
            <w:tcW w:w="103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445 (78.8)</w:t>
            </w:r>
          </w:p>
        </w:tc>
        <w:tc>
          <w:tcPr>
            <w:tcW w:w="943" w:type="pct"/>
          </w:tcPr>
          <w:p w:rsidR="00400E42" w:rsidRPr="00570FB0" w:rsidRDefault="00400E42" w:rsidP="00A92FFC">
            <w:pPr>
              <w:ind w:right="342"/>
              <w:jc w:val="center"/>
              <w:rPr>
                <w:rFonts w:ascii="Calibri" w:hAnsi="Calibri"/>
                <w:b/>
                <w:szCs w:val="22"/>
              </w:rPr>
            </w:pPr>
            <w:r w:rsidRPr="00570FB0">
              <w:rPr>
                <w:rFonts w:ascii="Calibri" w:hAnsi="Calibri"/>
                <w:sz w:val="22"/>
                <w:szCs w:val="22"/>
              </w:rPr>
              <w:t>NA</w:t>
            </w:r>
          </w:p>
        </w:tc>
      </w:tr>
      <w:tr w:rsidR="00400E42" w:rsidRPr="008D5FF8" w:rsidTr="00A92FFC">
        <w:tc>
          <w:tcPr>
            <w:tcW w:w="1892"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13+ years</w:t>
            </w:r>
          </w:p>
        </w:tc>
        <w:tc>
          <w:tcPr>
            <w:tcW w:w="1130"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34569 (33.4)</w:t>
            </w:r>
          </w:p>
        </w:tc>
        <w:tc>
          <w:tcPr>
            <w:tcW w:w="103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110 (19.5)</w:t>
            </w:r>
          </w:p>
        </w:tc>
        <w:tc>
          <w:tcPr>
            <w:tcW w:w="943" w:type="pct"/>
            <w:tcBorders>
              <w:top w:val="single" w:sz="8" w:space="0" w:color="4F81BD"/>
              <w:bottom w:val="single" w:sz="8" w:space="0" w:color="4F81BD"/>
            </w:tcBorders>
          </w:tcPr>
          <w:p w:rsidR="00400E42" w:rsidRPr="00570FB0" w:rsidRDefault="00400E42" w:rsidP="00A92FFC">
            <w:pPr>
              <w:ind w:right="342"/>
              <w:jc w:val="center"/>
              <w:rPr>
                <w:rFonts w:ascii="Calibri" w:hAnsi="Calibri"/>
                <w:b/>
                <w:szCs w:val="22"/>
              </w:rPr>
            </w:pPr>
            <w:r w:rsidRPr="00570FB0">
              <w:rPr>
                <w:rFonts w:ascii="Calibri" w:hAnsi="Calibri"/>
                <w:sz w:val="22"/>
                <w:szCs w:val="22"/>
              </w:rPr>
              <w:t>NA</w:t>
            </w:r>
          </w:p>
        </w:tc>
      </w:tr>
      <w:tr w:rsidR="00400E42" w:rsidRPr="008D5FF8" w:rsidTr="00A92FFC">
        <w:tc>
          <w:tcPr>
            <w:tcW w:w="1892" w:type="pct"/>
            <w:tcBorders>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p>
        </w:tc>
        <w:tc>
          <w:tcPr>
            <w:tcW w:w="1130" w:type="pct"/>
            <w:tcBorders>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p>
        </w:tc>
        <w:tc>
          <w:tcPr>
            <w:tcW w:w="1035" w:type="pct"/>
            <w:tcBorders>
              <w:left w:val="single" w:sz="8" w:space="0" w:color="4F81BD"/>
              <w:bottom w:val="single" w:sz="8" w:space="0" w:color="4F81BD"/>
            </w:tcBorders>
          </w:tcPr>
          <w:p w:rsidR="00400E42" w:rsidRPr="00570FB0" w:rsidRDefault="00400E42" w:rsidP="00A92FFC">
            <w:pPr>
              <w:ind w:right="433"/>
              <w:jc w:val="right"/>
              <w:rPr>
                <w:rFonts w:ascii="Calibri" w:hAnsi="Calibri"/>
                <w:szCs w:val="22"/>
              </w:rPr>
            </w:pPr>
          </w:p>
        </w:tc>
        <w:tc>
          <w:tcPr>
            <w:tcW w:w="943" w:type="pct"/>
            <w:tcBorders>
              <w:bottom w:val="single" w:sz="8" w:space="0" w:color="4F81BD"/>
            </w:tcBorders>
          </w:tcPr>
          <w:p w:rsidR="00400E42" w:rsidRPr="00570FB0" w:rsidRDefault="00400E42" w:rsidP="00A92FFC">
            <w:pPr>
              <w:ind w:right="433"/>
              <w:jc w:val="right"/>
              <w:rPr>
                <w:rFonts w:ascii="Calibri" w:hAnsi="Calibri"/>
                <w:szCs w:val="22"/>
              </w:rPr>
            </w:pPr>
            <w:r>
              <w:rPr>
                <w:rFonts w:ascii="Calibri" w:hAnsi="Calibri"/>
                <w:b/>
                <w:noProof/>
                <w:szCs w:val="22"/>
              </w:rPr>
              <w:drawing>
                <wp:inline distT="0" distB="0" distL="0" distR="0" wp14:anchorId="7EDF3ADF" wp14:editId="54E26875">
                  <wp:extent cx="49530" cy="116840"/>
                  <wp:effectExtent l="0" t="0" r="762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 cy="116840"/>
                          </a:xfrm>
                          <a:prstGeom prst="rect">
                            <a:avLst/>
                          </a:prstGeom>
                          <a:noFill/>
                          <a:ln>
                            <a:noFill/>
                          </a:ln>
                        </pic:spPr>
                      </pic:pic>
                    </a:graphicData>
                  </a:graphic>
                </wp:inline>
              </w:drawing>
            </w:r>
          </w:p>
        </w:tc>
      </w:tr>
    </w:tbl>
    <w:p w:rsidR="00400E42" w:rsidRDefault="00400E42" w:rsidP="00400E42"/>
    <w:p w:rsidR="00400E42" w:rsidRDefault="00400E42" w:rsidP="00400E42"/>
    <w:p w:rsidR="00400E42" w:rsidRDefault="00400E42" w:rsidP="00400E42"/>
    <w:p w:rsidR="00400E42" w:rsidRDefault="00400E42" w:rsidP="00400E42">
      <w:pPr>
        <w:rPr>
          <w:rFonts w:ascii="Calibri" w:hAnsi="Calibri"/>
          <w:b/>
          <w:sz w:val="22"/>
          <w:szCs w:val="22"/>
        </w:rPr>
      </w:pPr>
      <w:r>
        <w:rPr>
          <w:rFonts w:ascii="Calibri" w:hAnsi="Calibri"/>
          <w:b/>
          <w:sz w:val="22"/>
          <w:szCs w:val="22"/>
        </w:rPr>
        <w:br w:type="page"/>
      </w:r>
    </w:p>
    <w:p w:rsidR="00400E42" w:rsidRDefault="00400E42" w:rsidP="00400E42">
      <w:pPr>
        <w:rPr>
          <w:rFonts w:ascii="Calibri" w:hAnsi="Calibri"/>
          <w:b/>
          <w:sz w:val="22"/>
          <w:szCs w:val="22"/>
        </w:rPr>
      </w:pPr>
    </w:p>
    <w:p w:rsidR="00400E42" w:rsidRDefault="00400E42" w:rsidP="00400E42"/>
    <w:tbl>
      <w:tblPr>
        <w:tblW w:w="4991"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3619"/>
        <w:gridCol w:w="1889"/>
        <w:gridCol w:w="2070"/>
        <w:gridCol w:w="1981"/>
      </w:tblGrid>
      <w:tr w:rsidR="00400E42" w:rsidRPr="008D5FF8" w:rsidTr="00A92FFC">
        <w:trPr>
          <w:trHeight w:val="557"/>
        </w:trPr>
        <w:tc>
          <w:tcPr>
            <w:tcW w:w="5000" w:type="pct"/>
            <w:gridSpan w:val="4"/>
            <w:tcBorders>
              <w:top w:val="single" w:sz="8" w:space="0" w:color="4F81BD"/>
            </w:tcBorders>
            <w:shd w:val="clear" w:color="auto" w:fill="4F81BD"/>
            <w:vAlign w:val="center"/>
          </w:tcPr>
          <w:p w:rsidR="00400E42" w:rsidRPr="00570FB0" w:rsidRDefault="00400E42" w:rsidP="00A92FFC">
            <w:pPr>
              <w:jc w:val="center"/>
              <w:rPr>
                <w:rFonts w:ascii="Calibri" w:hAnsi="Calibri"/>
                <w:b/>
                <w:bCs/>
                <w:color w:val="FFFFFF"/>
                <w:szCs w:val="24"/>
              </w:rPr>
            </w:pPr>
            <w:r w:rsidRPr="00570FB0">
              <w:rPr>
                <w:rFonts w:ascii="Calibri" w:hAnsi="Calibri"/>
                <w:b/>
                <w:bCs/>
                <w:color w:val="FFFFFF"/>
                <w:sz w:val="22"/>
                <w:szCs w:val="22"/>
              </w:rPr>
              <w:t xml:space="preserve">Table H.2: All Deaths in </w:t>
            </w:r>
            <w:r>
              <w:rPr>
                <w:rFonts w:ascii="Calibri" w:hAnsi="Calibri"/>
                <w:b/>
                <w:bCs/>
                <w:color w:val="FFFFFF"/>
                <w:sz w:val="22"/>
                <w:szCs w:val="22"/>
              </w:rPr>
              <w:t xml:space="preserve">Massachusetts </w:t>
            </w:r>
            <w:r w:rsidRPr="00570FB0">
              <w:rPr>
                <w:rFonts w:ascii="Calibri" w:hAnsi="Calibri"/>
                <w:b/>
                <w:bCs/>
                <w:color w:val="FFFFFF"/>
                <w:sz w:val="22"/>
                <w:szCs w:val="22"/>
              </w:rPr>
              <w:t>compared to PDMP Population</w:t>
            </w:r>
          </w:p>
        </w:tc>
      </w:tr>
      <w:tr w:rsidR="00400E42" w:rsidRPr="008D5FF8" w:rsidTr="00A92FFC">
        <w:trPr>
          <w:trHeight w:val="557"/>
        </w:trPr>
        <w:tc>
          <w:tcPr>
            <w:tcW w:w="1893" w:type="pct"/>
            <w:tcBorders>
              <w:top w:val="single" w:sz="8" w:space="0" w:color="4F81BD"/>
              <w:bottom w:val="single" w:sz="8" w:space="0" w:color="4F81BD"/>
            </w:tcBorders>
            <w:vAlign w:val="center"/>
          </w:tcPr>
          <w:p w:rsidR="00400E42" w:rsidRPr="00570FB0" w:rsidRDefault="00400E42" w:rsidP="00A92FFC">
            <w:pPr>
              <w:rPr>
                <w:rFonts w:ascii="Calibri" w:hAnsi="Calibri"/>
                <w:b/>
                <w:bCs/>
                <w:szCs w:val="22"/>
              </w:rPr>
            </w:pPr>
            <w:r w:rsidRPr="00570FB0">
              <w:rPr>
                <w:rFonts w:ascii="Calibri" w:hAnsi="Calibri"/>
                <w:b/>
                <w:bCs/>
                <w:sz w:val="22"/>
                <w:szCs w:val="24"/>
              </w:rPr>
              <w:t>Characteristic</w:t>
            </w:r>
          </w:p>
        </w:tc>
        <w:tc>
          <w:tcPr>
            <w:tcW w:w="988" w:type="pct"/>
            <w:tcBorders>
              <w:top w:val="single" w:sz="8" w:space="0" w:color="4F81BD"/>
              <w:bottom w:val="single" w:sz="8" w:space="0" w:color="4F81BD"/>
              <w:right w:val="single" w:sz="8" w:space="0" w:color="4F81BD"/>
            </w:tcBorders>
            <w:vAlign w:val="center"/>
          </w:tcPr>
          <w:p w:rsidR="00400E42" w:rsidRPr="00570FB0" w:rsidRDefault="00400E42" w:rsidP="00A92FFC">
            <w:pPr>
              <w:jc w:val="center"/>
              <w:rPr>
                <w:rFonts w:ascii="Calibri" w:hAnsi="Calibri"/>
                <w:b/>
                <w:szCs w:val="24"/>
              </w:rPr>
            </w:pPr>
            <w:r w:rsidRPr="00570FB0">
              <w:rPr>
                <w:rFonts w:ascii="Calibri" w:hAnsi="Calibri"/>
                <w:b/>
                <w:sz w:val="22"/>
                <w:szCs w:val="24"/>
              </w:rPr>
              <w:t xml:space="preserve">All Deaths </w:t>
            </w:r>
          </w:p>
          <w:p w:rsidR="00400E42" w:rsidRPr="00570FB0" w:rsidRDefault="00400E42" w:rsidP="00A92FFC">
            <w:pPr>
              <w:jc w:val="center"/>
              <w:rPr>
                <w:rFonts w:ascii="Calibri" w:hAnsi="Calibri"/>
                <w:b/>
                <w:szCs w:val="24"/>
              </w:rPr>
            </w:pPr>
            <w:r w:rsidRPr="00570FB0">
              <w:rPr>
                <w:rFonts w:ascii="Calibri" w:hAnsi="Calibri"/>
                <w:b/>
                <w:sz w:val="22"/>
                <w:szCs w:val="24"/>
              </w:rPr>
              <w:t>in MA</w:t>
            </w:r>
          </w:p>
        </w:tc>
        <w:tc>
          <w:tcPr>
            <w:tcW w:w="2119" w:type="pct"/>
            <w:gridSpan w:val="2"/>
            <w:tcBorders>
              <w:top w:val="single" w:sz="8" w:space="0" w:color="4F81BD"/>
              <w:left w:val="single" w:sz="8" w:space="0" w:color="4F81BD"/>
              <w:bottom w:val="single" w:sz="8" w:space="0" w:color="4F81BD"/>
            </w:tcBorders>
            <w:vAlign w:val="center"/>
          </w:tcPr>
          <w:p w:rsidR="00400E42" w:rsidRPr="00570FB0" w:rsidRDefault="00400E42" w:rsidP="00A92FFC">
            <w:pPr>
              <w:jc w:val="center"/>
              <w:rPr>
                <w:rFonts w:ascii="Calibri" w:hAnsi="Calibri"/>
                <w:b/>
                <w:szCs w:val="22"/>
              </w:rPr>
            </w:pPr>
            <w:r w:rsidRPr="00570FB0">
              <w:rPr>
                <w:rFonts w:ascii="Calibri" w:hAnsi="Calibri"/>
                <w:b/>
                <w:sz w:val="22"/>
                <w:szCs w:val="24"/>
              </w:rPr>
              <w:t>PDMP</w:t>
            </w: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
                <w:bCs/>
                <w:color w:val="000000"/>
                <w:sz w:val="22"/>
                <w:szCs w:val="22"/>
              </w:rPr>
              <w:t>Age— no.  (%)</w:t>
            </w:r>
          </w:p>
        </w:tc>
        <w:tc>
          <w:tcPr>
            <w:tcW w:w="988" w:type="pct"/>
            <w:tcBorders>
              <w:left w:val="single" w:sz="8" w:space="0" w:color="4F81BD"/>
              <w:right w:val="single" w:sz="8" w:space="0" w:color="4F81BD"/>
            </w:tcBorders>
          </w:tcPr>
          <w:p w:rsidR="00400E42" w:rsidRPr="00570FB0" w:rsidRDefault="00400E42" w:rsidP="00A92FFC">
            <w:pPr>
              <w:jc w:val="center"/>
              <w:rPr>
                <w:rFonts w:ascii="Calibri" w:hAnsi="Calibri"/>
                <w:b/>
                <w:szCs w:val="22"/>
              </w:rPr>
            </w:pPr>
          </w:p>
        </w:tc>
        <w:tc>
          <w:tcPr>
            <w:tcW w:w="1083" w:type="pct"/>
            <w:tcBorders>
              <w:left w:val="single" w:sz="8" w:space="0" w:color="4F81BD"/>
            </w:tcBorders>
          </w:tcPr>
          <w:p w:rsidR="00400E42" w:rsidRPr="00570FB0" w:rsidRDefault="00400E42" w:rsidP="00A92FFC">
            <w:pPr>
              <w:jc w:val="center"/>
              <w:rPr>
                <w:rFonts w:ascii="Calibri" w:hAnsi="Calibri"/>
                <w:b/>
                <w:szCs w:val="22"/>
              </w:rPr>
            </w:pPr>
            <w:r w:rsidRPr="00570FB0">
              <w:rPr>
                <w:rFonts w:ascii="Calibri" w:hAnsi="Calibri"/>
                <w:b/>
                <w:sz w:val="22"/>
                <w:szCs w:val="22"/>
              </w:rPr>
              <w:t>Died</w:t>
            </w:r>
          </w:p>
        </w:tc>
        <w:tc>
          <w:tcPr>
            <w:tcW w:w="1036" w:type="pct"/>
          </w:tcPr>
          <w:p w:rsidR="00400E42" w:rsidRPr="00570FB0" w:rsidRDefault="00400E42" w:rsidP="00A92FFC">
            <w:pPr>
              <w:jc w:val="center"/>
              <w:rPr>
                <w:rFonts w:ascii="Calibri" w:hAnsi="Calibri"/>
                <w:b/>
                <w:szCs w:val="22"/>
              </w:rPr>
            </w:pPr>
            <w:r w:rsidRPr="00570FB0">
              <w:rPr>
                <w:rFonts w:ascii="Calibri" w:hAnsi="Calibri"/>
                <w:b/>
                <w:sz w:val="22"/>
                <w:szCs w:val="22"/>
              </w:rPr>
              <w:t>Living</w:t>
            </w: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11-24</w:t>
            </w:r>
          </w:p>
        </w:tc>
        <w:tc>
          <w:tcPr>
            <w:tcW w:w="988"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902 (0.87)</w:t>
            </w:r>
          </w:p>
        </w:tc>
        <w:tc>
          <w:tcPr>
            <w:tcW w:w="1083"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511 (0.6)</w:t>
            </w:r>
          </w:p>
        </w:tc>
        <w:tc>
          <w:tcPr>
            <w:tcW w:w="1036" w:type="pct"/>
            <w:tcBorders>
              <w:top w:val="single" w:sz="8" w:space="0" w:color="4F81BD"/>
              <w:bottom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429065 (12.6)</w:t>
            </w: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25-34</w:t>
            </w:r>
          </w:p>
        </w:tc>
        <w:tc>
          <w:tcPr>
            <w:tcW w:w="988" w:type="pct"/>
            <w:tcBorders>
              <w:left w:val="single" w:sz="8" w:space="0" w:color="4F81BD"/>
              <w:righ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1701 (1.64)</w:t>
            </w:r>
          </w:p>
        </w:tc>
        <w:tc>
          <w:tcPr>
            <w:tcW w:w="1083"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1256 (1.6)</w:t>
            </w:r>
          </w:p>
        </w:tc>
        <w:tc>
          <w:tcPr>
            <w:tcW w:w="1036" w:type="pct"/>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531483 (15.7)</w:t>
            </w: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35-44</w:t>
            </w:r>
          </w:p>
        </w:tc>
        <w:tc>
          <w:tcPr>
            <w:tcW w:w="988"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2324 (2.25)</w:t>
            </w:r>
          </w:p>
        </w:tc>
        <w:tc>
          <w:tcPr>
            <w:tcW w:w="1083"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1807 (2.2)</w:t>
            </w:r>
          </w:p>
        </w:tc>
        <w:tc>
          <w:tcPr>
            <w:tcW w:w="1036" w:type="pct"/>
            <w:tcBorders>
              <w:top w:val="single" w:sz="8" w:space="0" w:color="4F81BD"/>
              <w:bottom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497742 (14.7)</w:t>
            </w: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45-54</w:t>
            </w:r>
          </w:p>
        </w:tc>
        <w:tc>
          <w:tcPr>
            <w:tcW w:w="988" w:type="pct"/>
            <w:tcBorders>
              <w:left w:val="single" w:sz="8" w:space="0" w:color="4F81BD"/>
              <w:righ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6098 (5.89)</w:t>
            </w:r>
          </w:p>
        </w:tc>
        <w:tc>
          <w:tcPr>
            <w:tcW w:w="1083"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4852 (6.0)</w:t>
            </w:r>
          </w:p>
        </w:tc>
        <w:tc>
          <w:tcPr>
            <w:tcW w:w="1036" w:type="pct"/>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601398 (17.7)</w:t>
            </w: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55-64</w:t>
            </w:r>
          </w:p>
        </w:tc>
        <w:tc>
          <w:tcPr>
            <w:tcW w:w="988"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11375 (10.99)</w:t>
            </w:r>
          </w:p>
        </w:tc>
        <w:tc>
          <w:tcPr>
            <w:tcW w:w="1083"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9077 (11.3)</w:t>
            </w:r>
          </w:p>
        </w:tc>
        <w:tc>
          <w:tcPr>
            <w:tcW w:w="1036" w:type="pct"/>
            <w:tcBorders>
              <w:top w:val="single" w:sz="8" w:space="0" w:color="4F81BD"/>
              <w:bottom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584597 (17.2)</w:t>
            </w: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65+</w:t>
            </w:r>
          </w:p>
        </w:tc>
        <w:tc>
          <w:tcPr>
            <w:tcW w:w="988" w:type="pct"/>
            <w:tcBorders>
              <w:left w:val="single" w:sz="8" w:space="0" w:color="4F81BD"/>
              <w:righ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81072 (78.33)</w:t>
            </w:r>
          </w:p>
        </w:tc>
        <w:tc>
          <w:tcPr>
            <w:tcW w:w="1083"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63005 (78.3)</w:t>
            </w:r>
          </w:p>
        </w:tc>
        <w:tc>
          <w:tcPr>
            <w:tcW w:w="1036" w:type="pct"/>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750752 (22.1)</w:t>
            </w: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98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2"/>
              <w:jc w:val="right"/>
              <w:rPr>
                <w:rFonts w:ascii="Calibri" w:hAnsi="Calibri"/>
                <w:b/>
                <w:szCs w:val="22"/>
              </w:rPr>
            </w:pPr>
          </w:p>
        </w:tc>
        <w:tc>
          <w:tcPr>
            <w:tcW w:w="1083" w:type="pct"/>
            <w:tcBorders>
              <w:top w:val="single" w:sz="8" w:space="0" w:color="4F81BD"/>
              <w:left w:val="single" w:sz="8" w:space="0" w:color="4F81BD"/>
              <w:bottom w:val="single" w:sz="8" w:space="0" w:color="4F81BD"/>
            </w:tcBorders>
            <w:vAlign w:val="bottom"/>
          </w:tcPr>
          <w:p w:rsidR="00400E42" w:rsidRPr="00570FB0" w:rsidRDefault="00400E42" w:rsidP="00A92FFC">
            <w:pPr>
              <w:rPr>
                <w:rFonts w:ascii="Calibri" w:hAnsi="Calibri"/>
                <w:color w:val="000000"/>
                <w:szCs w:val="22"/>
              </w:rPr>
            </w:pPr>
          </w:p>
        </w:tc>
        <w:tc>
          <w:tcPr>
            <w:tcW w:w="1036" w:type="pct"/>
            <w:tcBorders>
              <w:top w:val="single" w:sz="8" w:space="0" w:color="4F81BD"/>
              <w:bottom w:val="single" w:sz="8" w:space="0" w:color="4F81BD"/>
            </w:tcBorders>
          </w:tcPr>
          <w:p w:rsidR="00400E42" w:rsidRPr="00570FB0" w:rsidRDefault="00400E42" w:rsidP="00A92FFC">
            <w:pPr>
              <w:ind w:right="343"/>
              <w:jc w:val="right"/>
              <w:rPr>
                <w:rFonts w:ascii="Calibri" w:hAnsi="Calibri"/>
                <w:b/>
                <w:szCs w:val="22"/>
              </w:rPr>
            </w:pP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Sex— no.  (%)</w:t>
            </w:r>
          </w:p>
        </w:tc>
        <w:tc>
          <w:tcPr>
            <w:tcW w:w="988" w:type="pct"/>
            <w:tcBorders>
              <w:left w:val="single" w:sz="8" w:space="0" w:color="4F81BD"/>
              <w:right w:val="single" w:sz="8" w:space="0" w:color="4F81BD"/>
            </w:tcBorders>
          </w:tcPr>
          <w:p w:rsidR="00400E42" w:rsidRPr="00570FB0" w:rsidRDefault="00400E42" w:rsidP="00A92FFC">
            <w:pPr>
              <w:ind w:right="342"/>
              <w:jc w:val="right"/>
              <w:rPr>
                <w:rFonts w:ascii="Calibri" w:hAnsi="Calibri"/>
                <w:b/>
                <w:szCs w:val="22"/>
              </w:rPr>
            </w:pPr>
          </w:p>
        </w:tc>
        <w:tc>
          <w:tcPr>
            <w:tcW w:w="1083" w:type="pct"/>
            <w:tcBorders>
              <w:left w:val="single" w:sz="8" w:space="0" w:color="4F81BD"/>
            </w:tcBorders>
          </w:tcPr>
          <w:p w:rsidR="00400E42" w:rsidRPr="00570FB0" w:rsidRDefault="00400E42" w:rsidP="00A92FFC">
            <w:pPr>
              <w:jc w:val="center"/>
              <w:rPr>
                <w:rFonts w:ascii="Calibri" w:hAnsi="Calibri"/>
                <w:b/>
                <w:szCs w:val="22"/>
              </w:rPr>
            </w:pPr>
          </w:p>
        </w:tc>
        <w:tc>
          <w:tcPr>
            <w:tcW w:w="1036" w:type="pct"/>
          </w:tcPr>
          <w:p w:rsidR="00400E42" w:rsidRPr="00570FB0" w:rsidRDefault="00400E42" w:rsidP="00A92FFC">
            <w:pPr>
              <w:ind w:right="343"/>
              <w:jc w:val="right"/>
              <w:rPr>
                <w:rFonts w:ascii="Calibri" w:hAnsi="Calibri"/>
                <w:b/>
                <w:szCs w:val="22"/>
              </w:rPr>
            </w:pP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Male </w:t>
            </w:r>
          </w:p>
        </w:tc>
        <w:tc>
          <w:tcPr>
            <w:tcW w:w="98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49438 (47.8)</w:t>
            </w:r>
          </w:p>
        </w:tc>
        <w:tc>
          <w:tcPr>
            <w:tcW w:w="1083"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36829 (45.8)</w:t>
            </w:r>
          </w:p>
        </w:tc>
        <w:tc>
          <w:tcPr>
            <w:tcW w:w="1036" w:type="pct"/>
            <w:tcBorders>
              <w:top w:val="single" w:sz="8" w:space="0" w:color="4F81BD"/>
              <w:bottom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1502500 (44.3)</w:t>
            </w: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Female </w:t>
            </w:r>
          </w:p>
        </w:tc>
        <w:tc>
          <w:tcPr>
            <w:tcW w:w="988" w:type="pct"/>
            <w:tcBorders>
              <w:left w:val="single" w:sz="8" w:space="0" w:color="4F81BD"/>
              <w:righ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54067 (52.2)</w:t>
            </w:r>
          </w:p>
        </w:tc>
        <w:tc>
          <w:tcPr>
            <w:tcW w:w="1083"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43679 (54.3)</w:t>
            </w:r>
          </w:p>
        </w:tc>
        <w:tc>
          <w:tcPr>
            <w:tcW w:w="1036" w:type="pct"/>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1892537 (55.7)</w:t>
            </w: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98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2"/>
              <w:jc w:val="right"/>
              <w:rPr>
                <w:rFonts w:ascii="Calibri" w:hAnsi="Calibri"/>
                <w:b/>
                <w:szCs w:val="22"/>
              </w:rPr>
            </w:pPr>
          </w:p>
        </w:tc>
        <w:tc>
          <w:tcPr>
            <w:tcW w:w="1083" w:type="pct"/>
            <w:tcBorders>
              <w:top w:val="single" w:sz="8" w:space="0" w:color="4F81BD"/>
              <w:left w:val="single" w:sz="8" w:space="0" w:color="4F81BD"/>
              <w:bottom w:val="single" w:sz="8" w:space="0" w:color="4F81BD"/>
            </w:tcBorders>
          </w:tcPr>
          <w:p w:rsidR="00400E42" w:rsidRPr="00570FB0" w:rsidRDefault="00400E42" w:rsidP="00A92FFC">
            <w:pPr>
              <w:ind w:right="342"/>
              <w:jc w:val="right"/>
              <w:rPr>
                <w:rFonts w:ascii="Calibri" w:hAnsi="Calibri"/>
                <w:b/>
                <w:szCs w:val="22"/>
              </w:rPr>
            </w:pPr>
          </w:p>
        </w:tc>
        <w:tc>
          <w:tcPr>
            <w:tcW w:w="1036" w:type="pct"/>
            <w:tcBorders>
              <w:top w:val="single" w:sz="8" w:space="0" w:color="4F81BD"/>
              <w:bottom w:val="single" w:sz="8" w:space="0" w:color="4F81BD"/>
            </w:tcBorders>
            <w:vAlign w:val="bottom"/>
          </w:tcPr>
          <w:p w:rsidR="00400E42" w:rsidRPr="00570FB0" w:rsidRDefault="00400E42" w:rsidP="00A92FFC">
            <w:pPr>
              <w:ind w:right="253"/>
              <w:jc w:val="right"/>
              <w:rPr>
                <w:rFonts w:ascii="Arial" w:hAnsi="Arial" w:cs="Arial"/>
                <w:color w:val="000000"/>
                <w:szCs w:val="22"/>
              </w:rPr>
            </w:pP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Race or ethnic group — no. (%)</w:t>
            </w:r>
          </w:p>
        </w:tc>
        <w:tc>
          <w:tcPr>
            <w:tcW w:w="988" w:type="pct"/>
            <w:tcBorders>
              <w:left w:val="single" w:sz="8" w:space="0" w:color="4F81BD"/>
              <w:right w:val="single" w:sz="8" w:space="0" w:color="4F81BD"/>
            </w:tcBorders>
          </w:tcPr>
          <w:p w:rsidR="00400E42" w:rsidRPr="00570FB0" w:rsidRDefault="00400E42" w:rsidP="00A92FFC">
            <w:pPr>
              <w:ind w:right="342"/>
              <w:jc w:val="right"/>
              <w:rPr>
                <w:rFonts w:ascii="Calibri" w:hAnsi="Calibri"/>
                <w:b/>
                <w:szCs w:val="22"/>
              </w:rPr>
            </w:pPr>
          </w:p>
        </w:tc>
        <w:tc>
          <w:tcPr>
            <w:tcW w:w="1083" w:type="pct"/>
            <w:tcBorders>
              <w:left w:val="single" w:sz="8" w:space="0" w:color="4F81BD"/>
            </w:tcBorders>
          </w:tcPr>
          <w:p w:rsidR="00400E42" w:rsidRPr="00570FB0" w:rsidRDefault="00400E42" w:rsidP="00A92FFC">
            <w:pPr>
              <w:ind w:right="342"/>
              <w:jc w:val="right"/>
              <w:rPr>
                <w:rFonts w:ascii="Calibri" w:hAnsi="Calibri"/>
                <w:b/>
                <w:szCs w:val="22"/>
              </w:rPr>
            </w:pPr>
          </w:p>
        </w:tc>
        <w:tc>
          <w:tcPr>
            <w:tcW w:w="1036" w:type="pct"/>
          </w:tcPr>
          <w:p w:rsidR="00400E42" w:rsidRPr="00570FB0" w:rsidRDefault="00400E42" w:rsidP="00A92FFC">
            <w:pPr>
              <w:ind w:right="253"/>
              <w:jc w:val="right"/>
              <w:rPr>
                <w:rFonts w:ascii="Calibri" w:hAnsi="Calibri"/>
                <w:b/>
                <w:szCs w:val="22"/>
              </w:rPr>
            </w:pP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White non-Hispanic</w:t>
            </w:r>
          </w:p>
        </w:tc>
        <w:tc>
          <w:tcPr>
            <w:tcW w:w="98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94012 (90.8)</w:t>
            </w:r>
          </w:p>
        </w:tc>
        <w:tc>
          <w:tcPr>
            <w:tcW w:w="1083"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73881 (91.8)</w:t>
            </w:r>
          </w:p>
        </w:tc>
        <w:tc>
          <w:tcPr>
            <w:tcW w:w="1036" w:type="pct"/>
            <w:tcBorders>
              <w:top w:val="single" w:sz="8" w:space="0" w:color="4F81BD"/>
              <w:bottom w:val="single" w:sz="8" w:space="0" w:color="4F81BD"/>
            </w:tcBorders>
          </w:tcPr>
          <w:p w:rsidR="00400E42" w:rsidRPr="00570FB0" w:rsidRDefault="00400E42" w:rsidP="00A92FFC">
            <w:pPr>
              <w:ind w:right="253"/>
              <w:jc w:val="center"/>
              <w:rPr>
                <w:rFonts w:ascii="Calibri" w:hAnsi="Calibri"/>
                <w:szCs w:val="22"/>
              </w:rPr>
            </w:pPr>
            <w:r w:rsidRPr="00570FB0">
              <w:rPr>
                <w:rFonts w:ascii="Calibri" w:hAnsi="Calibri"/>
                <w:sz w:val="22"/>
                <w:szCs w:val="22"/>
              </w:rPr>
              <w:t>NA</w:t>
            </w: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Black non-Hispanic</w:t>
            </w:r>
          </w:p>
        </w:tc>
        <w:tc>
          <w:tcPr>
            <w:tcW w:w="988" w:type="pct"/>
            <w:tcBorders>
              <w:left w:val="single" w:sz="8" w:space="0" w:color="4F81BD"/>
              <w:righ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4361 (4.2)</w:t>
            </w:r>
          </w:p>
        </w:tc>
        <w:tc>
          <w:tcPr>
            <w:tcW w:w="1083"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3000 (3.7)</w:t>
            </w:r>
          </w:p>
        </w:tc>
        <w:tc>
          <w:tcPr>
            <w:tcW w:w="1036" w:type="pct"/>
          </w:tcPr>
          <w:p w:rsidR="00400E42" w:rsidRPr="00570FB0" w:rsidRDefault="00400E42" w:rsidP="00A92FFC">
            <w:pPr>
              <w:ind w:right="253"/>
              <w:jc w:val="center"/>
              <w:rPr>
                <w:rFonts w:ascii="Calibri" w:hAnsi="Calibri"/>
                <w:szCs w:val="22"/>
              </w:rPr>
            </w:pPr>
            <w:r w:rsidRPr="00570FB0">
              <w:rPr>
                <w:rFonts w:ascii="Calibri" w:hAnsi="Calibri"/>
                <w:sz w:val="22"/>
                <w:szCs w:val="22"/>
              </w:rPr>
              <w:t>NA</w:t>
            </w: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Asian/PI non-Hispanic</w:t>
            </w:r>
          </w:p>
        </w:tc>
        <w:tc>
          <w:tcPr>
            <w:tcW w:w="98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1599 (1.5)</w:t>
            </w:r>
          </w:p>
        </w:tc>
        <w:tc>
          <w:tcPr>
            <w:tcW w:w="1083"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1023 (1.3)</w:t>
            </w:r>
          </w:p>
        </w:tc>
        <w:tc>
          <w:tcPr>
            <w:tcW w:w="1036" w:type="pct"/>
            <w:tcBorders>
              <w:top w:val="single" w:sz="8" w:space="0" w:color="4F81BD"/>
              <w:bottom w:val="single" w:sz="8" w:space="0" w:color="4F81BD"/>
            </w:tcBorders>
          </w:tcPr>
          <w:p w:rsidR="00400E42" w:rsidRPr="00570FB0" w:rsidRDefault="00400E42" w:rsidP="00A92FFC">
            <w:pPr>
              <w:ind w:right="253"/>
              <w:jc w:val="center"/>
              <w:rPr>
                <w:rFonts w:ascii="Calibri" w:hAnsi="Calibri"/>
                <w:szCs w:val="22"/>
              </w:rPr>
            </w:pPr>
            <w:r w:rsidRPr="00570FB0">
              <w:rPr>
                <w:rFonts w:ascii="Calibri" w:hAnsi="Calibri"/>
                <w:sz w:val="22"/>
                <w:szCs w:val="22"/>
              </w:rPr>
              <w:t>NA</w:t>
            </w: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Hispanic</w:t>
            </w:r>
          </w:p>
        </w:tc>
        <w:tc>
          <w:tcPr>
            <w:tcW w:w="988" w:type="pct"/>
            <w:tcBorders>
              <w:left w:val="single" w:sz="8" w:space="0" w:color="4F81BD"/>
              <w:righ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2822 (2.7)</w:t>
            </w:r>
          </w:p>
        </w:tc>
        <w:tc>
          <w:tcPr>
            <w:tcW w:w="1083"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2054 (2.6)</w:t>
            </w:r>
          </w:p>
        </w:tc>
        <w:tc>
          <w:tcPr>
            <w:tcW w:w="1036" w:type="pct"/>
          </w:tcPr>
          <w:p w:rsidR="00400E42" w:rsidRPr="00570FB0" w:rsidRDefault="00400E42" w:rsidP="00A92FFC">
            <w:pPr>
              <w:ind w:right="253"/>
              <w:jc w:val="center"/>
              <w:rPr>
                <w:rFonts w:ascii="Calibri" w:hAnsi="Calibri"/>
                <w:szCs w:val="22"/>
              </w:rPr>
            </w:pPr>
            <w:r w:rsidRPr="00570FB0">
              <w:rPr>
                <w:rFonts w:ascii="Calibri" w:hAnsi="Calibri"/>
                <w:sz w:val="22"/>
                <w:szCs w:val="22"/>
              </w:rPr>
              <w:t>NA</w:t>
            </w: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Other</w:t>
            </w:r>
          </w:p>
        </w:tc>
        <w:tc>
          <w:tcPr>
            <w:tcW w:w="98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703 (0.7)</w:t>
            </w:r>
          </w:p>
        </w:tc>
        <w:tc>
          <w:tcPr>
            <w:tcW w:w="1083"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546 (0.7)</w:t>
            </w:r>
          </w:p>
        </w:tc>
        <w:tc>
          <w:tcPr>
            <w:tcW w:w="1036" w:type="pct"/>
            <w:tcBorders>
              <w:top w:val="single" w:sz="8" w:space="0" w:color="4F81BD"/>
              <w:bottom w:val="single" w:sz="8" w:space="0" w:color="4F81BD"/>
            </w:tcBorders>
          </w:tcPr>
          <w:p w:rsidR="00400E42" w:rsidRPr="00570FB0" w:rsidRDefault="00400E42" w:rsidP="00A92FFC">
            <w:pPr>
              <w:ind w:right="253"/>
              <w:jc w:val="center"/>
              <w:rPr>
                <w:rFonts w:ascii="Calibri" w:hAnsi="Calibri"/>
                <w:szCs w:val="22"/>
              </w:rPr>
            </w:pPr>
            <w:r w:rsidRPr="00570FB0">
              <w:rPr>
                <w:rFonts w:ascii="Calibri" w:hAnsi="Calibri"/>
                <w:sz w:val="22"/>
                <w:szCs w:val="22"/>
              </w:rPr>
              <w:t>NA</w:t>
            </w: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988" w:type="pct"/>
            <w:tcBorders>
              <w:left w:val="single" w:sz="8" w:space="0" w:color="4F81BD"/>
              <w:right w:val="single" w:sz="8" w:space="0" w:color="4F81BD"/>
            </w:tcBorders>
          </w:tcPr>
          <w:p w:rsidR="00400E42" w:rsidRPr="00570FB0" w:rsidRDefault="00400E42" w:rsidP="00A92FFC">
            <w:pPr>
              <w:ind w:right="342"/>
              <w:jc w:val="right"/>
              <w:rPr>
                <w:rFonts w:ascii="Calibri" w:hAnsi="Calibri"/>
                <w:b/>
                <w:szCs w:val="22"/>
              </w:rPr>
            </w:pPr>
          </w:p>
        </w:tc>
        <w:tc>
          <w:tcPr>
            <w:tcW w:w="1083" w:type="pct"/>
            <w:tcBorders>
              <w:left w:val="single" w:sz="8" w:space="0" w:color="4F81BD"/>
            </w:tcBorders>
          </w:tcPr>
          <w:p w:rsidR="00400E42" w:rsidRPr="00570FB0" w:rsidRDefault="00400E42" w:rsidP="00A92FFC">
            <w:pPr>
              <w:ind w:right="342"/>
              <w:jc w:val="right"/>
              <w:rPr>
                <w:rFonts w:ascii="Calibri" w:hAnsi="Calibri"/>
                <w:b/>
                <w:szCs w:val="22"/>
              </w:rPr>
            </w:pPr>
          </w:p>
        </w:tc>
        <w:tc>
          <w:tcPr>
            <w:tcW w:w="1036" w:type="pct"/>
            <w:vAlign w:val="bottom"/>
          </w:tcPr>
          <w:p w:rsidR="00400E42" w:rsidRPr="00570FB0" w:rsidRDefault="00400E42" w:rsidP="00A92FFC">
            <w:pPr>
              <w:ind w:right="253"/>
              <w:jc w:val="center"/>
              <w:rPr>
                <w:rFonts w:ascii="Calibri" w:hAnsi="Calibri"/>
                <w:szCs w:val="22"/>
              </w:rPr>
            </w:pP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Marital status — no. (%)</w:t>
            </w:r>
          </w:p>
        </w:tc>
        <w:tc>
          <w:tcPr>
            <w:tcW w:w="98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2"/>
              <w:jc w:val="right"/>
              <w:rPr>
                <w:rFonts w:ascii="Calibri" w:hAnsi="Calibri"/>
                <w:b/>
                <w:szCs w:val="22"/>
              </w:rPr>
            </w:pPr>
          </w:p>
        </w:tc>
        <w:tc>
          <w:tcPr>
            <w:tcW w:w="1083" w:type="pct"/>
            <w:tcBorders>
              <w:top w:val="single" w:sz="8" w:space="0" w:color="4F81BD"/>
              <w:left w:val="single" w:sz="8" w:space="0" w:color="4F81BD"/>
              <w:bottom w:val="single" w:sz="8" w:space="0" w:color="4F81BD"/>
            </w:tcBorders>
          </w:tcPr>
          <w:p w:rsidR="00400E42" w:rsidRPr="00570FB0" w:rsidRDefault="00400E42" w:rsidP="00A92FFC">
            <w:pPr>
              <w:jc w:val="center"/>
              <w:rPr>
                <w:rFonts w:ascii="Calibri" w:hAnsi="Calibri"/>
                <w:b/>
                <w:szCs w:val="22"/>
              </w:rPr>
            </w:pPr>
          </w:p>
        </w:tc>
        <w:tc>
          <w:tcPr>
            <w:tcW w:w="1036" w:type="pct"/>
            <w:tcBorders>
              <w:top w:val="single" w:sz="8" w:space="0" w:color="4F81BD"/>
              <w:bottom w:val="single" w:sz="8" w:space="0" w:color="4F81BD"/>
            </w:tcBorders>
          </w:tcPr>
          <w:p w:rsidR="00400E42" w:rsidRPr="00570FB0" w:rsidRDefault="00400E42" w:rsidP="00A92FFC">
            <w:pPr>
              <w:ind w:right="253"/>
              <w:jc w:val="center"/>
              <w:rPr>
                <w:rFonts w:ascii="Calibri" w:hAnsi="Calibri"/>
                <w:b/>
                <w:szCs w:val="22"/>
              </w:rPr>
            </w:pP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Single, never married</w:t>
            </w:r>
          </w:p>
        </w:tc>
        <w:tc>
          <w:tcPr>
            <w:tcW w:w="988" w:type="pct"/>
            <w:tcBorders>
              <w:left w:val="single" w:sz="8" w:space="0" w:color="4F81BD"/>
              <w:righ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15042 (14.5)</w:t>
            </w:r>
          </w:p>
        </w:tc>
        <w:tc>
          <w:tcPr>
            <w:tcW w:w="1083"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10838 (13.5)</w:t>
            </w:r>
          </w:p>
        </w:tc>
        <w:tc>
          <w:tcPr>
            <w:tcW w:w="1036" w:type="pct"/>
          </w:tcPr>
          <w:p w:rsidR="00400E42" w:rsidRPr="00570FB0" w:rsidRDefault="00400E42" w:rsidP="00A92FFC">
            <w:pPr>
              <w:ind w:right="253"/>
              <w:jc w:val="center"/>
              <w:rPr>
                <w:rFonts w:ascii="Calibri" w:hAnsi="Calibri"/>
                <w:szCs w:val="22"/>
              </w:rPr>
            </w:pPr>
            <w:r w:rsidRPr="00570FB0">
              <w:rPr>
                <w:rFonts w:ascii="Calibri" w:hAnsi="Calibri"/>
                <w:sz w:val="22"/>
                <w:szCs w:val="22"/>
              </w:rPr>
              <w:t>NA</w:t>
            </w: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Married or separated</w:t>
            </w:r>
          </w:p>
        </w:tc>
        <w:tc>
          <w:tcPr>
            <w:tcW w:w="98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36133 (34.9)</w:t>
            </w:r>
          </w:p>
        </w:tc>
        <w:tc>
          <w:tcPr>
            <w:tcW w:w="1083"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28716 (35.8)</w:t>
            </w:r>
          </w:p>
        </w:tc>
        <w:tc>
          <w:tcPr>
            <w:tcW w:w="1036" w:type="pct"/>
            <w:tcBorders>
              <w:top w:val="single" w:sz="8" w:space="0" w:color="4F81BD"/>
              <w:bottom w:val="single" w:sz="8" w:space="0" w:color="4F81BD"/>
            </w:tcBorders>
          </w:tcPr>
          <w:p w:rsidR="00400E42" w:rsidRPr="00570FB0" w:rsidRDefault="00400E42" w:rsidP="00A92FFC">
            <w:pPr>
              <w:ind w:right="253"/>
              <w:jc w:val="center"/>
              <w:rPr>
                <w:rFonts w:ascii="Calibri" w:hAnsi="Calibri"/>
                <w:szCs w:val="22"/>
              </w:rPr>
            </w:pPr>
            <w:r w:rsidRPr="00570FB0">
              <w:rPr>
                <w:rFonts w:ascii="Calibri" w:hAnsi="Calibri"/>
                <w:sz w:val="22"/>
                <w:szCs w:val="22"/>
              </w:rPr>
              <w:t>NA</w:t>
            </w: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Widowed</w:t>
            </w:r>
          </w:p>
        </w:tc>
        <w:tc>
          <w:tcPr>
            <w:tcW w:w="988" w:type="pct"/>
            <w:tcBorders>
              <w:left w:val="single" w:sz="8" w:space="0" w:color="4F81BD"/>
              <w:righ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38800 (37.5)</w:t>
            </w:r>
          </w:p>
        </w:tc>
        <w:tc>
          <w:tcPr>
            <w:tcW w:w="1083"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30293 (37.6)</w:t>
            </w:r>
          </w:p>
        </w:tc>
        <w:tc>
          <w:tcPr>
            <w:tcW w:w="1036" w:type="pct"/>
          </w:tcPr>
          <w:p w:rsidR="00400E42" w:rsidRPr="00570FB0" w:rsidRDefault="00400E42" w:rsidP="00A92FFC">
            <w:pPr>
              <w:ind w:right="253"/>
              <w:jc w:val="center"/>
              <w:rPr>
                <w:rFonts w:ascii="Calibri" w:hAnsi="Calibri"/>
                <w:szCs w:val="22"/>
              </w:rPr>
            </w:pPr>
            <w:r w:rsidRPr="00570FB0">
              <w:rPr>
                <w:rFonts w:ascii="Calibri" w:hAnsi="Calibri"/>
                <w:sz w:val="22"/>
                <w:szCs w:val="22"/>
              </w:rPr>
              <w:t>NA</w:t>
            </w: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Divorced</w:t>
            </w:r>
          </w:p>
        </w:tc>
        <w:tc>
          <w:tcPr>
            <w:tcW w:w="98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13307 (12.9)</w:t>
            </w:r>
          </w:p>
        </w:tc>
        <w:tc>
          <w:tcPr>
            <w:tcW w:w="1083"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10527 (13.1)</w:t>
            </w:r>
          </w:p>
        </w:tc>
        <w:tc>
          <w:tcPr>
            <w:tcW w:w="1036" w:type="pct"/>
            <w:tcBorders>
              <w:top w:val="single" w:sz="8" w:space="0" w:color="4F81BD"/>
              <w:bottom w:val="single" w:sz="8" w:space="0" w:color="4F81BD"/>
            </w:tcBorders>
          </w:tcPr>
          <w:p w:rsidR="00400E42" w:rsidRPr="00570FB0" w:rsidRDefault="00400E42" w:rsidP="00A92FFC">
            <w:pPr>
              <w:ind w:right="253"/>
              <w:jc w:val="center"/>
              <w:rPr>
                <w:rFonts w:ascii="Calibri" w:hAnsi="Calibri"/>
                <w:szCs w:val="22"/>
              </w:rPr>
            </w:pPr>
            <w:r w:rsidRPr="00570FB0">
              <w:rPr>
                <w:rFonts w:ascii="Calibri" w:hAnsi="Calibri"/>
                <w:sz w:val="22"/>
                <w:szCs w:val="22"/>
              </w:rPr>
              <w:t>NA</w:t>
            </w: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988" w:type="pct"/>
            <w:tcBorders>
              <w:left w:val="single" w:sz="8" w:space="0" w:color="4F81BD"/>
              <w:right w:val="single" w:sz="8" w:space="0" w:color="4F81BD"/>
            </w:tcBorders>
          </w:tcPr>
          <w:p w:rsidR="00400E42" w:rsidRPr="00570FB0" w:rsidRDefault="00400E42" w:rsidP="00A92FFC">
            <w:pPr>
              <w:ind w:right="342"/>
              <w:jc w:val="right"/>
              <w:rPr>
                <w:rFonts w:ascii="Calibri" w:hAnsi="Calibri"/>
                <w:szCs w:val="22"/>
              </w:rPr>
            </w:pPr>
          </w:p>
        </w:tc>
        <w:tc>
          <w:tcPr>
            <w:tcW w:w="1083" w:type="pct"/>
            <w:tcBorders>
              <w:left w:val="single" w:sz="8" w:space="0" w:color="4F81BD"/>
            </w:tcBorders>
            <w:vAlign w:val="bottom"/>
          </w:tcPr>
          <w:p w:rsidR="00400E42" w:rsidRPr="00570FB0" w:rsidRDefault="00400E42" w:rsidP="00A92FFC">
            <w:pPr>
              <w:rPr>
                <w:rFonts w:ascii="Calibri" w:hAnsi="Calibri"/>
                <w:color w:val="000000"/>
                <w:szCs w:val="22"/>
              </w:rPr>
            </w:pPr>
          </w:p>
        </w:tc>
        <w:tc>
          <w:tcPr>
            <w:tcW w:w="1036" w:type="pct"/>
          </w:tcPr>
          <w:p w:rsidR="00400E42" w:rsidRPr="00570FB0" w:rsidRDefault="00400E42" w:rsidP="00A92FFC">
            <w:pPr>
              <w:ind w:right="253"/>
              <w:jc w:val="center"/>
              <w:rPr>
                <w:rFonts w:ascii="Calibri" w:hAnsi="Calibri"/>
                <w:szCs w:val="22"/>
              </w:rPr>
            </w:pP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Education — no. (%)</w:t>
            </w:r>
          </w:p>
        </w:tc>
        <w:tc>
          <w:tcPr>
            <w:tcW w:w="98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2"/>
              <w:jc w:val="right"/>
              <w:rPr>
                <w:rFonts w:ascii="Calibri" w:hAnsi="Calibri"/>
                <w:b/>
                <w:szCs w:val="22"/>
              </w:rPr>
            </w:pPr>
          </w:p>
        </w:tc>
        <w:tc>
          <w:tcPr>
            <w:tcW w:w="1083" w:type="pct"/>
            <w:tcBorders>
              <w:top w:val="single" w:sz="8" w:space="0" w:color="4F81BD"/>
              <w:left w:val="single" w:sz="8" w:space="0" w:color="4F81BD"/>
              <w:bottom w:val="single" w:sz="8" w:space="0" w:color="4F81BD"/>
            </w:tcBorders>
            <w:vAlign w:val="bottom"/>
          </w:tcPr>
          <w:p w:rsidR="00400E42" w:rsidRPr="00570FB0" w:rsidRDefault="00400E42" w:rsidP="00A92FFC">
            <w:pPr>
              <w:rPr>
                <w:rFonts w:ascii="Calibri" w:hAnsi="Calibri"/>
                <w:color w:val="000000"/>
                <w:szCs w:val="22"/>
              </w:rPr>
            </w:pPr>
          </w:p>
        </w:tc>
        <w:tc>
          <w:tcPr>
            <w:tcW w:w="1036" w:type="pct"/>
            <w:tcBorders>
              <w:top w:val="single" w:sz="8" w:space="0" w:color="4F81BD"/>
              <w:bottom w:val="single" w:sz="8" w:space="0" w:color="4F81BD"/>
            </w:tcBorders>
          </w:tcPr>
          <w:p w:rsidR="00400E42" w:rsidRPr="00570FB0" w:rsidRDefault="00400E42" w:rsidP="00A92FFC">
            <w:pPr>
              <w:ind w:right="253"/>
              <w:jc w:val="center"/>
              <w:rPr>
                <w:rFonts w:ascii="Calibri" w:hAnsi="Calibri"/>
                <w:b/>
                <w:szCs w:val="22"/>
              </w:rPr>
            </w:pPr>
          </w:p>
        </w:tc>
      </w:tr>
      <w:tr w:rsidR="00400E42" w:rsidRPr="008D5FF8" w:rsidTr="00A92FFC">
        <w:tc>
          <w:tcPr>
            <w:tcW w:w="1893"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High School or Less</w:t>
            </w:r>
          </w:p>
        </w:tc>
        <w:tc>
          <w:tcPr>
            <w:tcW w:w="988" w:type="pct"/>
            <w:tcBorders>
              <w:left w:val="single" w:sz="8" w:space="0" w:color="4F81BD"/>
              <w:righ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67362 (65.1)</w:t>
            </w:r>
          </w:p>
        </w:tc>
        <w:tc>
          <w:tcPr>
            <w:tcW w:w="1083"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52509 (65.2)</w:t>
            </w:r>
          </w:p>
        </w:tc>
        <w:tc>
          <w:tcPr>
            <w:tcW w:w="1036" w:type="pct"/>
          </w:tcPr>
          <w:p w:rsidR="00400E42" w:rsidRPr="00570FB0" w:rsidRDefault="00400E42" w:rsidP="00A92FFC">
            <w:pPr>
              <w:ind w:right="253"/>
              <w:jc w:val="center"/>
              <w:rPr>
                <w:rFonts w:ascii="Calibri" w:hAnsi="Calibri"/>
                <w:szCs w:val="22"/>
              </w:rPr>
            </w:pPr>
            <w:r w:rsidRPr="00570FB0">
              <w:rPr>
                <w:rFonts w:ascii="Calibri" w:hAnsi="Calibri"/>
                <w:sz w:val="22"/>
                <w:szCs w:val="22"/>
              </w:rPr>
              <w:t>NA</w:t>
            </w:r>
          </w:p>
        </w:tc>
      </w:tr>
      <w:tr w:rsidR="00400E42" w:rsidRPr="008D5FF8" w:rsidTr="00A92FFC">
        <w:tc>
          <w:tcPr>
            <w:tcW w:w="189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13+ years</w:t>
            </w:r>
          </w:p>
        </w:tc>
        <w:tc>
          <w:tcPr>
            <w:tcW w:w="98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2"/>
              <w:jc w:val="right"/>
              <w:rPr>
                <w:rFonts w:ascii="Calibri" w:hAnsi="Calibri"/>
                <w:szCs w:val="22"/>
              </w:rPr>
            </w:pPr>
            <w:r w:rsidRPr="00570FB0">
              <w:rPr>
                <w:rFonts w:ascii="Calibri" w:hAnsi="Calibri"/>
                <w:sz w:val="22"/>
                <w:szCs w:val="22"/>
              </w:rPr>
              <w:t>34569 (33.4)</w:t>
            </w:r>
          </w:p>
        </w:tc>
        <w:tc>
          <w:tcPr>
            <w:tcW w:w="1083"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26918 (33.4)</w:t>
            </w:r>
          </w:p>
        </w:tc>
        <w:tc>
          <w:tcPr>
            <w:tcW w:w="1036" w:type="pct"/>
            <w:tcBorders>
              <w:top w:val="single" w:sz="8" w:space="0" w:color="4F81BD"/>
              <w:bottom w:val="single" w:sz="8" w:space="0" w:color="4F81BD"/>
            </w:tcBorders>
          </w:tcPr>
          <w:p w:rsidR="00400E42" w:rsidRPr="00570FB0" w:rsidRDefault="00400E42" w:rsidP="00A92FFC">
            <w:pPr>
              <w:ind w:right="253"/>
              <w:jc w:val="center"/>
              <w:rPr>
                <w:rFonts w:ascii="Calibri" w:hAnsi="Calibri"/>
                <w:szCs w:val="22"/>
              </w:rPr>
            </w:pPr>
            <w:r w:rsidRPr="00570FB0">
              <w:rPr>
                <w:rFonts w:ascii="Calibri" w:hAnsi="Calibri"/>
                <w:sz w:val="22"/>
                <w:szCs w:val="22"/>
              </w:rPr>
              <w:t>NA</w:t>
            </w:r>
          </w:p>
        </w:tc>
      </w:tr>
    </w:tbl>
    <w:p w:rsidR="00400E42" w:rsidRDefault="00400E42" w:rsidP="00400E42"/>
    <w:p w:rsidR="00400E42" w:rsidRDefault="00400E42" w:rsidP="00400E42"/>
    <w:p w:rsidR="00400E42" w:rsidRDefault="00400E42" w:rsidP="00400E42"/>
    <w:p w:rsidR="00400E42" w:rsidRDefault="00400E42" w:rsidP="00400E42">
      <w:pPr>
        <w:rPr>
          <w:rFonts w:ascii="Calibri" w:hAnsi="Calibri"/>
          <w:b/>
          <w:sz w:val="22"/>
          <w:szCs w:val="22"/>
        </w:rPr>
      </w:pPr>
      <w:r>
        <w:rPr>
          <w:rFonts w:ascii="Calibri" w:hAnsi="Calibri"/>
          <w:b/>
          <w:sz w:val="22"/>
          <w:szCs w:val="22"/>
        </w:rPr>
        <w:br w:type="page"/>
      </w:r>
    </w:p>
    <w:p w:rsidR="00400E42" w:rsidRDefault="00400E42" w:rsidP="00400E42"/>
    <w:tbl>
      <w:tblPr>
        <w:tblW w:w="4897"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3348"/>
        <w:gridCol w:w="1925"/>
        <w:gridCol w:w="1726"/>
        <w:gridCol w:w="2380"/>
      </w:tblGrid>
      <w:tr w:rsidR="00400E42" w:rsidRPr="008D5FF8" w:rsidTr="00A92FFC">
        <w:trPr>
          <w:trHeight w:val="557"/>
        </w:trPr>
        <w:tc>
          <w:tcPr>
            <w:tcW w:w="5000" w:type="pct"/>
            <w:gridSpan w:val="4"/>
            <w:tcBorders>
              <w:top w:val="single" w:sz="8" w:space="0" w:color="4F81BD"/>
            </w:tcBorders>
            <w:shd w:val="clear" w:color="auto" w:fill="4F81BD"/>
            <w:vAlign w:val="center"/>
          </w:tcPr>
          <w:p w:rsidR="00400E42" w:rsidRPr="00570FB0" w:rsidRDefault="00400E42" w:rsidP="00A92FFC">
            <w:pPr>
              <w:jc w:val="center"/>
              <w:rPr>
                <w:rFonts w:ascii="Calibri" w:hAnsi="Calibri"/>
                <w:b/>
                <w:bCs/>
                <w:color w:val="FFFFFF"/>
                <w:szCs w:val="22"/>
              </w:rPr>
            </w:pPr>
            <w:r w:rsidRPr="00570FB0">
              <w:rPr>
                <w:rFonts w:ascii="Calibri" w:hAnsi="Calibri"/>
                <w:b/>
                <w:bCs/>
                <w:color w:val="FFFFFF"/>
                <w:sz w:val="22"/>
                <w:szCs w:val="22"/>
              </w:rPr>
              <w:t xml:space="preserve">Table H.3: All Deaths in </w:t>
            </w:r>
            <w:r>
              <w:rPr>
                <w:rFonts w:ascii="Calibri" w:hAnsi="Calibri"/>
                <w:b/>
                <w:bCs/>
                <w:color w:val="FFFFFF"/>
                <w:sz w:val="22"/>
                <w:szCs w:val="22"/>
              </w:rPr>
              <w:t xml:space="preserve">Massachusetts </w:t>
            </w:r>
            <w:r w:rsidRPr="00570FB0">
              <w:rPr>
                <w:rFonts w:ascii="Calibri" w:hAnsi="Calibri"/>
                <w:b/>
                <w:bCs/>
                <w:color w:val="FFFFFF"/>
                <w:sz w:val="22"/>
                <w:szCs w:val="22"/>
              </w:rPr>
              <w:t>compared to BSAS Population</w:t>
            </w:r>
          </w:p>
          <w:p w:rsidR="00400E42" w:rsidRPr="00570FB0" w:rsidRDefault="00400E42" w:rsidP="00A92FFC">
            <w:pPr>
              <w:jc w:val="center"/>
              <w:rPr>
                <w:rFonts w:ascii="Calibri" w:hAnsi="Calibri"/>
                <w:b/>
                <w:bCs/>
                <w:color w:val="FFFFFF"/>
                <w:szCs w:val="24"/>
              </w:rPr>
            </w:pPr>
          </w:p>
        </w:tc>
      </w:tr>
      <w:tr w:rsidR="00400E42" w:rsidRPr="008D5FF8" w:rsidTr="00A92FFC">
        <w:trPr>
          <w:trHeight w:val="557"/>
        </w:trPr>
        <w:tc>
          <w:tcPr>
            <w:tcW w:w="1785" w:type="pct"/>
            <w:tcBorders>
              <w:top w:val="single" w:sz="8" w:space="0" w:color="4F81BD"/>
              <w:bottom w:val="single" w:sz="8" w:space="0" w:color="4F81BD"/>
            </w:tcBorders>
            <w:vAlign w:val="center"/>
          </w:tcPr>
          <w:p w:rsidR="00400E42" w:rsidRPr="00570FB0" w:rsidRDefault="00400E42" w:rsidP="00A92FFC">
            <w:pPr>
              <w:rPr>
                <w:rFonts w:ascii="Calibri" w:hAnsi="Calibri"/>
                <w:b/>
                <w:bCs/>
                <w:szCs w:val="22"/>
              </w:rPr>
            </w:pPr>
            <w:r w:rsidRPr="00570FB0">
              <w:rPr>
                <w:rFonts w:ascii="Calibri" w:hAnsi="Calibri"/>
                <w:b/>
                <w:bCs/>
                <w:sz w:val="22"/>
                <w:szCs w:val="24"/>
              </w:rPr>
              <w:t>Characteristic</w:t>
            </w:r>
          </w:p>
        </w:tc>
        <w:tc>
          <w:tcPr>
            <w:tcW w:w="1026" w:type="pct"/>
            <w:tcBorders>
              <w:top w:val="single" w:sz="8" w:space="0" w:color="4F81BD"/>
              <w:bottom w:val="single" w:sz="8" w:space="0" w:color="4F81BD"/>
              <w:right w:val="single" w:sz="8" w:space="0" w:color="4F81BD"/>
            </w:tcBorders>
            <w:vAlign w:val="center"/>
          </w:tcPr>
          <w:p w:rsidR="00400E42" w:rsidRPr="00570FB0" w:rsidRDefault="00400E42" w:rsidP="00A92FFC">
            <w:pPr>
              <w:jc w:val="center"/>
              <w:rPr>
                <w:rFonts w:ascii="Calibri" w:hAnsi="Calibri"/>
                <w:b/>
                <w:szCs w:val="24"/>
              </w:rPr>
            </w:pPr>
            <w:r w:rsidRPr="00570FB0">
              <w:rPr>
                <w:rFonts w:ascii="Calibri" w:hAnsi="Calibri"/>
                <w:b/>
                <w:sz w:val="22"/>
                <w:szCs w:val="24"/>
              </w:rPr>
              <w:t xml:space="preserve">All Deaths </w:t>
            </w:r>
          </w:p>
          <w:p w:rsidR="00400E42" w:rsidRPr="00570FB0" w:rsidRDefault="00400E42" w:rsidP="00A92FFC">
            <w:pPr>
              <w:jc w:val="center"/>
              <w:rPr>
                <w:rFonts w:ascii="Calibri" w:hAnsi="Calibri"/>
                <w:b/>
                <w:szCs w:val="24"/>
              </w:rPr>
            </w:pPr>
            <w:r w:rsidRPr="00570FB0">
              <w:rPr>
                <w:rFonts w:ascii="Calibri" w:hAnsi="Calibri"/>
                <w:b/>
                <w:sz w:val="22"/>
                <w:szCs w:val="24"/>
              </w:rPr>
              <w:t>in MA</w:t>
            </w:r>
          </w:p>
        </w:tc>
        <w:tc>
          <w:tcPr>
            <w:tcW w:w="2189" w:type="pct"/>
            <w:gridSpan w:val="2"/>
            <w:tcBorders>
              <w:top w:val="single" w:sz="8" w:space="0" w:color="4F81BD"/>
              <w:left w:val="single" w:sz="8" w:space="0" w:color="4F81BD"/>
              <w:bottom w:val="single" w:sz="8" w:space="0" w:color="4F81BD"/>
            </w:tcBorders>
            <w:vAlign w:val="center"/>
          </w:tcPr>
          <w:p w:rsidR="00400E42" w:rsidRPr="00570FB0" w:rsidRDefault="00400E42" w:rsidP="00A92FFC">
            <w:pPr>
              <w:jc w:val="center"/>
              <w:rPr>
                <w:rFonts w:ascii="Calibri" w:hAnsi="Calibri"/>
                <w:b/>
                <w:szCs w:val="22"/>
              </w:rPr>
            </w:pPr>
            <w:r w:rsidRPr="00570FB0">
              <w:rPr>
                <w:rFonts w:ascii="Calibri" w:hAnsi="Calibri"/>
                <w:b/>
                <w:sz w:val="22"/>
                <w:szCs w:val="24"/>
              </w:rPr>
              <w:t>BSAS</w:t>
            </w:r>
          </w:p>
        </w:tc>
      </w:tr>
      <w:tr w:rsidR="00400E42" w:rsidRPr="008D5FF8" w:rsidTr="00A92FFC">
        <w:tc>
          <w:tcPr>
            <w:tcW w:w="1785"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
                <w:bCs/>
                <w:color w:val="000000"/>
                <w:sz w:val="22"/>
                <w:szCs w:val="22"/>
              </w:rPr>
              <w:t>Age— no.  (%)</w:t>
            </w:r>
          </w:p>
        </w:tc>
        <w:tc>
          <w:tcPr>
            <w:tcW w:w="1026" w:type="pct"/>
            <w:tcBorders>
              <w:left w:val="single" w:sz="8" w:space="0" w:color="4F81BD"/>
              <w:right w:val="single" w:sz="8" w:space="0" w:color="4F81BD"/>
            </w:tcBorders>
          </w:tcPr>
          <w:p w:rsidR="00400E42" w:rsidRPr="00570FB0" w:rsidRDefault="00400E42" w:rsidP="00A92FFC">
            <w:pPr>
              <w:jc w:val="center"/>
              <w:rPr>
                <w:rFonts w:ascii="Calibri" w:hAnsi="Calibri"/>
                <w:b/>
                <w:szCs w:val="22"/>
              </w:rPr>
            </w:pPr>
          </w:p>
        </w:tc>
        <w:tc>
          <w:tcPr>
            <w:tcW w:w="920" w:type="pct"/>
            <w:tcBorders>
              <w:left w:val="single" w:sz="8" w:space="0" w:color="4F81BD"/>
            </w:tcBorders>
          </w:tcPr>
          <w:p w:rsidR="00400E42" w:rsidRPr="00570FB0" w:rsidRDefault="00400E42" w:rsidP="00A92FFC">
            <w:pPr>
              <w:jc w:val="center"/>
              <w:rPr>
                <w:rFonts w:ascii="Calibri" w:hAnsi="Calibri"/>
                <w:b/>
                <w:szCs w:val="22"/>
              </w:rPr>
            </w:pPr>
            <w:r w:rsidRPr="00570FB0">
              <w:rPr>
                <w:rFonts w:ascii="Calibri" w:hAnsi="Calibri"/>
                <w:b/>
                <w:sz w:val="22"/>
                <w:szCs w:val="22"/>
              </w:rPr>
              <w:t>Died</w:t>
            </w:r>
          </w:p>
        </w:tc>
        <w:tc>
          <w:tcPr>
            <w:tcW w:w="1269" w:type="pct"/>
          </w:tcPr>
          <w:p w:rsidR="00400E42" w:rsidRPr="00570FB0" w:rsidRDefault="00400E42" w:rsidP="00A92FFC">
            <w:pPr>
              <w:jc w:val="center"/>
              <w:rPr>
                <w:rFonts w:ascii="Calibri" w:hAnsi="Calibri"/>
                <w:b/>
                <w:szCs w:val="22"/>
              </w:rPr>
            </w:pPr>
            <w:r w:rsidRPr="00570FB0">
              <w:rPr>
                <w:rFonts w:ascii="Calibri" w:hAnsi="Calibri"/>
                <w:b/>
                <w:sz w:val="22"/>
                <w:szCs w:val="22"/>
              </w:rPr>
              <w:t>Living</w:t>
            </w: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11-24</w:t>
            </w:r>
          </w:p>
        </w:tc>
        <w:tc>
          <w:tcPr>
            <w:tcW w:w="1026"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287"/>
              <w:jc w:val="right"/>
              <w:rPr>
                <w:rFonts w:ascii="Calibri" w:hAnsi="Calibri"/>
                <w:color w:val="000000"/>
                <w:szCs w:val="22"/>
              </w:rPr>
            </w:pPr>
            <w:r w:rsidRPr="00570FB0">
              <w:rPr>
                <w:rFonts w:ascii="Calibri" w:hAnsi="Calibri"/>
                <w:color w:val="000000"/>
                <w:sz w:val="22"/>
                <w:szCs w:val="22"/>
              </w:rPr>
              <w:t>902 (0.87)</w:t>
            </w:r>
          </w:p>
        </w:tc>
        <w:tc>
          <w:tcPr>
            <w:tcW w:w="920" w:type="pct"/>
            <w:tcBorders>
              <w:top w:val="single" w:sz="8" w:space="0" w:color="4F81BD"/>
              <w:left w:val="single" w:sz="8" w:space="0" w:color="4F81BD"/>
              <w:bottom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154 (5.4)</w:t>
            </w:r>
          </w:p>
        </w:tc>
        <w:tc>
          <w:tcPr>
            <w:tcW w:w="1269" w:type="pct"/>
            <w:tcBorders>
              <w:top w:val="single" w:sz="8" w:space="0" w:color="4F81BD"/>
              <w:bottom w:val="single" w:sz="8" w:space="0" w:color="4F81BD"/>
            </w:tcBorders>
            <w:vAlign w:val="bottom"/>
          </w:tcPr>
          <w:p w:rsidR="00400E42" w:rsidRPr="00570FB0" w:rsidRDefault="00400E42" w:rsidP="00A92FFC">
            <w:pPr>
              <w:ind w:right="343"/>
              <w:jc w:val="right"/>
              <w:rPr>
                <w:rFonts w:ascii="Calibri" w:hAnsi="Calibri"/>
                <w:szCs w:val="22"/>
              </w:rPr>
            </w:pPr>
            <w:r w:rsidRPr="00570FB0">
              <w:rPr>
                <w:rFonts w:ascii="Calibri" w:hAnsi="Calibri"/>
                <w:sz w:val="22"/>
                <w:szCs w:val="22"/>
              </w:rPr>
              <w:t>17017 (11.6)</w:t>
            </w:r>
          </w:p>
        </w:tc>
      </w:tr>
      <w:tr w:rsidR="00400E42" w:rsidRPr="008D5FF8" w:rsidTr="00A92FFC">
        <w:tc>
          <w:tcPr>
            <w:tcW w:w="1785"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25-34</w:t>
            </w:r>
          </w:p>
        </w:tc>
        <w:tc>
          <w:tcPr>
            <w:tcW w:w="1026" w:type="pct"/>
            <w:tcBorders>
              <w:left w:val="single" w:sz="8" w:space="0" w:color="4F81BD"/>
              <w:right w:val="single" w:sz="8" w:space="0" w:color="4F81BD"/>
            </w:tcBorders>
            <w:vAlign w:val="bottom"/>
          </w:tcPr>
          <w:p w:rsidR="00400E42" w:rsidRPr="00570FB0" w:rsidRDefault="00400E42" w:rsidP="00A92FFC">
            <w:pPr>
              <w:ind w:right="287"/>
              <w:jc w:val="right"/>
              <w:rPr>
                <w:rFonts w:ascii="Calibri" w:hAnsi="Calibri"/>
                <w:color w:val="000000"/>
                <w:szCs w:val="22"/>
              </w:rPr>
            </w:pPr>
            <w:r w:rsidRPr="00570FB0">
              <w:rPr>
                <w:rFonts w:ascii="Calibri" w:hAnsi="Calibri"/>
                <w:color w:val="000000"/>
                <w:sz w:val="22"/>
                <w:szCs w:val="22"/>
              </w:rPr>
              <w:t>1701 (1.64)</w:t>
            </w:r>
          </w:p>
        </w:tc>
        <w:tc>
          <w:tcPr>
            <w:tcW w:w="920" w:type="pct"/>
            <w:tcBorders>
              <w:left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608 (21.5)</w:t>
            </w:r>
          </w:p>
        </w:tc>
        <w:tc>
          <w:tcPr>
            <w:tcW w:w="1269" w:type="pct"/>
            <w:vAlign w:val="bottom"/>
          </w:tcPr>
          <w:p w:rsidR="00400E42" w:rsidRPr="00570FB0" w:rsidRDefault="00400E42" w:rsidP="00A92FFC">
            <w:pPr>
              <w:ind w:right="343"/>
              <w:jc w:val="right"/>
              <w:rPr>
                <w:rFonts w:ascii="Calibri" w:hAnsi="Calibri"/>
                <w:szCs w:val="22"/>
              </w:rPr>
            </w:pPr>
            <w:r w:rsidRPr="00570FB0">
              <w:rPr>
                <w:rFonts w:ascii="Calibri" w:hAnsi="Calibri"/>
                <w:sz w:val="22"/>
                <w:szCs w:val="22"/>
              </w:rPr>
              <w:t>48879 (33.4)</w:t>
            </w: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35-44</w:t>
            </w:r>
          </w:p>
        </w:tc>
        <w:tc>
          <w:tcPr>
            <w:tcW w:w="1026"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287"/>
              <w:jc w:val="right"/>
              <w:rPr>
                <w:rFonts w:ascii="Calibri" w:hAnsi="Calibri"/>
                <w:color w:val="000000"/>
                <w:szCs w:val="22"/>
              </w:rPr>
            </w:pPr>
            <w:r w:rsidRPr="00570FB0">
              <w:rPr>
                <w:rFonts w:ascii="Calibri" w:hAnsi="Calibri"/>
                <w:color w:val="000000"/>
                <w:sz w:val="22"/>
                <w:szCs w:val="22"/>
              </w:rPr>
              <w:t>2324 (2.25)</w:t>
            </w:r>
          </w:p>
        </w:tc>
        <w:tc>
          <w:tcPr>
            <w:tcW w:w="920" w:type="pct"/>
            <w:tcBorders>
              <w:top w:val="single" w:sz="8" w:space="0" w:color="4F81BD"/>
              <w:left w:val="single" w:sz="8" w:space="0" w:color="4F81BD"/>
              <w:bottom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522 (18.4)</w:t>
            </w:r>
          </w:p>
        </w:tc>
        <w:tc>
          <w:tcPr>
            <w:tcW w:w="1269" w:type="pct"/>
            <w:tcBorders>
              <w:top w:val="single" w:sz="8" w:space="0" w:color="4F81BD"/>
              <w:bottom w:val="single" w:sz="8" w:space="0" w:color="4F81BD"/>
            </w:tcBorders>
            <w:vAlign w:val="bottom"/>
          </w:tcPr>
          <w:p w:rsidR="00400E42" w:rsidRPr="00570FB0" w:rsidRDefault="00400E42" w:rsidP="00A92FFC">
            <w:pPr>
              <w:ind w:right="343"/>
              <w:jc w:val="right"/>
              <w:rPr>
                <w:rFonts w:ascii="Calibri" w:hAnsi="Calibri"/>
                <w:szCs w:val="22"/>
              </w:rPr>
            </w:pPr>
            <w:r w:rsidRPr="00570FB0">
              <w:rPr>
                <w:rFonts w:ascii="Calibri" w:hAnsi="Calibri"/>
                <w:sz w:val="22"/>
                <w:szCs w:val="22"/>
              </w:rPr>
              <w:t>31863 (21.7)</w:t>
            </w:r>
          </w:p>
        </w:tc>
      </w:tr>
      <w:tr w:rsidR="00400E42" w:rsidRPr="008D5FF8" w:rsidTr="00A92FFC">
        <w:tc>
          <w:tcPr>
            <w:tcW w:w="1785"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45-54</w:t>
            </w:r>
          </w:p>
        </w:tc>
        <w:tc>
          <w:tcPr>
            <w:tcW w:w="1026" w:type="pct"/>
            <w:tcBorders>
              <w:left w:val="single" w:sz="8" w:space="0" w:color="4F81BD"/>
              <w:right w:val="single" w:sz="8" w:space="0" w:color="4F81BD"/>
            </w:tcBorders>
            <w:vAlign w:val="bottom"/>
          </w:tcPr>
          <w:p w:rsidR="00400E42" w:rsidRPr="00570FB0" w:rsidRDefault="00400E42" w:rsidP="00A92FFC">
            <w:pPr>
              <w:ind w:right="287"/>
              <w:jc w:val="right"/>
              <w:rPr>
                <w:rFonts w:ascii="Calibri" w:hAnsi="Calibri"/>
                <w:color w:val="000000"/>
                <w:szCs w:val="22"/>
              </w:rPr>
            </w:pPr>
            <w:r w:rsidRPr="00570FB0">
              <w:rPr>
                <w:rFonts w:ascii="Calibri" w:hAnsi="Calibri"/>
                <w:color w:val="000000"/>
                <w:sz w:val="22"/>
                <w:szCs w:val="22"/>
              </w:rPr>
              <w:t>6098 (5.89)</w:t>
            </w:r>
          </w:p>
        </w:tc>
        <w:tc>
          <w:tcPr>
            <w:tcW w:w="920" w:type="pct"/>
            <w:tcBorders>
              <w:left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835 (29.5)</w:t>
            </w:r>
          </w:p>
        </w:tc>
        <w:tc>
          <w:tcPr>
            <w:tcW w:w="1269" w:type="pct"/>
            <w:vAlign w:val="bottom"/>
          </w:tcPr>
          <w:p w:rsidR="00400E42" w:rsidRPr="00570FB0" w:rsidRDefault="00400E42" w:rsidP="00A92FFC">
            <w:pPr>
              <w:ind w:right="343"/>
              <w:jc w:val="right"/>
              <w:rPr>
                <w:rFonts w:ascii="Calibri" w:hAnsi="Calibri"/>
                <w:szCs w:val="22"/>
              </w:rPr>
            </w:pPr>
            <w:r w:rsidRPr="00570FB0">
              <w:rPr>
                <w:rFonts w:ascii="Calibri" w:hAnsi="Calibri"/>
                <w:sz w:val="22"/>
                <w:szCs w:val="22"/>
              </w:rPr>
              <w:t>29456 (20.1)</w:t>
            </w: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55-64</w:t>
            </w:r>
          </w:p>
        </w:tc>
        <w:tc>
          <w:tcPr>
            <w:tcW w:w="1026"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287"/>
              <w:jc w:val="right"/>
              <w:rPr>
                <w:rFonts w:ascii="Calibri" w:hAnsi="Calibri"/>
                <w:color w:val="000000"/>
                <w:szCs w:val="22"/>
              </w:rPr>
            </w:pPr>
            <w:r w:rsidRPr="00570FB0">
              <w:rPr>
                <w:rFonts w:ascii="Calibri" w:hAnsi="Calibri"/>
                <w:color w:val="000000"/>
                <w:sz w:val="22"/>
                <w:szCs w:val="22"/>
              </w:rPr>
              <w:t>11375 (10.99)</w:t>
            </w:r>
          </w:p>
        </w:tc>
        <w:tc>
          <w:tcPr>
            <w:tcW w:w="920" w:type="pct"/>
            <w:tcBorders>
              <w:top w:val="single" w:sz="8" w:space="0" w:color="4F81BD"/>
              <w:left w:val="single" w:sz="8" w:space="0" w:color="4F81BD"/>
              <w:bottom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577 (20.4)</w:t>
            </w:r>
          </w:p>
        </w:tc>
        <w:tc>
          <w:tcPr>
            <w:tcW w:w="1269" w:type="pct"/>
            <w:tcBorders>
              <w:top w:val="single" w:sz="8" w:space="0" w:color="4F81BD"/>
              <w:bottom w:val="single" w:sz="8" w:space="0" w:color="4F81BD"/>
            </w:tcBorders>
            <w:vAlign w:val="bottom"/>
          </w:tcPr>
          <w:p w:rsidR="00400E42" w:rsidRPr="00570FB0" w:rsidRDefault="00400E42" w:rsidP="00A92FFC">
            <w:pPr>
              <w:ind w:right="343"/>
              <w:jc w:val="right"/>
              <w:rPr>
                <w:rFonts w:ascii="Calibri" w:hAnsi="Calibri"/>
                <w:szCs w:val="22"/>
              </w:rPr>
            </w:pPr>
            <w:r w:rsidRPr="00570FB0">
              <w:rPr>
                <w:rFonts w:ascii="Calibri" w:hAnsi="Calibri"/>
                <w:sz w:val="22"/>
                <w:szCs w:val="22"/>
              </w:rPr>
              <w:t>15550 (10.6)</w:t>
            </w:r>
          </w:p>
        </w:tc>
      </w:tr>
      <w:tr w:rsidR="00400E42" w:rsidRPr="008D5FF8" w:rsidTr="00A92FFC">
        <w:tc>
          <w:tcPr>
            <w:tcW w:w="1785"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65+</w:t>
            </w:r>
          </w:p>
        </w:tc>
        <w:tc>
          <w:tcPr>
            <w:tcW w:w="1026" w:type="pct"/>
            <w:tcBorders>
              <w:left w:val="single" w:sz="8" w:space="0" w:color="4F81BD"/>
              <w:right w:val="single" w:sz="8" w:space="0" w:color="4F81BD"/>
            </w:tcBorders>
            <w:vAlign w:val="bottom"/>
          </w:tcPr>
          <w:p w:rsidR="00400E42" w:rsidRPr="00570FB0" w:rsidRDefault="00400E42" w:rsidP="00A92FFC">
            <w:pPr>
              <w:ind w:right="287"/>
              <w:jc w:val="right"/>
              <w:rPr>
                <w:rFonts w:ascii="Calibri" w:hAnsi="Calibri"/>
                <w:color w:val="000000"/>
                <w:szCs w:val="22"/>
              </w:rPr>
            </w:pPr>
            <w:r w:rsidRPr="00570FB0">
              <w:rPr>
                <w:rFonts w:ascii="Calibri" w:hAnsi="Calibri"/>
                <w:color w:val="000000"/>
                <w:sz w:val="22"/>
                <w:szCs w:val="22"/>
              </w:rPr>
              <w:t>81072 (78.33)</w:t>
            </w:r>
          </w:p>
        </w:tc>
        <w:tc>
          <w:tcPr>
            <w:tcW w:w="920" w:type="pct"/>
            <w:tcBorders>
              <w:left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136 (4.8)</w:t>
            </w:r>
          </w:p>
        </w:tc>
        <w:tc>
          <w:tcPr>
            <w:tcW w:w="1269" w:type="pct"/>
            <w:vAlign w:val="bottom"/>
          </w:tcPr>
          <w:p w:rsidR="00400E42" w:rsidRPr="00570FB0" w:rsidRDefault="00400E42" w:rsidP="00A92FFC">
            <w:pPr>
              <w:ind w:right="343"/>
              <w:jc w:val="right"/>
              <w:rPr>
                <w:rFonts w:ascii="Calibri" w:hAnsi="Calibri"/>
                <w:szCs w:val="22"/>
              </w:rPr>
            </w:pPr>
            <w:r w:rsidRPr="00570FB0">
              <w:rPr>
                <w:rFonts w:ascii="Calibri" w:hAnsi="Calibri"/>
                <w:sz w:val="22"/>
                <w:szCs w:val="22"/>
              </w:rPr>
              <w:t>3754 (2.6)</w:t>
            </w: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1026"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287"/>
              <w:jc w:val="right"/>
              <w:rPr>
                <w:rFonts w:ascii="Calibri" w:hAnsi="Calibri"/>
                <w:b/>
                <w:szCs w:val="22"/>
              </w:rPr>
            </w:pPr>
          </w:p>
        </w:tc>
        <w:tc>
          <w:tcPr>
            <w:tcW w:w="920" w:type="pct"/>
            <w:tcBorders>
              <w:top w:val="single" w:sz="8" w:space="0" w:color="4F81BD"/>
              <w:left w:val="single" w:sz="8" w:space="0" w:color="4F81BD"/>
              <w:bottom w:val="single" w:sz="8" w:space="0" w:color="4F81BD"/>
            </w:tcBorders>
          </w:tcPr>
          <w:p w:rsidR="00400E42" w:rsidRPr="00570FB0" w:rsidRDefault="00400E42" w:rsidP="00A92FFC">
            <w:pPr>
              <w:ind w:right="213"/>
              <w:jc w:val="right"/>
              <w:rPr>
                <w:rFonts w:ascii="Calibri" w:hAnsi="Calibri"/>
                <w:b/>
                <w:szCs w:val="22"/>
              </w:rPr>
            </w:pPr>
          </w:p>
        </w:tc>
        <w:tc>
          <w:tcPr>
            <w:tcW w:w="1269" w:type="pct"/>
            <w:tcBorders>
              <w:top w:val="single" w:sz="8" w:space="0" w:color="4F81BD"/>
              <w:bottom w:val="single" w:sz="8" w:space="0" w:color="4F81BD"/>
            </w:tcBorders>
            <w:vAlign w:val="bottom"/>
          </w:tcPr>
          <w:p w:rsidR="00400E42" w:rsidRPr="00570FB0" w:rsidRDefault="00400E42" w:rsidP="00A92FFC">
            <w:pPr>
              <w:ind w:right="343"/>
              <w:jc w:val="right"/>
              <w:rPr>
                <w:rFonts w:ascii="Arial" w:hAnsi="Arial" w:cs="Arial"/>
                <w:color w:val="000000"/>
                <w:szCs w:val="22"/>
              </w:rPr>
            </w:pPr>
          </w:p>
        </w:tc>
      </w:tr>
      <w:tr w:rsidR="00400E42" w:rsidRPr="008D5FF8" w:rsidTr="00A92FFC">
        <w:tc>
          <w:tcPr>
            <w:tcW w:w="1785"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Sex— no.  (%)</w:t>
            </w:r>
          </w:p>
        </w:tc>
        <w:tc>
          <w:tcPr>
            <w:tcW w:w="1026" w:type="pct"/>
            <w:tcBorders>
              <w:left w:val="single" w:sz="8" w:space="0" w:color="4F81BD"/>
              <w:right w:val="single" w:sz="8" w:space="0" w:color="4F81BD"/>
            </w:tcBorders>
          </w:tcPr>
          <w:p w:rsidR="00400E42" w:rsidRPr="00570FB0" w:rsidRDefault="00400E42" w:rsidP="00A92FFC">
            <w:pPr>
              <w:ind w:right="287"/>
              <w:jc w:val="right"/>
              <w:rPr>
                <w:rFonts w:ascii="Calibri" w:hAnsi="Calibri"/>
                <w:b/>
                <w:szCs w:val="22"/>
              </w:rPr>
            </w:pPr>
          </w:p>
        </w:tc>
        <w:tc>
          <w:tcPr>
            <w:tcW w:w="920" w:type="pct"/>
            <w:tcBorders>
              <w:left w:val="single" w:sz="8" w:space="0" w:color="4F81BD"/>
            </w:tcBorders>
          </w:tcPr>
          <w:p w:rsidR="00400E42" w:rsidRPr="00570FB0" w:rsidRDefault="00400E42" w:rsidP="00A92FFC">
            <w:pPr>
              <w:ind w:right="213"/>
              <w:jc w:val="right"/>
              <w:rPr>
                <w:rFonts w:ascii="Calibri" w:hAnsi="Calibri"/>
                <w:b/>
                <w:szCs w:val="22"/>
              </w:rPr>
            </w:pPr>
          </w:p>
        </w:tc>
        <w:tc>
          <w:tcPr>
            <w:tcW w:w="1269" w:type="pct"/>
            <w:vAlign w:val="bottom"/>
          </w:tcPr>
          <w:p w:rsidR="00400E42" w:rsidRPr="00570FB0" w:rsidRDefault="00400E42" w:rsidP="00A92FFC">
            <w:pPr>
              <w:ind w:right="343"/>
              <w:jc w:val="right"/>
              <w:rPr>
                <w:rFonts w:ascii="Arial" w:hAnsi="Arial" w:cs="Arial"/>
                <w:color w:val="000000"/>
                <w:szCs w:val="22"/>
              </w:rPr>
            </w:pP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Male </w:t>
            </w:r>
          </w:p>
        </w:tc>
        <w:tc>
          <w:tcPr>
            <w:tcW w:w="1026"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287"/>
              <w:jc w:val="right"/>
              <w:rPr>
                <w:rFonts w:ascii="Calibri" w:hAnsi="Calibri"/>
                <w:szCs w:val="22"/>
              </w:rPr>
            </w:pPr>
            <w:r w:rsidRPr="00570FB0">
              <w:rPr>
                <w:rFonts w:ascii="Calibri" w:hAnsi="Calibri"/>
                <w:sz w:val="22"/>
                <w:szCs w:val="22"/>
              </w:rPr>
              <w:t>49438 (47.8)</w:t>
            </w:r>
          </w:p>
        </w:tc>
        <w:tc>
          <w:tcPr>
            <w:tcW w:w="920" w:type="pct"/>
            <w:tcBorders>
              <w:top w:val="single" w:sz="8" w:space="0" w:color="4F81BD"/>
              <w:left w:val="single" w:sz="8" w:space="0" w:color="4F81BD"/>
              <w:bottom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2049 (72.4)</w:t>
            </w:r>
          </w:p>
        </w:tc>
        <w:tc>
          <w:tcPr>
            <w:tcW w:w="1269" w:type="pct"/>
            <w:tcBorders>
              <w:top w:val="single" w:sz="8" w:space="0" w:color="4F81BD"/>
              <w:bottom w:val="single" w:sz="8" w:space="0" w:color="4F81BD"/>
            </w:tcBorders>
            <w:vAlign w:val="bottom"/>
          </w:tcPr>
          <w:p w:rsidR="00400E42" w:rsidRPr="00570FB0" w:rsidRDefault="00400E42" w:rsidP="00A92FFC">
            <w:pPr>
              <w:ind w:right="343"/>
              <w:jc w:val="right"/>
              <w:rPr>
                <w:rFonts w:ascii="Calibri" w:hAnsi="Calibri"/>
                <w:szCs w:val="22"/>
              </w:rPr>
            </w:pPr>
            <w:r w:rsidRPr="00570FB0">
              <w:rPr>
                <w:rFonts w:ascii="Calibri" w:hAnsi="Calibri"/>
                <w:sz w:val="22"/>
                <w:szCs w:val="22"/>
              </w:rPr>
              <w:t>99761 (68.1)</w:t>
            </w:r>
          </w:p>
        </w:tc>
      </w:tr>
      <w:tr w:rsidR="00400E42" w:rsidRPr="008D5FF8" w:rsidTr="00A92FFC">
        <w:tc>
          <w:tcPr>
            <w:tcW w:w="1785"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Female </w:t>
            </w:r>
          </w:p>
        </w:tc>
        <w:tc>
          <w:tcPr>
            <w:tcW w:w="1026" w:type="pct"/>
            <w:tcBorders>
              <w:left w:val="single" w:sz="8" w:space="0" w:color="4F81BD"/>
              <w:right w:val="single" w:sz="8" w:space="0" w:color="4F81BD"/>
            </w:tcBorders>
          </w:tcPr>
          <w:p w:rsidR="00400E42" w:rsidRPr="00570FB0" w:rsidRDefault="00400E42" w:rsidP="00A92FFC">
            <w:pPr>
              <w:ind w:right="287"/>
              <w:jc w:val="right"/>
              <w:rPr>
                <w:rFonts w:ascii="Calibri" w:hAnsi="Calibri"/>
                <w:szCs w:val="22"/>
              </w:rPr>
            </w:pPr>
            <w:r w:rsidRPr="00570FB0">
              <w:rPr>
                <w:rFonts w:ascii="Calibri" w:hAnsi="Calibri"/>
                <w:sz w:val="22"/>
                <w:szCs w:val="22"/>
              </w:rPr>
              <w:t>54067 (52.2)</w:t>
            </w:r>
          </w:p>
        </w:tc>
        <w:tc>
          <w:tcPr>
            <w:tcW w:w="920" w:type="pct"/>
            <w:tcBorders>
              <w:left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783 (27.6)</w:t>
            </w:r>
          </w:p>
        </w:tc>
        <w:tc>
          <w:tcPr>
            <w:tcW w:w="1269" w:type="pct"/>
            <w:vAlign w:val="bottom"/>
          </w:tcPr>
          <w:p w:rsidR="00400E42" w:rsidRPr="00570FB0" w:rsidRDefault="00400E42" w:rsidP="00A92FFC">
            <w:pPr>
              <w:ind w:right="343"/>
              <w:jc w:val="right"/>
              <w:rPr>
                <w:rFonts w:ascii="Calibri" w:hAnsi="Calibri"/>
                <w:szCs w:val="22"/>
              </w:rPr>
            </w:pPr>
            <w:r w:rsidRPr="00570FB0">
              <w:rPr>
                <w:rFonts w:ascii="Calibri" w:hAnsi="Calibri"/>
                <w:sz w:val="22"/>
                <w:szCs w:val="22"/>
              </w:rPr>
              <w:t>46753 (31.9)</w:t>
            </w: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1026"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287"/>
              <w:jc w:val="right"/>
              <w:rPr>
                <w:rFonts w:ascii="Calibri" w:hAnsi="Calibri"/>
                <w:b/>
                <w:szCs w:val="22"/>
              </w:rPr>
            </w:pPr>
          </w:p>
        </w:tc>
        <w:tc>
          <w:tcPr>
            <w:tcW w:w="920" w:type="pct"/>
            <w:tcBorders>
              <w:top w:val="single" w:sz="8" w:space="0" w:color="4F81BD"/>
              <w:left w:val="single" w:sz="8" w:space="0" w:color="4F81BD"/>
              <w:bottom w:val="single" w:sz="8" w:space="0" w:color="4F81BD"/>
            </w:tcBorders>
            <w:vAlign w:val="bottom"/>
          </w:tcPr>
          <w:p w:rsidR="00400E42" w:rsidRPr="00570FB0" w:rsidRDefault="00400E42" w:rsidP="00A92FFC">
            <w:pPr>
              <w:ind w:right="213"/>
              <w:jc w:val="right"/>
              <w:rPr>
                <w:rFonts w:ascii="Arial" w:hAnsi="Arial" w:cs="Arial"/>
                <w:color w:val="000000"/>
                <w:szCs w:val="22"/>
              </w:rPr>
            </w:pPr>
          </w:p>
        </w:tc>
        <w:tc>
          <w:tcPr>
            <w:tcW w:w="1269" w:type="pct"/>
            <w:tcBorders>
              <w:top w:val="single" w:sz="8" w:space="0" w:color="4F81BD"/>
              <w:bottom w:val="single" w:sz="8" w:space="0" w:color="4F81BD"/>
            </w:tcBorders>
            <w:vAlign w:val="bottom"/>
          </w:tcPr>
          <w:p w:rsidR="00400E42" w:rsidRPr="00570FB0" w:rsidRDefault="00400E42" w:rsidP="00A92FFC">
            <w:pPr>
              <w:ind w:right="343"/>
              <w:jc w:val="right"/>
              <w:rPr>
                <w:rFonts w:ascii="Arial" w:hAnsi="Arial" w:cs="Arial"/>
                <w:color w:val="000000"/>
                <w:szCs w:val="22"/>
              </w:rPr>
            </w:pPr>
          </w:p>
        </w:tc>
      </w:tr>
      <w:tr w:rsidR="00400E42" w:rsidRPr="008D5FF8" w:rsidTr="00A92FFC">
        <w:tc>
          <w:tcPr>
            <w:tcW w:w="1785"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Race or ethnic group — no. (%)</w:t>
            </w:r>
          </w:p>
        </w:tc>
        <w:tc>
          <w:tcPr>
            <w:tcW w:w="1026" w:type="pct"/>
            <w:tcBorders>
              <w:left w:val="single" w:sz="8" w:space="0" w:color="4F81BD"/>
              <w:right w:val="single" w:sz="8" w:space="0" w:color="4F81BD"/>
            </w:tcBorders>
          </w:tcPr>
          <w:p w:rsidR="00400E42" w:rsidRPr="00570FB0" w:rsidRDefault="00400E42" w:rsidP="00A92FFC">
            <w:pPr>
              <w:ind w:right="287"/>
              <w:jc w:val="right"/>
              <w:rPr>
                <w:rFonts w:ascii="Calibri" w:hAnsi="Calibri"/>
                <w:b/>
                <w:szCs w:val="22"/>
              </w:rPr>
            </w:pPr>
          </w:p>
        </w:tc>
        <w:tc>
          <w:tcPr>
            <w:tcW w:w="920" w:type="pct"/>
            <w:tcBorders>
              <w:left w:val="single" w:sz="8" w:space="0" w:color="4F81BD"/>
            </w:tcBorders>
            <w:vAlign w:val="bottom"/>
          </w:tcPr>
          <w:p w:rsidR="00400E42" w:rsidRPr="00570FB0" w:rsidRDefault="00400E42" w:rsidP="00A92FFC">
            <w:pPr>
              <w:ind w:right="213"/>
              <w:jc w:val="right"/>
              <w:rPr>
                <w:rFonts w:ascii="Arial" w:hAnsi="Arial" w:cs="Arial"/>
                <w:color w:val="000000"/>
                <w:szCs w:val="22"/>
              </w:rPr>
            </w:pPr>
          </w:p>
        </w:tc>
        <w:tc>
          <w:tcPr>
            <w:tcW w:w="1269" w:type="pct"/>
          </w:tcPr>
          <w:p w:rsidR="00400E42" w:rsidRPr="00570FB0" w:rsidRDefault="00400E42" w:rsidP="00A92FFC">
            <w:pPr>
              <w:ind w:right="343"/>
              <w:jc w:val="right"/>
              <w:rPr>
                <w:rFonts w:ascii="Calibri" w:hAnsi="Calibri"/>
                <w:b/>
                <w:szCs w:val="22"/>
              </w:rPr>
            </w:pP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White non-Hispanic</w:t>
            </w:r>
          </w:p>
        </w:tc>
        <w:tc>
          <w:tcPr>
            <w:tcW w:w="1026"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287"/>
              <w:jc w:val="right"/>
              <w:rPr>
                <w:rFonts w:ascii="Calibri" w:hAnsi="Calibri"/>
                <w:szCs w:val="22"/>
              </w:rPr>
            </w:pPr>
            <w:r w:rsidRPr="00570FB0">
              <w:rPr>
                <w:rFonts w:ascii="Calibri" w:hAnsi="Calibri"/>
                <w:sz w:val="22"/>
                <w:szCs w:val="22"/>
              </w:rPr>
              <w:t>94012 (90.8)</w:t>
            </w:r>
          </w:p>
        </w:tc>
        <w:tc>
          <w:tcPr>
            <w:tcW w:w="920" w:type="pct"/>
            <w:tcBorders>
              <w:top w:val="single" w:sz="8" w:space="0" w:color="4F81BD"/>
              <w:left w:val="single" w:sz="8" w:space="0" w:color="4F81BD"/>
              <w:bottom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2335 (82.5)</w:t>
            </w:r>
          </w:p>
        </w:tc>
        <w:tc>
          <w:tcPr>
            <w:tcW w:w="1269" w:type="pct"/>
            <w:tcBorders>
              <w:top w:val="single" w:sz="8" w:space="0" w:color="4F81BD"/>
              <w:bottom w:val="single" w:sz="8" w:space="0" w:color="4F81BD"/>
            </w:tcBorders>
            <w:vAlign w:val="bottom"/>
          </w:tcPr>
          <w:p w:rsidR="00400E42" w:rsidRPr="00570FB0" w:rsidRDefault="00400E42" w:rsidP="00A92FFC">
            <w:pPr>
              <w:ind w:right="343"/>
              <w:jc w:val="right"/>
              <w:rPr>
                <w:rFonts w:ascii="Calibri" w:hAnsi="Calibri"/>
                <w:szCs w:val="22"/>
              </w:rPr>
            </w:pPr>
            <w:r w:rsidRPr="00570FB0">
              <w:rPr>
                <w:rFonts w:ascii="Calibri" w:hAnsi="Calibri"/>
                <w:sz w:val="22"/>
                <w:szCs w:val="22"/>
              </w:rPr>
              <w:t>110482 (75.4)</w:t>
            </w:r>
          </w:p>
        </w:tc>
      </w:tr>
      <w:tr w:rsidR="00400E42" w:rsidRPr="008D5FF8" w:rsidTr="00A92FFC">
        <w:tc>
          <w:tcPr>
            <w:tcW w:w="1785"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Black non-Hispanic</w:t>
            </w:r>
          </w:p>
        </w:tc>
        <w:tc>
          <w:tcPr>
            <w:tcW w:w="1026" w:type="pct"/>
            <w:tcBorders>
              <w:left w:val="single" w:sz="8" w:space="0" w:color="4F81BD"/>
              <w:right w:val="single" w:sz="8" w:space="0" w:color="4F81BD"/>
            </w:tcBorders>
          </w:tcPr>
          <w:p w:rsidR="00400E42" w:rsidRPr="00570FB0" w:rsidRDefault="00400E42" w:rsidP="00A92FFC">
            <w:pPr>
              <w:ind w:right="287"/>
              <w:jc w:val="right"/>
              <w:rPr>
                <w:rFonts w:ascii="Calibri" w:hAnsi="Calibri"/>
                <w:szCs w:val="22"/>
              </w:rPr>
            </w:pPr>
            <w:r w:rsidRPr="00570FB0">
              <w:rPr>
                <w:rFonts w:ascii="Calibri" w:hAnsi="Calibri"/>
                <w:sz w:val="22"/>
                <w:szCs w:val="22"/>
              </w:rPr>
              <w:t>4361 (4.2)</w:t>
            </w:r>
          </w:p>
        </w:tc>
        <w:tc>
          <w:tcPr>
            <w:tcW w:w="920" w:type="pct"/>
            <w:tcBorders>
              <w:left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171 (6.0)</w:t>
            </w:r>
          </w:p>
        </w:tc>
        <w:tc>
          <w:tcPr>
            <w:tcW w:w="1269" w:type="pct"/>
            <w:vAlign w:val="bottom"/>
          </w:tcPr>
          <w:p w:rsidR="00400E42" w:rsidRPr="00570FB0" w:rsidRDefault="00400E42" w:rsidP="00A92FFC">
            <w:pPr>
              <w:ind w:right="343"/>
              <w:jc w:val="right"/>
              <w:rPr>
                <w:rFonts w:ascii="Calibri" w:hAnsi="Calibri"/>
                <w:szCs w:val="22"/>
              </w:rPr>
            </w:pPr>
            <w:r w:rsidRPr="00570FB0">
              <w:rPr>
                <w:rFonts w:ascii="Calibri" w:hAnsi="Calibri"/>
                <w:sz w:val="22"/>
                <w:szCs w:val="22"/>
              </w:rPr>
              <w:t>10789 (7.4)</w:t>
            </w: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Asian/PI non-Hispanic</w:t>
            </w:r>
          </w:p>
        </w:tc>
        <w:tc>
          <w:tcPr>
            <w:tcW w:w="1026"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287"/>
              <w:jc w:val="right"/>
              <w:rPr>
                <w:rFonts w:ascii="Calibri" w:hAnsi="Calibri"/>
                <w:szCs w:val="22"/>
              </w:rPr>
            </w:pPr>
            <w:r w:rsidRPr="00570FB0">
              <w:rPr>
                <w:rFonts w:ascii="Calibri" w:hAnsi="Calibri"/>
                <w:sz w:val="22"/>
                <w:szCs w:val="22"/>
              </w:rPr>
              <w:t>1599 (1.5)</w:t>
            </w:r>
          </w:p>
        </w:tc>
        <w:tc>
          <w:tcPr>
            <w:tcW w:w="920" w:type="pct"/>
            <w:tcBorders>
              <w:top w:val="single" w:sz="8" w:space="0" w:color="4F81BD"/>
              <w:left w:val="single" w:sz="8" w:space="0" w:color="4F81BD"/>
              <w:bottom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12 (0.4)</w:t>
            </w:r>
          </w:p>
        </w:tc>
        <w:tc>
          <w:tcPr>
            <w:tcW w:w="1269" w:type="pct"/>
            <w:tcBorders>
              <w:top w:val="single" w:sz="8" w:space="0" w:color="4F81BD"/>
              <w:bottom w:val="single" w:sz="8" w:space="0" w:color="4F81BD"/>
            </w:tcBorders>
            <w:vAlign w:val="bottom"/>
          </w:tcPr>
          <w:p w:rsidR="00400E42" w:rsidRPr="00570FB0" w:rsidRDefault="00400E42" w:rsidP="00A92FFC">
            <w:pPr>
              <w:ind w:right="343"/>
              <w:jc w:val="right"/>
              <w:rPr>
                <w:rFonts w:ascii="Calibri" w:hAnsi="Calibri"/>
                <w:szCs w:val="22"/>
              </w:rPr>
            </w:pPr>
            <w:r w:rsidRPr="00570FB0">
              <w:rPr>
                <w:rFonts w:ascii="Calibri" w:hAnsi="Calibri"/>
                <w:sz w:val="22"/>
                <w:szCs w:val="22"/>
              </w:rPr>
              <w:t>1266 (0.9)</w:t>
            </w:r>
          </w:p>
        </w:tc>
      </w:tr>
      <w:tr w:rsidR="00400E42" w:rsidRPr="008D5FF8" w:rsidTr="00A92FFC">
        <w:trPr>
          <w:trHeight w:val="60"/>
        </w:trPr>
        <w:tc>
          <w:tcPr>
            <w:tcW w:w="1785"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Hispanic</w:t>
            </w:r>
          </w:p>
        </w:tc>
        <w:tc>
          <w:tcPr>
            <w:tcW w:w="1026" w:type="pct"/>
            <w:tcBorders>
              <w:left w:val="single" w:sz="8" w:space="0" w:color="4F81BD"/>
              <w:right w:val="single" w:sz="8" w:space="0" w:color="4F81BD"/>
            </w:tcBorders>
          </w:tcPr>
          <w:p w:rsidR="00400E42" w:rsidRPr="00570FB0" w:rsidRDefault="00400E42" w:rsidP="00A92FFC">
            <w:pPr>
              <w:ind w:right="287"/>
              <w:jc w:val="right"/>
              <w:rPr>
                <w:rFonts w:ascii="Calibri" w:hAnsi="Calibri"/>
                <w:szCs w:val="22"/>
              </w:rPr>
            </w:pPr>
            <w:r w:rsidRPr="00570FB0">
              <w:rPr>
                <w:rFonts w:ascii="Calibri" w:hAnsi="Calibri"/>
                <w:sz w:val="22"/>
                <w:szCs w:val="22"/>
              </w:rPr>
              <w:t>2822 (2.7)</w:t>
            </w:r>
          </w:p>
        </w:tc>
        <w:tc>
          <w:tcPr>
            <w:tcW w:w="920" w:type="pct"/>
            <w:tcBorders>
              <w:left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245 (8.6)</w:t>
            </w:r>
          </w:p>
        </w:tc>
        <w:tc>
          <w:tcPr>
            <w:tcW w:w="1269" w:type="pct"/>
            <w:vAlign w:val="bottom"/>
          </w:tcPr>
          <w:p w:rsidR="00400E42" w:rsidRPr="00570FB0" w:rsidRDefault="00400E42" w:rsidP="00A92FFC">
            <w:pPr>
              <w:ind w:right="343"/>
              <w:jc w:val="right"/>
              <w:rPr>
                <w:rFonts w:ascii="Calibri" w:hAnsi="Calibri"/>
                <w:szCs w:val="22"/>
              </w:rPr>
            </w:pPr>
            <w:r w:rsidRPr="00570FB0">
              <w:rPr>
                <w:rFonts w:ascii="Calibri" w:hAnsi="Calibri"/>
                <w:sz w:val="22"/>
                <w:szCs w:val="22"/>
              </w:rPr>
              <w:t>18433 (12.6)</w:t>
            </w: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Other</w:t>
            </w:r>
          </w:p>
        </w:tc>
        <w:tc>
          <w:tcPr>
            <w:tcW w:w="1026"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287"/>
              <w:jc w:val="right"/>
              <w:rPr>
                <w:rFonts w:ascii="Calibri" w:hAnsi="Calibri"/>
                <w:szCs w:val="22"/>
              </w:rPr>
            </w:pPr>
            <w:r w:rsidRPr="00570FB0">
              <w:rPr>
                <w:rFonts w:ascii="Calibri" w:hAnsi="Calibri"/>
                <w:sz w:val="22"/>
                <w:szCs w:val="22"/>
              </w:rPr>
              <w:t>703 (0.7)</w:t>
            </w:r>
          </w:p>
        </w:tc>
        <w:tc>
          <w:tcPr>
            <w:tcW w:w="920" w:type="pct"/>
            <w:tcBorders>
              <w:top w:val="single" w:sz="8" w:space="0" w:color="4F81BD"/>
              <w:left w:val="single" w:sz="8" w:space="0" w:color="4F81BD"/>
              <w:bottom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69 (2.4)</w:t>
            </w:r>
          </w:p>
        </w:tc>
        <w:tc>
          <w:tcPr>
            <w:tcW w:w="1269" w:type="pct"/>
            <w:tcBorders>
              <w:top w:val="single" w:sz="8" w:space="0" w:color="4F81BD"/>
              <w:bottom w:val="single" w:sz="8" w:space="0" w:color="4F81BD"/>
            </w:tcBorders>
            <w:vAlign w:val="bottom"/>
          </w:tcPr>
          <w:p w:rsidR="00400E42" w:rsidRPr="00570FB0" w:rsidRDefault="00400E42" w:rsidP="00A92FFC">
            <w:pPr>
              <w:ind w:right="343"/>
              <w:jc w:val="right"/>
              <w:rPr>
                <w:rFonts w:ascii="Calibri" w:hAnsi="Calibri"/>
                <w:szCs w:val="22"/>
              </w:rPr>
            </w:pPr>
            <w:r w:rsidRPr="00570FB0">
              <w:rPr>
                <w:rFonts w:ascii="Calibri" w:hAnsi="Calibri"/>
                <w:sz w:val="22"/>
                <w:szCs w:val="22"/>
              </w:rPr>
              <w:t>4468 (3.1)</w:t>
            </w:r>
          </w:p>
        </w:tc>
      </w:tr>
      <w:tr w:rsidR="00400E42" w:rsidRPr="008D5FF8" w:rsidTr="00A92FFC">
        <w:tc>
          <w:tcPr>
            <w:tcW w:w="1785"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1026" w:type="pct"/>
            <w:tcBorders>
              <w:left w:val="single" w:sz="8" w:space="0" w:color="4F81BD"/>
              <w:right w:val="single" w:sz="8" w:space="0" w:color="4F81BD"/>
            </w:tcBorders>
          </w:tcPr>
          <w:p w:rsidR="00400E42" w:rsidRPr="00570FB0" w:rsidRDefault="00400E42" w:rsidP="00A92FFC">
            <w:pPr>
              <w:ind w:right="287"/>
              <w:jc w:val="right"/>
              <w:rPr>
                <w:rFonts w:ascii="Calibri" w:hAnsi="Calibri"/>
                <w:b/>
                <w:szCs w:val="22"/>
              </w:rPr>
            </w:pPr>
          </w:p>
        </w:tc>
        <w:tc>
          <w:tcPr>
            <w:tcW w:w="920" w:type="pct"/>
            <w:tcBorders>
              <w:left w:val="single" w:sz="8" w:space="0" w:color="4F81BD"/>
            </w:tcBorders>
            <w:vAlign w:val="bottom"/>
          </w:tcPr>
          <w:p w:rsidR="00400E42" w:rsidRPr="00570FB0" w:rsidRDefault="00400E42" w:rsidP="00A92FFC">
            <w:pPr>
              <w:ind w:right="213"/>
              <w:jc w:val="right"/>
              <w:rPr>
                <w:rFonts w:ascii="Arial" w:hAnsi="Arial" w:cs="Arial"/>
                <w:color w:val="000000"/>
                <w:szCs w:val="22"/>
              </w:rPr>
            </w:pPr>
          </w:p>
        </w:tc>
        <w:tc>
          <w:tcPr>
            <w:tcW w:w="1269" w:type="pct"/>
            <w:vAlign w:val="bottom"/>
          </w:tcPr>
          <w:p w:rsidR="00400E42" w:rsidRPr="00570FB0" w:rsidRDefault="00400E42" w:rsidP="00A92FFC">
            <w:pPr>
              <w:ind w:right="343"/>
              <w:jc w:val="right"/>
              <w:rPr>
                <w:rFonts w:ascii="Calibri" w:hAnsi="Calibri"/>
                <w:szCs w:val="22"/>
              </w:rPr>
            </w:pP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Marital status — no. (%)</w:t>
            </w:r>
          </w:p>
        </w:tc>
        <w:tc>
          <w:tcPr>
            <w:tcW w:w="1026"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287"/>
              <w:jc w:val="right"/>
              <w:rPr>
                <w:rFonts w:ascii="Calibri" w:hAnsi="Calibri"/>
                <w:b/>
                <w:szCs w:val="22"/>
              </w:rPr>
            </w:pPr>
          </w:p>
        </w:tc>
        <w:tc>
          <w:tcPr>
            <w:tcW w:w="920" w:type="pct"/>
            <w:tcBorders>
              <w:top w:val="single" w:sz="8" w:space="0" w:color="4F81BD"/>
              <w:left w:val="single" w:sz="8" w:space="0" w:color="4F81BD"/>
              <w:bottom w:val="single" w:sz="8" w:space="0" w:color="4F81BD"/>
            </w:tcBorders>
          </w:tcPr>
          <w:p w:rsidR="00400E42" w:rsidRPr="00570FB0" w:rsidRDefault="00400E42" w:rsidP="00A92FFC">
            <w:pPr>
              <w:ind w:right="213"/>
              <w:jc w:val="right"/>
              <w:rPr>
                <w:rFonts w:ascii="Calibri" w:hAnsi="Calibri"/>
                <w:b/>
                <w:szCs w:val="22"/>
              </w:rPr>
            </w:pPr>
          </w:p>
        </w:tc>
        <w:tc>
          <w:tcPr>
            <w:tcW w:w="1269" w:type="pct"/>
            <w:tcBorders>
              <w:top w:val="single" w:sz="8" w:space="0" w:color="4F81BD"/>
              <w:bottom w:val="single" w:sz="8" w:space="0" w:color="4F81BD"/>
            </w:tcBorders>
          </w:tcPr>
          <w:p w:rsidR="00400E42" w:rsidRPr="00570FB0" w:rsidRDefault="00400E42" w:rsidP="00A92FFC">
            <w:pPr>
              <w:ind w:right="343"/>
              <w:jc w:val="right"/>
              <w:rPr>
                <w:rFonts w:ascii="Calibri" w:hAnsi="Calibri"/>
                <w:b/>
                <w:szCs w:val="22"/>
              </w:rPr>
            </w:pPr>
          </w:p>
        </w:tc>
      </w:tr>
      <w:tr w:rsidR="00400E42" w:rsidRPr="008D5FF8" w:rsidTr="00A92FFC">
        <w:tc>
          <w:tcPr>
            <w:tcW w:w="1785"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Single, never married</w:t>
            </w:r>
          </w:p>
        </w:tc>
        <w:tc>
          <w:tcPr>
            <w:tcW w:w="1026" w:type="pct"/>
            <w:tcBorders>
              <w:left w:val="single" w:sz="8" w:space="0" w:color="4F81BD"/>
              <w:right w:val="single" w:sz="8" w:space="0" w:color="4F81BD"/>
            </w:tcBorders>
          </w:tcPr>
          <w:p w:rsidR="00400E42" w:rsidRPr="00570FB0" w:rsidRDefault="00400E42" w:rsidP="00A92FFC">
            <w:pPr>
              <w:ind w:right="287"/>
              <w:jc w:val="right"/>
              <w:rPr>
                <w:rFonts w:ascii="Calibri" w:hAnsi="Calibri"/>
                <w:szCs w:val="22"/>
              </w:rPr>
            </w:pPr>
            <w:r w:rsidRPr="00570FB0">
              <w:rPr>
                <w:rFonts w:ascii="Calibri" w:hAnsi="Calibri"/>
                <w:sz w:val="22"/>
                <w:szCs w:val="22"/>
              </w:rPr>
              <w:t>15042 (14.5)</w:t>
            </w:r>
          </w:p>
        </w:tc>
        <w:tc>
          <w:tcPr>
            <w:tcW w:w="920" w:type="pct"/>
            <w:tcBorders>
              <w:left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1541 (54.4)</w:t>
            </w:r>
          </w:p>
        </w:tc>
        <w:tc>
          <w:tcPr>
            <w:tcW w:w="1269" w:type="pct"/>
            <w:vAlign w:val="bottom"/>
          </w:tcPr>
          <w:p w:rsidR="00400E42" w:rsidRPr="00570FB0" w:rsidRDefault="00400E42" w:rsidP="00A92FFC">
            <w:pPr>
              <w:ind w:right="793"/>
              <w:jc w:val="right"/>
              <w:rPr>
                <w:rFonts w:ascii="Calibri" w:hAnsi="Calibri"/>
                <w:szCs w:val="22"/>
              </w:rPr>
            </w:pPr>
            <w:r w:rsidRPr="00570FB0">
              <w:rPr>
                <w:rFonts w:ascii="Calibri" w:hAnsi="Calibri"/>
                <w:sz w:val="22"/>
                <w:szCs w:val="22"/>
              </w:rPr>
              <w:t>NA</w:t>
            </w: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Married or separated</w:t>
            </w:r>
          </w:p>
        </w:tc>
        <w:tc>
          <w:tcPr>
            <w:tcW w:w="1026"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287"/>
              <w:jc w:val="right"/>
              <w:rPr>
                <w:rFonts w:ascii="Calibri" w:hAnsi="Calibri"/>
                <w:szCs w:val="22"/>
              </w:rPr>
            </w:pPr>
            <w:r w:rsidRPr="00570FB0">
              <w:rPr>
                <w:rFonts w:ascii="Calibri" w:hAnsi="Calibri"/>
                <w:sz w:val="22"/>
                <w:szCs w:val="22"/>
              </w:rPr>
              <w:t>36133 (34.9)</w:t>
            </w:r>
          </w:p>
        </w:tc>
        <w:tc>
          <w:tcPr>
            <w:tcW w:w="920" w:type="pct"/>
            <w:tcBorders>
              <w:top w:val="single" w:sz="8" w:space="0" w:color="4F81BD"/>
              <w:left w:val="single" w:sz="8" w:space="0" w:color="4F81BD"/>
              <w:bottom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503 (17.8)</w:t>
            </w:r>
          </w:p>
        </w:tc>
        <w:tc>
          <w:tcPr>
            <w:tcW w:w="1269" w:type="pct"/>
            <w:tcBorders>
              <w:top w:val="single" w:sz="8" w:space="0" w:color="4F81BD"/>
              <w:bottom w:val="single" w:sz="8" w:space="0" w:color="4F81BD"/>
            </w:tcBorders>
          </w:tcPr>
          <w:p w:rsidR="00400E42" w:rsidRPr="00570FB0" w:rsidRDefault="00400E42" w:rsidP="00A92FFC">
            <w:pPr>
              <w:ind w:right="793"/>
              <w:jc w:val="right"/>
            </w:pPr>
            <w:r w:rsidRPr="00570FB0">
              <w:rPr>
                <w:rFonts w:ascii="Calibri" w:hAnsi="Calibri"/>
                <w:sz w:val="22"/>
                <w:szCs w:val="22"/>
              </w:rPr>
              <w:t>NA</w:t>
            </w:r>
          </w:p>
        </w:tc>
      </w:tr>
      <w:tr w:rsidR="00400E42" w:rsidRPr="008D5FF8" w:rsidTr="00A92FFC">
        <w:tc>
          <w:tcPr>
            <w:tcW w:w="1785"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Widowed</w:t>
            </w:r>
          </w:p>
        </w:tc>
        <w:tc>
          <w:tcPr>
            <w:tcW w:w="1026" w:type="pct"/>
            <w:tcBorders>
              <w:left w:val="single" w:sz="8" w:space="0" w:color="4F81BD"/>
              <w:right w:val="single" w:sz="8" w:space="0" w:color="4F81BD"/>
            </w:tcBorders>
          </w:tcPr>
          <w:p w:rsidR="00400E42" w:rsidRPr="00570FB0" w:rsidRDefault="00400E42" w:rsidP="00A92FFC">
            <w:pPr>
              <w:ind w:right="287"/>
              <w:jc w:val="right"/>
              <w:rPr>
                <w:rFonts w:ascii="Calibri" w:hAnsi="Calibri"/>
                <w:szCs w:val="22"/>
              </w:rPr>
            </w:pPr>
            <w:r w:rsidRPr="00570FB0">
              <w:rPr>
                <w:rFonts w:ascii="Calibri" w:hAnsi="Calibri"/>
                <w:sz w:val="22"/>
                <w:szCs w:val="22"/>
              </w:rPr>
              <w:t>38800 (37.5)</w:t>
            </w:r>
          </w:p>
        </w:tc>
        <w:tc>
          <w:tcPr>
            <w:tcW w:w="920" w:type="pct"/>
            <w:tcBorders>
              <w:left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91 (3.2)</w:t>
            </w:r>
          </w:p>
        </w:tc>
        <w:tc>
          <w:tcPr>
            <w:tcW w:w="1269" w:type="pct"/>
          </w:tcPr>
          <w:p w:rsidR="00400E42" w:rsidRPr="00570FB0" w:rsidRDefault="00400E42" w:rsidP="00A92FFC">
            <w:pPr>
              <w:ind w:right="793"/>
              <w:jc w:val="right"/>
            </w:pPr>
            <w:r w:rsidRPr="00570FB0">
              <w:rPr>
                <w:rFonts w:ascii="Calibri" w:hAnsi="Calibri"/>
                <w:sz w:val="22"/>
                <w:szCs w:val="22"/>
              </w:rPr>
              <w:t>NA</w:t>
            </w: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Divorced</w:t>
            </w:r>
          </w:p>
        </w:tc>
        <w:tc>
          <w:tcPr>
            <w:tcW w:w="1026"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287"/>
              <w:jc w:val="right"/>
              <w:rPr>
                <w:rFonts w:ascii="Calibri" w:hAnsi="Calibri"/>
                <w:szCs w:val="22"/>
              </w:rPr>
            </w:pPr>
            <w:r w:rsidRPr="00570FB0">
              <w:rPr>
                <w:rFonts w:ascii="Calibri" w:hAnsi="Calibri"/>
                <w:sz w:val="22"/>
                <w:szCs w:val="22"/>
              </w:rPr>
              <w:t>13307 (12.9)</w:t>
            </w:r>
          </w:p>
        </w:tc>
        <w:tc>
          <w:tcPr>
            <w:tcW w:w="920" w:type="pct"/>
            <w:tcBorders>
              <w:top w:val="single" w:sz="8" w:space="0" w:color="4F81BD"/>
              <w:left w:val="single" w:sz="8" w:space="0" w:color="4F81BD"/>
              <w:bottom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673 (23.8)</w:t>
            </w:r>
          </w:p>
        </w:tc>
        <w:tc>
          <w:tcPr>
            <w:tcW w:w="1269" w:type="pct"/>
            <w:tcBorders>
              <w:top w:val="single" w:sz="8" w:space="0" w:color="4F81BD"/>
              <w:bottom w:val="single" w:sz="8" w:space="0" w:color="4F81BD"/>
            </w:tcBorders>
          </w:tcPr>
          <w:p w:rsidR="00400E42" w:rsidRPr="00570FB0" w:rsidRDefault="00400E42" w:rsidP="00A92FFC">
            <w:pPr>
              <w:ind w:right="793"/>
              <w:jc w:val="right"/>
            </w:pPr>
            <w:r w:rsidRPr="00570FB0">
              <w:rPr>
                <w:rFonts w:ascii="Calibri" w:hAnsi="Calibri"/>
                <w:sz w:val="22"/>
                <w:szCs w:val="22"/>
              </w:rPr>
              <w:t>NA</w:t>
            </w:r>
          </w:p>
        </w:tc>
      </w:tr>
      <w:tr w:rsidR="00400E42" w:rsidRPr="008D5FF8" w:rsidTr="00A92FFC">
        <w:tc>
          <w:tcPr>
            <w:tcW w:w="1785"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1026" w:type="pct"/>
            <w:tcBorders>
              <w:left w:val="single" w:sz="8" w:space="0" w:color="4F81BD"/>
              <w:right w:val="single" w:sz="8" w:space="0" w:color="4F81BD"/>
            </w:tcBorders>
          </w:tcPr>
          <w:p w:rsidR="00400E42" w:rsidRPr="00570FB0" w:rsidRDefault="00400E42" w:rsidP="00A92FFC">
            <w:pPr>
              <w:ind w:right="287"/>
              <w:jc w:val="right"/>
              <w:rPr>
                <w:rFonts w:ascii="Calibri" w:hAnsi="Calibri"/>
                <w:szCs w:val="22"/>
              </w:rPr>
            </w:pPr>
          </w:p>
        </w:tc>
        <w:tc>
          <w:tcPr>
            <w:tcW w:w="920" w:type="pct"/>
            <w:tcBorders>
              <w:left w:val="single" w:sz="8" w:space="0" w:color="4F81BD"/>
            </w:tcBorders>
          </w:tcPr>
          <w:p w:rsidR="00400E42" w:rsidRPr="00570FB0" w:rsidRDefault="00400E42" w:rsidP="00A92FFC">
            <w:pPr>
              <w:ind w:right="213"/>
              <w:jc w:val="right"/>
              <w:rPr>
                <w:rFonts w:ascii="Calibri" w:hAnsi="Calibri"/>
                <w:b/>
                <w:szCs w:val="22"/>
              </w:rPr>
            </w:pPr>
          </w:p>
        </w:tc>
        <w:tc>
          <w:tcPr>
            <w:tcW w:w="1269" w:type="pct"/>
            <w:vAlign w:val="bottom"/>
          </w:tcPr>
          <w:p w:rsidR="00400E42" w:rsidRPr="00570FB0" w:rsidRDefault="00400E42" w:rsidP="00A92FFC">
            <w:pPr>
              <w:ind w:right="793"/>
              <w:jc w:val="right"/>
              <w:rPr>
                <w:rFonts w:ascii="Arial" w:hAnsi="Arial" w:cs="Arial"/>
                <w:color w:val="000000"/>
                <w:szCs w:val="22"/>
              </w:rPr>
            </w:pP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Education — no. (%)</w:t>
            </w:r>
          </w:p>
        </w:tc>
        <w:tc>
          <w:tcPr>
            <w:tcW w:w="1026"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287"/>
              <w:jc w:val="right"/>
              <w:rPr>
                <w:rFonts w:ascii="Calibri" w:hAnsi="Calibri"/>
                <w:b/>
                <w:szCs w:val="22"/>
              </w:rPr>
            </w:pPr>
          </w:p>
        </w:tc>
        <w:tc>
          <w:tcPr>
            <w:tcW w:w="920" w:type="pct"/>
            <w:tcBorders>
              <w:top w:val="single" w:sz="8" w:space="0" w:color="4F81BD"/>
              <w:left w:val="single" w:sz="8" w:space="0" w:color="4F81BD"/>
              <w:bottom w:val="single" w:sz="8" w:space="0" w:color="4F81BD"/>
            </w:tcBorders>
          </w:tcPr>
          <w:p w:rsidR="00400E42" w:rsidRPr="00570FB0" w:rsidRDefault="00400E42" w:rsidP="00A92FFC">
            <w:pPr>
              <w:ind w:right="213"/>
              <w:jc w:val="right"/>
              <w:rPr>
                <w:rFonts w:ascii="Calibri" w:hAnsi="Calibri"/>
                <w:b/>
                <w:szCs w:val="22"/>
              </w:rPr>
            </w:pPr>
          </w:p>
        </w:tc>
        <w:tc>
          <w:tcPr>
            <w:tcW w:w="1269" w:type="pct"/>
            <w:tcBorders>
              <w:top w:val="single" w:sz="8" w:space="0" w:color="4F81BD"/>
              <w:bottom w:val="single" w:sz="8" w:space="0" w:color="4F81BD"/>
            </w:tcBorders>
          </w:tcPr>
          <w:p w:rsidR="00400E42" w:rsidRPr="00570FB0" w:rsidRDefault="00400E42" w:rsidP="00A92FFC">
            <w:pPr>
              <w:ind w:right="793"/>
              <w:jc w:val="right"/>
              <w:rPr>
                <w:rFonts w:ascii="Calibri" w:hAnsi="Calibri"/>
                <w:b/>
                <w:szCs w:val="22"/>
              </w:rPr>
            </w:pPr>
          </w:p>
        </w:tc>
      </w:tr>
      <w:tr w:rsidR="00400E42" w:rsidRPr="008D5FF8" w:rsidTr="00A92FFC">
        <w:tc>
          <w:tcPr>
            <w:tcW w:w="1785"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High School or Less</w:t>
            </w:r>
          </w:p>
        </w:tc>
        <w:tc>
          <w:tcPr>
            <w:tcW w:w="1026" w:type="pct"/>
            <w:tcBorders>
              <w:left w:val="single" w:sz="8" w:space="0" w:color="4F81BD"/>
              <w:right w:val="single" w:sz="8" w:space="0" w:color="4F81BD"/>
            </w:tcBorders>
          </w:tcPr>
          <w:p w:rsidR="00400E42" w:rsidRPr="00570FB0" w:rsidRDefault="00400E42" w:rsidP="00A92FFC">
            <w:pPr>
              <w:ind w:right="287"/>
              <w:jc w:val="right"/>
              <w:rPr>
                <w:rFonts w:ascii="Calibri" w:hAnsi="Calibri"/>
                <w:szCs w:val="22"/>
              </w:rPr>
            </w:pPr>
            <w:r w:rsidRPr="00570FB0">
              <w:rPr>
                <w:rFonts w:ascii="Calibri" w:hAnsi="Calibri"/>
                <w:sz w:val="22"/>
                <w:szCs w:val="22"/>
              </w:rPr>
              <w:t>67362 (65.1)</w:t>
            </w:r>
          </w:p>
        </w:tc>
        <w:tc>
          <w:tcPr>
            <w:tcW w:w="920" w:type="pct"/>
            <w:tcBorders>
              <w:left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2055 (72.6)</w:t>
            </w:r>
          </w:p>
        </w:tc>
        <w:tc>
          <w:tcPr>
            <w:tcW w:w="1269" w:type="pct"/>
          </w:tcPr>
          <w:p w:rsidR="00400E42" w:rsidRPr="00570FB0" w:rsidRDefault="00400E42" w:rsidP="00A92FFC">
            <w:pPr>
              <w:ind w:right="793"/>
              <w:jc w:val="right"/>
            </w:pPr>
            <w:r w:rsidRPr="00570FB0">
              <w:rPr>
                <w:rFonts w:ascii="Calibri" w:hAnsi="Calibri"/>
                <w:sz w:val="22"/>
                <w:szCs w:val="22"/>
              </w:rPr>
              <w:t>NA</w:t>
            </w:r>
          </w:p>
        </w:tc>
      </w:tr>
      <w:tr w:rsidR="00400E42" w:rsidRPr="008D5FF8" w:rsidTr="00A92FFC">
        <w:tc>
          <w:tcPr>
            <w:tcW w:w="1785"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13+ years</w:t>
            </w:r>
          </w:p>
        </w:tc>
        <w:tc>
          <w:tcPr>
            <w:tcW w:w="1026"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287"/>
              <w:jc w:val="right"/>
              <w:rPr>
                <w:rFonts w:ascii="Calibri" w:hAnsi="Calibri"/>
                <w:szCs w:val="22"/>
              </w:rPr>
            </w:pPr>
            <w:r w:rsidRPr="00570FB0">
              <w:rPr>
                <w:rFonts w:ascii="Calibri" w:hAnsi="Calibri"/>
                <w:sz w:val="22"/>
                <w:szCs w:val="22"/>
              </w:rPr>
              <w:t>34569 (33.4)</w:t>
            </w:r>
          </w:p>
        </w:tc>
        <w:tc>
          <w:tcPr>
            <w:tcW w:w="920" w:type="pct"/>
            <w:tcBorders>
              <w:top w:val="single" w:sz="8" w:space="0" w:color="4F81BD"/>
              <w:left w:val="single" w:sz="8" w:space="0" w:color="4F81BD"/>
              <w:bottom w:val="single" w:sz="8" w:space="0" w:color="4F81BD"/>
            </w:tcBorders>
            <w:vAlign w:val="bottom"/>
          </w:tcPr>
          <w:p w:rsidR="00400E42" w:rsidRPr="00570FB0" w:rsidRDefault="00400E42" w:rsidP="00A92FFC">
            <w:pPr>
              <w:ind w:right="213"/>
              <w:jc w:val="right"/>
              <w:rPr>
                <w:rFonts w:ascii="Calibri" w:hAnsi="Calibri"/>
                <w:szCs w:val="22"/>
              </w:rPr>
            </w:pPr>
            <w:r w:rsidRPr="00570FB0">
              <w:rPr>
                <w:rFonts w:ascii="Calibri" w:hAnsi="Calibri"/>
                <w:sz w:val="22"/>
                <w:szCs w:val="22"/>
              </w:rPr>
              <w:t>738 (26.1)</w:t>
            </w:r>
          </w:p>
        </w:tc>
        <w:tc>
          <w:tcPr>
            <w:tcW w:w="1269" w:type="pct"/>
            <w:tcBorders>
              <w:top w:val="single" w:sz="8" w:space="0" w:color="4F81BD"/>
              <w:bottom w:val="single" w:sz="8" w:space="0" w:color="4F81BD"/>
            </w:tcBorders>
          </w:tcPr>
          <w:p w:rsidR="00400E42" w:rsidRPr="00570FB0" w:rsidRDefault="00400E42" w:rsidP="00A92FFC">
            <w:pPr>
              <w:ind w:right="793"/>
              <w:jc w:val="right"/>
            </w:pPr>
            <w:r w:rsidRPr="00570FB0">
              <w:rPr>
                <w:rFonts w:ascii="Calibri" w:hAnsi="Calibri"/>
                <w:sz w:val="22"/>
                <w:szCs w:val="22"/>
              </w:rPr>
              <w:t>NA</w:t>
            </w:r>
          </w:p>
        </w:tc>
      </w:tr>
    </w:tbl>
    <w:p w:rsidR="00400E42" w:rsidRDefault="00400E42" w:rsidP="00400E42"/>
    <w:p w:rsidR="00400E42" w:rsidRDefault="00400E42" w:rsidP="00400E42"/>
    <w:p w:rsidR="00400E42" w:rsidRDefault="00400E42" w:rsidP="00400E42">
      <w:pPr>
        <w:rPr>
          <w:rFonts w:ascii="Calibri" w:hAnsi="Calibri"/>
          <w:b/>
          <w:sz w:val="22"/>
          <w:szCs w:val="22"/>
        </w:rPr>
      </w:pPr>
      <w:r>
        <w:rPr>
          <w:rFonts w:ascii="Calibri" w:hAnsi="Calibri"/>
          <w:b/>
          <w:sz w:val="22"/>
          <w:szCs w:val="22"/>
        </w:rPr>
        <w:br w:type="page"/>
      </w:r>
    </w:p>
    <w:p w:rsidR="00400E42" w:rsidRDefault="00400E42" w:rsidP="00400E42"/>
    <w:tbl>
      <w:tblPr>
        <w:tblW w:w="4897"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3618"/>
        <w:gridCol w:w="2161"/>
        <w:gridCol w:w="1979"/>
        <w:gridCol w:w="1621"/>
      </w:tblGrid>
      <w:tr w:rsidR="00400E42" w:rsidRPr="008D5FF8" w:rsidTr="00A92FFC">
        <w:trPr>
          <w:trHeight w:val="557"/>
        </w:trPr>
        <w:tc>
          <w:tcPr>
            <w:tcW w:w="5000" w:type="pct"/>
            <w:gridSpan w:val="4"/>
            <w:tcBorders>
              <w:top w:val="single" w:sz="8" w:space="0" w:color="4F81BD"/>
            </w:tcBorders>
            <w:shd w:val="clear" w:color="auto" w:fill="4F81BD"/>
            <w:vAlign w:val="center"/>
          </w:tcPr>
          <w:p w:rsidR="00400E42" w:rsidRPr="00570FB0" w:rsidRDefault="00400E42" w:rsidP="00A92FFC">
            <w:pPr>
              <w:jc w:val="center"/>
              <w:rPr>
                <w:rFonts w:ascii="Calibri" w:hAnsi="Calibri"/>
                <w:b/>
                <w:bCs/>
                <w:color w:val="FFFFFF"/>
                <w:szCs w:val="22"/>
              </w:rPr>
            </w:pPr>
            <w:r w:rsidRPr="00570FB0">
              <w:rPr>
                <w:rFonts w:ascii="Calibri" w:hAnsi="Calibri"/>
                <w:b/>
                <w:bCs/>
                <w:color w:val="FFFFFF"/>
                <w:sz w:val="22"/>
                <w:szCs w:val="22"/>
              </w:rPr>
              <w:t xml:space="preserve">Table H.4: All Deaths in </w:t>
            </w:r>
            <w:r>
              <w:rPr>
                <w:rFonts w:ascii="Calibri" w:hAnsi="Calibri"/>
                <w:b/>
                <w:bCs/>
                <w:color w:val="FFFFFF"/>
                <w:sz w:val="22"/>
                <w:szCs w:val="22"/>
              </w:rPr>
              <w:t xml:space="preserve">Massachusetts </w:t>
            </w:r>
            <w:r w:rsidRPr="00570FB0">
              <w:rPr>
                <w:rFonts w:ascii="Calibri" w:hAnsi="Calibri"/>
                <w:b/>
                <w:bCs/>
                <w:color w:val="FFFFFF"/>
                <w:sz w:val="22"/>
                <w:szCs w:val="22"/>
              </w:rPr>
              <w:t>compared to MATRIS Population</w:t>
            </w:r>
          </w:p>
          <w:p w:rsidR="00400E42" w:rsidRPr="00570FB0" w:rsidRDefault="00400E42" w:rsidP="00A92FFC">
            <w:pPr>
              <w:jc w:val="center"/>
              <w:rPr>
                <w:rFonts w:ascii="Calibri" w:hAnsi="Calibri"/>
                <w:b/>
                <w:bCs/>
                <w:color w:val="FFFFFF"/>
                <w:szCs w:val="24"/>
              </w:rPr>
            </w:pPr>
          </w:p>
        </w:tc>
      </w:tr>
      <w:tr w:rsidR="00400E42" w:rsidRPr="008D5FF8" w:rsidTr="00A92FFC">
        <w:trPr>
          <w:trHeight w:val="557"/>
        </w:trPr>
        <w:tc>
          <w:tcPr>
            <w:tcW w:w="1929" w:type="pct"/>
            <w:tcBorders>
              <w:top w:val="single" w:sz="8" w:space="0" w:color="4F81BD"/>
              <w:bottom w:val="single" w:sz="8" w:space="0" w:color="4F81BD"/>
            </w:tcBorders>
            <w:vAlign w:val="center"/>
          </w:tcPr>
          <w:p w:rsidR="00400E42" w:rsidRPr="00570FB0" w:rsidRDefault="00400E42" w:rsidP="00A92FFC">
            <w:pPr>
              <w:rPr>
                <w:rFonts w:ascii="Calibri" w:hAnsi="Calibri"/>
                <w:b/>
                <w:bCs/>
                <w:szCs w:val="22"/>
              </w:rPr>
            </w:pPr>
            <w:r w:rsidRPr="00570FB0">
              <w:rPr>
                <w:rFonts w:ascii="Calibri" w:hAnsi="Calibri"/>
                <w:b/>
                <w:bCs/>
                <w:sz w:val="22"/>
                <w:szCs w:val="24"/>
              </w:rPr>
              <w:t>Characteristic</w:t>
            </w:r>
          </w:p>
        </w:tc>
        <w:tc>
          <w:tcPr>
            <w:tcW w:w="1152" w:type="pct"/>
            <w:tcBorders>
              <w:top w:val="single" w:sz="8" w:space="0" w:color="4F81BD"/>
              <w:bottom w:val="single" w:sz="8" w:space="0" w:color="4F81BD"/>
              <w:right w:val="single" w:sz="8" w:space="0" w:color="4F81BD"/>
            </w:tcBorders>
            <w:vAlign w:val="center"/>
          </w:tcPr>
          <w:p w:rsidR="00400E42" w:rsidRPr="00570FB0" w:rsidRDefault="00400E42" w:rsidP="00A92FFC">
            <w:pPr>
              <w:jc w:val="center"/>
              <w:rPr>
                <w:rFonts w:ascii="Calibri" w:hAnsi="Calibri"/>
                <w:b/>
                <w:szCs w:val="24"/>
              </w:rPr>
            </w:pPr>
            <w:r w:rsidRPr="00570FB0">
              <w:rPr>
                <w:rFonts w:ascii="Calibri" w:hAnsi="Calibri"/>
                <w:b/>
                <w:sz w:val="22"/>
                <w:szCs w:val="24"/>
              </w:rPr>
              <w:t xml:space="preserve">All Deaths </w:t>
            </w:r>
          </w:p>
          <w:p w:rsidR="00400E42" w:rsidRPr="00570FB0" w:rsidRDefault="00400E42" w:rsidP="00A92FFC">
            <w:pPr>
              <w:jc w:val="center"/>
              <w:rPr>
                <w:rFonts w:ascii="Calibri" w:hAnsi="Calibri"/>
                <w:b/>
                <w:szCs w:val="24"/>
              </w:rPr>
            </w:pPr>
            <w:r w:rsidRPr="00570FB0">
              <w:rPr>
                <w:rFonts w:ascii="Calibri" w:hAnsi="Calibri"/>
                <w:b/>
                <w:sz w:val="22"/>
                <w:szCs w:val="24"/>
              </w:rPr>
              <w:t>in MA</w:t>
            </w:r>
          </w:p>
        </w:tc>
        <w:tc>
          <w:tcPr>
            <w:tcW w:w="1919" w:type="pct"/>
            <w:gridSpan w:val="2"/>
            <w:tcBorders>
              <w:top w:val="single" w:sz="8" w:space="0" w:color="4F81BD"/>
              <w:left w:val="single" w:sz="8" w:space="0" w:color="4F81BD"/>
              <w:bottom w:val="single" w:sz="8" w:space="0" w:color="4F81BD"/>
            </w:tcBorders>
            <w:vAlign w:val="center"/>
          </w:tcPr>
          <w:p w:rsidR="00400E42" w:rsidRPr="00570FB0" w:rsidRDefault="00400E42" w:rsidP="00A92FFC">
            <w:pPr>
              <w:jc w:val="center"/>
              <w:rPr>
                <w:rFonts w:ascii="Calibri" w:hAnsi="Calibri"/>
                <w:b/>
                <w:szCs w:val="22"/>
              </w:rPr>
            </w:pPr>
            <w:r w:rsidRPr="00570FB0">
              <w:rPr>
                <w:rFonts w:ascii="Calibri" w:hAnsi="Calibri"/>
                <w:b/>
                <w:sz w:val="22"/>
                <w:szCs w:val="24"/>
              </w:rPr>
              <w:t>MATRIS</w:t>
            </w: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
                <w:bCs/>
                <w:color w:val="000000"/>
                <w:sz w:val="22"/>
                <w:szCs w:val="22"/>
              </w:rPr>
              <w:t>Age— no.  (%)</w:t>
            </w:r>
          </w:p>
        </w:tc>
        <w:tc>
          <w:tcPr>
            <w:tcW w:w="1152" w:type="pct"/>
            <w:tcBorders>
              <w:left w:val="single" w:sz="8" w:space="0" w:color="4F81BD"/>
              <w:right w:val="single" w:sz="8" w:space="0" w:color="4F81BD"/>
            </w:tcBorders>
          </w:tcPr>
          <w:p w:rsidR="00400E42" w:rsidRPr="00570FB0" w:rsidRDefault="00400E42" w:rsidP="00A92FFC">
            <w:pPr>
              <w:jc w:val="center"/>
              <w:rPr>
                <w:rFonts w:ascii="Calibri" w:hAnsi="Calibri"/>
                <w:b/>
                <w:szCs w:val="22"/>
              </w:rPr>
            </w:pPr>
          </w:p>
        </w:tc>
        <w:tc>
          <w:tcPr>
            <w:tcW w:w="1055" w:type="pct"/>
            <w:tcBorders>
              <w:left w:val="single" w:sz="8" w:space="0" w:color="4F81BD"/>
            </w:tcBorders>
          </w:tcPr>
          <w:p w:rsidR="00400E42" w:rsidRPr="00570FB0" w:rsidRDefault="00400E42" w:rsidP="00A92FFC">
            <w:pPr>
              <w:jc w:val="center"/>
              <w:rPr>
                <w:rFonts w:ascii="Calibri" w:hAnsi="Calibri"/>
                <w:b/>
                <w:szCs w:val="22"/>
              </w:rPr>
            </w:pPr>
            <w:r w:rsidRPr="00570FB0">
              <w:rPr>
                <w:rFonts w:ascii="Calibri" w:hAnsi="Calibri"/>
                <w:b/>
                <w:sz w:val="22"/>
                <w:szCs w:val="22"/>
              </w:rPr>
              <w:t>Died</w:t>
            </w:r>
          </w:p>
        </w:tc>
        <w:tc>
          <w:tcPr>
            <w:tcW w:w="864" w:type="pct"/>
          </w:tcPr>
          <w:p w:rsidR="00400E42" w:rsidRPr="00570FB0" w:rsidRDefault="00400E42" w:rsidP="00A92FFC">
            <w:pPr>
              <w:jc w:val="center"/>
              <w:rPr>
                <w:rFonts w:ascii="Calibri" w:hAnsi="Calibri"/>
                <w:b/>
                <w:szCs w:val="22"/>
              </w:rPr>
            </w:pPr>
            <w:r w:rsidRPr="00570FB0">
              <w:rPr>
                <w:rFonts w:ascii="Calibri" w:hAnsi="Calibri"/>
                <w:b/>
                <w:sz w:val="22"/>
                <w:szCs w:val="22"/>
              </w:rPr>
              <w:t>Living</w:t>
            </w: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11-24</w:t>
            </w:r>
          </w:p>
        </w:tc>
        <w:tc>
          <w:tcPr>
            <w:tcW w:w="1152"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433"/>
              <w:jc w:val="right"/>
              <w:rPr>
                <w:rFonts w:ascii="Calibri" w:hAnsi="Calibri"/>
                <w:color w:val="000000"/>
                <w:szCs w:val="22"/>
              </w:rPr>
            </w:pPr>
            <w:r w:rsidRPr="00570FB0">
              <w:rPr>
                <w:rFonts w:ascii="Calibri" w:hAnsi="Calibri"/>
                <w:color w:val="000000"/>
                <w:sz w:val="22"/>
                <w:szCs w:val="22"/>
              </w:rPr>
              <w:t>902 (0.87)</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312 (0.7)</w:t>
            </w:r>
          </w:p>
        </w:tc>
        <w:tc>
          <w:tcPr>
            <w:tcW w:w="864"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66162 (14.1)</w:t>
            </w: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25-34</w:t>
            </w:r>
          </w:p>
        </w:tc>
        <w:tc>
          <w:tcPr>
            <w:tcW w:w="1152" w:type="pct"/>
            <w:tcBorders>
              <w:left w:val="single" w:sz="8" w:space="0" w:color="4F81BD"/>
              <w:right w:val="single" w:sz="8" w:space="0" w:color="4F81BD"/>
            </w:tcBorders>
            <w:vAlign w:val="bottom"/>
          </w:tcPr>
          <w:p w:rsidR="00400E42" w:rsidRPr="00570FB0" w:rsidRDefault="00400E42" w:rsidP="00A92FFC">
            <w:pPr>
              <w:ind w:right="433"/>
              <w:jc w:val="right"/>
              <w:rPr>
                <w:rFonts w:ascii="Calibri" w:hAnsi="Calibri"/>
                <w:color w:val="000000"/>
                <w:szCs w:val="22"/>
              </w:rPr>
            </w:pPr>
            <w:r w:rsidRPr="00570FB0">
              <w:rPr>
                <w:rFonts w:ascii="Calibri" w:hAnsi="Calibri"/>
                <w:color w:val="000000"/>
                <w:sz w:val="22"/>
                <w:szCs w:val="22"/>
              </w:rPr>
              <w:t>1701 (1.64)</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925 (2.0)</w:t>
            </w:r>
          </w:p>
        </w:tc>
        <w:tc>
          <w:tcPr>
            <w:tcW w:w="864" w:type="pct"/>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63331 (13.5)</w:t>
            </w: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35-44</w:t>
            </w:r>
          </w:p>
        </w:tc>
        <w:tc>
          <w:tcPr>
            <w:tcW w:w="1152"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433"/>
              <w:jc w:val="right"/>
              <w:rPr>
                <w:rFonts w:ascii="Calibri" w:hAnsi="Calibri"/>
                <w:color w:val="000000"/>
                <w:szCs w:val="22"/>
              </w:rPr>
            </w:pPr>
            <w:r w:rsidRPr="00570FB0">
              <w:rPr>
                <w:rFonts w:ascii="Calibri" w:hAnsi="Calibri"/>
                <w:color w:val="000000"/>
                <w:sz w:val="22"/>
                <w:szCs w:val="22"/>
              </w:rPr>
              <w:t>2324 (2.25)</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1104 (2.3)</w:t>
            </w:r>
          </w:p>
        </w:tc>
        <w:tc>
          <w:tcPr>
            <w:tcW w:w="864"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49788 (10.6)</w:t>
            </w: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45-54</w:t>
            </w:r>
          </w:p>
        </w:tc>
        <w:tc>
          <w:tcPr>
            <w:tcW w:w="1152" w:type="pct"/>
            <w:tcBorders>
              <w:left w:val="single" w:sz="8" w:space="0" w:color="4F81BD"/>
              <w:right w:val="single" w:sz="8" w:space="0" w:color="4F81BD"/>
            </w:tcBorders>
            <w:vAlign w:val="bottom"/>
          </w:tcPr>
          <w:p w:rsidR="00400E42" w:rsidRPr="00570FB0" w:rsidRDefault="00400E42" w:rsidP="00A92FFC">
            <w:pPr>
              <w:ind w:right="433"/>
              <w:jc w:val="right"/>
              <w:rPr>
                <w:rFonts w:ascii="Calibri" w:hAnsi="Calibri"/>
                <w:color w:val="000000"/>
                <w:szCs w:val="22"/>
              </w:rPr>
            </w:pPr>
            <w:r w:rsidRPr="00570FB0">
              <w:rPr>
                <w:rFonts w:ascii="Calibri" w:hAnsi="Calibri"/>
                <w:color w:val="000000"/>
                <w:sz w:val="22"/>
                <w:szCs w:val="22"/>
              </w:rPr>
              <w:t>6098 (5.89)</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2808 (6.0)</w:t>
            </w:r>
          </w:p>
        </w:tc>
        <w:tc>
          <w:tcPr>
            <w:tcW w:w="864" w:type="pct"/>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64956 (13.9)</w:t>
            </w: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55-64</w:t>
            </w:r>
          </w:p>
        </w:tc>
        <w:tc>
          <w:tcPr>
            <w:tcW w:w="1152"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433"/>
              <w:jc w:val="right"/>
              <w:rPr>
                <w:rFonts w:ascii="Calibri" w:hAnsi="Calibri"/>
                <w:color w:val="000000"/>
                <w:szCs w:val="22"/>
              </w:rPr>
            </w:pPr>
            <w:r w:rsidRPr="00570FB0">
              <w:rPr>
                <w:rFonts w:ascii="Calibri" w:hAnsi="Calibri"/>
                <w:color w:val="000000"/>
                <w:sz w:val="22"/>
                <w:szCs w:val="22"/>
              </w:rPr>
              <w:t>11375 (10.99)</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5351 (11.4)</w:t>
            </w:r>
          </w:p>
        </w:tc>
        <w:tc>
          <w:tcPr>
            <w:tcW w:w="864"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66644 (14.2)</w:t>
            </w: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65+</w:t>
            </w:r>
          </w:p>
        </w:tc>
        <w:tc>
          <w:tcPr>
            <w:tcW w:w="1152" w:type="pct"/>
            <w:tcBorders>
              <w:left w:val="single" w:sz="8" w:space="0" w:color="4F81BD"/>
              <w:right w:val="single" w:sz="8" w:space="0" w:color="4F81BD"/>
            </w:tcBorders>
            <w:vAlign w:val="bottom"/>
          </w:tcPr>
          <w:p w:rsidR="00400E42" w:rsidRPr="00570FB0" w:rsidRDefault="00400E42" w:rsidP="00A92FFC">
            <w:pPr>
              <w:ind w:right="433"/>
              <w:jc w:val="right"/>
              <w:rPr>
                <w:rFonts w:ascii="Calibri" w:hAnsi="Calibri"/>
                <w:color w:val="000000"/>
                <w:szCs w:val="22"/>
              </w:rPr>
            </w:pPr>
            <w:r w:rsidRPr="00570FB0">
              <w:rPr>
                <w:rFonts w:ascii="Calibri" w:hAnsi="Calibri"/>
                <w:color w:val="000000"/>
                <w:sz w:val="22"/>
                <w:szCs w:val="22"/>
              </w:rPr>
              <w:t>81072 (78.33)</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36603 (77.7)</w:t>
            </w:r>
          </w:p>
        </w:tc>
        <w:tc>
          <w:tcPr>
            <w:tcW w:w="864" w:type="pct"/>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157168 (33.6)</w:t>
            </w: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p>
        </w:tc>
        <w:tc>
          <w:tcPr>
            <w:tcW w:w="864"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Sex— no.  (%)</w:t>
            </w:r>
          </w:p>
        </w:tc>
        <w:tc>
          <w:tcPr>
            <w:tcW w:w="1152" w:type="pct"/>
            <w:tcBorders>
              <w:left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p>
        </w:tc>
        <w:tc>
          <w:tcPr>
            <w:tcW w:w="864" w:type="pct"/>
          </w:tcPr>
          <w:p w:rsidR="00400E42" w:rsidRPr="00570FB0" w:rsidRDefault="00400E42" w:rsidP="00A92FFC">
            <w:pPr>
              <w:ind w:right="73"/>
              <w:jc w:val="right"/>
              <w:rPr>
                <w:rFonts w:ascii="Calibri" w:hAnsi="Calibri"/>
                <w:b/>
                <w:szCs w:val="22"/>
              </w:rPr>
            </w:pP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Male </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49438 (47.8)</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24462 (51.9)</w:t>
            </w:r>
          </w:p>
        </w:tc>
        <w:tc>
          <w:tcPr>
            <w:tcW w:w="864"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214954 (45.9)</w:t>
            </w: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Female </w:t>
            </w:r>
          </w:p>
        </w:tc>
        <w:tc>
          <w:tcPr>
            <w:tcW w:w="1152"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54067 (52.2)</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22641 (48.1)</w:t>
            </w:r>
          </w:p>
        </w:tc>
        <w:tc>
          <w:tcPr>
            <w:tcW w:w="864" w:type="pct"/>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253172 (54.1)</w:t>
            </w: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rPr>
                <w:rFonts w:ascii="Calibri" w:hAnsi="Calibri"/>
                <w:color w:val="000000"/>
                <w:szCs w:val="22"/>
              </w:rPr>
            </w:pPr>
          </w:p>
        </w:tc>
        <w:tc>
          <w:tcPr>
            <w:tcW w:w="864" w:type="pct"/>
            <w:tcBorders>
              <w:top w:val="single" w:sz="8" w:space="0" w:color="4F81BD"/>
              <w:bottom w:val="single" w:sz="8" w:space="0" w:color="4F81BD"/>
            </w:tcBorders>
            <w:vAlign w:val="bottom"/>
          </w:tcPr>
          <w:p w:rsidR="00400E42" w:rsidRPr="00570FB0" w:rsidRDefault="00400E42" w:rsidP="00A92FFC">
            <w:pPr>
              <w:ind w:right="253"/>
              <w:jc w:val="right"/>
              <w:rPr>
                <w:rFonts w:ascii="Calibri" w:hAnsi="Calibri"/>
                <w:color w:val="000000"/>
                <w:szCs w:val="22"/>
              </w:rPr>
            </w:pP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Race or ethnic group — no. (%)</w:t>
            </w:r>
          </w:p>
        </w:tc>
        <w:tc>
          <w:tcPr>
            <w:tcW w:w="1152" w:type="pct"/>
            <w:tcBorders>
              <w:left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55" w:type="pct"/>
            <w:tcBorders>
              <w:left w:val="single" w:sz="8" w:space="0" w:color="4F81BD"/>
            </w:tcBorders>
            <w:vAlign w:val="bottom"/>
          </w:tcPr>
          <w:p w:rsidR="00400E42" w:rsidRPr="00570FB0" w:rsidRDefault="00400E42" w:rsidP="00A92FFC">
            <w:pPr>
              <w:rPr>
                <w:rFonts w:ascii="Calibri" w:hAnsi="Calibri"/>
                <w:color w:val="000000"/>
                <w:szCs w:val="22"/>
              </w:rPr>
            </w:pPr>
          </w:p>
        </w:tc>
        <w:tc>
          <w:tcPr>
            <w:tcW w:w="864" w:type="pct"/>
          </w:tcPr>
          <w:p w:rsidR="00400E42" w:rsidRPr="00570FB0" w:rsidRDefault="00400E42" w:rsidP="00A92FFC">
            <w:pPr>
              <w:ind w:right="253"/>
              <w:jc w:val="right"/>
              <w:rPr>
                <w:rFonts w:ascii="Calibri" w:hAnsi="Calibri"/>
                <w:b/>
                <w:szCs w:val="22"/>
              </w:rPr>
            </w:pP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White non-Hispanic</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94012 (90.8)</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42253 (89.7)</w:t>
            </w:r>
          </w:p>
        </w:tc>
        <w:tc>
          <w:tcPr>
            <w:tcW w:w="864"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160116 (34.2)</w:t>
            </w: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Black non-Hispanic</w:t>
            </w:r>
          </w:p>
        </w:tc>
        <w:tc>
          <w:tcPr>
            <w:tcW w:w="1152"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4361 (4.2)</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2358 (5.0)</w:t>
            </w:r>
          </w:p>
        </w:tc>
        <w:tc>
          <w:tcPr>
            <w:tcW w:w="864" w:type="pct"/>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13965 (3.0)</w:t>
            </w: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Asian/PI non-Hispanic</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1599 (1.5)</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632 (1.3)</w:t>
            </w:r>
          </w:p>
        </w:tc>
        <w:tc>
          <w:tcPr>
            <w:tcW w:w="864"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3482 (0.7)</w:t>
            </w: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Hispanic</w:t>
            </w:r>
          </w:p>
        </w:tc>
        <w:tc>
          <w:tcPr>
            <w:tcW w:w="1152"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2822 (2.7)</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1506 (3.2)</w:t>
            </w:r>
          </w:p>
        </w:tc>
        <w:tc>
          <w:tcPr>
            <w:tcW w:w="864" w:type="pct"/>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17671 (3.8)</w:t>
            </w: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Other</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703 (0.7)</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352 (0.8)</w:t>
            </w:r>
          </w:p>
        </w:tc>
        <w:tc>
          <w:tcPr>
            <w:tcW w:w="864"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12592 (2.7)</w:t>
            </w: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1152" w:type="pct"/>
            <w:tcBorders>
              <w:left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55" w:type="pct"/>
            <w:tcBorders>
              <w:left w:val="single" w:sz="8" w:space="0" w:color="4F81BD"/>
            </w:tcBorders>
          </w:tcPr>
          <w:p w:rsidR="00400E42" w:rsidRPr="00570FB0" w:rsidRDefault="00400E42" w:rsidP="00A92FFC">
            <w:pPr>
              <w:jc w:val="center"/>
              <w:rPr>
                <w:rFonts w:ascii="Calibri" w:hAnsi="Calibri"/>
                <w:b/>
                <w:szCs w:val="22"/>
              </w:rPr>
            </w:pPr>
          </w:p>
        </w:tc>
        <w:tc>
          <w:tcPr>
            <w:tcW w:w="864" w:type="pct"/>
            <w:vAlign w:val="bottom"/>
          </w:tcPr>
          <w:p w:rsidR="00400E42" w:rsidRPr="00570FB0" w:rsidRDefault="00400E42" w:rsidP="00A92FFC">
            <w:pPr>
              <w:ind w:right="73"/>
              <w:jc w:val="right"/>
              <w:rPr>
                <w:rFonts w:ascii="Calibri" w:hAnsi="Calibri"/>
                <w:color w:val="000000"/>
                <w:szCs w:val="22"/>
              </w:rPr>
            </w:pP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Marital status — no. (%)</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55" w:type="pct"/>
            <w:tcBorders>
              <w:top w:val="single" w:sz="8" w:space="0" w:color="4F81BD"/>
              <w:left w:val="single" w:sz="8" w:space="0" w:color="4F81BD"/>
              <w:bottom w:val="single" w:sz="8" w:space="0" w:color="4F81BD"/>
            </w:tcBorders>
          </w:tcPr>
          <w:p w:rsidR="00400E42" w:rsidRPr="00570FB0" w:rsidRDefault="00400E42" w:rsidP="00A92FFC">
            <w:pPr>
              <w:jc w:val="center"/>
              <w:rPr>
                <w:rFonts w:ascii="Calibri" w:hAnsi="Calibri"/>
                <w:b/>
                <w:szCs w:val="22"/>
              </w:rPr>
            </w:pPr>
          </w:p>
        </w:tc>
        <w:tc>
          <w:tcPr>
            <w:tcW w:w="864" w:type="pct"/>
            <w:tcBorders>
              <w:top w:val="single" w:sz="8" w:space="0" w:color="4F81BD"/>
              <w:bottom w:val="single" w:sz="8" w:space="0" w:color="4F81BD"/>
            </w:tcBorders>
            <w:vAlign w:val="bottom"/>
          </w:tcPr>
          <w:p w:rsidR="00400E42" w:rsidRPr="00570FB0" w:rsidRDefault="00400E42" w:rsidP="00A92FFC">
            <w:pPr>
              <w:rPr>
                <w:rFonts w:ascii="Calibri" w:hAnsi="Calibri"/>
                <w:color w:val="000000"/>
                <w:szCs w:val="22"/>
              </w:rPr>
            </w:pP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Single, never married</w:t>
            </w:r>
          </w:p>
        </w:tc>
        <w:tc>
          <w:tcPr>
            <w:tcW w:w="1152"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15042 (14.5)</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7553 (16.0)</w:t>
            </w:r>
          </w:p>
        </w:tc>
        <w:tc>
          <w:tcPr>
            <w:tcW w:w="864"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Married or separated</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36133 (34.9)</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17543 (37.4)</w:t>
            </w: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Widowed</w:t>
            </w:r>
          </w:p>
        </w:tc>
        <w:tc>
          <w:tcPr>
            <w:tcW w:w="1152"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38800 (37.5)</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15135 (32.1)</w:t>
            </w:r>
          </w:p>
        </w:tc>
        <w:tc>
          <w:tcPr>
            <w:tcW w:w="864"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Divorced</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13307 (12.9)</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6771 (14.4)</w:t>
            </w: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1152"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p>
        </w:tc>
        <w:tc>
          <w:tcPr>
            <w:tcW w:w="864" w:type="pct"/>
          </w:tcPr>
          <w:p w:rsidR="00400E42" w:rsidRPr="00570FB0" w:rsidRDefault="00400E42" w:rsidP="00A92FFC">
            <w:pPr>
              <w:jc w:val="center"/>
              <w:rPr>
                <w:rFonts w:ascii="Calibri" w:hAnsi="Calibri"/>
                <w:szCs w:val="22"/>
              </w:rPr>
            </w:pP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Education — no. (%)</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b/>
                <w:szCs w:val="22"/>
              </w:rPr>
            </w:pPr>
          </w:p>
        </w:tc>
        <w:tc>
          <w:tcPr>
            <w:tcW w:w="1055" w:type="pct"/>
            <w:tcBorders>
              <w:top w:val="single" w:sz="8" w:space="0" w:color="4F81BD"/>
              <w:left w:val="single" w:sz="8" w:space="0" w:color="4F81BD"/>
              <w:bottom w:val="single" w:sz="8" w:space="0" w:color="4F81BD"/>
            </w:tcBorders>
          </w:tcPr>
          <w:p w:rsidR="00400E42" w:rsidRPr="00570FB0" w:rsidRDefault="00400E42" w:rsidP="00A92FFC">
            <w:pPr>
              <w:ind w:right="342"/>
              <w:jc w:val="right"/>
              <w:rPr>
                <w:rFonts w:ascii="Calibri" w:hAnsi="Calibri"/>
                <w:b/>
                <w:szCs w:val="22"/>
              </w:rPr>
            </w:pP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b/>
                <w:szCs w:val="22"/>
              </w:rPr>
            </w:pPr>
          </w:p>
        </w:tc>
      </w:tr>
      <w:tr w:rsidR="00400E42" w:rsidRPr="008D5FF8" w:rsidTr="00A92FFC">
        <w:tc>
          <w:tcPr>
            <w:tcW w:w="1929"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High School or Less</w:t>
            </w:r>
          </w:p>
        </w:tc>
        <w:tc>
          <w:tcPr>
            <w:tcW w:w="1152" w:type="pct"/>
            <w:tcBorders>
              <w:left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67362 (65.1)</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30947 (65.7)</w:t>
            </w:r>
          </w:p>
        </w:tc>
        <w:tc>
          <w:tcPr>
            <w:tcW w:w="864"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8D5FF8"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13+ years</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433"/>
              <w:jc w:val="right"/>
              <w:rPr>
                <w:rFonts w:ascii="Calibri" w:hAnsi="Calibri"/>
                <w:szCs w:val="22"/>
              </w:rPr>
            </w:pPr>
            <w:r w:rsidRPr="00570FB0">
              <w:rPr>
                <w:rFonts w:ascii="Calibri" w:hAnsi="Calibri"/>
                <w:sz w:val="22"/>
                <w:szCs w:val="22"/>
              </w:rPr>
              <w:t>34569 (33.4)</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15470 (32.8)</w:t>
            </w: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bl>
    <w:p w:rsidR="00400E42" w:rsidRDefault="00400E42" w:rsidP="00400E42"/>
    <w:p w:rsidR="00400E42" w:rsidRDefault="00400E42" w:rsidP="00400E42"/>
    <w:p w:rsidR="00400E42" w:rsidRDefault="00400E42" w:rsidP="00400E42">
      <w:pPr>
        <w:rPr>
          <w:rFonts w:ascii="Calibri" w:hAnsi="Calibri"/>
          <w:b/>
          <w:sz w:val="22"/>
          <w:szCs w:val="22"/>
        </w:rPr>
      </w:pPr>
      <w:r>
        <w:rPr>
          <w:rFonts w:ascii="Calibri" w:hAnsi="Calibri"/>
          <w:b/>
          <w:sz w:val="22"/>
          <w:szCs w:val="22"/>
        </w:rPr>
        <w:br w:type="page"/>
      </w:r>
    </w:p>
    <w:p w:rsidR="00400E42" w:rsidRDefault="00400E42" w:rsidP="00400E42">
      <w:pPr>
        <w:rPr>
          <w:rFonts w:ascii="Calibri" w:hAnsi="Calibri"/>
          <w:b/>
          <w:sz w:val="22"/>
          <w:szCs w:val="22"/>
        </w:rPr>
      </w:pPr>
    </w:p>
    <w:p w:rsidR="00400E42" w:rsidRDefault="00400E42" w:rsidP="00400E42"/>
    <w:tbl>
      <w:tblPr>
        <w:tblW w:w="4897"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3618"/>
        <w:gridCol w:w="2161"/>
        <w:gridCol w:w="1979"/>
        <w:gridCol w:w="1621"/>
      </w:tblGrid>
      <w:tr w:rsidR="00400E42" w:rsidRPr="008D5FF8" w:rsidTr="00A92FFC">
        <w:trPr>
          <w:trHeight w:val="557"/>
        </w:trPr>
        <w:tc>
          <w:tcPr>
            <w:tcW w:w="5000" w:type="pct"/>
            <w:gridSpan w:val="4"/>
            <w:tcBorders>
              <w:top w:val="single" w:sz="8" w:space="0" w:color="4F81BD"/>
            </w:tcBorders>
            <w:shd w:val="clear" w:color="auto" w:fill="4F81BD"/>
            <w:vAlign w:val="center"/>
          </w:tcPr>
          <w:p w:rsidR="00400E42" w:rsidRPr="00570FB0" w:rsidRDefault="00400E42" w:rsidP="00A92FFC">
            <w:pPr>
              <w:jc w:val="center"/>
              <w:rPr>
                <w:rFonts w:ascii="Calibri" w:hAnsi="Calibri"/>
                <w:b/>
                <w:bCs/>
                <w:color w:val="FFFFFF"/>
                <w:szCs w:val="24"/>
              </w:rPr>
            </w:pPr>
            <w:r w:rsidRPr="00570FB0">
              <w:rPr>
                <w:rFonts w:ascii="Calibri" w:hAnsi="Calibri"/>
                <w:b/>
                <w:bCs/>
                <w:color w:val="FFFFFF"/>
                <w:sz w:val="22"/>
                <w:szCs w:val="22"/>
              </w:rPr>
              <w:t xml:space="preserve">Table H.5: All Deaths in </w:t>
            </w:r>
            <w:r>
              <w:rPr>
                <w:rFonts w:ascii="Calibri" w:hAnsi="Calibri"/>
                <w:b/>
                <w:bCs/>
                <w:color w:val="FFFFFF"/>
                <w:sz w:val="22"/>
                <w:szCs w:val="22"/>
              </w:rPr>
              <w:t xml:space="preserve">Massachusetts </w:t>
            </w:r>
            <w:r w:rsidRPr="00570FB0">
              <w:rPr>
                <w:rFonts w:ascii="Calibri" w:hAnsi="Calibri"/>
                <w:b/>
                <w:bCs/>
                <w:color w:val="FFFFFF"/>
                <w:sz w:val="22"/>
                <w:szCs w:val="22"/>
              </w:rPr>
              <w:t>compared to OCME Data</w:t>
            </w:r>
          </w:p>
        </w:tc>
      </w:tr>
      <w:tr w:rsidR="00400E42" w:rsidRPr="008D5FF8" w:rsidTr="00A92FFC">
        <w:trPr>
          <w:trHeight w:val="557"/>
        </w:trPr>
        <w:tc>
          <w:tcPr>
            <w:tcW w:w="1929" w:type="pct"/>
            <w:tcBorders>
              <w:top w:val="single" w:sz="8" w:space="0" w:color="4F81BD"/>
              <w:bottom w:val="single" w:sz="8" w:space="0" w:color="4F81BD"/>
            </w:tcBorders>
            <w:vAlign w:val="center"/>
          </w:tcPr>
          <w:p w:rsidR="00400E42" w:rsidRPr="00570FB0" w:rsidRDefault="00400E42" w:rsidP="00A92FFC">
            <w:pPr>
              <w:rPr>
                <w:rFonts w:ascii="Calibri" w:hAnsi="Calibri"/>
                <w:b/>
                <w:bCs/>
                <w:szCs w:val="22"/>
              </w:rPr>
            </w:pPr>
            <w:r w:rsidRPr="00570FB0">
              <w:rPr>
                <w:rFonts w:ascii="Calibri" w:hAnsi="Calibri"/>
                <w:b/>
                <w:bCs/>
                <w:sz w:val="22"/>
                <w:szCs w:val="24"/>
              </w:rPr>
              <w:t>Characteristic</w:t>
            </w:r>
          </w:p>
        </w:tc>
        <w:tc>
          <w:tcPr>
            <w:tcW w:w="1152" w:type="pct"/>
            <w:tcBorders>
              <w:top w:val="single" w:sz="8" w:space="0" w:color="4F81BD"/>
              <w:bottom w:val="single" w:sz="8" w:space="0" w:color="4F81BD"/>
              <w:right w:val="single" w:sz="8" w:space="0" w:color="4F81BD"/>
            </w:tcBorders>
            <w:vAlign w:val="center"/>
          </w:tcPr>
          <w:p w:rsidR="00400E42" w:rsidRPr="00570FB0" w:rsidRDefault="00400E42" w:rsidP="00A92FFC">
            <w:pPr>
              <w:jc w:val="center"/>
              <w:rPr>
                <w:rFonts w:ascii="Calibri" w:hAnsi="Calibri"/>
                <w:b/>
                <w:szCs w:val="24"/>
              </w:rPr>
            </w:pPr>
            <w:r w:rsidRPr="00570FB0">
              <w:rPr>
                <w:rFonts w:ascii="Calibri" w:hAnsi="Calibri"/>
                <w:b/>
                <w:sz w:val="22"/>
                <w:szCs w:val="24"/>
              </w:rPr>
              <w:t xml:space="preserve">All Deaths </w:t>
            </w:r>
          </w:p>
          <w:p w:rsidR="00400E42" w:rsidRPr="00570FB0" w:rsidRDefault="00400E42" w:rsidP="00A92FFC">
            <w:pPr>
              <w:jc w:val="center"/>
              <w:rPr>
                <w:rFonts w:ascii="Calibri" w:hAnsi="Calibri"/>
                <w:b/>
                <w:szCs w:val="24"/>
              </w:rPr>
            </w:pPr>
            <w:r w:rsidRPr="00570FB0">
              <w:rPr>
                <w:rFonts w:ascii="Calibri" w:hAnsi="Calibri"/>
                <w:b/>
                <w:sz w:val="22"/>
                <w:szCs w:val="24"/>
              </w:rPr>
              <w:t>in MA</w:t>
            </w:r>
          </w:p>
        </w:tc>
        <w:tc>
          <w:tcPr>
            <w:tcW w:w="1919" w:type="pct"/>
            <w:gridSpan w:val="2"/>
            <w:tcBorders>
              <w:top w:val="single" w:sz="8" w:space="0" w:color="4F81BD"/>
              <w:left w:val="single" w:sz="8" w:space="0" w:color="4F81BD"/>
              <w:bottom w:val="single" w:sz="8" w:space="0" w:color="4F81BD"/>
            </w:tcBorders>
            <w:vAlign w:val="center"/>
          </w:tcPr>
          <w:p w:rsidR="00400E42" w:rsidRPr="00570FB0" w:rsidRDefault="00400E42" w:rsidP="00A92FFC">
            <w:pPr>
              <w:jc w:val="center"/>
              <w:rPr>
                <w:rFonts w:ascii="Calibri" w:hAnsi="Calibri"/>
                <w:b/>
                <w:szCs w:val="22"/>
              </w:rPr>
            </w:pPr>
            <w:r w:rsidRPr="00570FB0">
              <w:rPr>
                <w:rFonts w:ascii="Calibri" w:hAnsi="Calibri"/>
                <w:b/>
                <w:sz w:val="22"/>
                <w:szCs w:val="24"/>
              </w:rPr>
              <w:t>OCME</w:t>
            </w:r>
          </w:p>
        </w:tc>
      </w:tr>
      <w:tr w:rsidR="00400E42" w:rsidRPr="00ED5DF5" w:rsidTr="00A92FFC">
        <w:tc>
          <w:tcPr>
            <w:tcW w:w="1929"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
                <w:bCs/>
                <w:color w:val="000000"/>
                <w:sz w:val="22"/>
                <w:szCs w:val="22"/>
              </w:rPr>
              <w:t>Age— no.  (%)</w:t>
            </w:r>
          </w:p>
        </w:tc>
        <w:tc>
          <w:tcPr>
            <w:tcW w:w="1152" w:type="pct"/>
            <w:tcBorders>
              <w:left w:val="single" w:sz="8" w:space="0" w:color="4F81BD"/>
              <w:right w:val="single" w:sz="8" w:space="0" w:color="4F81BD"/>
            </w:tcBorders>
          </w:tcPr>
          <w:p w:rsidR="00400E42" w:rsidRPr="00570FB0" w:rsidRDefault="00400E42" w:rsidP="00A92FFC">
            <w:pPr>
              <w:jc w:val="center"/>
              <w:rPr>
                <w:rFonts w:ascii="Calibri" w:hAnsi="Calibri"/>
                <w:b/>
                <w:szCs w:val="22"/>
              </w:rPr>
            </w:pPr>
          </w:p>
        </w:tc>
        <w:tc>
          <w:tcPr>
            <w:tcW w:w="1055" w:type="pct"/>
            <w:tcBorders>
              <w:left w:val="single" w:sz="8" w:space="0" w:color="4F81BD"/>
            </w:tcBorders>
          </w:tcPr>
          <w:p w:rsidR="00400E42" w:rsidRPr="00570FB0" w:rsidRDefault="00400E42" w:rsidP="00A92FFC">
            <w:pPr>
              <w:jc w:val="center"/>
              <w:rPr>
                <w:rFonts w:ascii="Calibri" w:hAnsi="Calibri"/>
                <w:b/>
                <w:szCs w:val="22"/>
              </w:rPr>
            </w:pPr>
            <w:r w:rsidRPr="00570FB0">
              <w:rPr>
                <w:rFonts w:ascii="Calibri" w:hAnsi="Calibri"/>
                <w:b/>
                <w:sz w:val="22"/>
                <w:szCs w:val="22"/>
              </w:rPr>
              <w:t>Died</w:t>
            </w:r>
          </w:p>
        </w:tc>
        <w:tc>
          <w:tcPr>
            <w:tcW w:w="864" w:type="pct"/>
          </w:tcPr>
          <w:p w:rsidR="00400E42" w:rsidRPr="00570FB0" w:rsidRDefault="00400E42" w:rsidP="00A92FFC">
            <w:pPr>
              <w:jc w:val="center"/>
              <w:rPr>
                <w:rFonts w:ascii="Calibri" w:hAnsi="Calibri"/>
                <w:b/>
                <w:szCs w:val="22"/>
              </w:rPr>
            </w:pPr>
            <w:r w:rsidRPr="00570FB0">
              <w:rPr>
                <w:rFonts w:ascii="Calibri" w:hAnsi="Calibri"/>
                <w:b/>
                <w:sz w:val="22"/>
                <w:szCs w:val="22"/>
              </w:rPr>
              <w:t>Living</w:t>
            </w:r>
          </w:p>
        </w:tc>
      </w:tr>
      <w:tr w:rsidR="00400E42" w:rsidRPr="00376B3E"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11-24</w:t>
            </w:r>
          </w:p>
        </w:tc>
        <w:tc>
          <w:tcPr>
            <w:tcW w:w="1152"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523"/>
              <w:jc w:val="right"/>
              <w:rPr>
                <w:rFonts w:ascii="Calibri" w:hAnsi="Calibri"/>
                <w:color w:val="000000"/>
                <w:szCs w:val="22"/>
              </w:rPr>
            </w:pPr>
            <w:r w:rsidRPr="00570FB0">
              <w:rPr>
                <w:rFonts w:ascii="Calibri" w:hAnsi="Calibri"/>
                <w:color w:val="000000"/>
                <w:sz w:val="22"/>
                <w:szCs w:val="22"/>
              </w:rPr>
              <w:t>902 (0.87)</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387 (8.1)</w:t>
            </w:r>
          </w:p>
        </w:tc>
        <w:tc>
          <w:tcPr>
            <w:tcW w:w="864" w:type="pct"/>
            <w:tcBorders>
              <w:top w:val="single" w:sz="8" w:space="0" w:color="4F81BD"/>
              <w:bottom w:val="single" w:sz="8" w:space="0" w:color="4F81BD"/>
            </w:tcBorders>
            <w:vAlign w:val="bottom"/>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376B3E" w:rsidTr="00A92FFC">
        <w:tc>
          <w:tcPr>
            <w:tcW w:w="1929"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25-34</w:t>
            </w:r>
          </w:p>
        </w:tc>
        <w:tc>
          <w:tcPr>
            <w:tcW w:w="1152" w:type="pct"/>
            <w:tcBorders>
              <w:left w:val="single" w:sz="8" w:space="0" w:color="4F81BD"/>
              <w:right w:val="single" w:sz="8" w:space="0" w:color="4F81BD"/>
            </w:tcBorders>
            <w:vAlign w:val="bottom"/>
          </w:tcPr>
          <w:p w:rsidR="00400E42" w:rsidRPr="00570FB0" w:rsidRDefault="00400E42" w:rsidP="00A92FFC">
            <w:pPr>
              <w:ind w:right="523"/>
              <w:jc w:val="right"/>
              <w:rPr>
                <w:rFonts w:ascii="Calibri" w:hAnsi="Calibri"/>
                <w:color w:val="000000"/>
                <w:szCs w:val="22"/>
              </w:rPr>
            </w:pPr>
            <w:r w:rsidRPr="00570FB0">
              <w:rPr>
                <w:rFonts w:ascii="Calibri" w:hAnsi="Calibri"/>
                <w:color w:val="000000"/>
                <w:sz w:val="22"/>
                <w:szCs w:val="22"/>
              </w:rPr>
              <w:t>1701 (1.64)</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914 (19.1)</w:t>
            </w:r>
          </w:p>
        </w:tc>
        <w:tc>
          <w:tcPr>
            <w:tcW w:w="864" w:type="pct"/>
          </w:tcPr>
          <w:p w:rsidR="00400E42" w:rsidRPr="00570FB0" w:rsidRDefault="00400E42" w:rsidP="00A92FFC">
            <w:pPr>
              <w:jc w:val="center"/>
            </w:pPr>
            <w:r w:rsidRPr="00570FB0">
              <w:rPr>
                <w:rFonts w:ascii="Calibri" w:hAnsi="Calibri"/>
                <w:sz w:val="22"/>
                <w:szCs w:val="22"/>
              </w:rPr>
              <w:t>NA</w:t>
            </w:r>
          </w:p>
        </w:tc>
      </w:tr>
      <w:tr w:rsidR="00400E42" w:rsidRPr="00376B3E"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35-44</w:t>
            </w:r>
          </w:p>
        </w:tc>
        <w:tc>
          <w:tcPr>
            <w:tcW w:w="1152"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523"/>
              <w:jc w:val="right"/>
              <w:rPr>
                <w:rFonts w:ascii="Calibri" w:hAnsi="Calibri"/>
                <w:color w:val="000000"/>
                <w:szCs w:val="22"/>
              </w:rPr>
            </w:pPr>
            <w:r w:rsidRPr="00570FB0">
              <w:rPr>
                <w:rFonts w:ascii="Calibri" w:hAnsi="Calibri"/>
                <w:color w:val="000000"/>
                <w:sz w:val="22"/>
                <w:szCs w:val="22"/>
              </w:rPr>
              <w:t>2324 (2.25)</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813 (17.0)</w:t>
            </w:r>
          </w:p>
        </w:tc>
        <w:tc>
          <w:tcPr>
            <w:tcW w:w="864" w:type="pct"/>
            <w:tcBorders>
              <w:top w:val="single" w:sz="8" w:space="0" w:color="4F81BD"/>
              <w:bottom w:val="single" w:sz="8" w:space="0" w:color="4F81BD"/>
            </w:tcBorders>
          </w:tcPr>
          <w:p w:rsidR="00400E42" w:rsidRPr="00570FB0" w:rsidRDefault="00400E42" w:rsidP="00A92FFC">
            <w:pPr>
              <w:jc w:val="center"/>
            </w:pPr>
            <w:r w:rsidRPr="00570FB0">
              <w:rPr>
                <w:rFonts w:ascii="Calibri" w:hAnsi="Calibri"/>
                <w:sz w:val="22"/>
                <w:szCs w:val="22"/>
              </w:rPr>
              <w:t>NA</w:t>
            </w:r>
          </w:p>
        </w:tc>
      </w:tr>
      <w:tr w:rsidR="00400E42" w:rsidRPr="00376B3E" w:rsidTr="00A92FFC">
        <w:tc>
          <w:tcPr>
            <w:tcW w:w="1929"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45-54</w:t>
            </w:r>
          </w:p>
        </w:tc>
        <w:tc>
          <w:tcPr>
            <w:tcW w:w="1152" w:type="pct"/>
            <w:tcBorders>
              <w:left w:val="single" w:sz="8" w:space="0" w:color="4F81BD"/>
              <w:right w:val="single" w:sz="8" w:space="0" w:color="4F81BD"/>
            </w:tcBorders>
            <w:vAlign w:val="bottom"/>
          </w:tcPr>
          <w:p w:rsidR="00400E42" w:rsidRPr="00570FB0" w:rsidRDefault="00400E42" w:rsidP="00A92FFC">
            <w:pPr>
              <w:ind w:right="523"/>
              <w:jc w:val="right"/>
              <w:rPr>
                <w:rFonts w:ascii="Calibri" w:hAnsi="Calibri"/>
                <w:color w:val="000000"/>
                <w:szCs w:val="22"/>
              </w:rPr>
            </w:pPr>
            <w:r w:rsidRPr="00570FB0">
              <w:rPr>
                <w:rFonts w:ascii="Calibri" w:hAnsi="Calibri"/>
                <w:color w:val="000000"/>
                <w:sz w:val="22"/>
                <w:szCs w:val="22"/>
              </w:rPr>
              <w:t>6098 (5.89)</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1230 (25.7)</w:t>
            </w:r>
          </w:p>
        </w:tc>
        <w:tc>
          <w:tcPr>
            <w:tcW w:w="864" w:type="pct"/>
          </w:tcPr>
          <w:p w:rsidR="00400E42" w:rsidRPr="00570FB0" w:rsidRDefault="00400E42" w:rsidP="00A92FFC">
            <w:pPr>
              <w:jc w:val="center"/>
            </w:pPr>
            <w:r w:rsidRPr="00570FB0">
              <w:rPr>
                <w:rFonts w:ascii="Calibri" w:hAnsi="Calibri"/>
                <w:sz w:val="22"/>
                <w:szCs w:val="22"/>
              </w:rPr>
              <w:t>NA</w:t>
            </w:r>
          </w:p>
        </w:tc>
      </w:tr>
      <w:tr w:rsidR="00400E42" w:rsidRPr="00376B3E"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55-64</w:t>
            </w:r>
          </w:p>
        </w:tc>
        <w:tc>
          <w:tcPr>
            <w:tcW w:w="1152"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523"/>
              <w:jc w:val="right"/>
              <w:rPr>
                <w:rFonts w:ascii="Calibri" w:hAnsi="Calibri"/>
                <w:color w:val="000000"/>
                <w:szCs w:val="22"/>
              </w:rPr>
            </w:pPr>
            <w:r w:rsidRPr="00570FB0">
              <w:rPr>
                <w:rFonts w:ascii="Calibri" w:hAnsi="Calibri"/>
                <w:color w:val="000000"/>
                <w:sz w:val="22"/>
                <w:szCs w:val="22"/>
              </w:rPr>
              <w:t>11375 (10.99)</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865 (18.1)</w:t>
            </w:r>
          </w:p>
        </w:tc>
        <w:tc>
          <w:tcPr>
            <w:tcW w:w="864" w:type="pct"/>
            <w:tcBorders>
              <w:top w:val="single" w:sz="8" w:space="0" w:color="4F81BD"/>
              <w:bottom w:val="single" w:sz="8" w:space="0" w:color="4F81BD"/>
            </w:tcBorders>
          </w:tcPr>
          <w:p w:rsidR="00400E42" w:rsidRPr="00570FB0" w:rsidRDefault="00400E42" w:rsidP="00A92FFC">
            <w:pPr>
              <w:jc w:val="center"/>
            </w:pPr>
            <w:r w:rsidRPr="00570FB0">
              <w:rPr>
                <w:rFonts w:ascii="Calibri" w:hAnsi="Calibri"/>
                <w:sz w:val="22"/>
                <w:szCs w:val="22"/>
              </w:rPr>
              <w:t>NA</w:t>
            </w:r>
          </w:p>
        </w:tc>
      </w:tr>
      <w:tr w:rsidR="00400E42" w:rsidRPr="00376B3E" w:rsidTr="00A92FFC">
        <w:tc>
          <w:tcPr>
            <w:tcW w:w="1929"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65+</w:t>
            </w:r>
          </w:p>
        </w:tc>
        <w:tc>
          <w:tcPr>
            <w:tcW w:w="1152" w:type="pct"/>
            <w:tcBorders>
              <w:left w:val="single" w:sz="8" w:space="0" w:color="4F81BD"/>
              <w:right w:val="single" w:sz="8" w:space="0" w:color="4F81BD"/>
            </w:tcBorders>
            <w:vAlign w:val="bottom"/>
          </w:tcPr>
          <w:p w:rsidR="00400E42" w:rsidRPr="00570FB0" w:rsidRDefault="00400E42" w:rsidP="00A92FFC">
            <w:pPr>
              <w:ind w:right="523"/>
              <w:jc w:val="right"/>
              <w:rPr>
                <w:rFonts w:ascii="Calibri" w:hAnsi="Calibri"/>
                <w:color w:val="000000"/>
                <w:szCs w:val="22"/>
              </w:rPr>
            </w:pPr>
            <w:r w:rsidRPr="00570FB0">
              <w:rPr>
                <w:rFonts w:ascii="Calibri" w:hAnsi="Calibri"/>
                <w:color w:val="000000"/>
                <w:sz w:val="22"/>
                <w:szCs w:val="22"/>
              </w:rPr>
              <w:t>81072 (78.33)</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572 (12.0)</w:t>
            </w:r>
          </w:p>
        </w:tc>
        <w:tc>
          <w:tcPr>
            <w:tcW w:w="864" w:type="pct"/>
          </w:tcPr>
          <w:p w:rsidR="00400E42" w:rsidRPr="00570FB0" w:rsidRDefault="00400E42" w:rsidP="00A92FFC">
            <w:pPr>
              <w:jc w:val="center"/>
            </w:pPr>
            <w:r w:rsidRPr="00570FB0">
              <w:rPr>
                <w:rFonts w:ascii="Calibri" w:hAnsi="Calibri"/>
                <w:sz w:val="22"/>
                <w:szCs w:val="22"/>
              </w:rPr>
              <w:t>NA</w:t>
            </w:r>
          </w:p>
        </w:tc>
      </w:tr>
      <w:tr w:rsidR="00400E42" w:rsidRPr="00ED5DF5"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523"/>
              <w:jc w:val="right"/>
              <w:rPr>
                <w:rFonts w:ascii="Calibri" w:hAnsi="Calibri"/>
                <w:b/>
                <w:szCs w:val="22"/>
              </w:rPr>
            </w:pPr>
          </w:p>
        </w:tc>
        <w:tc>
          <w:tcPr>
            <w:tcW w:w="1055" w:type="pct"/>
            <w:tcBorders>
              <w:top w:val="single" w:sz="8" w:space="0" w:color="4F81BD"/>
              <w:left w:val="single" w:sz="8" w:space="0" w:color="4F81BD"/>
              <w:bottom w:val="single" w:sz="8" w:space="0" w:color="4F81BD"/>
            </w:tcBorders>
          </w:tcPr>
          <w:p w:rsidR="00400E42" w:rsidRPr="00570FB0" w:rsidRDefault="00400E42" w:rsidP="00A92FFC">
            <w:pPr>
              <w:ind w:right="342"/>
              <w:jc w:val="right"/>
              <w:rPr>
                <w:rFonts w:ascii="Calibri" w:hAnsi="Calibri"/>
                <w:b/>
                <w:szCs w:val="22"/>
              </w:rPr>
            </w:pP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b/>
                <w:szCs w:val="22"/>
              </w:rPr>
            </w:pPr>
          </w:p>
        </w:tc>
      </w:tr>
      <w:tr w:rsidR="00400E42" w:rsidRPr="00ED5DF5" w:rsidTr="00A92FFC">
        <w:tc>
          <w:tcPr>
            <w:tcW w:w="1929"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Sex— no.  (%)</w:t>
            </w:r>
          </w:p>
        </w:tc>
        <w:tc>
          <w:tcPr>
            <w:tcW w:w="1152" w:type="pct"/>
            <w:tcBorders>
              <w:left w:val="single" w:sz="8" w:space="0" w:color="4F81BD"/>
              <w:right w:val="single" w:sz="8" w:space="0" w:color="4F81BD"/>
            </w:tcBorders>
          </w:tcPr>
          <w:p w:rsidR="00400E42" w:rsidRPr="00570FB0" w:rsidRDefault="00400E42" w:rsidP="00A92FFC">
            <w:pPr>
              <w:ind w:right="523"/>
              <w:jc w:val="right"/>
              <w:rPr>
                <w:rFonts w:ascii="Calibri" w:hAnsi="Calibri"/>
                <w:b/>
                <w:szCs w:val="22"/>
              </w:rPr>
            </w:pPr>
          </w:p>
        </w:tc>
        <w:tc>
          <w:tcPr>
            <w:tcW w:w="1055" w:type="pct"/>
            <w:tcBorders>
              <w:left w:val="single" w:sz="8" w:space="0" w:color="4F81BD"/>
            </w:tcBorders>
          </w:tcPr>
          <w:p w:rsidR="00400E42" w:rsidRPr="00570FB0" w:rsidRDefault="00400E42" w:rsidP="00A92FFC">
            <w:pPr>
              <w:ind w:right="342"/>
              <w:jc w:val="right"/>
              <w:rPr>
                <w:rFonts w:ascii="Calibri" w:hAnsi="Calibri"/>
                <w:b/>
                <w:szCs w:val="22"/>
              </w:rPr>
            </w:pPr>
          </w:p>
        </w:tc>
        <w:tc>
          <w:tcPr>
            <w:tcW w:w="864" w:type="pct"/>
          </w:tcPr>
          <w:p w:rsidR="00400E42" w:rsidRPr="00570FB0" w:rsidRDefault="00400E42" w:rsidP="00A92FFC">
            <w:pPr>
              <w:jc w:val="center"/>
              <w:rPr>
                <w:rFonts w:ascii="Calibri" w:hAnsi="Calibri"/>
                <w:b/>
                <w:szCs w:val="22"/>
              </w:rPr>
            </w:pPr>
          </w:p>
        </w:tc>
      </w:tr>
      <w:tr w:rsidR="00400E42" w:rsidRPr="00703CFD"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Male </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523"/>
              <w:jc w:val="right"/>
              <w:rPr>
                <w:rFonts w:ascii="Calibri" w:hAnsi="Calibri"/>
                <w:szCs w:val="22"/>
              </w:rPr>
            </w:pPr>
            <w:r w:rsidRPr="00570FB0">
              <w:rPr>
                <w:rFonts w:ascii="Calibri" w:hAnsi="Calibri"/>
                <w:sz w:val="22"/>
                <w:szCs w:val="22"/>
              </w:rPr>
              <w:t>49438 (47.8)</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3334 (69.7)</w:t>
            </w:r>
          </w:p>
        </w:tc>
        <w:tc>
          <w:tcPr>
            <w:tcW w:w="864" w:type="pct"/>
            <w:tcBorders>
              <w:top w:val="single" w:sz="8" w:space="0" w:color="4F81BD"/>
              <w:bottom w:val="single" w:sz="8" w:space="0" w:color="4F81BD"/>
            </w:tcBorders>
          </w:tcPr>
          <w:p w:rsidR="00400E42" w:rsidRPr="00570FB0" w:rsidRDefault="00400E42" w:rsidP="00A92FFC">
            <w:pPr>
              <w:jc w:val="center"/>
            </w:pPr>
            <w:r w:rsidRPr="00570FB0">
              <w:rPr>
                <w:rFonts w:ascii="Calibri" w:hAnsi="Calibri"/>
                <w:sz w:val="22"/>
                <w:szCs w:val="22"/>
              </w:rPr>
              <w:t>NA</w:t>
            </w:r>
          </w:p>
        </w:tc>
      </w:tr>
      <w:tr w:rsidR="00400E42" w:rsidRPr="00703CFD" w:rsidTr="00A92FFC">
        <w:tc>
          <w:tcPr>
            <w:tcW w:w="1929"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Female </w:t>
            </w:r>
          </w:p>
        </w:tc>
        <w:tc>
          <w:tcPr>
            <w:tcW w:w="1152" w:type="pct"/>
            <w:tcBorders>
              <w:left w:val="single" w:sz="8" w:space="0" w:color="4F81BD"/>
              <w:right w:val="single" w:sz="8" w:space="0" w:color="4F81BD"/>
            </w:tcBorders>
          </w:tcPr>
          <w:p w:rsidR="00400E42" w:rsidRPr="00570FB0" w:rsidRDefault="00400E42" w:rsidP="00A92FFC">
            <w:pPr>
              <w:ind w:right="523"/>
              <w:jc w:val="right"/>
              <w:rPr>
                <w:rFonts w:ascii="Calibri" w:hAnsi="Calibri"/>
                <w:szCs w:val="22"/>
              </w:rPr>
            </w:pPr>
            <w:r w:rsidRPr="00570FB0">
              <w:rPr>
                <w:rFonts w:ascii="Calibri" w:hAnsi="Calibri"/>
                <w:sz w:val="22"/>
                <w:szCs w:val="22"/>
              </w:rPr>
              <w:t>54067 (52.2)</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1447 (30.3)</w:t>
            </w:r>
          </w:p>
        </w:tc>
        <w:tc>
          <w:tcPr>
            <w:tcW w:w="864" w:type="pct"/>
          </w:tcPr>
          <w:p w:rsidR="00400E42" w:rsidRPr="00570FB0" w:rsidRDefault="00400E42" w:rsidP="00A92FFC">
            <w:pPr>
              <w:jc w:val="center"/>
            </w:pPr>
            <w:r w:rsidRPr="00570FB0">
              <w:rPr>
                <w:rFonts w:ascii="Calibri" w:hAnsi="Calibri"/>
                <w:sz w:val="22"/>
                <w:szCs w:val="22"/>
              </w:rPr>
              <w:t>NA</w:t>
            </w:r>
          </w:p>
        </w:tc>
      </w:tr>
      <w:tr w:rsidR="00400E42" w:rsidRPr="00703CFD"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523"/>
              <w:jc w:val="right"/>
              <w:rPr>
                <w:rFonts w:ascii="Calibri" w:hAnsi="Calibri"/>
                <w:b/>
                <w:szCs w:val="22"/>
              </w:rPr>
            </w:pP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p>
        </w:tc>
        <w:tc>
          <w:tcPr>
            <w:tcW w:w="864" w:type="pct"/>
            <w:tcBorders>
              <w:top w:val="single" w:sz="8" w:space="0" w:color="4F81BD"/>
              <w:bottom w:val="single" w:sz="8" w:space="0" w:color="4F81BD"/>
            </w:tcBorders>
            <w:vAlign w:val="bottom"/>
          </w:tcPr>
          <w:p w:rsidR="00400E42" w:rsidRPr="00570FB0" w:rsidRDefault="00400E42" w:rsidP="00A92FFC">
            <w:pPr>
              <w:jc w:val="center"/>
              <w:rPr>
                <w:rFonts w:ascii="Arial" w:hAnsi="Arial" w:cs="Arial"/>
                <w:color w:val="000000"/>
                <w:szCs w:val="22"/>
              </w:rPr>
            </w:pPr>
          </w:p>
        </w:tc>
      </w:tr>
      <w:tr w:rsidR="00400E42" w:rsidRPr="00ED5DF5" w:rsidTr="00A92FFC">
        <w:tc>
          <w:tcPr>
            <w:tcW w:w="1929"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Race or ethnic group — no. (%)</w:t>
            </w:r>
          </w:p>
        </w:tc>
        <w:tc>
          <w:tcPr>
            <w:tcW w:w="1152" w:type="pct"/>
            <w:tcBorders>
              <w:left w:val="single" w:sz="8" w:space="0" w:color="4F81BD"/>
              <w:right w:val="single" w:sz="8" w:space="0" w:color="4F81BD"/>
            </w:tcBorders>
          </w:tcPr>
          <w:p w:rsidR="00400E42" w:rsidRPr="00570FB0" w:rsidRDefault="00400E42" w:rsidP="00A92FFC">
            <w:pPr>
              <w:ind w:right="523"/>
              <w:jc w:val="right"/>
              <w:rPr>
                <w:rFonts w:ascii="Calibri" w:hAnsi="Calibri"/>
                <w:b/>
                <w:szCs w:val="22"/>
              </w:rPr>
            </w:pPr>
          </w:p>
        </w:tc>
        <w:tc>
          <w:tcPr>
            <w:tcW w:w="1055" w:type="pct"/>
            <w:tcBorders>
              <w:left w:val="single" w:sz="8" w:space="0" w:color="4F81BD"/>
            </w:tcBorders>
          </w:tcPr>
          <w:p w:rsidR="00400E42" w:rsidRPr="00570FB0" w:rsidRDefault="00400E42" w:rsidP="00A92FFC">
            <w:pPr>
              <w:ind w:right="342"/>
              <w:jc w:val="right"/>
              <w:rPr>
                <w:rFonts w:ascii="Calibri" w:hAnsi="Calibri"/>
                <w:b/>
                <w:szCs w:val="22"/>
              </w:rPr>
            </w:pPr>
          </w:p>
        </w:tc>
        <w:tc>
          <w:tcPr>
            <w:tcW w:w="864" w:type="pct"/>
          </w:tcPr>
          <w:p w:rsidR="00400E42" w:rsidRPr="00570FB0" w:rsidRDefault="00400E42" w:rsidP="00A92FFC">
            <w:pPr>
              <w:jc w:val="center"/>
              <w:rPr>
                <w:rFonts w:ascii="Calibri" w:hAnsi="Calibri"/>
                <w:b/>
                <w:szCs w:val="22"/>
              </w:rPr>
            </w:pPr>
          </w:p>
        </w:tc>
      </w:tr>
      <w:tr w:rsidR="00400E42" w:rsidRPr="00ED5DF5"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White non-Hispanic</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523"/>
              <w:jc w:val="right"/>
              <w:rPr>
                <w:rFonts w:ascii="Calibri" w:hAnsi="Calibri"/>
                <w:szCs w:val="22"/>
              </w:rPr>
            </w:pPr>
            <w:r w:rsidRPr="00570FB0">
              <w:rPr>
                <w:rFonts w:ascii="Calibri" w:hAnsi="Calibri"/>
                <w:sz w:val="22"/>
                <w:szCs w:val="22"/>
              </w:rPr>
              <w:t>94012 (90.8)</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4017 (84.0)</w:t>
            </w: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929"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Black non-Hispanic</w:t>
            </w:r>
          </w:p>
        </w:tc>
        <w:tc>
          <w:tcPr>
            <w:tcW w:w="1152" w:type="pct"/>
            <w:tcBorders>
              <w:left w:val="single" w:sz="8" w:space="0" w:color="4F81BD"/>
              <w:right w:val="single" w:sz="8" w:space="0" w:color="4F81BD"/>
            </w:tcBorders>
          </w:tcPr>
          <w:p w:rsidR="00400E42" w:rsidRPr="00570FB0" w:rsidRDefault="00400E42" w:rsidP="00A92FFC">
            <w:pPr>
              <w:ind w:right="523"/>
              <w:jc w:val="right"/>
              <w:rPr>
                <w:rFonts w:ascii="Calibri" w:hAnsi="Calibri"/>
                <w:szCs w:val="22"/>
              </w:rPr>
            </w:pPr>
            <w:r w:rsidRPr="00570FB0">
              <w:rPr>
                <w:rFonts w:ascii="Calibri" w:hAnsi="Calibri"/>
                <w:sz w:val="22"/>
                <w:szCs w:val="22"/>
              </w:rPr>
              <w:t>4361 (4.2)</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336 (7.0)</w:t>
            </w:r>
          </w:p>
        </w:tc>
        <w:tc>
          <w:tcPr>
            <w:tcW w:w="864"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Asian/PI non-Hispanic</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523"/>
              <w:jc w:val="right"/>
              <w:rPr>
                <w:rFonts w:ascii="Calibri" w:hAnsi="Calibri"/>
                <w:szCs w:val="22"/>
              </w:rPr>
            </w:pPr>
            <w:r w:rsidRPr="00570FB0">
              <w:rPr>
                <w:rFonts w:ascii="Calibri" w:hAnsi="Calibri"/>
                <w:sz w:val="22"/>
                <w:szCs w:val="22"/>
              </w:rPr>
              <w:t>1599 (1.5)</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47 (1.0)</w:t>
            </w: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929"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Hispanic</w:t>
            </w:r>
          </w:p>
        </w:tc>
        <w:tc>
          <w:tcPr>
            <w:tcW w:w="1152" w:type="pct"/>
            <w:tcBorders>
              <w:left w:val="single" w:sz="8" w:space="0" w:color="4F81BD"/>
              <w:right w:val="single" w:sz="8" w:space="0" w:color="4F81BD"/>
            </w:tcBorders>
          </w:tcPr>
          <w:p w:rsidR="00400E42" w:rsidRPr="00570FB0" w:rsidRDefault="00400E42" w:rsidP="00A92FFC">
            <w:pPr>
              <w:ind w:right="523"/>
              <w:jc w:val="right"/>
              <w:rPr>
                <w:rFonts w:ascii="Calibri" w:hAnsi="Calibri"/>
                <w:szCs w:val="22"/>
              </w:rPr>
            </w:pPr>
            <w:r w:rsidRPr="00570FB0">
              <w:rPr>
                <w:rFonts w:ascii="Calibri" w:hAnsi="Calibri"/>
                <w:sz w:val="22"/>
                <w:szCs w:val="22"/>
              </w:rPr>
              <w:t>2822 (2.7)</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325 (6.8)</w:t>
            </w:r>
          </w:p>
        </w:tc>
        <w:tc>
          <w:tcPr>
            <w:tcW w:w="864"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Other</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523"/>
              <w:jc w:val="right"/>
              <w:rPr>
                <w:rFonts w:ascii="Calibri" w:hAnsi="Calibri"/>
                <w:szCs w:val="22"/>
              </w:rPr>
            </w:pPr>
            <w:r w:rsidRPr="00570FB0">
              <w:rPr>
                <w:rFonts w:ascii="Calibri" w:hAnsi="Calibri"/>
                <w:sz w:val="22"/>
                <w:szCs w:val="22"/>
              </w:rPr>
              <w:t>703 (0.7)</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56 (1.2)</w:t>
            </w: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376B3E" w:rsidTr="00A92FFC">
        <w:tc>
          <w:tcPr>
            <w:tcW w:w="1929"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1152" w:type="pct"/>
            <w:tcBorders>
              <w:left w:val="single" w:sz="8" w:space="0" w:color="4F81BD"/>
              <w:right w:val="single" w:sz="8" w:space="0" w:color="4F81BD"/>
            </w:tcBorders>
          </w:tcPr>
          <w:p w:rsidR="00400E42" w:rsidRPr="00570FB0" w:rsidRDefault="00400E42" w:rsidP="00A92FFC">
            <w:pPr>
              <w:ind w:right="523"/>
              <w:jc w:val="right"/>
              <w:rPr>
                <w:rFonts w:ascii="Calibri" w:hAnsi="Calibri"/>
                <w:b/>
                <w:szCs w:val="22"/>
              </w:rPr>
            </w:pPr>
          </w:p>
        </w:tc>
        <w:tc>
          <w:tcPr>
            <w:tcW w:w="1055" w:type="pct"/>
            <w:tcBorders>
              <w:left w:val="single" w:sz="8" w:space="0" w:color="4F81BD"/>
            </w:tcBorders>
          </w:tcPr>
          <w:p w:rsidR="00400E42" w:rsidRPr="00570FB0" w:rsidRDefault="00400E42" w:rsidP="00A92FFC">
            <w:pPr>
              <w:ind w:right="342"/>
              <w:jc w:val="right"/>
              <w:rPr>
                <w:rFonts w:ascii="Calibri" w:hAnsi="Calibri"/>
                <w:b/>
                <w:szCs w:val="22"/>
              </w:rPr>
            </w:pPr>
          </w:p>
        </w:tc>
        <w:tc>
          <w:tcPr>
            <w:tcW w:w="864" w:type="pct"/>
            <w:vAlign w:val="bottom"/>
          </w:tcPr>
          <w:p w:rsidR="00400E42" w:rsidRPr="00570FB0" w:rsidRDefault="00400E42" w:rsidP="00A92FFC">
            <w:pPr>
              <w:jc w:val="center"/>
              <w:rPr>
                <w:rFonts w:ascii="Calibri" w:hAnsi="Calibri"/>
                <w:szCs w:val="22"/>
              </w:rPr>
            </w:pPr>
          </w:p>
        </w:tc>
      </w:tr>
      <w:tr w:rsidR="00400E42" w:rsidRPr="00ED5DF5"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Marital status — no. (%)</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523"/>
              <w:jc w:val="right"/>
              <w:rPr>
                <w:rFonts w:ascii="Calibri" w:hAnsi="Calibri"/>
                <w:b/>
                <w:szCs w:val="22"/>
              </w:rPr>
            </w:pPr>
          </w:p>
        </w:tc>
        <w:tc>
          <w:tcPr>
            <w:tcW w:w="1055" w:type="pct"/>
            <w:tcBorders>
              <w:top w:val="single" w:sz="8" w:space="0" w:color="4F81BD"/>
              <w:left w:val="single" w:sz="8" w:space="0" w:color="4F81BD"/>
              <w:bottom w:val="single" w:sz="8" w:space="0" w:color="4F81BD"/>
            </w:tcBorders>
          </w:tcPr>
          <w:p w:rsidR="00400E42" w:rsidRPr="00570FB0" w:rsidRDefault="00400E42" w:rsidP="00A92FFC">
            <w:pPr>
              <w:ind w:right="342"/>
              <w:jc w:val="right"/>
              <w:rPr>
                <w:rFonts w:ascii="Calibri" w:hAnsi="Calibri"/>
                <w:b/>
                <w:szCs w:val="22"/>
              </w:rPr>
            </w:pP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b/>
                <w:szCs w:val="22"/>
              </w:rPr>
            </w:pPr>
          </w:p>
        </w:tc>
      </w:tr>
      <w:tr w:rsidR="00400E42" w:rsidRPr="00ED5DF5" w:rsidTr="00A92FFC">
        <w:tc>
          <w:tcPr>
            <w:tcW w:w="1929"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Single, never married</w:t>
            </w:r>
          </w:p>
        </w:tc>
        <w:tc>
          <w:tcPr>
            <w:tcW w:w="1152" w:type="pct"/>
            <w:tcBorders>
              <w:left w:val="single" w:sz="8" w:space="0" w:color="4F81BD"/>
              <w:right w:val="single" w:sz="8" w:space="0" w:color="4F81BD"/>
            </w:tcBorders>
          </w:tcPr>
          <w:p w:rsidR="00400E42" w:rsidRPr="00570FB0" w:rsidRDefault="00400E42" w:rsidP="00A92FFC">
            <w:pPr>
              <w:ind w:right="523"/>
              <w:jc w:val="right"/>
              <w:rPr>
                <w:rFonts w:ascii="Calibri" w:hAnsi="Calibri"/>
                <w:szCs w:val="22"/>
              </w:rPr>
            </w:pPr>
            <w:r w:rsidRPr="00570FB0">
              <w:rPr>
                <w:rFonts w:ascii="Calibri" w:hAnsi="Calibri"/>
                <w:sz w:val="22"/>
                <w:szCs w:val="22"/>
              </w:rPr>
              <w:t>15042 (14.5)</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2466 (51.6)</w:t>
            </w:r>
          </w:p>
        </w:tc>
        <w:tc>
          <w:tcPr>
            <w:tcW w:w="864"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Married or separated</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523"/>
              <w:jc w:val="right"/>
              <w:rPr>
                <w:rFonts w:ascii="Calibri" w:hAnsi="Calibri"/>
                <w:szCs w:val="22"/>
              </w:rPr>
            </w:pPr>
            <w:r w:rsidRPr="00570FB0">
              <w:rPr>
                <w:rFonts w:ascii="Calibri" w:hAnsi="Calibri"/>
                <w:sz w:val="22"/>
                <w:szCs w:val="22"/>
              </w:rPr>
              <w:t>36133 (34.9)</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982 (20.5)</w:t>
            </w: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929"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Widowed</w:t>
            </w:r>
          </w:p>
        </w:tc>
        <w:tc>
          <w:tcPr>
            <w:tcW w:w="1152" w:type="pct"/>
            <w:tcBorders>
              <w:left w:val="single" w:sz="8" w:space="0" w:color="4F81BD"/>
              <w:right w:val="single" w:sz="8" w:space="0" w:color="4F81BD"/>
            </w:tcBorders>
          </w:tcPr>
          <w:p w:rsidR="00400E42" w:rsidRPr="00570FB0" w:rsidRDefault="00400E42" w:rsidP="00A92FFC">
            <w:pPr>
              <w:ind w:right="523"/>
              <w:jc w:val="right"/>
              <w:rPr>
                <w:rFonts w:ascii="Calibri" w:hAnsi="Calibri"/>
                <w:szCs w:val="22"/>
              </w:rPr>
            </w:pPr>
            <w:r w:rsidRPr="00570FB0">
              <w:rPr>
                <w:rFonts w:ascii="Calibri" w:hAnsi="Calibri"/>
                <w:sz w:val="22"/>
                <w:szCs w:val="22"/>
              </w:rPr>
              <w:t>38800 (37.5)</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274 (5.7)</w:t>
            </w:r>
          </w:p>
        </w:tc>
        <w:tc>
          <w:tcPr>
            <w:tcW w:w="864"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Divorced</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523"/>
              <w:jc w:val="right"/>
              <w:rPr>
                <w:rFonts w:ascii="Calibri" w:hAnsi="Calibri"/>
                <w:szCs w:val="22"/>
              </w:rPr>
            </w:pPr>
            <w:r w:rsidRPr="00570FB0">
              <w:rPr>
                <w:rFonts w:ascii="Calibri" w:hAnsi="Calibri"/>
                <w:sz w:val="22"/>
                <w:szCs w:val="22"/>
              </w:rPr>
              <w:t>13307 (12.9)</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1005 (21.0)</w:t>
            </w: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929"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1152" w:type="pct"/>
            <w:tcBorders>
              <w:left w:val="single" w:sz="8" w:space="0" w:color="4F81BD"/>
              <w:right w:val="single" w:sz="8" w:space="0" w:color="4F81BD"/>
            </w:tcBorders>
          </w:tcPr>
          <w:p w:rsidR="00400E42" w:rsidRPr="00570FB0" w:rsidRDefault="00400E42" w:rsidP="00A92FFC">
            <w:pPr>
              <w:ind w:right="523"/>
              <w:jc w:val="right"/>
              <w:rPr>
                <w:rFonts w:ascii="Calibri" w:hAnsi="Calibri"/>
                <w:szCs w:val="22"/>
              </w:rPr>
            </w:pP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p>
        </w:tc>
        <w:tc>
          <w:tcPr>
            <w:tcW w:w="864" w:type="pct"/>
          </w:tcPr>
          <w:p w:rsidR="00400E42" w:rsidRPr="00570FB0" w:rsidRDefault="00400E42" w:rsidP="00A92FFC">
            <w:pPr>
              <w:jc w:val="center"/>
              <w:rPr>
                <w:rFonts w:ascii="Calibri" w:hAnsi="Calibri"/>
                <w:szCs w:val="22"/>
              </w:rPr>
            </w:pPr>
          </w:p>
        </w:tc>
      </w:tr>
      <w:tr w:rsidR="00400E42" w:rsidRPr="00ED5DF5"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Education — no. (%)</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523"/>
              <w:jc w:val="right"/>
              <w:rPr>
                <w:rFonts w:ascii="Calibri" w:hAnsi="Calibri"/>
                <w:b/>
                <w:szCs w:val="22"/>
              </w:rPr>
            </w:pPr>
          </w:p>
        </w:tc>
        <w:tc>
          <w:tcPr>
            <w:tcW w:w="1055" w:type="pct"/>
            <w:tcBorders>
              <w:top w:val="single" w:sz="8" w:space="0" w:color="4F81BD"/>
              <w:left w:val="single" w:sz="8" w:space="0" w:color="4F81BD"/>
              <w:bottom w:val="single" w:sz="8" w:space="0" w:color="4F81BD"/>
            </w:tcBorders>
          </w:tcPr>
          <w:p w:rsidR="00400E42" w:rsidRPr="00570FB0" w:rsidRDefault="00400E42" w:rsidP="00A92FFC">
            <w:pPr>
              <w:ind w:right="342"/>
              <w:jc w:val="right"/>
              <w:rPr>
                <w:rFonts w:ascii="Calibri" w:hAnsi="Calibri"/>
                <w:b/>
                <w:szCs w:val="22"/>
              </w:rPr>
            </w:pP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b/>
                <w:szCs w:val="22"/>
              </w:rPr>
            </w:pPr>
          </w:p>
        </w:tc>
      </w:tr>
      <w:tr w:rsidR="00400E42" w:rsidRPr="00ED5DF5" w:rsidTr="00A92FFC">
        <w:tc>
          <w:tcPr>
            <w:tcW w:w="1929"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High School or Less</w:t>
            </w:r>
          </w:p>
        </w:tc>
        <w:tc>
          <w:tcPr>
            <w:tcW w:w="1152" w:type="pct"/>
            <w:tcBorders>
              <w:left w:val="single" w:sz="8" w:space="0" w:color="4F81BD"/>
              <w:right w:val="single" w:sz="8" w:space="0" w:color="4F81BD"/>
            </w:tcBorders>
          </w:tcPr>
          <w:p w:rsidR="00400E42" w:rsidRPr="00570FB0" w:rsidRDefault="00400E42" w:rsidP="00A92FFC">
            <w:pPr>
              <w:ind w:right="523"/>
              <w:jc w:val="right"/>
              <w:rPr>
                <w:rFonts w:ascii="Calibri" w:hAnsi="Calibri"/>
                <w:szCs w:val="22"/>
              </w:rPr>
            </w:pPr>
            <w:r w:rsidRPr="00570FB0">
              <w:rPr>
                <w:rFonts w:ascii="Calibri" w:hAnsi="Calibri"/>
                <w:sz w:val="22"/>
                <w:szCs w:val="22"/>
              </w:rPr>
              <w:t>67362 (65.1)</w:t>
            </w:r>
          </w:p>
        </w:tc>
        <w:tc>
          <w:tcPr>
            <w:tcW w:w="1055" w:type="pct"/>
            <w:tcBorders>
              <w:left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3276 (68.5)</w:t>
            </w:r>
          </w:p>
        </w:tc>
        <w:tc>
          <w:tcPr>
            <w:tcW w:w="864"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929"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13+ years</w:t>
            </w:r>
          </w:p>
        </w:tc>
        <w:tc>
          <w:tcPr>
            <w:tcW w:w="1152"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523"/>
              <w:jc w:val="right"/>
              <w:rPr>
                <w:rFonts w:ascii="Calibri" w:hAnsi="Calibri"/>
                <w:szCs w:val="22"/>
              </w:rPr>
            </w:pPr>
            <w:r w:rsidRPr="00570FB0">
              <w:rPr>
                <w:rFonts w:ascii="Calibri" w:hAnsi="Calibri"/>
                <w:sz w:val="22"/>
                <w:szCs w:val="22"/>
              </w:rPr>
              <w:t>34569 (33.4)</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342"/>
              <w:jc w:val="right"/>
              <w:rPr>
                <w:rFonts w:ascii="Calibri" w:hAnsi="Calibri"/>
                <w:color w:val="000000"/>
                <w:szCs w:val="22"/>
              </w:rPr>
            </w:pPr>
            <w:r w:rsidRPr="00570FB0">
              <w:rPr>
                <w:rFonts w:ascii="Calibri" w:hAnsi="Calibri"/>
                <w:color w:val="000000"/>
                <w:sz w:val="22"/>
                <w:szCs w:val="22"/>
              </w:rPr>
              <w:t>1446 (30.2)</w:t>
            </w: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bl>
    <w:p w:rsidR="00400E42" w:rsidRDefault="00400E42" w:rsidP="00400E42"/>
    <w:p w:rsidR="00400E42" w:rsidRDefault="00400E42" w:rsidP="00400E42">
      <w:pPr>
        <w:rPr>
          <w:rFonts w:ascii="Calibri" w:hAnsi="Calibri"/>
          <w:b/>
          <w:sz w:val="22"/>
          <w:szCs w:val="22"/>
        </w:rPr>
      </w:pPr>
      <w:r>
        <w:rPr>
          <w:rFonts w:ascii="Calibri" w:hAnsi="Calibri"/>
          <w:b/>
          <w:sz w:val="22"/>
          <w:szCs w:val="22"/>
        </w:rPr>
        <w:br w:type="page"/>
      </w:r>
    </w:p>
    <w:p w:rsidR="00400E42" w:rsidRDefault="00400E42" w:rsidP="00400E42">
      <w:pPr>
        <w:rPr>
          <w:rFonts w:ascii="Calibri" w:hAnsi="Calibri"/>
          <w:b/>
          <w:sz w:val="22"/>
          <w:szCs w:val="22"/>
        </w:rPr>
      </w:pPr>
    </w:p>
    <w:p w:rsidR="00400E42" w:rsidRDefault="00400E42" w:rsidP="00400E42"/>
    <w:tbl>
      <w:tblPr>
        <w:tblW w:w="4897"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3438"/>
        <w:gridCol w:w="2341"/>
        <w:gridCol w:w="1979"/>
        <w:gridCol w:w="1621"/>
      </w:tblGrid>
      <w:tr w:rsidR="00400E42" w:rsidRPr="008D5FF8" w:rsidTr="00A92FFC">
        <w:trPr>
          <w:trHeight w:val="557"/>
        </w:trPr>
        <w:tc>
          <w:tcPr>
            <w:tcW w:w="5000" w:type="pct"/>
            <w:gridSpan w:val="4"/>
            <w:tcBorders>
              <w:top w:val="single" w:sz="8" w:space="0" w:color="4F81BD"/>
            </w:tcBorders>
            <w:shd w:val="clear" w:color="auto" w:fill="4F81BD"/>
            <w:vAlign w:val="center"/>
          </w:tcPr>
          <w:p w:rsidR="00400E42" w:rsidRPr="00570FB0" w:rsidRDefault="00400E42" w:rsidP="00A92FFC">
            <w:pPr>
              <w:jc w:val="center"/>
              <w:rPr>
                <w:rFonts w:ascii="Calibri" w:hAnsi="Calibri"/>
                <w:b/>
                <w:bCs/>
                <w:color w:val="FFFFFF"/>
                <w:szCs w:val="24"/>
              </w:rPr>
            </w:pPr>
            <w:r w:rsidRPr="00570FB0">
              <w:rPr>
                <w:rFonts w:ascii="Calibri" w:hAnsi="Calibri"/>
                <w:b/>
                <w:bCs/>
                <w:color w:val="FFFFFF"/>
                <w:sz w:val="22"/>
                <w:szCs w:val="22"/>
              </w:rPr>
              <w:t xml:space="preserve">Table H.6: All Deaths in </w:t>
            </w:r>
            <w:r>
              <w:rPr>
                <w:rFonts w:ascii="Calibri" w:hAnsi="Calibri"/>
                <w:b/>
                <w:bCs/>
                <w:color w:val="FFFFFF"/>
                <w:sz w:val="22"/>
                <w:szCs w:val="22"/>
              </w:rPr>
              <w:t xml:space="preserve">Massachusetts </w:t>
            </w:r>
            <w:r w:rsidRPr="00570FB0">
              <w:rPr>
                <w:rFonts w:ascii="Calibri" w:hAnsi="Calibri"/>
                <w:b/>
                <w:bCs/>
                <w:color w:val="FFFFFF"/>
                <w:sz w:val="22"/>
                <w:szCs w:val="22"/>
              </w:rPr>
              <w:t>compared to Cancer Population</w:t>
            </w:r>
          </w:p>
        </w:tc>
      </w:tr>
      <w:tr w:rsidR="00400E42" w:rsidRPr="008D5FF8" w:rsidTr="00A92FFC">
        <w:trPr>
          <w:trHeight w:val="557"/>
        </w:trPr>
        <w:tc>
          <w:tcPr>
            <w:tcW w:w="1833" w:type="pct"/>
            <w:tcBorders>
              <w:top w:val="single" w:sz="8" w:space="0" w:color="4F81BD"/>
              <w:bottom w:val="single" w:sz="8" w:space="0" w:color="4F81BD"/>
            </w:tcBorders>
            <w:vAlign w:val="center"/>
          </w:tcPr>
          <w:p w:rsidR="00400E42" w:rsidRPr="00570FB0" w:rsidRDefault="00400E42" w:rsidP="00A92FFC">
            <w:pPr>
              <w:rPr>
                <w:rFonts w:ascii="Calibri" w:hAnsi="Calibri"/>
                <w:b/>
                <w:bCs/>
                <w:szCs w:val="22"/>
              </w:rPr>
            </w:pPr>
            <w:r w:rsidRPr="00570FB0">
              <w:rPr>
                <w:rFonts w:ascii="Calibri" w:hAnsi="Calibri"/>
                <w:b/>
                <w:bCs/>
                <w:sz w:val="22"/>
                <w:szCs w:val="24"/>
              </w:rPr>
              <w:t>Characteristic</w:t>
            </w:r>
          </w:p>
        </w:tc>
        <w:tc>
          <w:tcPr>
            <w:tcW w:w="1248" w:type="pct"/>
            <w:tcBorders>
              <w:top w:val="single" w:sz="8" w:space="0" w:color="4F81BD"/>
              <w:bottom w:val="single" w:sz="8" w:space="0" w:color="4F81BD"/>
              <w:right w:val="single" w:sz="8" w:space="0" w:color="4F81BD"/>
            </w:tcBorders>
            <w:vAlign w:val="center"/>
          </w:tcPr>
          <w:p w:rsidR="00400E42" w:rsidRPr="00570FB0" w:rsidRDefault="00400E42" w:rsidP="00A92FFC">
            <w:pPr>
              <w:jc w:val="center"/>
              <w:rPr>
                <w:rFonts w:ascii="Calibri" w:hAnsi="Calibri"/>
                <w:b/>
                <w:szCs w:val="24"/>
              </w:rPr>
            </w:pPr>
            <w:r w:rsidRPr="00570FB0">
              <w:rPr>
                <w:rFonts w:ascii="Calibri" w:hAnsi="Calibri"/>
                <w:b/>
                <w:sz w:val="22"/>
                <w:szCs w:val="24"/>
              </w:rPr>
              <w:t xml:space="preserve">All Deaths </w:t>
            </w:r>
          </w:p>
          <w:p w:rsidR="00400E42" w:rsidRPr="00570FB0" w:rsidRDefault="00400E42" w:rsidP="00A92FFC">
            <w:pPr>
              <w:jc w:val="center"/>
              <w:rPr>
                <w:rFonts w:ascii="Calibri" w:hAnsi="Calibri"/>
                <w:b/>
                <w:szCs w:val="24"/>
              </w:rPr>
            </w:pPr>
            <w:r w:rsidRPr="00570FB0">
              <w:rPr>
                <w:rFonts w:ascii="Calibri" w:hAnsi="Calibri"/>
                <w:b/>
                <w:sz w:val="22"/>
                <w:szCs w:val="24"/>
              </w:rPr>
              <w:t>in MA</w:t>
            </w:r>
          </w:p>
        </w:tc>
        <w:tc>
          <w:tcPr>
            <w:tcW w:w="1919" w:type="pct"/>
            <w:gridSpan w:val="2"/>
            <w:tcBorders>
              <w:top w:val="single" w:sz="8" w:space="0" w:color="4F81BD"/>
              <w:left w:val="single" w:sz="8" w:space="0" w:color="4F81BD"/>
              <w:bottom w:val="single" w:sz="8" w:space="0" w:color="4F81BD"/>
            </w:tcBorders>
            <w:vAlign w:val="center"/>
          </w:tcPr>
          <w:p w:rsidR="00400E42" w:rsidRPr="00570FB0" w:rsidRDefault="00400E42" w:rsidP="00A92FFC">
            <w:pPr>
              <w:jc w:val="center"/>
              <w:rPr>
                <w:rFonts w:ascii="Calibri" w:hAnsi="Calibri"/>
                <w:b/>
                <w:szCs w:val="22"/>
              </w:rPr>
            </w:pPr>
            <w:r w:rsidRPr="00570FB0">
              <w:rPr>
                <w:rFonts w:ascii="Calibri" w:hAnsi="Calibri"/>
                <w:b/>
                <w:sz w:val="22"/>
                <w:szCs w:val="24"/>
              </w:rPr>
              <w:t>Cancer</w:t>
            </w:r>
          </w:p>
        </w:tc>
      </w:tr>
      <w:tr w:rsidR="00400E42" w:rsidRPr="00ED5DF5" w:rsidTr="00A92FFC">
        <w:tc>
          <w:tcPr>
            <w:tcW w:w="1833"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
                <w:bCs/>
                <w:color w:val="000000"/>
                <w:sz w:val="22"/>
                <w:szCs w:val="22"/>
              </w:rPr>
              <w:t>Age— no.  (%)</w:t>
            </w:r>
          </w:p>
        </w:tc>
        <w:tc>
          <w:tcPr>
            <w:tcW w:w="1248" w:type="pct"/>
            <w:tcBorders>
              <w:left w:val="single" w:sz="8" w:space="0" w:color="4F81BD"/>
              <w:right w:val="single" w:sz="8" w:space="0" w:color="4F81BD"/>
            </w:tcBorders>
          </w:tcPr>
          <w:p w:rsidR="00400E42" w:rsidRPr="00570FB0" w:rsidRDefault="00400E42" w:rsidP="00A92FFC">
            <w:pPr>
              <w:jc w:val="center"/>
              <w:rPr>
                <w:rFonts w:ascii="Calibri" w:hAnsi="Calibri"/>
                <w:b/>
                <w:szCs w:val="22"/>
              </w:rPr>
            </w:pPr>
          </w:p>
        </w:tc>
        <w:tc>
          <w:tcPr>
            <w:tcW w:w="1055" w:type="pct"/>
            <w:tcBorders>
              <w:left w:val="single" w:sz="8" w:space="0" w:color="4F81BD"/>
            </w:tcBorders>
          </w:tcPr>
          <w:p w:rsidR="00400E42" w:rsidRPr="00570FB0" w:rsidRDefault="00400E42" w:rsidP="00A92FFC">
            <w:pPr>
              <w:jc w:val="center"/>
              <w:rPr>
                <w:rFonts w:ascii="Calibri" w:hAnsi="Calibri"/>
                <w:b/>
                <w:szCs w:val="22"/>
              </w:rPr>
            </w:pPr>
            <w:r w:rsidRPr="00570FB0">
              <w:rPr>
                <w:rFonts w:ascii="Calibri" w:hAnsi="Calibri"/>
                <w:b/>
                <w:sz w:val="22"/>
                <w:szCs w:val="22"/>
              </w:rPr>
              <w:t>Died</w:t>
            </w:r>
          </w:p>
        </w:tc>
        <w:tc>
          <w:tcPr>
            <w:tcW w:w="864" w:type="pct"/>
          </w:tcPr>
          <w:p w:rsidR="00400E42" w:rsidRPr="00570FB0" w:rsidRDefault="00400E42" w:rsidP="00A92FFC">
            <w:pPr>
              <w:jc w:val="center"/>
              <w:rPr>
                <w:rFonts w:ascii="Calibri" w:hAnsi="Calibri"/>
                <w:b/>
                <w:szCs w:val="22"/>
              </w:rPr>
            </w:pPr>
            <w:r w:rsidRPr="00570FB0">
              <w:rPr>
                <w:rFonts w:ascii="Calibri" w:hAnsi="Calibri"/>
                <w:b/>
                <w:sz w:val="22"/>
                <w:szCs w:val="22"/>
              </w:rPr>
              <w:t>Living</w:t>
            </w:r>
          </w:p>
        </w:tc>
      </w:tr>
      <w:tr w:rsidR="00400E42" w:rsidRPr="00376B3E"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11-24</w:t>
            </w:r>
          </w:p>
        </w:tc>
        <w:tc>
          <w:tcPr>
            <w:tcW w:w="1248"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902 (0.87)</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34 (0.2)</w:t>
            </w:r>
          </w:p>
        </w:tc>
        <w:tc>
          <w:tcPr>
            <w:tcW w:w="864"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960 (0.8)</w:t>
            </w:r>
          </w:p>
        </w:tc>
      </w:tr>
      <w:tr w:rsidR="00400E42" w:rsidRPr="00376B3E" w:rsidTr="00A92FFC">
        <w:tc>
          <w:tcPr>
            <w:tcW w:w="1833"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25-34</w:t>
            </w:r>
          </w:p>
        </w:tc>
        <w:tc>
          <w:tcPr>
            <w:tcW w:w="1248" w:type="pct"/>
            <w:tcBorders>
              <w:left w:val="single" w:sz="8" w:space="0" w:color="4F81BD"/>
              <w:right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1701 (1.64)</w:t>
            </w:r>
          </w:p>
        </w:tc>
        <w:tc>
          <w:tcPr>
            <w:tcW w:w="1055"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73 (0.4)</w:t>
            </w:r>
          </w:p>
        </w:tc>
        <w:tc>
          <w:tcPr>
            <w:tcW w:w="864" w:type="pct"/>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2309 (1.8)</w:t>
            </w:r>
          </w:p>
        </w:tc>
      </w:tr>
      <w:tr w:rsidR="00400E42" w:rsidRPr="00376B3E"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35-44</w:t>
            </w:r>
          </w:p>
        </w:tc>
        <w:tc>
          <w:tcPr>
            <w:tcW w:w="1248"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2324 (2.25)</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315 (1.6)</w:t>
            </w:r>
          </w:p>
        </w:tc>
        <w:tc>
          <w:tcPr>
            <w:tcW w:w="864"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5026 (4.0)</w:t>
            </w:r>
          </w:p>
        </w:tc>
      </w:tr>
      <w:tr w:rsidR="00400E42" w:rsidRPr="00376B3E" w:rsidTr="00A92FFC">
        <w:tc>
          <w:tcPr>
            <w:tcW w:w="1833"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45-54</w:t>
            </w:r>
          </w:p>
        </w:tc>
        <w:tc>
          <w:tcPr>
            <w:tcW w:w="1248" w:type="pct"/>
            <w:tcBorders>
              <w:left w:val="single" w:sz="8" w:space="0" w:color="4F81BD"/>
              <w:right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6098 (5.89)</w:t>
            </w:r>
          </w:p>
        </w:tc>
        <w:tc>
          <w:tcPr>
            <w:tcW w:w="1055"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1322 (6.5)</w:t>
            </w:r>
          </w:p>
        </w:tc>
        <w:tc>
          <w:tcPr>
            <w:tcW w:w="864" w:type="pct"/>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15143 (11.9)</w:t>
            </w:r>
          </w:p>
        </w:tc>
      </w:tr>
      <w:tr w:rsidR="00400E42" w:rsidRPr="00376B3E"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55-64</w:t>
            </w:r>
          </w:p>
        </w:tc>
        <w:tc>
          <w:tcPr>
            <w:tcW w:w="1248"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11375 (10.99)</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3688 (18.3)</w:t>
            </w:r>
          </w:p>
        </w:tc>
        <w:tc>
          <w:tcPr>
            <w:tcW w:w="864"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28009 (22.1)</w:t>
            </w:r>
          </w:p>
        </w:tc>
      </w:tr>
      <w:tr w:rsidR="00400E42" w:rsidRPr="00376B3E" w:rsidTr="00A92FFC">
        <w:tc>
          <w:tcPr>
            <w:tcW w:w="1833"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65+</w:t>
            </w:r>
          </w:p>
        </w:tc>
        <w:tc>
          <w:tcPr>
            <w:tcW w:w="1248" w:type="pct"/>
            <w:tcBorders>
              <w:left w:val="single" w:sz="8" w:space="0" w:color="4F81BD"/>
              <w:right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81072 (78.33)</w:t>
            </w:r>
          </w:p>
        </w:tc>
        <w:tc>
          <w:tcPr>
            <w:tcW w:w="1055"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14762 (73.1)</w:t>
            </w:r>
          </w:p>
        </w:tc>
        <w:tc>
          <w:tcPr>
            <w:tcW w:w="864" w:type="pct"/>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75417 (59.5)</w:t>
            </w:r>
          </w:p>
        </w:tc>
      </w:tr>
      <w:tr w:rsidR="00400E42" w:rsidRPr="00ED5DF5"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124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p>
        </w:tc>
        <w:tc>
          <w:tcPr>
            <w:tcW w:w="864" w:type="pct"/>
            <w:tcBorders>
              <w:top w:val="single" w:sz="8" w:space="0" w:color="4F81BD"/>
              <w:bottom w:val="single" w:sz="8" w:space="0" w:color="4F81BD"/>
            </w:tcBorders>
          </w:tcPr>
          <w:p w:rsidR="00400E42" w:rsidRPr="00570FB0" w:rsidRDefault="00400E42" w:rsidP="00A92FFC">
            <w:pPr>
              <w:ind w:right="73"/>
              <w:jc w:val="right"/>
              <w:rPr>
                <w:rFonts w:ascii="Calibri" w:hAnsi="Calibri"/>
                <w:b/>
                <w:szCs w:val="22"/>
              </w:rPr>
            </w:pPr>
          </w:p>
        </w:tc>
      </w:tr>
      <w:tr w:rsidR="00400E42" w:rsidRPr="00ED5DF5" w:rsidTr="00A92FFC">
        <w:tc>
          <w:tcPr>
            <w:tcW w:w="1833"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Sex— no.  (%)</w:t>
            </w:r>
          </w:p>
        </w:tc>
        <w:tc>
          <w:tcPr>
            <w:tcW w:w="1248" w:type="pct"/>
            <w:tcBorders>
              <w:left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055" w:type="pct"/>
            <w:tcBorders>
              <w:left w:val="single" w:sz="8" w:space="0" w:color="4F81BD"/>
            </w:tcBorders>
          </w:tcPr>
          <w:p w:rsidR="00400E42" w:rsidRPr="00570FB0" w:rsidRDefault="00400E42" w:rsidP="00A92FFC">
            <w:pPr>
              <w:ind w:right="252"/>
              <w:jc w:val="right"/>
              <w:rPr>
                <w:rFonts w:ascii="Calibri" w:hAnsi="Calibri"/>
                <w:b/>
                <w:szCs w:val="22"/>
              </w:rPr>
            </w:pPr>
          </w:p>
        </w:tc>
        <w:tc>
          <w:tcPr>
            <w:tcW w:w="864" w:type="pct"/>
          </w:tcPr>
          <w:p w:rsidR="00400E42" w:rsidRPr="00570FB0" w:rsidRDefault="00400E42" w:rsidP="00A92FFC">
            <w:pPr>
              <w:ind w:right="73"/>
              <w:jc w:val="right"/>
              <w:rPr>
                <w:rFonts w:ascii="Calibri" w:hAnsi="Calibri"/>
                <w:b/>
                <w:szCs w:val="22"/>
              </w:rPr>
            </w:pPr>
          </w:p>
        </w:tc>
      </w:tr>
      <w:tr w:rsidR="00400E42" w:rsidRPr="00703CFD"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Male </w:t>
            </w:r>
          </w:p>
        </w:tc>
        <w:tc>
          <w:tcPr>
            <w:tcW w:w="124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49438 (47.8)</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10554 (52.2)</w:t>
            </w:r>
          </w:p>
        </w:tc>
        <w:tc>
          <w:tcPr>
            <w:tcW w:w="864"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57280 (45.2)</w:t>
            </w:r>
          </w:p>
        </w:tc>
      </w:tr>
      <w:tr w:rsidR="00400E42" w:rsidRPr="00703CFD" w:rsidTr="00A92FFC">
        <w:tc>
          <w:tcPr>
            <w:tcW w:w="1833"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Female </w:t>
            </w:r>
          </w:p>
        </w:tc>
        <w:tc>
          <w:tcPr>
            <w:tcW w:w="1248"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54067 (52.2)</w:t>
            </w:r>
          </w:p>
        </w:tc>
        <w:tc>
          <w:tcPr>
            <w:tcW w:w="1055"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9648 (47.8)</w:t>
            </w:r>
          </w:p>
        </w:tc>
        <w:tc>
          <w:tcPr>
            <w:tcW w:w="864" w:type="pct"/>
            <w:vAlign w:val="bottom"/>
          </w:tcPr>
          <w:p w:rsidR="00400E42" w:rsidRPr="00570FB0" w:rsidRDefault="00400E42" w:rsidP="00A92FFC">
            <w:pPr>
              <w:ind w:right="73"/>
              <w:jc w:val="right"/>
              <w:rPr>
                <w:rFonts w:ascii="Calibri" w:hAnsi="Calibri"/>
                <w:color w:val="000000"/>
                <w:szCs w:val="22"/>
              </w:rPr>
            </w:pPr>
            <w:r w:rsidRPr="00570FB0">
              <w:rPr>
                <w:rFonts w:ascii="Calibri" w:hAnsi="Calibri"/>
                <w:color w:val="000000"/>
                <w:sz w:val="22"/>
                <w:szCs w:val="22"/>
              </w:rPr>
              <w:t>69573 (54.8)</w:t>
            </w:r>
          </w:p>
        </w:tc>
      </w:tr>
      <w:tr w:rsidR="00400E42" w:rsidRPr="00703CFD"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124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p>
        </w:tc>
        <w:tc>
          <w:tcPr>
            <w:tcW w:w="864" w:type="pct"/>
            <w:tcBorders>
              <w:top w:val="single" w:sz="8" w:space="0" w:color="4F81BD"/>
              <w:bottom w:val="single" w:sz="8" w:space="0" w:color="4F81BD"/>
            </w:tcBorders>
            <w:vAlign w:val="bottom"/>
          </w:tcPr>
          <w:p w:rsidR="00400E42" w:rsidRPr="00570FB0" w:rsidRDefault="00400E42" w:rsidP="00A92FFC">
            <w:pPr>
              <w:rPr>
                <w:rFonts w:ascii="Arial" w:hAnsi="Arial" w:cs="Arial"/>
                <w:color w:val="000000"/>
                <w:szCs w:val="22"/>
              </w:rPr>
            </w:pPr>
          </w:p>
        </w:tc>
      </w:tr>
      <w:tr w:rsidR="00400E42" w:rsidRPr="00ED5DF5" w:rsidTr="00A92FFC">
        <w:tc>
          <w:tcPr>
            <w:tcW w:w="1833"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Race or ethnic group — no. (%)</w:t>
            </w:r>
          </w:p>
        </w:tc>
        <w:tc>
          <w:tcPr>
            <w:tcW w:w="1248" w:type="pct"/>
            <w:tcBorders>
              <w:left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055" w:type="pct"/>
            <w:tcBorders>
              <w:left w:val="single" w:sz="8" w:space="0" w:color="4F81BD"/>
            </w:tcBorders>
          </w:tcPr>
          <w:p w:rsidR="00400E42" w:rsidRPr="00570FB0" w:rsidRDefault="00400E42" w:rsidP="00A92FFC">
            <w:pPr>
              <w:ind w:right="252"/>
              <w:jc w:val="right"/>
              <w:rPr>
                <w:rFonts w:ascii="Calibri" w:hAnsi="Calibri"/>
                <w:b/>
                <w:szCs w:val="22"/>
              </w:rPr>
            </w:pPr>
          </w:p>
        </w:tc>
        <w:tc>
          <w:tcPr>
            <w:tcW w:w="864" w:type="pct"/>
          </w:tcPr>
          <w:p w:rsidR="00400E42" w:rsidRPr="00570FB0" w:rsidRDefault="00400E42" w:rsidP="00A92FFC">
            <w:pPr>
              <w:jc w:val="center"/>
              <w:rPr>
                <w:rFonts w:ascii="Calibri" w:hAnsi="Calibri"/>
                <w:b/>
                <w:szCs w:val="22"/>
              </w:rPr>
            </w:pPr>
          </w:p>
        </w:tc>
      </w:tr>
      <w:tr w:rsidR="00400E42" w:rsidRPr="00ED5DF5"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White non-Hispanic</w:t>
            </w:r>
          </w:p>
        </w:tc>
        <w:tc>
          <w:tcPr>
            <w:tcW w:w="124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94012 (90.8)</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18248 (90.3)</w:t>
            </w:r>
          </w:p>
        </w:tc>
        <w:tc>
          <w:tcPr>
            <w:tcW w:w="864" w:type="pct"/>
            <w:tcBorders>
              <w:top w:val="single" w:sz="8" w:space="0" w:color="4F81BD"/>
              <w:bottom w:val="single" w:sz="8" w:space="0" w:color="4F81BD"/>
            </w:tcBorders>
          </w:tcPr>
          <w:p w:rsidR="00400E42" w:rsidRPr="00570FB0" w:rsidRDefault="00400E42" w:rsidP="00A92FFC">
            <w:pPr>
              <w:jc w:val="center"/>
            </w:pPr>
            <w:r w:rsidRPr="00570FB0">
              <w:rPr>
                <w:rFonts w:ascii="Calibri" w:hAnsi="Calibri"/>
                <w:sz w:val="22"/>
                <w:szCs w:val="22"/>
              </w:rPr>
              <w:t>NA</w:t>
            </w:r>
          </w:p>
        </w:tc>
      </w:tr>
      <w:tr w:rsidR="00400E42" w:rsidRPr="00ED5DF5" w:rsidTr="00A92FFC">
        <w:tc>
          <w:tcPr>
            <w:tcW w:w="1833"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Black non-Hispanic</w:t>
            </w:r>
          </w:p>
        </w:tc>
        <w:tc>
          <w:tcPr>
            <w:tcW w:w="1248"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4361 (4.2)</w:t>
            </w:r>
          </w:p>
        </w:tc>
        <w:tc>
          <w:tcPr>
            <w:tcW w:w="1055"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864 (4.3)</w:t>
            </w:r>
          </w:p>
        </w:tc>
        <w:tc>
          <w:tcPr>
            <w:tcW w:w="864" w:type="pct"/>
          </w:tcPr>
          <w:p w:rsidR="00400E42" w:rsidRPr="00570FB0" w:rsidRDefault="00400E42" w:rsidP="00A92FFC">
            <w:pPr>
              <w:jc w:val="center"/>
            </w:pPr>
            <w:r w:rsidRPr="00570FB0">
              <w:rPr>
                <w:rFonts w:ascii="Calibri" w:hAnsi="Calibri"/>
                <w:sz w:val="22"/>
                <w:szCs w:val="22"/>
              </w:rPr>
              <w:t>NA</w:t>
            </w:r>
          </w:p>
        </w:tc>
      </w:tr>
      <w:tr w:rsidR="00400E42" w:rsidRPr="00ED5DF5"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Asian/PI non-Hispanic</w:t>
            </w:r>
          </w:p>
        </w:tc>
        <w:tc>
          <w:tcPr>
            <w:tcW w:w="124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1599 (1.5)</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417 (2.1)</w:t>
            </w:r>
          </w:p>
        </w:tc>
        <w:tc>
          <w:tcPr>
            <w:tcW w:w="864" w:type="pct"/>
            <w:tcBorders>
              <w:top w:val="single" w:sz="8" w:space="0" w:color="4F81BD"/>
              <w:bottom w:val="single" w:sz="8" w:space="0" w:color="4F81BD"/>
            </w:tcBorders>
          </w:tcPr>
          <w:p w:rsidR="00400E42" w:rsidRPr="00570FB0" w:rsidRDefault="00400E42" w:rsidP="00A92FFC">
            <w:pPr>
              <w:jc w:val="center"/>
            </w:pPr>
            <w:r w:rsidRPr="00570FB0">
              <w:rPr>
                <w:rFonts w:ascii="Calibri" w:hAnsi="Calibri"/>
                <w:sz w:val="22"/>
                <w:szCs w:val="22"/>
              </w:rPr>
              <w:t>NA</w:t>
            </w:r>
          </w:p>
        </w:tc>
      </w:tr>
      <w:tr w:rsidR="00400E42" w:rsidRPr="00ED5DF5" w:rsidTr="00A92FFC">
        <w:tc>
          <w:tcPr>
            <w:tcW w:w="1833"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Hispanic</w:t>
            </w:r>
          </w:p>
        </w:tc>
        <w:tc>
          <w:tcPr>
            <w:tcW w:w="1248"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2822 (2.7)</w:t>
            </w:r>
          </w:p>
        </w:tc>
        <w:tc>
          <w:tcPr>
            <w:tcW w:w="1055"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540 (2.7)</w:t>
            </w:r>
          </w:p>
        </w:tc>
        <w:tc>
          <w:tcPr>
            <w:tcW w:w="864" w:type="pct"/>
          </w:tcPr>
          <w:p w:rsidR="00400E42" w:rsidRPr="00570FB0" w:rsidRDefault="00400E42" w:rsidP="00A92FFC">
            <w:pPr>
              <w:jc w:val="center"/>
            </w:pPr>
            <w:r w:rsidRPr="00570FB0">
              <w:rPr>
                <w:rFonts w:ascii="Calibri" w:hAnsi="Calibri"/>
                <w:sz w:val="22"/>
                <w:szCs w:val="22"/>
              </w:rPr>
              <w:t>NA</w:t>
            </w:r>
          </w:p>
        </w:tc>
      </w:tr>
      <w:tr w:rsidR="00400E42" w:rsidRPr="00ED5DF5"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Other</w:t>
            </w:r>
          </w:p>
        </w:tc>
        <w:tc>
          <w:tcPr>
            <w:tcW w:w="124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703 (0.7)</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132 (0.7)</w:t>
            </w:r>
          </w:p>
        </w:tc>
        <w:tc>
          <w:tcPr>
            <w:tcW w:w="864" w:type="pct"/>
            <w:tcBorders>
              <w:top w:val="single" w:sz="8" w:space="0" w:color="4F81BD"/>
              <w:bottom w:val="single" w:sz="8" w:space="0" w:color="4F81BD"/>
            </w:tcBorders>
          </w:tcPr>
          <w:p w:rsidR="00400E42" w:rsidRPr="00570FB0" w:rsidRDefault="00400E42" w:rsidP="00A92FFC">
            <w:pPr>
              <w:jc w:val="center"/>
            </w:pPr>
            <w:r w:rsidRPr="00570FB0">
              <w:rPr>
                <w:rFonts w:ascii="Calibri" w:hAnsi="Calibri"/>
                <w:sz w:val="22"/>
                <w:szCs w:val="22"/>
              </w:rPr>
              <w:t>NA</w:t>
            </w:r>
          </w:p>
        </w:tc>
      </w:tr>
      <w:tr w:rsidR="00400E42" w:rsidRPr="00376B3E" w:rsidTr="00A92FFC">
        <w:tc>
          <w:tcPr>
            <w:tcW w:w="1833"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1248" w:type="pct"/>
            <w:tcBorders>
              <w:left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055" w:type="pct"/>
            <w:tcBorders>
              <w:left w:val="single" w:sz="8" w:space="0" w:color="4F81BD"/>
            </w:tcBorders>
          </w:tcPr>
          <w:p w:rsidR="00400E42" w:rsidRPr="00570FB0" w:rsidRDefault="00400E42" w:rsidP="00A92FFC">
            <w:pPr>
              <w:ind w:right="252"/>
              <w:jc w:val="right"/>
              <w:rPr>
                <w:rFonts w:ascii="Calibri" w:hAnsi="Calibri"/>
                <w:b/>
                <w:szCs w:val="22"/>
              </w:rPr>
            </w:pPr>
          </w:p>
        </w:tc>
        <w:tc>
          <w:tcPr>
            <w:tcW w:w="864" w:type="pct"/>
            <w:vAlign w:val="bottom"/>
          </w:tcPr>
          <w:p w:rsidR="00400E42" w:rsidRPr="00570FB0" w:rsidRDefault="00400E42" w:rsidP="00A92FFC">
            <w:pPr>
              <w:jc w:val="center"/>
              <w:rPr>
                <w:rFonts w:ascii="Calibri" w:hAnsi="Calibri"/>
                <w:szCs w:val="22"/>
              </w:rPr>
            </w:pPr>
          </w:p>
        </w:tc>
      </w:tr>
      <w:tr w:rsidR="00400E42" w:rsidRPr="00ED5DF5"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Marital status — no. (%)</w:t>
            </w:r>
          </w:p>
        </w:tc>
        <w:tc>
          <w:tcPr>
            <w:tcW w:w="124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055" w:type="pct"/>
            <w:tcBorders>
              <w:top w:val="single" w:sz="8" w:space="0" w:color="4F81BD"/>
              <w:left w:val="single" w:sz="8" w:space="0" w:color="4F81BD"/>
              <w:bottom w:val="single" w:sz="8" w:space="0" w:color="4F81BD"/>
            </w:tcBorders>
          </w:tcPr>
          <w:p w:rsidR="00400E42" w:rsidRPr="00570FB0" w:rsidRDefault="00400E42" w:rsidP="00A92FFC">
            <w:pPr>
              <w:ind w:right="252"/>
              <w:jc w:val="right"/>
              <w:rPr>
                <w:rFonts w:ascii="Calibri" w:hAnsi="Calibri"/>
                <w:b/>
                <w:szCs w:val="22"/>
              </w:rPr>
            </w:pP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b/>
                <w:szCs w:val="22"/>
              </w:rPr>
            </w:pPr>
          </w:p>
        </w:tc>
      </w:tr>
      <w:tr w:rsidR="00400E42" w:rsidRPr="00ED5DF5" w:rsidTr="00A92FFC">
        <w:tc>
          <w:tcPr>
            <w:tcW w:w="1833"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Single, never married</w:t>
            </w:r>
          </w:p>
        </w:tc>
        <w:tc>
          <w:tcPr>
            <w:tcW w:w="1248"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15042 (14.5)</w:t>
            </w:r>
          </w:p>
        </w:tc>
        <w:tc>
          <w:tcPr>
            <w:tcW w:w="1055"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2372 (11.7)</w:t>
            </w:r>
          </w:p>
        </w:tc>
        <w:tc>
          <w:tcPr>
            <w:tcW w:w="864"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Married or separated</w:t>
            </w:r>
          </w:p>
        </w:tc>
        <w:tc>
          <w:tcPr>
            <w:tcW w:w="124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36133 (34.9)</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9502 (47.0)</w:t>
            </w: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833"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Widowed</w:t>
            </w:r>
          </w:p>
        </w:tc>
        <w:tc>
          <w:tcPr>
            <w:tcW w:w="1248"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38800 (37.5)</w:t>
            </w:r>
          </w:p>
        </w:tc>
        <w:tc>
          <w:tcPr>
            <w:tcW w:w="1055"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5228 (25.9)</w:t>
            </w:r>
          </w:p>
        </w:tc>
        <w:tc>
          <w:tcPr>
            <w:tcW w:w="864"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Divorced</w:t>
            </w:r>
          </w:p>
        </w:tc>
        <w:tc>
          <w:tcPr>
            <w:tcW w:w="124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13307 (12.9)</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3072 (15.2)</w:t>
            </w: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833"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1248"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p>
        </w:tc>
        <w:tc>
          <w:tcPr>
            <w:tcW w:w="1055"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p>
        </w:tc>
        <w:tc>
          <w:tcPr>
            <w:tcW w:w="864" w:type="pct"/>
          </w:tcPr>
          <w:p w:rsidR="00400E42" w:rsidRPr="00570FB0" w:rsidRDefault="00400E42" w:rsidP="00A92FFC">
            <w:pPr>
              <w:jc w:val="center"/>
              <w:rPr>
                <w:rFonts w:ascii="Calibri" w:hAnsi="Calibri"/>
                <w:szCs w:val="22"/>
              </w:rPr>
            </w:pPr>
          </w:p>
        </w:tc>
      </w:tr>
      <w:tr w:rsidR="00400E42" w:rsidRPr="00ED5DF5"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Education — no. (%)</w:t>
            </w:r>
          </w:p>
        </w:tc>
        <w:tc>
          <w:tcPr>
            <w:tcW w:w="124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055" w:type="pct"/>
            <w:tcBorders>
              <w:top w:val="single" w:sz="8" w:space="0" w:color="4F81BD"/>
              <w:left w:val="single" w:sz="8" w:space="0" w:color="4F81BD"/>
              <w:bottom w:val="single" w:sz="8" w:space="0" w:color="4F81BD"/>
            </w:tcBorders>
          </w:tcPr>
          <w:p w:rsidR="00400E42" w:rsidRPr="00570FB0" w:rsidRDefault="00400E42" w:rsidP="00A92FFC">
            <w:pPr>
              <w:ind w:right="252"/>
              <w:jc w:val="right"/>
              <w:rPr>
                <w:rFonts w:ascii="Calibri" w:hAnsi="Calibri"/>
                <w:b/>
                <w:szCs w:val="22"/>
              </w:rPr>
            </w:pP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b/>
                <w:szCs w:val="22"/>
              </w:rPr>
            </w:pPr>
          </w:p>
        </w:tc>
      </w:tr>
      <w:tr w:rsidR="00400E42" w:rsidRPr="00ED5DF5" w:rsidTr="00A92FFC">
        <w:tc>
          <w:tcPr>
            <w:tcW w:w="1833"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High School or Less</w:t>
            </w:r>
          </w:p>
        </w:tc>
        <w:tc>
          <w:tcPr>
            <w:tcW w:w="1248"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67362 (65.1)</w:t>
            </w:r>
          </w:p>
        </w:tc>
        <w:tc>
          <w:tcPr>
            <w:tcW w:w="1055"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12533 (62.0)</w:t>
            </w:r>
          </w:p>
        </w:tc>
        <w:tc>
          <w:tcPr>
            <w:tcW w:w="864"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833"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13+ years</w:t>
            </w:r>
          </w:p>
        </w:tc>
        <w:tc>
          <w:tcPr>
            <w:tcW w:w="1248"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34569 (33.4)</w:t>
            </w:r>
          </w:p>
        </w:tc>
        <w:tc>
          <w:tcPr>
            <w:tcW w:w="1055"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sidRPr="00570FB0">
              <w:rPr>
                <w:rFonts w:ascii="Calibri" w:hAnsi="Calibri"/>
                <w:color w:val="000000"/>
                <w:sz w:val="22"/>
                <w:szCs w:val="22"/>
              </w:rPr>
              <w:t>7414 (36.7)</w:t>
            </w:r>
          </w:p>
        </w:tc>
        <w:tc>
          <w:tcPr>
            <w:tcW w:w="864"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bl>
    <w:p w:rsidR="00400E42" w:rsidRDefault="00400E42" w:rsidP="00400E42"/>
    <w:p w:rsidR="00400E42" w:rsidRDefault="00400E42" w:rsidP="00400E42">
      <w:pPr>
        <w:rPr>
          <w:rFonts w:ascii="Calibri" w:hAnsi="Calibri"/>
          <w:b/>
          <w:sz w:val="28"/>
          <w:szCs w:val="22"/>
        </w:rPr>
      </w:pPr>
      <w:r>
        <w:rPr>
          <w:rFonts w:ascii="Calibri" w:hAnsi="Calibri"/>
          <w:b/>
          <w:sz w:val="28"/>
          <w:szCs w:val="22"/>
        </w:rPr>
        <w:br w:type="page"/>
      </w:r>
    </w:p>
    <w:tbl>
      <w:tblPr>
        <w:tblW w:w="4991"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3438"/>
        <w:gridCol w:w="2070"/>
        <w:gridCol w:w="2250"/>
        <w:gridCol w:w="1801"/>
      </w:tblGrid>
      <w:tr w:rsidR="00400E42" w:rsidRPr="008D5FF8" w:rsidTr="00A92FFC">
        <w:trPr>
          <w:trHeight w:val="557"/>
        </w:trPr>
        <w:tc>
          <w:tcPr>
            <w:tcW w:w="5000" w:type="pct"/>
            <w:gridSpan w:val="4"/>
            <w:tcBorders>
              <w:top w:val="single" w:sz="8" w:space="0" w:color="4F81BD"/>
            </w:tcBorders>
            <w:shd w:val="clear" w:color="auto" w:fill="4F81BD"/>
            <w:vAlign w:val="center"/>
          </w:tcPr>
          <w:p w:rsidR="00400E42" w:rsidRPr="00570FB0" w:rsidRDefault="00400E42" w:rsidP="00A92FFC">
            <w:pPr>
              <w:jc w:val="center"/>
              <w:rPr>
                <w:rFonts w:ascii="Calibri" w:hAnsi="Calibri"/>
                <w:b/>
                <w:bCs/>
                <w:color w:val="FFFFFF"/>
                <w:szCs w:val="24"/>
              </w:rPr>
            </w:pPr>
            <w:r w:rsidRPr="00570FB0">
              <w:rPr>
                <w:rFonts w:ascii="Calibri" w:hAnsi="Calibri"/>
                <w:b/>
                <w:bCs/>
                <w:color w:val="FFFFFF"/>
                <w:sz w:val="22"/>
                <w:szCs w:val="22"/>
              </w:rPr>
              <w:lastRenderedPageBreak/>
              <w:t>Table H.</w:t>
            </w:r>
            <w:r>
              <w:rPr>
                <w:rFonts w:ascii="Calibri" w:hAnsi="Calibri"/>
                <w:b/>
                <w:bCs/>
                <w:color w:val="FFFFFF"/>
                <w:sz w:val="22"/>
                <w:szCs w:val="22"/>
              </w:rPr>
              <w:t>7</w:t>
            </w:r>
            <w:r w:rsidRPr="00570FB0">
              <w:rPr>
                <w:rFonts w:ascii="Calibri" w:hAnsi="Calibri"/>
                <w:b/>
                <w:bCs/>
                <w:color w:val="FFFFFF"/>
                <w:sz w:val="22"/>
                <w:szCs w:val="22"/>
              </w:rPr>
              <w:t xml:space="preserve">: All Deaths in </w:t>
            </w:r>
            <w:r>
              <w:rPr>
                <w:rFonts w:ascii="Calibri" w:hAnsi="Calibri"/>
                <w:b/>
                <w:bCs/>
                <w:color w:val="FFFFFF"/>
                <w:sz w:val="22"/>
                <w:szCs w:val="22"/>
              </w:rPr>
              <w:t xml:space="preserve">Massachusetts </w:t>
            </w:r>
            <w:r w:rsidRPr="00570FB0">
              <w:rPr>
                <w:rFonts w:ascii="Calibri" w:hAnsi="Calibri"/>
                <w:b/>
                <w:bCs/>
                <w:color w:val="FFFFFF"/>
                <w:sz w:val="22"/>
                <w:szCs w:val="22"/>
              </w:rPr>
              <w:t xml:space="preserve">compared to </w:t>
            </w:r>
            <w:r>
              <w:rPr>
                <w:rFonts w:ascii="Calibri" w:hAnsi="Calibri"/>
                <w:b/>
                <w:bCs/>
                <w:color w:val="FFFFFF"/>
                <w:sz w:val="22"/>
                <w:szCs w:val="22"/>
              </w:rPr>
              <w:t>Case Mix</w:t>
            </w:r>
            <w:r w:rsidRPr="00570FB0">
              <w:rPr>
                <w:rFonts w:ascii="Calibri" w:hAnsi="Calibri"/>
                <w:b/>
                <w:bCs/>
                <w:color w:val="FFFFFF"/>
                <w:sz w:val="22"/>
                <w:szCs w:val="22"/>
              </w:rPr>
              <w:t xml:space="preserve"> Population</w:t>
            </w:r>
          </w:p>
        </w:tc>
      </w:tr>
      <w:tr w:rsidR="00400E42" w:rsidRPr="008D5FF8" w:rsidTr="00A92FFC">
        <w:trPr>
          <w:trHeight w:val="557"/>
        </w:trPr>
        <w:tc>
          <w:tcPr>
            <w:tcW w:w="1798" w:type="pct"/>
            <w:tcBorders>
              <w:top w:val="single" w:sz="8" w:space="0" w:color="4F81BD"/>
              <w:bottom w:val="single" w:sz="8" w:space="0" w:color="4F81BD"/>
            </w:tcBorders>
            <w:vAlign w:val="center"/>
          </w:tcPr>
          <w:p w:rsidR="00400E42" w:rsidRPr="00570FB0" w:rsidRDefault="00400E42" w:rsidP="00A92FFC">
            <w:pPr>
              <w:rPr>
                <w:rFonts w:ascii="Calibri" w:hAnsi="Calibri"/>
                <w:b/>
                <w:bCs/>
                <w:szCs w:val="22"/>
              </w:rPr>
            </w:pPr>
            <w:r w:rsidRPr="00570FB0">
              <w:rPr>
                <w:rFonts w:ascii="Calibri" w:hAnsi="Calibri"/>
                <w:b/>
                <w:bCs/>
                <w:sz w:val="22"/>
                <w:szCs w:val="24"/>
              </w:rPr>
              <w:t>Characteristic</w:t>
            </w:r>
          </w:p>
        </w:tc>
        <w:tc>
          <w:tcPr>
            <w:tcW w:w="1083" w:type="pct"/>
            <w:tcBorders>
              <w:top w:val="single" w:sz="8" w:space="0" w:color="4F81BD"/>
              <w:bottom w:val="single" w:sz="8" w:space="0" w:color="4F81BD"/>
              <w:right w:val="single" w:sz="8" w:space="0" w:color="4F81BD"/>
            </w:tcBorders>
            <w:vAlign w:val="center"/>
          </w:tcPr>
          <w:p w:rsidR="00400E42" w:rsidRPr="00570FB0" w:rsidRDefault="00400E42" w:rsidP="00A92FFC">
            <w:pPr>
              <w:jc w:val="center"/>
              <w:rPr>
                <w:rFonts w:ascii="Calibri" w:hAnsi="Calibri"/>
                <w:b/>
                <w:szCs w:val="24"/>
              </w:rPr>
            </w:pPr>
            <w:r w:rsidRPr="00570FB0">
              <w:rPr>
                <w:rFonts w:ascii="Calibri" w:hAnsi="Calibri"/>
                <w:b/>
                <w:sz w:val="22"/>
                <w:szCs w:val="24"/>
              </w:rPr>
              <w:t xml:space="preserve">All Deaths </w:t>
            </w:r>
          </w:p>
          <w:p w:rsidR="00400E42" w:rsidRPr="00570FB0" w:rsidRDefault="00400E42" w:rsidP="00A92FFC">
            <w:pPr>
              <w:jc w:val="center"/>
              <w:rPr>
                <w:rFonts w:ascii="Calibri" w:hAnsi="Calibri"/>
                <w:b/>
                <w:szCs w:val="24"/>
              </w:rPr>
            </w:pPr>
            <w:r w:rsidRPr="00570FB0">
              <w:rPr>
                <w:rFonts w:ascii="Calibri" w:hAnsi="Calibri"/>
                <w:b/>
                <w:sz w:val="22"/>
                <w:szCs w:val="24"/>
              </w:rPr>
              <w:t>in MA</w:t>
            </w:r>
          </w:p>
        </w:tc>
        <w:tc>
          <w:tcPr>
            <w:tcW w:w="2119" w:type="pct"/>
            <w:gridSpan w:val="2"/>
            <w:tcBorders>
              <w:top w:val="single" w:sz="8" w:space="0" w:color="4F81BD"/>
              <w:left w:val="single" w:sz="8" w:space="0" w:color="4F81BD"/>
              <w:bottom w:val="single" w:sz="8" w:space="0" w:color="4F81BD"/>
            </w:tcBorders>
            <w:vAlign w:val="center"/>
          </w:tcPr>
          <w:p w:rsidR="00400E42" w:rsidRPr="00570FB0" w:rsidRDefault="00400E42" w:rsidP="00A92FFC">
            <w:pPr>
              <w:jc w:val="center"/>
              <w:rPr>
                <w:rFonts w:ascii="Calibri" w:hAnsi="Calibri"/>
                <w:b/>
                <w:szCs w:val="22"/>
              </w:rPr>
            </w:pPr>
            <w:r>
              <w:rPr>
                <w:rFonts w:ascii="Calibri" w:hAnsi="Calibri"/>
                <w:b/>
                <w:sz w:val="22"/>
                <w:szCs w:val="24"/>
              </w:rPr>
              <w:t>Case Mix</w:t>
            </w:r>
          </w:p>
        </w:tc>
      </w:tr>
      <w:tr w:rsidR="00400E42" w:rsidRPr="00ED5DF5" w:rsidTr="00A92FFC">
        <w:tc>
          <w:tcPr>
            <w:tcW w:w="1798"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
                <w:bCs/>
                <w:color w:val="000000"/>
                <w:sz w:val="22"/>
                <w:szCs w:val="22"/>
              </w:rPr>
              <w:t>Age— no.  (%)</w:t>
            </w:r>
          </w:p>
        </w:tc>
        <w:tc>
          <w:tcPr>
            <w:tcW w:w="1083" w:type="pct"/>
            <w:tcBorders>
              <w:left w:val="single" w:sz="8" w:space="0" w:color="4F81BD"/>
              <w:right w:val="single" w:sz="8" w:space="0" w:color="4F81BD"/>
            </w:tcBorders>
          </w:tcPr>
          <w:p w:rsidR="00400E42" w:rsidRPr="00570FB0" w:rsidRDefault="00400E42" w:rsidP="00A92FFC">
            <w:pPr>
              <w:jc w:val="center"/>
              <w:rPr>
                <w:rFonts w:ascii="Calibri" w:hAnsi="Calibri"/>
                <w:b/>
                <w:szCs w:val="22"/>
              </w:rPr>
            </w:pPr>
          </w:p>
        </w:tc>
        <w:tc>
          <w:tcPr>
            <w:tcW w:w="1177" w:type="pct"/>
            <w:tcBorders>
              <w:left w:val="single" w:sz="8" w:space="0" w:color="4F81BD"/>
            </w:tcBorders>
          </w:tcPr>
          <w:p w:rsidR="00400E42" w:rsidRPr="00570FB0" w:rsidRDefault="00400E42" w:rsidP="00A92FFC">
            <w:pPr>
              <w:jc w:val="center"/>
              <w:rPr>
                <w:rFonts w:ascii="Calibri" w:hAnsi="Calibri"/>
                <w:b/>
                <w:szCs w:val="22"/>
              </w:rPr>
            </w:pPr>
            <w:r w:rsidRPr="00570FB0">
              <w:rPr>
                <w:rFonts w:ascii="Calibri" w:hAnsi="Calibri"/>
                <w:b/>
                <w:sz w:val="22"/>
                <w:szCs w:val="22"/>
              </w:rPr>
              <w:t>Died</w:t>
            </w:r>
          </w:p>
        </w:tc>
        <w:tc>
          <w:tcPr>
            <w:tcW w:w="942" w:type="pct"/>
          </w:tcPr>
          <w:p w:rsidR="00400E42" w:rsidRPr="00570FB0" w:rsidRDefault="00400E42" w:rsidP="00A92FFC">
            <w:pPr>
              <w:jc w:val="center"/>
              <w:rPr>
                <w:rFonts w:ascii="Calibri" w:hAnsi="Calibri"/>
                <w:b/>
                <w:szCs w:val="22"/>
              </w:rPr>
            </w:pPr>
            <w:r w:rsidRPr="00570FB0">
              <w:rPr>
                <w:rFonts w:ascii="Calibri" w:hAnsi="Calibri"/>
                <w:b/>
                <w:sz w:val="22"/>
                <w:szCs w:val="22"/>
              </w:rPr>
              <w:t>Living</w:t>
            </w:r>
          </w:p>
        </w:tc>
      </w:tr>
      <w:tr w:rsidR="00400E42" w:rsidRPr="00376B3E"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11-24</w:t>
            </w:r>
          </w:p>
        </w:tc>
        <w:tc>
          <w:tcPr>
            <w:tcW w:w="1083"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902 (0.87)</w:t>
            </w:r>
          </w:p>
        </w:tc>
        <w:tc>
          <w:tcPr>
            <w:tcW w:w="1177"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318 (0.57)</w:t>
            </w:r>
          </w:p>
        </w:tc>
        <w:tc>
          <w:tcPr>
            <w:tcW w:w="942"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Pr>
                <w:rFonts w:ascii="Calibri" w:hAnsi="Calibri"/>
                <w:color w:val="000000"/>
                <w:sz w:val="22"/>
                <w:szCs w:val="22"/>
              </w:rPr>
              <w:t>122505 (9.58)</w:t>
            </w:r>
          </w:p>
        </w:tc>
      </w:tr>
      <w:tr w:rsidR="00400E42" w:rsidRPr="00376B3E" w:rsidTr="00A92FFC">
        <w:tc>
          <w:tcPr>
            <w:tcW w:w="1798"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25-34</w:t>
            </w:r>
          </w:p>
        </w:tc>
        <w:tc>
          <w:tcPr>
            <w:tcW w:w="1083" w:type="pct"/>
            <w:tcBorders>
              <w:left w:val="single" w:sz="8" w:space="0" w:color="4F81BD"/>
              <w:right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1701 (1.64)</w:t>
            </w:r>
          </w:p>
        </w:tc>
        <w:tc>
          <w:tcPr>
            <w:tcW w:w="1177"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812 (1.46)</w:t>
            </w:r>
          </w:p>
        </w:tc>
        <w:tc>
          <w:tcPr>
            <w:tcW w:w="942" w:type="pct"/>
            <w:vAlign w:val="bottom"/>
          </w:tcPr>
          <w:p w:rsidR="00400E42" w:rsidRPr="00570FB0" w:rsidRDefault="00400E42" w:rsidP="00A92FFC">
            <w:pPr>
              <w:ind w:right="73"/>
              <w:jc w:val="right"/>
              <w:rPr>
                <w:rFonts w:ascii="Calibri" w:hAnsi="Calibri"/>
                <w:color w:val="000000"/>
                <w:szCs w:val="22"/>
              </w:rPr>
            </w:pPr>
            <w:r>
              <w:rPr>
                <w:rFonts w:ascii="Calibri" w:hAnsi="Calibri"/>
                <w:color w:val="000000"/>
                <w:sz w:val="22"/>
                <w:szCs w:val="22"/>
              </w:rPr>
              <w:t>208860 (16.34)</w:t>
            </w:r>
          </w:p>
        </w:tc>
      </w:tr>
      <w:tr w:rsidR="00400E42" w:rsidRPr="00376B3E"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35-44</w:t>
            </w:r>
          </w:p>
        </w:tc>
        <w:tc>
          <w:tcPr>
            <w:tcW w:w="1083"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2324 (2.25)</w:t>
            </w:r>
          </w:p>
        </w:tc>
        <w:tc>
          <w:tcPr>
            <w:tcW w:w="1177"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1270 (2.28)</w:t>
            </w:r>
          </w:p>
        </w:tc>
        <w:tc>
          <w:tcPr>
            <w:tcW w:w="942"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Pr>
                <w:rFonts w:ascii="Calibri" w:hAnsi="Calibri"/>
                <w:color w:val="000000"/>
                <w:sz w:val="22"/>
                <w:szCs w:val="22"/>
              </w:rPr>
              <w:t>185271 (14.49)</w:t>
            </w:r>
          </w:p>
        </w:tc>
      </w:tr>
      <w:tr w:rsidR="00400E42" w:rsidRPr="00376B3E" w:rsidTr="00A92FFC">
        <w:tc>
          <w:tcPr>
            <w:tcW w:w="1798"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45-54</w:t>
            </w:r>
          </w:p>
        </w:tc>
        <w:tc>
          <w:tcPr>
            <w:tcW w:w="1083" w:type="pct"/>
            <w:tcBorders>
              <w:left w:val="single" w:sz="8" w:space="0" w:color="4F81BD"/>
              <w:right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6098 (5.89)</w:t>
            </w:r>
          </w:p>
        </w:tc>
        <w:tc>
          <w:tcPr>
            <w:tcW w:w="1177"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3618 (6.51)</w:t>
            </w:r>
          </w:p>
        </w:tc>
        <w:tc>
          <w:tcPr>
            <w:tcW w:w="942" w:type="pct"/>
            <w:vAlign w:val="bottom"/>
          </w:tcPr>
          <w:p w:rsidR="00400E42" w:rsidRPr="00570FB0" w:rsidRDefault="00400E42" w:rsidP="00A92FFC">
            <w:pPr>
              <w:ind w:right="73"/>
              <w:jc w:val="right"/>
              <w:rPr>
                <w:rFonts w:ascii="Calibri" w:hAnsi="Calibri"/>
                <w:color w:val="000000"/>
                <w:szCs w:val="22"/>
              </w:rPr>
            </w:pPr>
            <w:r>
              <w:rPr>
                <w:rFonts w:ascii="Calibri" w:hAnsi="Calibri"/>
                <w:color w:val="000000"/>
                <w:sz w:val="22"/>
                <w:szCs w:val="22"/>
              </w:rPr>
              <w:t>190954 (14.94)</w:t>
            </w:r>
          </w:p>
        </w:tc>
      </w:tr>
      <w:tr w:rsidR="00400E42" w:rsidRPr="00376B3E"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55-64</w:t>
            </w:r>
          </w:p>
        </w:tc>
        <w:tc>
          <w:tcPr>
            <w:tcW w:w="1083" w:type="pct"/>
            <w:tcBorders>
              <w:top w:val="single" w:sz="8" w:space="0" w:color="4F81BD"/>
              <w:left w:val="single" w:sz="8" w:space="0" w:color="4F81BD"/>
              <w:bottom w:val="single" w:sz="8" w:space="0" w:color="4F81BD"/>
              <w:right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11375 (10.99)</w:t>
            </w:r>
          </w:p>
        </w:tc>
        <w:tc>
          <w:tcPr>
            <w:tcW w:w="1177"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6590 (11.85)</w:t>
            </w:r>
          </w:p>
        </w:tc>
        <w:tc>
          <w:tcPr>
            <w:tcW w:w="942"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Pr>
                <w:rFonts w:ascii="Calibri" w:hAnsi="Calibri"/>
                <w:color w:val="000000"/>
                <w:sz w:val="22"/>
                <w:szCs w:val="22"/>
              </w:rPr>
              <w:t>206109 (16.12)</w:t>
            </w:r>
          </w:p>
        </w:tc>
      </w:tr>
      <w:tr w:rsidR="00400E42" w:rsidRPr="00376B3E" w:rsidTr="00A92FFC">
        <w:tc>
          <w:tcPr>
            <w:tcW w:w="1798" w:type="pct"/>
            <w:tcBorders>
              <w:right w:val="single" w:sz="8" w:space="0" w:color="4F81BD"/>
            </w:tcBorders>
          </w:tcPr>
          <w:p w:rsidR="00400E42" w:rsidRPr="00570FB0" w:rsidRDefault="00400E42" w:rsidP="00A92FFC">
            <w:pPr>
              <w:rPr>
                <w:rFonts w:ascii="Calibri" w:hAnsi="Calibri"/>
                <w:b/>
                <w:bCs/>
                <w:szCs w:val="22"/>
              </w:rPr>
            </w:pPr>
            <w:r w:rsidRPr="00570FB0">
              <w:rPr>
                <w:rFonts w:ascii="Calibri" w:hAnsi="Calibri" w:cs="Arial"/>
                <w:bCs/>
                <w:color w:val="000000"/>
                <w:sz w:val="22"/>
                <w:szCs w:val="22"/>
              </w:rPr>
              <w:t>65+</w:t>
            </w:r>
          </w:p>
        </w:tc>
        <w:tc>
          <w:tcPr>
            <w:tcW w:w="1083" w:type="pct"/>
            <w:tcBorders>
              <w:left w:val="single" w:sz="8" w:space="0" w:color="4F81BD"/>
              <w:right w:val="single" w:sz="8" w:space="0" w:color="4F81BD"/>
            </w:tcBorders>
            <w:vAlign w:val="bottom"/>
          </w:tcPr>
          <w:p w:rsidR="00400E42" w:rsidRPr="00570FB0" w:rsidRDefault="00400E42" w:rsidP="00A92FFC">
            <w:pPr>
              <w:ind w:right="343"/>
              <w:jc w:val="right"/>
              <w:rPr>
                <w:rFonts w:ascii="Calibri" w:hAnsi="Calibri"/>
                <w:color w:val="000000"/>
                <w:szCs w:val="22"/>
              </w:rPr>
            </w:pPr>
            <w:r w:rsidRPr="00570FB0">
              <w:rPr>
                <w:rFonts w:ascii="Calibri" w:hAnsi="Calibri"/>
                <w:color w:val="000000"/>
                <w:sz w:val="22"/>
                <w:szCs w:val="22"/>
              </w:rPr>
              <w:t>81072 (78.33)</w:t>
            </w:r>
          </w:p>
        </w:tc>
        <w:tc>
          <w:tcPr>
            <w:tcW w:w="1177"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43008 (77.33)</w:t>
            </w:r>
          </w:p>
        </w:tc>
        <w:tc>
          <w:tcPr>
            <w:tcW w:w="942" w:type="pct"/>
            <w:vAlign w:val="bottom"/>
          </w:tcPr>
          <w:p w:rsidR="00400E42" w:rsidRPr="00570FB0" w:rsidRDefault="00400E42" w:rsidP="00A92FFC">
            <w:pPr>
              <w:ind w:right="73"/>
              <w:jc w:val="right"/>
              <w:rPr>
                <w:rFonts w:ascii="Calibri" w:hAnsi="Calibri"/>
                <w:color w:val="000000"/>
                <w:szCs w:val="22"/>
              </w:rPr>
            </w:pPr>
            <w:r>
              <w:rPr>
                <w:rFonts w:ascii="Calibri" w:hAnsi="Calibri"/>
                <w:color w:val="000000"/>
                <w:sz w:val="22"/>
                <w:szCs w:val="22"/>
              </w:rPr>
              <w:t>364387 (28.51)</w:t>
            </w:r>
          </w:p>
        </w:tc>
      </w:tr>
      <w:tr w:rsidR="00400E42" w:rsidRPr="00ED5DF5"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1083"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177"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p>
        </w:tc>
        <w:tc>
          <w:tcPr>
            <w:tcW w:w="942" w:type="pct"/>
            <w:tcBorders>
              <w:top w:val="single" w:sz="8" w:space="0" w:color="4F81BD"/>
              <w:bottom w:val="single" w:sz="8" w:space="0" w:color="4F81BD"/>
            </w:tcBorders>
          </w:tcPr>
          <w:p w:rsidR="00400E42" w:rsidRPr="00570FB0" w:rsidRDefault="00400E42" w:rsidP="00A92FFC">
            <w:pPr>
              <w:ind w:right="73"/>
              <w:jc w:val="right"/>
              <w:rPr>
                <w:rFonts w:ascii="Calibri" w:hAnsi="Calibri"/>
                <w:b/>
                <w:szCs w:val="22"/>
              </w:rPr>
            </w:pPr>
          </w:p>
        </w:tc>
      </w:tr>
      <w:tr w:rsidR="00400E42" w:rsidRPr="00ED5DF5" w:rsidTr="00A92FFC">
        <w:tc>
          <w:tcPr>
            <w:tcW w:w="1798"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Sex— no.  (%)</w:t>
            </w:r>
          </w:p>
        </w:tc>
        <w:tc>
          <w:tcPr>
            <w:tcW w:w="1083" w:type="pct"/>
            <w:tcBorders>
              <w:left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177" w:type="pct"/>
            <w:tcBorders>
              <w:left w:val="single" w:sz="8" w:space="0" w:color="4F81BD"/>
            </w:tcBorders>
          </w:tcPr>
          <w:p w:rsidR="00400E42" w:rsidRPr="00570FB0" w:rsidRDefault="00400E42" w:rsidP="00A92FFC">
            <w:pPr>
              <w:ind w:right="252"/>
              <w:jc w:val="right"/>
              <w:rPr>
                <w:rFonts w:ascii="Calibri" w:hAnsi="Calibri"/>
                <w:b/>
                <w:szCs w:val="22"/>
              </w:rPr>
            </w:pPr>
          </w:p>
        </w:tc>
        <w:tc>
          <w:tcPr>
            <w:tcW w:w="942" w:type="pct"/>
          </w:tcPr>
          <w:p w:rsidR="00400E42" w:rsidRPr="00570FB0" w:rsidRDefault="00400E42" w:rsidP="00A92FFC">
            <w:pPr>
              <w:ind w:right="73"/>
              <w:jc w:val="right"/>
              <w:rPr>
                <w:rFonts w:ascii="Calibri" w:hAnsi="Calibri"/>
                <w:b/>
                <w:szCs w:val="22"/>
              </w:rPr>
            </w:pPr>
          </w:p>
        </w:tc>
      </w:tr>
      <w:tr w:rsidR="00400E42" w:rsidRPr="00703CFD"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Male </w:t>
            </w:r>
          </w:p>
        </w:tc>
        <w:tc>
          <w:tcPr>
            <w:tcW w:w="1083"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49438 (47.8)</w:t>
            </w:r>
          </w:p>
        </w:tc>
        <w:tc>
          <w:tcPr>
            <w:tcW w:w="1177"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26389 (47.45)</w:t>
            </w:r>
          </w:p>
        </w:tc>
        <w:tc>
          <w:tcPr>
            <w:tcW w:w="942" w:type="pct"/>
            <w:tcBorders>
              <w:top w:val="single" w:sz="8" w:space="0" w:color="4F81BD"/>
              <w:bottom w:val="single" w:sz="8" w:space="0" w:color="4F81BD"/>
            </w:tcBorders>
            <w:vAlign w:val="bottom"/>
          </w:tcPr>
          <w:p w:rsidR="00400E42" w:rsidRPr="00570FB0" w:rsidRDefault="00400E42" w:rsidP="00A92FFC">
            <w:pPr>
              <w:ind w:right="73"/>
              <w:jc w:val="right"/>
              <w:rPr>
                <w:rFonts w:ascii="Calibri" w:hAnsi="Calibri"/>
                <w:color w:val="000000"/>
                <w:szCs w:val="22"/>
              </w:rPr>
            </w:pPr>
            <w:r>
              <w:rPr>
                <w:rFonts w:ascii="Calibri" w:hAnsi="Calibri"/>
                <w:color w:val="000000"/>
                <w:sz w:val="22"/>
                <w:szCs w:val="22"/>
              </w:rPr>
              <w:t>543108 (42.49)</w:t>
            </w:r>
          </w:p>
        </w:tc>
      </w:tr>
      <w:tr w:rsidR="00400E42" w:rsidRPr="00703CFD" w:rsidTr="00A92FFC">
        <w:tc>
          <w:tcPr>
            <w:tcW w:w="1798"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 xml:space="preserve">Female </w:t>
            </w:r>
          </w:p>
        </w:tc>
        <w:tc>
          <w:tcPr>
            <w:tcW w:w="1083"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54067 (52.2)</w:t>
            </w:r>
          </w:p>
        </w:tc>
        <w:tc>
          <w:tcPr>
            <w:tcW w:w="1177"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29227 (52.55)</w:t>
            </w:r>
          </w:p>
        </w:tc>
        <w:tc>
          <w:tcPr>
            <w:tcW w:w="942" w:type="pct"/>
            <w:vAlign w:val="bottom"/>
          </w:tcPr>
          <w:p w:rsidR="00400E42" w:rsidRPr="00570FB0" w:rsidRDefault="00400E42" w:rsidP="00A92FFC">
            <w:pPr>
              <w:ind w:right="73"/>
              <w:jc w:val="right"/>
              <w:rPr>
                <w:rFonts w:ascii="Calibri" w:hAnsi="Calibri"/>
                <w:color w:val="000000"/>
                <w:szCs w:val="22"/>
              </w:rPr>
            </w:pPr>
            <w:r>
              <w:rPr>
                <w:rFonts w:ascii="Calibri" w:hAnsi="Calibri"/>
                <w:color w:val="000000"/>
                <w:sz w:val="22"/>
                <w:szCs w:val="22"/>
              </w:rPr>
              <w:t>735135 (57.51)</w:t>
            </w:r>
          </w:p>
        </w:tc>
      </w:tr>
      <w:tr w:rsidR="00400E42" w:rsidRPr="00703CFD"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p>
        </w:tc>
        <w:tc>
          <w:tcPr>
            <w:tcW w:w="1083"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177"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p>
        </w:tc>
        <w:tc>
          <w:tcPr>
            <w:tcW w:w="942" w:type="pct"/>
            <w:tcBorders>
              <w:top w:val="single" w:sz="8" w:space="0" w:color="4F81BD"/>
              <w:bottom w:val="single" w:sz="8" w:space="0" w:color="4F81BD"/>
            </w:tcBorders>
            <w:vAlign w:val="bottom"/>
          </w:tcPr>
          <w:p w:rsidR="00400E42" w:rsidRPr="00570FB0" w:rsidRDefault="00400E42" w:rsidP="00A92FFC">
            <w:pPr>
              <w:rPr>
                <w:rFonts w:ascii="Arial" w:hAnsi="Arial" w:cs="Arial"/>
                <w:color w:val="000000"/>
                <w:szCs w:val="22"/>
              </w:rPr>
            </w:pPr>
          </w:p>
        </w:tc>
      </w:tr>
      <w:tr w:rsidR="00400E42" w:rsidRPr="00ED5DF5" w:rsidTr="00A92FFC">
        <w:tc>
          <w:tcPr>
            <w:tcW w:w="1798"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
                <w:bCs/>
                <w:color w:val="000000"/>
                <w:sz w:val="22"/>
                <w:szCs w:val="22"/>
              </w:rPr>
              <w:t>Race or ethnic group — no. (%)</w:t>
            </w:r>
          </w:p>
        </w:tc>
        <w:tc>
          <w:tcPr>
            <w:tcW w:w="1083" w:type="pct"/>
            <w:tcBorders>
              <w:left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177" w:type="pct"/>
            <w:tcBorders>
              <w:left w:val="single" w:sz="8" w:space="0" w:color="4F81BD"/>
            </w:tcBorders>
          </w:tcPr>
          <w:p w:rsidR="00400E42" w:rsidRPr="00570FB0" w:rsidRDefault="00400E42" w:rsidP="00A92FFC">
            <w:pPr>
              <w:ind w:right="252"/>
              <w:jc w:val="right"/>
              <w:rPr>
                <w:rFonts w:ascii="Calibri" w:hAnsi="Calibri"/>
                <w:b/>
                <w:szCs w:val="22"/>
              </w:rPr>
            </w:pPr>
          </w:p>
        </w:tc>
        <w:tc>
          <w:tcPr>
            <w:tcW w:w="942" w:type="pct"/>
          </w:tcPr>
          <w:p w:rsidR="00400E42" w:rsidRPr="00570FB0" w:rsidRDefault="00400E42" w:rsidP="00A92FFC">
            <w:pPr>
              <w:jc w:val="center"/>
              <w:rPr>
                <w:rFonts w:ascii="Calibri" w:hAnsi="Calibri"/>
                <w:b/>
                <w:szCs w:val="22"/>
              </w:rPr>
            </w:pPr>
          </w:p>
        </w:tc>
      </w:tr>
      <w:tr w:rsidR="00400E42" w:rsidRPr="00ED5DF5"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White non-Hispanic</w:t>
            </w:r>
          </w:p>
        </w:tc>
        <w:tc>
          <w:tcPr>
            <w:tcW w:w="1083"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94012 (90.8)</w:t>
            </w:r>
          </w:p>
        </w:tc>
        <w:tc>
          <w:tcPr>
            <w:tcW w:w="1177"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49491 (88.99)</w:t>
            </w:r>
          </w:p>
        </w:tc>
        <w:tc>
          <w:tcPr>
            <w:tcW w:w="942" w:type="pct"/>
            <w:tcBorders>
              <w:top w:val="single" w:sz="8" w:space="0" w:color="4F81BD"/>
              <w:bottom w:val="single" w:sz="8" w:space="0" w:color="4F81BD"/>
            </w:tcBorders>
            <w:vAlign w:val="bottom"/>
          </w:tcPr>
          <w:p w:rsidR="00400E42" w:rsidRPr="00570FB0" w:rsidRDefault="00400E42" w:rsidP="00A92FFC">
            <w:pPr>
              <w:jc w:val="center"/>
            </w:pPr>
            <w:r>
              <w:rPr>
                <w:rFonts w:ascii="Calibri" w:hAnsi="Calibri"/>
                <w:color w:val="000000"/>
                <w:sz w:val="22"/>
                <w:szCs w:val="22"/>
              </w:rPr>
              <w:t>989471 (77.41)</w:t>
            </w:r>
          </w:p>
        </w:tc>
      </w:tr>
      <w:tr w:rsidR="00400E42" w:rsidRPr="00ED5DF5" w:rsidTr="00A92FFC">
        <w:tc>
          <w:tcPr>
            <w:tcW w:w="1798"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Black non-Hispanic</w:t>
            </w:r>
          </w:p>
        </w:tc>
        <w:tc>
          <w:tcPr>
            <w:tcW w:w="1083"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4361 (4.2)</w:t>
            </w:r>
          </w:p>
        </w:tc>
        <w:tc>
          <w:tcPr>
            <w:tcW w:w="1177"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2765 (4.97)</w:t>
            </w:r>
          </w:p>
        </w:tc>
        <w:tc>
          <w:tcPr>
            <w:tcW w:w="942" w:type="pct"/>
            <w:vAlign w:val="bottom"/>
          </w:tcPr>
          <w:p w:rsidR="00400E42" w:rsidRPr="00570FB0" w:rsidRDefault="00400E42" w:rsidP="00A92FFC">
            <w:pPr>
              <w:jc w:val="center"/>
            </w:pPr>
            <w:r>
              <w:rPr>
                <w:rFonts w:ascii="Calibri" w:hAnsi="Calibri"/>
                <w:color w:val="000000"/>
                <w:sz w:val="22"/>
                <w:szCs w:val="22"/>
              </w:rPr>
              <w:t>104421 (8.17)</w:t>
            </w:r>
          </w:p>
        </w:tc>
      </w:tr>
      <w:tr w:rsidR="00400E42" w:rsidRPr="00ED5DF5"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Asian/PI non-Hispanic</w:t>
            </w:r>
          </w:p>
        </w:tc>
        <w:tc>
          <w:tcPr>
            <w:tcW w:w="1083"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1599 (1.5)</w:t>
            </w:r>
          </w:p>
        </w:tc>
        <w:tc>
          <w:tcPr>
            <w:tcW w:w="1177"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1005 (1.81)</w:t>
            </w:r>
          </w:p>
        </w:tc>
        <w:tc>
          <w:tcPr>
            <w:tcW w:w="942" w:type="pct"/>
            <w:tcBorders>
              <w:top w:val="single" w:sz="8" w:space="0" w:color="4F81BD"/>
              <w:bottom w:val="single" w:sz="8" w:space="0" w:color="4F81BD"/>
            </w:tcBorders>
            <w:vAlign w:val="bottom"/>
          </w:tcPr>
          <w:p w:rsidR="00400E42" w:rsidRPr="00570FB0" w:rsidRDefault="00400E42" w:rsidP="00A92FFC">
            <w:pPr>
              <w:jc w:val="center"/>
            </w:pPr>
            <w:r>
              <w:rPr>
                <w:rFonts w:ascii="Calibri" w:hAnsi="Calibri"/>
                <w:color w:val="000000"/>
                <w:sz w:val="22"/>
                <w:szCs w:val="22"/>
              </w:rPr>
              <w:t>36667 (2.87)</w:t>
            </w:r>
          </w:p>
        </w:tc>
      </w:tr>
      <w:tr w:rsidR="00400E42" w:rsidRPr="00ED5DF5" w:rsidTr="00A92FFC">
        <w:tc>
          <w:tcPr>
            <w:tcW w:w="1798" w:type="pct"/>
            <w:tcBorders>
              <w:right w:val="single" w:sz="8" w:space="0" w:color="4F81BD"/>
            </w:tcBorders>
          </w:tcPr>
          <w:p w:rsidR="00400E42" w:rsidRPr="00570FB0" w:rsidRDefault="00400E42" w:rsidP="00A92FFC">
            <w:pPr>
              <w:rPr>
                <w:rFonts w:ascii="Calibri" w:hAnsi="Calibri"/>
                <w:b/>
                <w:bCs/>
                <w:i/>
                <w:iCs/>
                <w:szCs w:val="22"/>
              </w:rPr>
            </w:pPr>
            <w:r w:rsidRPr="00570FB0">
              <w:rPr>
                <w:rFonts w:ascii="Calibri" w:hAnsi="Calibri" w:cs="Arial"/>
                <w:bCs/>
                <w:color w:val="000000"/>
                <w:sz w:val="22"/>
                <w:szCs w:val="22"/>
              </w:rPr>
              <w:t>Hispanic</w:t>
            </w:r>
          </w:p>
        </w:tc>
        <w:tc>
          <w:tcPr>
            <w:tcW w:w="1083"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2822 (2.7)</w:t>
            </w:r>
          </w:p>
        </w:tc>
        <w:tc>
          <w:tcPr>
            <w:tcW w:w="1177"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1986 (3.57)</w:t>
            </w:r>
          </w:p>
        </w:tc>
        <w:tc>
          <w:tcPr>
            <w:tcW w:w="942" w:type="pct"/>
            <w:vAlign w:val="bottom"/>
          </w:tcPr>
          <w:p w:rsidR="00400E42" w:rsidRPr="00570FB0" w:rsidRDefault="00400E42" w:rsidP="00A92FFC">
            <w:pPr>
              <w:jc w:val="center"/>
            </w:pPr>
            <w:r>
              <w:rPr>
                <w:rFonts w:ascii="Calibri" w:hAnsi="Calibri"/>
                <w:color w:val="000000"/>
                <w:sz w:val="22"/>
                <w:szCs w:val="22"/>
              </w:rPr>
              <w:t>113818 (8.9)</w:t>
            </w:r>
          </w:p>
        </w:tc>
      </w:tr>
      <w:tr w:rsidR="00400E42" w:rsidRPr="00ED5DF5"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Other</w:t>
            </w:r>
          </w:p>
        </w:tc>
        <w:tc>
          <w:tcPr>
            <w:tcW w:w="1083"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703 (0.7)</w:t>
            </w:r>
          </w:p>
        </w:tc>
        <w:tc>
          <w:tcPr>
            <w:tcW w:w="1177"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369 (0.66)</w:t>
            </w:r>
          </w:p>
        </w:tc>
        <w:tc>
          <w:tcPr>
            <w:tcW w:w="942" w:type="pct"/>
            <w:tcBorders>
              <w:top w:val="single" w:sz="8" w:space="0" w:color="4F81BD"/>
              <w:bottom w:val="single" w:sz="8" w:space="0" w:color="4F81BD"/>
            </w:tcBorders>
            <w:vAlign w:val="bottom"/>
          </w:tcPr>
          <w:p w:rsidR="00400E42" w:rsidRPr="00570FB0" w:rsidRDefault="00400E42" w:rsidP="00A92FFC">
            <w:pPr>
              <w:jc w:val="center"/>
            </w:pPr>
            <w:r>
              <w:rPr>
                <w:rFonts w:ascii="Calibri" w:hAnsi="Calibri"/>
                <w:color w:val="000000"/>
                <w:sz w:val="22"/>
                <w:szCs w:val="22"/>
              </w:rPr>
              <w:t>33869 (2.65)</w:t>
            </w:r>
          </w:p>
        </w:tc>
      </w:tr>
      <w:tr w:rsidR="00400E42" w:rsidRPr="00376B3E" w:rsidTr="00A92FFC">
        <w:tc>
          <w:tcPr>
            <w:tcW w:w="1798"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1083" w:type="pct"/>
            <w:tcBorders>
              <w:left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177" w:type="pct"/>
            <w:tcBorders>
              <w:left w:val="single" w:sz="8" w:space="0" w:color="4F81BD"/>
            </w:tcBorders>
          </w:tcPr>
          <w:p w:rsidR="00400E42" w:rsidRPr="00570FB0" w:rsidRDefault="00400E42" w:rsidP="00A92FFC">
            <w:pPr>
              <w:ind w:right="252"/>
              <w:jc w:val="right"/>
              <w:rPr>
                <w:rFonts w:ascii="Calibri" w:hAnsi="Calibri"/>
                <w:b/>
                <w:szCs w:val="22"/>
              </w:rPr>
            </w:pPr>
          </w:p>
        </w:tc>
        <w:tc>
          <w:tcPr>
            <w:tcW w:w="942" w:type="pct"/>
            <w:vAlign w:val="bottom"/>
          </w:tcPr>
          <w:p w:rsidR="00400E42" w:rsidRPr="00570FB0" w:rsidRDefault="00400E42" w:rsidP="00A92FFC">
            <w:pPr>
              <w:jc w:val="center"/>
              <w:rPr>
                <w:rFonts w:ascii="Calibri" w:hAnsi="Calibri"/>
                <w:szCs w:val="22"/>
              </w:rPr>
            </w:pPr>
          </w:p>
        </w:tc>
      </w:tr>
      <w:tr w:rsidR="00400E42" w:rsidRPr="00ED5DF5"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Marital status — no. (%)</w:t>
            </w:r>
          </w:p>
        </w:tc>
        <w:tc>
          <w:tcPr>
            <w:tcW w:w="1083"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177" w:type="pct"/>
            <w:tcBorders>
              <w:top w:val="single" w:sz="8" w:space="0" w:color="4F81BD"/>
              <w:left w:val="single" w:sz="8" w:space="0" w:color="4F81BD"/>
              <w:bottom w:val="single" w:sz="8" w:space="0" w:color="4F81BD"/>
            </w:tcBorders>
          </w:tcPr>
          <w:p w:rsidR="00400E42" w:rsidRPr="00570FB0" w:rsidRDefault="00400E42" w:rsidP="00A92FFC">
            <w:pPr>
              <w:ind w:right="252"/>
              <w:jc w:val="right"/>
              <w:rPr>
                <w:rFonts w:ascii="Calibri" w:hAnsi="Calibri"/>
                <w:b/>
                <w:szCs w:val="22"/>
              </w:rPr>
            </w:pPr>
          </w:p>
        </w:tc>
        <w:tc>
          <w:tcPr>
            <w:tcW w:w="942" w:type="pct"/>
            <w:tcBorders>
              <w:top w:val="single" w:sz="8" w:space="0" w:color="4F81BD"/>
              <w:bottom w:val="single" w:sz="8" w:space="0" w:color="4F81BD"/>
            </w:tcBorders>
          </w:tcPr>
          <w:p w:rsidR="00400E42" w:rsidRPr="00570FB0" w:rsidRDefault="00400E42" w:rsidP="00A92FFC">
            <w:pPr>
              <w:jc w:val="center"/>
              <w:rPr>
                <w:rFonts w:ascii="Calibri" w:hAnsi="Calibri"/>
                <w:b/>
                <w:szCs w:val="22"/>
              </w:rPr>
            </w:pPr>
          </w:p>
        </w:tc>
      </w:tr>
      <w:tr w:rsidR="00400E42" w:rsidRPr="00ED5DF5" w:rsidTr="00A92FFC">
        <w:tc>
          <w:tcPr>
            <w:tcW w:w="1798"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Single, never married</w:t>
            </w:r>
          </w:p>
        </w:tc>
        <w:tc>
          <w:tcPr>
            <w:tcW w:w="1083"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15042 (14.5)</w:t>
            </w:r>
          </w:p>
        </w:tc>
        <w:tc>
          <w:tcPr>
            <w:tcW w:w="1177"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8883 (15.97)</w:t>
            </w:r>
          </w:p>
        </w:tc>
        <w:tc>
          <w:tcPr>
            <w:tcW w:w="942"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Married or separated</w:t>
            </w:r>
          </w:p>
        </w:tc>
        <w:tc>
          <w:tcPr>
            <w:tcW w:w="1083"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36133 (34.9)</w:t>
            </w:r>
          </w:p>
        </w:tc>
        <w:tc>
          <w:tcPr>
            <w:tcW w:w="1177"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18038 (32.43)</w:t>
            </w:r>
          </w:p>
        </w:tc>
        <w:tc>
          <w:tcPr>
            <w:tcW w:w="942"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798"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Widowed</w:t>
            </w:r>
          </w:p>
        </w:tc>
        <w:tc>
          <w:tcPr>
            <w:tcW w:w="1083"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38800 (37.5)</w:t>
            </w:r>
          </w:p>
        </w:tc>
        <w:tc>
          <w:tcPr>
            <w:tcW w:w="1177"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20495 (36.85)</w:t>
            </w:r>
          </w:p>
        </w:tc>
        <w:tc>
          <w:tcPr>
            <w:tcW w:w="942"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Divorced</w:t>
            </w:r>
          </w:p>
        </w:tc>
        <w:tc>
          <w:tcPr>
            <w:tcW w:w="1083"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13307 (12.9)</w:t>
            </w:r>
          </w:p>
        </w:tc>
        <w:tc>
          <w:tcPr>
            <w:tcW w:w="1177"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8072 (14.51)</w:t>
            </w:r>
          </w:p>
        </w:tc>
        <w:tc>
          <w:tcPr>
            <w:tcW w:w="942"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798" w:type="pct"/>
            <w:tcBorders>
              <w:right w:val="single" w:sz="8" w:space="0" w:color="4F81BD"/>
            </w:tcBorders>
          </w:tcPr>
          <w:p w:rsidR="00400E42" w:rsidRPr="00570FB0" w:rsidRDefault="00400E42" w:rsidP="00A92FFC">
            <w:pPr>
              <w:rPr>
                <w:rFonts w:ascii="Calibri" w:hAnsi="Calibri" w:cs="Arial"/>
                <w:b/>
                <w:bCs/>
                <w:color w:val="000000"/>
                <w:szCs w:val="22"/>
              </w:rPr>
            </w:pPr>
          </w:p>
        </w:tc>
        <w:tc>
          <w:tcPr>
            <w:tcW w:w="1083"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p>
        </w:tc>
        <w:tc>
          <w:tcPr>
            <w:tcW w:w="1177"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p>
        </w:tc>
        <w:tc>
          <w:tcPr>
            <w:tcW w:w="942" w:type="pct"/>
          </w:tcPr>
          <w:p w:rsidR="00400E42" w:rsidRPr="00570FB0" w:rsidRDefault="00400E42" w:rsidP="00A92FFC">
            <w:pPr>
              <w:jc w:val="center"/>
              <w:rPr>
                <w:rFonts w:ascii="Calibri" w:hAnsi="Calibri"/>
                <w:szCs w:val="22"/>
              </w:rPr>
            </w:pPr>
          </w:p>
        </w:tc>
      </w:tr>
      <w:tr w:rsidR="00400E42" w:rsidRPr="00ED5DF5"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
                <w:bCs/>
                <w:color w:val="000000"/>
                <w:sz w:val="22"/>
                <w:szCs w:val="22"/>
              </w:rPr>
              <w:t>Education — no. (%)</w:t>
            </w:r>
          </w:p>
        </w:tc>
        <w:tc>
          <w:tcPr>
            <w:tcW w:w="1083"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b/>
                <w:szCs w:val="22"/>
              </w:rPr>
            </w:pPr>
          </w:p>
        </w:tc>
        <w:tc>
          <w:tcPr>
            <w:tcW w:w="1177" w:type="pct"/>
            <w:tcBorders>
              <w:top w:val="single" w:sz="8" w:space="0" w:color="4F81BD"/>
              <w:left w:val="single" w:sz="8" w:space="0" w:color="4F81BD"/>
              <w:bottom w:val="single" w:sz="8" w:space="0" w:color="4F81BD"/>
            </w:tcBorders>
          </w:tcPr>
          <w:p w:rsidR="00400E42" w:rsidRPr="00570FB0" w:rsidRDefault="00400E42" w:rsidP="00A92FFC">
            <w:pPr>
              <w:ind w:right="252"/>
              <w:jc w:val="right"/>
              <w:rPr>
                <w:rFonts w:ascii="Calibri" w:hAnsi="Calibri"/>
                <w:b/>
                <w:szCs w:val="22"/>
              </w:rPr>
            </w:pPr>
          </w:p>
        </w:tc>
        <w:tc>
          <w:tcPr>
            <w:tcW w:w="942" w:type="pct"/>
            <w:tcBorders>
              <w:top w:val="single" w:sz="8" w:space="0" w:color="4F81BD"/>
              <w:bottom w:val="single" w:sz="8" w:space="0" w:color="4F81BD"/>
            </w:tcBorders>
          </w:tcPr>
          <w:p w:rsidR="00400E42" w:rsidRPr="00570FB0" w:rsidRDefault="00400E42" w:rsidP="00A92FFC">
            <w:pPr>
              <w:jc w:val="center"/>
              <w:rPr>
                <w:rFonts w:ascii="Calibri" w:hAnsi="Calibri"/>
                <w:b/>
                <w:szCs w:val="22"/>
              </w:rPr>
            </w:pPr>
          </w:p>
        </w:tc>
      </w:tr>
      <w:tr w:rsidR="00400E42" w:rsidRPr="00ED5DF5" w:rsidTr="00A92FFC">
        <w:tc>
          <w:tcPr>
            <w:tcW w:w="1798" w:type="pct"/>
            <w:tcBorders>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High School or Less</w:t>
            </w:r>
          </w:p>
        </w:tc>
        <w:tc>
          <w:tcPr>
            <w:tcW w:w="1083" w:type="pct"/>
            <w:tcBorders>
              <w:left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67362 (65.1)</w:t>
            </w:r>
          </w:p>
        </w:tc>
        <w:tc>
          <w:tcPr>
            <w:tcW w:w="1177" w:type="pct"/>
            <w:tcBorders>
              <w:left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37245 (66.97)</w:t>
            </w:r>
          </w:p>
        </w:tc>
        <w:tc>
          <w:tcPr>
            <w:tcW w:w="942" w:type="pct"/>
          </w:tcPr>
          <w:p w:rsidR="00400E42" w:rsidRPr="00570FB0" w:rsidRDefault="00400E42" w:rsidP="00A92FFC">
            <w:pPr>
              <w:jc w:val="center"/>
              <w:rPr>
                <w:rFonts w:ascii="Calibri" w:hAnsi="Calibri"/>
                <w:szCs w:val="22"/>
              </w:rPr>
            </w:pPr>
            <w:r w:rsidRPr="00570FB0">
              <w:rPr>
                <w:rFonts w:ascii="Calibri" w:hAnsi="Calibri"/>
                <w:sz w:val="22"/>
                <w:szCs w:val="22"/>
              </w:rPr>
              <w:t>NA</w:t>
            </w:r>
          </w:p>
        </w:tc>
      </w:tr>
      <w:tr w:rsidR="00400E42" w:rsidRPr="00ED5DF5" w:rsidTr="00A92FFC">
        <w:tc>
          <w:tcPr>
            <w:tcW w:w="1798" w:type="pct"/>
            <w:tcBorders>
              <w:top w:val="single" w:sz="8" w:space="0" w:color="4F81BD"/>
              <w:bottom w:val="single" w:sz="8" w:space="0" w:color="4F81BD"/>
              <w:right w:val="single" w:sz="8" w:space="0" w:color="4F81BD"/>
            </w:tcBorders>
          </w:tcPr>
          <w:p w:rsidR="00400E42" w:rsidRPr="00570FB0" w:rsidRDefault="00400E42" w:rsidP="00A92FFC">
            <w:pPr>
              <w:rPr>
                <w:rFonts w:ascii="Calibri" w:hAnsi="Calibri" w:cs="Arial"/>
                <w:b/>
                <w:bCs/>
                <w:color w:val="000000"/>
                <w:szCs w:val="22"/>
              </w:rPr>
            </w:pPr>
            <w:r w:rsidRPr="00570FB0">
              <w:rPr>
                <w:rFonts w:ascii="Calibri" w:hAnsi="Calibri" w:cs="Arial"/>
                <w:bCs/>
                <w:color w:val="000000"/>
                <w:sz w:val="22"/>
                <w:szCs w:val="22"/>
              </w:rPr>
              <w:t>13+ years</w:t>
            </w:r>
          </w:p>
        </w:tc>
        <w:tc>
          <w:tcPr>
            <w:tcW w:w="1083" w:type="pct"/>
            <w:tcBorders>
              <w:top w:val="single" w:sz="8" w:space="0" w:color="4F81BD"/>
              <w:left w:val="single" w:sz="8" w:space="0" w:color="4F81BD"/>
              <w:bottom w:val="single" w:sz="8" w:space="0" w:color="4F81BD"/>
              <w:right w:val="single" w:sz="8" w:space="0" w:color="4F81BD"/>
            </w:tcBorders>
          </w:tcPr>
          <w:p w:rsidR="00400E42" w:rsidRPr="00570FB0" w:rsidRDefault="00400E42" w:rsidP="00A92FFC">
            <w:pPr>
              <w:ind w:right="343"/>
              <w:jc w:val="right"/>
              <w:rPr>
                <w:rFonts w:ascii="Calibri" w:hAnsi="Calibri"/>
                <w:szCs w:val="22"/>
              </w:rPr>
            </w:pPr>
            <w:r w:rsidRPr="00570FB0">
              <w:rPr>
                <w:rFonts w:ascii="Calibri" w:hAnsi="Calibri"/>
                <w:sz w:val="22"/>
                <w:szCs w:val="22"/>
              </w:rPr>
              <w:t>34569 (33.4)</w:t>
            </w:r>
          </w:p>
        </w:tc>
        <w:tc>
          <w:tcPr>
            <w:tcW w:w="1177" w:type="pct"/>
            <w:tcBorders>
              <w:top w:val="single" w:sz="8" w:space="0" w:color="4F81BD"/>
              <w:left w:val="single" w:sz="8" w:space="0" w:color="4F81BD"/>
              <w:bottom w:val="single" w:sz="8" w:space="0" w:color="4F81BD"/>
            </w:tcBorders>
            <w:vAlign w:val="bottom"/>
          </w:tcPr>
          <w:p w:rsidR="00400E42" w:rsidRPr="00570FB0" w:rsidRDefault="00400E42" w:rsidP="00A92FFC">
            <w:pPr>
              <w:ind w:right="252"/>
              <w:jc w:val="right"/>
              <w:rPr>
                <w:rFonts w:ascii="Calibri" w:hAnsi="Calibri"/>
                <w:color w:val="000000"/>
                <w:szCs w:val="22"/>
              </w:rPr>
            </w:pPr>
            <w:r>
              <w:rPr>
                <w:rFonts w:ascii="Calibri" w:hAnsi="Calibri"/>
                <w:color w:val="000000"/>
                <w:sz w:val="22"/>
                <w:szCs w:val="22"/>
              </w:rPr>
              <w:t>17552 (31.56)</w:t>
            </w:r>
          </w:p>
        </w:tc>
        <w:tc>
          <w:tcPr>
            <w:tcW w:w="942" w:type="pct"/>
            <w:tcBorders>
              <w:top w:val="single" w:sz="8" w:space="0" w:color="4F81BD"/>
              <w:bottom w:val="single" w:sz="8" w:space="0" w:color="4F81BD"/>
            </w:tcBorders>
          </w:tcPr>
          <w:p w:rsidR="00400E42" w:rsidRPr="00570FB0" w:rsidRDefault="00400E42" w:rsidP="00A92FFC">
            <w:pPr>
              <w:jc w:val="center"/>
              <w:rPr>
                <w:rFonts w:ascii="Calibri" w:hAnsi="Calibri"/>
                <w:szCs w:val="22"/>
              </w:rPr>
            </w:pPr>
            <w:r w:rsidRPr="00570FB0">
              <w:rPr>
                <w:rFonts w:ascii="Calibri" w:hAnsi="Calibri"/>
                <w:sz w:val="22"/>
                <w:szCs w:val="22"/>
              </w:rPr>
              <w:t>NA</w:t>
            </w:r>
          </w:p>
        </w:tc>
      </w:tr>
    </w:tbl>
    <w:p w:rsidR="00400E42" w:rsidRDefault="00400E42" w:rsidP="00400E42">
      <w:pPr>
        <w:rPr>
          <w:rFonts w:ascii="Calibri" w:hAnsi="Calibri"/>
          <w:b/>
          <w:sz w:val="28"/>
          <w:szCs w:val="22"/>
        </w:rPr>
      </w:pPr>
    </w:p>
    <w:p w:rsidR="00400E42" w:rsidRDefault="00400E42" w:rsidP="00400E42">
      <w:pPr>
        <w:rPr>
          <w:rFonts w:ascii="Calibri" w:hAnsi="Calibri"/>
          <w:b/>
          <w:sz w:val="28"/>
          <w:szCs w:val="22"/>
        </w:rPr>
      </w:pPr>
    </w:p>
    <w:p w:rsidR="00400E42" w:rsidRDefault="00400E42" w:rsidP="00400E42">
      <w:pPr>
        <w:rPr>
          <w:rFonts w:ascii="Calibri" w:hAnsi="Calibri"/>
          <w:b/>
          <w:sz w:val="28"/>
          <w:szCs w:val="22"/>
        </w:rPr>
      </w:pPr>
    </w:p>
    <w:p w:rsidR="00400E42" w:rsidRDefault="00400E42" w:rsidP="00400E42">
      <w:pPr>
        <w:rPr>
          <w:rFonts w:ascii="Calibri" w:hAnsi="Calibri"/>
          <w:b/>
          <w:sz w:val="28"/>
          <w:szCs w:val="22"/>
        </w:rPr>
      </w:pPr>
    </w:p>
    <w:p w:rsidR="00400E42" w:rsidRDefault="00400E42" w:rsidP="00400E42">
      <w:pPr>
        <w:rPr>
          <w:rFonts w:ascii="Calibri" w:hAnsi="Calibri"/>
          <w:b/>
          <w:sz w:val="28"/>
          <w:szCs w:val="22"/>
        </w:rPr>
      </w:pPr>
    </w:p>
    <w:p w:rsidR="00400E42" w:rsidRDefault="00400E42" w:rsidP="00400E42">
      <w:pPr>
        <w:rPr>
          <w:rFonts w:ascii="Calibri" w:hAnsi="Calibri"/>
          <w:b/>
          <w:sz w:val="28"/>
          <w:szCs w:val="22"/>
        </w:rPr>
      </w:pPr>
    </w:p>
    <w:p w:rsidR="00400E42" w:rsidRDefault="00400E42" w:rsidP="00400E42">
      <w:pPr>
        <w:rPr>
          <w:rFonts w:ascii="Calibri" w:hAnsi="Calibri"/>
          <w:b/>
          <w:sz w:val="28"/>
          <w:szCs w:val="22"/>
        </w:rPr>
      </w:pPr>
    </w:p>
    <w:p w:rsidR="00400E42" w:rsidRDefault="00400E42" w:rsidP="00400E42">
      <w:pPr>
        <w:rPr>
          <w:rFonts w:ascii="Calibri" w:hAnsi="Calibri"/>
          <w:b/>
          <w:sz w:val="28"/>
          <w:szCs w:val="22"/>
        </w:rPr>
      </w:pPr>
    </w:p>
    <w:p w:rsidR="00C33429" w:rsidRDefault="00C33429">
      <w:pPr>
        <w:rPr>
          <w:rFonts w:ascii="Calibri" w:hAnsi="Calibri" w:cs="Arial"/>
          <w:b/>
          <w:color w:val="000000"/>
          <w:sz w:val="28"/>
          <w:szCs w:val="22"/>
        </w:rPr>
      </w:pPr>
      <w:bookmarkStart w:id="49" w:name="_Toc453664368"/>
      <w:bookmarkStart w:id="50" w:name="_Toc452726677"/>
      <w:r>
        <w:rPr>
          <w:color w:val="000000"/>
        </w:rPr>
        <w:br w:type="page"/>
      </w:r>
    </w:p>
    <w:p w:rsidR="00400E42" w:rsidRDefault="00400E42" w:rsidP="00A11EC1">
      <w:pPr>
        <w:pStyle w:val="Heading1"/>
      </w:pPr>
      <w:bookmarkStart w:id="51" w:name="_Toc454724780"/>
      <w:r>
        <w:lastRenderedPageBreak/>
        <w:t>Appendix I: Background on Addiction &amp; the Bureau of Substance Abuse Services</w:t>
      </w:r>
      <w:bookmarkEnd w:id="49"/>
      <w:bookmarkEnd w:id="51"/>
    </w:p>
    <w:p w:rsidR="00400E42" w:rsidRDefault="00400E42" w:rsidP="002D6E20">
      <w:pPr>
        <w:pStyle w:val="PBody"/>
      </w:pPr>
      <w:r>
        <w:rPr>
          <w:b/>
        </w:rPr>
        <w:t xml:space="preserve">Addiction Background: </w:t>
      </w:r>
      <w:r w:rsidRPr="0023492A">
        <w:t>The etiology of addiction is dependent upon biological, psychological, and social factors</w:t>
      </w:r>
      <w:r w:rsidR="00301E0D">
        <w:t>.  A</w:t>
      </w:r>
      <w:r w:rsidRPr="0023492A">
        <w:t>ntecedents of addiction include individual vulnerability levels, drug or object exposure, and drug or object interaction</w:t>
      </w:r>
      <w:r w:rsidR="00301E0D">
        <w:t>.  M</w:t>
      </w:r>
      <w:r w:rsidRPr="0023492A">
        <w:t>ore specifically, throughout the course of development, people encounter and accumulate specific combinations of neurobiological and psychosocial elements that can influence their behavior</w:t>
      </w:r>
      <w:r w:rsidR="00301E0D">
        <w:t>.  S</w:t>
      </w:r>
      <w:r w:rsidRPr="0023492A">
        <w:t>ome elements increase the likelihood of addiction, whereas other factors are protective and reduce the chance of addiction (e.g., social support networks)</w:t>
      </w:r>
      <w:r w:rsidR="00301E0D">
        <w:t>.  I</w:t>
      </w:r>
      <w:r w:rsidRPr="0023492A">
        <w:t>ndividuals with psychopathology (e.g., major depression, generalized anxiety disorder, or posttraumatic stress disorder) often exhibit increased prevalence of drug use disorders</w:t>
      </w:r>
      <w:r w:rsidR="00301E0D">
        <w:t>.  F</w:t>
      </w:r>
      <w:r w:rsidRPr="0023492A">
        <w:t xml:space="preserve">urthermore, the prevalence of psychopathology is increased among individuals who are dependent on multiple psychoactive substances (e.g., </w:t>
      </w:r>
      <w:r w:rsidR="001A017E">
        <w:t>Heroin</w:t>
      </w:r>
      <w:r w:rsidRPr="0023492A">
        <w:t>, alcohol, or cocaine)</w:t>
      </w:r>
      <w:r w:rsidRPr="005E2F2A">
        <w:rPr>
          <w:rStyle w:val="FootnoteReference"/>
        </w:rPr>
        <w:footnoteReference w:id="84"/>
      </w:r>
      <w:r w:rsidRPr="005E2F2A">
        <w:rPr>
          <w:rStyle w:val="FootnoteReference"/>
        </w:rPr>
        <w:footnoteReference w:id="85"/>
      </w:r>
      <w:r w:rsidR="00301E0D">
        <w:t>.  V</w:t>
      </w:r>
      <w:r w:rsidRPr="0023492A">
        <w:t>arious sociodemographic risk factors (e.g., relating to poverty, geography, family, and peer groups) can influence the onset and course of drug use that can similarly affect the likelihood of developing addiction.</w:t>
      </w:r>
      <w:r w:rsidRPr="005E2F2A">
        <w:rPr>
          <w:rStyle w:val="FootnoteReference"/>
        </w:rPr>
        <w:footnoteReference w:id="86"/>
      </w:r>
      <w:r w:rsidRPr="005E2F2A">
        <w:rPr>
          <w:rStyle w:val="FootnoteReference"/>
        </w:rPr>
        <w:footnoteReference w:id="87"/>
      </w:r>
      <w:r w:rsidRPr="005E2F2A">
        <w:rPr>
          <w:rStyle w:val="FootnoteReference"/>
        </w:rPr>
        <w:footnoteReference w:id="88"/>
      </w:r>
      <w:r w:rsidRPr="0023492A">
        <w:t xml:space="preserve"> </w:t>
      </w:r>
    </w:p>
    <w:p w:rsidR="00400E42" w:rsidRDefault="00400E42" w:rsidP="002D6E20">
      <w:pPr>
        <w:pStyle w:val="PBody"/>
        <w:rPr>
          <w:color w:val="7030A0"/>
        </w:rPr>
      </w:pPr>
      <w:r w:rsidRPr="00501AD4">
        <w:t>Starting in fiscal year 2012, clients receiving BSAS treatment reporting an opioid problem at the time of admission exceeded the number of clients reporting a problem with any other substance (31% in 2000 compared to 55% in 2014).</w:t>
      </w:r>
      <w:r w:rsidRPr="005E2F2A">
        <w:rPr>
          <w:rStyle w:val="FootnoteReference"/>
          <w:color w:val="000000"/>
        </w:rPr>
        <w:footnoteReference w:id="89"/>
      </w:r>
      <w:r w:rsidRPr="00501AD4">
        <w:t xml:space="preserve"> A significant portion of the increase was due to prescribed and illicit prescription drugs up to 2011, after which there was a drop in this category and a sharp increase in Heroin admissions</w:t>
      </w:r>
      <w:r>
        <w:t>.</w:t>
      </w:r>
      <w:r w:rsidRPr="0023492A">
        <w:t xml:space="preserve"> </w:t>
      </w:r>
    </w:p>
    <w:p w:rsidR="00400E42" w:rsidRDefault="00400E42" w:rsidP="002D6E20">
      <w:pPr>
        <w:pStyle w:val="PBody"/>
      </w:pPr>
      <w:r w:rsidRPr="0023492A">
        <w:t>Each expression of addiction, poses similar as well as unique consequences</w:t>
      </w:r>
      <w:r w:rsidR="00301E0D">
        <w:t>.  O</w:t>
      </w:r>
      <w:r w:rsidRPr="0023492A">
        <w:t>pioid Addiction, for example, poses very particular risks and adverse consequences, i.e. hypoxia (decreased oxygen to the brain), sepsis, and non-fatal/ fatal overdose</w:t>
      </w:r>
      <w:r w:rsidR="00301E0D">
        <w:t>.  T</w:t>
      </w:r>
      <w:r w:rsidRPr="0023492A">
        <w:t>here is an elevated risk of exposure to Opioids in Massachusetts given the trends in the last decade</w:t>
      </w:r>
      <w:r w:rsidR="00301E0D">
        <w:t>.  O</w:t>
      </w:r>
      <w:r w:rsidRPr="0023492A">
        <w:t>pioids are a class of drugs that are naturally occurring but are also produced in a synthetic and semi-synthetic fashion</w:t>
      </w:r>
      <w:r w:rsidR="00301E0D">
        <w:t>.  W</w:t>
      </w:r>
      <w:r w:rsidRPr="0023492A">
        <w:t>hen Opioids bind to receptors in the body they can reduce the perception of pain</w:t>
      </w:r>
      <w:r w:rsidR="00301E0D">
        <w:t>.  O</w:t>
      </w:r>
      <w:r w:rsidRPr="0023492A">
        <w:t>pioids can produce many different side effects including: respiratory depression, drowsiness, mental confusion, and nausea</w:t>
      </w:r>
      <w:r w:rsidR="00301E0D">
        <w:t>.  H</w:t>
      </w:r>
      <w:r w:rsidRPr="0023492A">
        <w:t>owever, Opioids can produce a feeling of euphoria since they affect the brain’s reward circuitry.  Opioids can be prescribed for pain management, but they can also be illicitly obtained</w:t>
      </w:r>
      <w:r w:rsidR="00301E0D">
        <w:t>.  S</w:t>
      </w:r>
      <w:r w:rsidRPr="0023492A">
        <w:t>ome examples of Opioids include: Heroin, Hydrocodone, Oxycodone, Morphine, Codeine, Tramadol and Fentanyl</w:t>
      </w:r>
      <w:r w:rsidR="00301E0D">
        <w:t>.  F</w:t>
      </w:r>
      <w:r w:rsidRPr="0023492A">
        <w:t>entanyl can be prescribed for pain management, but it can also illicitly be obtained either on its own, or combined with Heroin</w:t>
      </w:r>
      <w:r w:rsidR="00301E0D">
        <w:t>.  T</w:t>
      </w:r>
      <w:r w:rsidRPr="0023492A">
        <w:t>he potency of an Opioid as well as the combination of more than one Opioid, or the combination of an Opioid with a sedative can pose elevated risks for adverse consequences</w:t>
      </w:r>
      <w:r w:rsidR="00301E0D">
        <w:t>.  T</w:t>
      </w:r>
      <w:r w:rsidRPr="0023492A">
        <w:t xml:space="preserve">he reason </w:t>
      </w:r>
      <w:r w:rsidRPr="0023492A">
        <w:lastRenderedPageBreak/>
        <w:t>for these adverse consequences has to do with fundamental components of the disease</w:t>
      </w:r>
      <w:r w:rsidR="00301E0D">
        <w:t>.  P</w:t>
      </w:r>
      <w:r w:rsidRPr="0023492A">
        <w:t>eople with addiction often experience episodes of abstinence, and relapse</w:t>
      </w:r>
      <w:r w:rsidR="00301E0D">
        <w:t>.  W</w:t>
      </w:r>
      <w:r w:rsidRPr="0023492A">
        <w:t>hen there is a period of abstinence which is followed by a relapse, a person is at enormous risk for overdose.  This risk is due to tolerance and withdrawal</w:t>
      </w:r>
      <w:r w:rsidR="00301E0D">
        <w:t>.  T</w:t>
      </w:r>
      <w:r w:rsidRPr="0023492A">
        <w:t>olerance and withdrawal can be explained as (1) an increased dose of a drug or object is needed to experience the same subjective effects as with a lower dose before,(2) the experience of withdrawal upon stopping use with the presence of three or more symptoms: dysphoric mood, nausea or vomiting, muscle aches, pupillary dilation, sweating, fever, diarrhea, convulsions, or tremors, and (3) the symptoms cause clinically significant distress  or impairment in social, occupational, or other important areas of functioning.</w:t>
      </w:r>
      <w:r w:rsidRPr="005E2F2A">
        <w:rPr>
          <w:rStyle w:val="FootnoteReference"/>
        </w:rPr>
        <w:footnoteReference w:id="90"/>
      </w:r>
      <w:r w:rsidRPr="0023492A">
        <w:t xml:space="preserve"> Tolerance among </w:t>
      </w:r>
      <w:r w:rsidR="001A017E">
        <w:t>Heroin</w:t>
      </w:r>
      <w:r w:rsidRPr="0023492A">
        <w:t xml:space="preserve"> users, for example, refers to the observation that regular users require more </w:t>
      </w:r>
      <w:r w:rsidR="001A017E">
        <w:t>Heroin</w:t>
      </w:r>
      <w:r w:rsidRPr="0023492A">
        <w:t xml:space="preserve"> to get the same level of intoxication experienced previously at a lower dose; withdrawal means that these users get sick when they stop using the drug and that using the drug again can make this stereotypical pattern of illness stop</w:t>
      </w:r>
      <w:r w:rsidR="00301E0D">
        <w:t>.  T</w:t>
      </w:r>
      <w:r w:rsidRPr="0023492A">
        <w:t xml:space="preserve">he potency of a drug can also play a critical role in the relationship between abstinence, relapse, tolerance and withdrawal; if a similar dose is used, but the potency is stronger than the previous dose there is a risk for overdose and death. </w:t>
      </w:r>
    </w:p>
    <w:p w:rsidR="00400E42" w:rsidRPr="00064257" w:rsidRDefault="00400E42" w:rsidP="002D6E20">
      <w:pPr>
        <w:pStyle w:val="PBody"/>
      </w:pPr>
      <w:r w:rsidRPr="00064257">
        <w:rPr>
          <w:highlight w:val="white"/>
        </w:rPr>
        <w:t>Addiction treatment is intended to help individuals stop compulsive behaviors and drug and/or alcohol seeking and use by providing them with medication and behavioral coping skills as tools</w:t>
      </w:r>
      <w:r w:rsidR="00301E0D">
        <w:rPr>
          <w:highlight w:val="white"/>
        </w:rPr>
        <w:t>.  T</w:t>
      </w:r>
      <w:r w:rsidRPr="00064257">
        <w:rPr>
          <w:highlight w:val="white"/>
        </w:rPr>
        <w:t>reatment can occur in a variety of settings, take many different forms, and last for different lengths of time</w:t>
      </w:r>
      <w:r w:rsidR="00301E0D">
        <w:rPr>
          <w:highlight w:val="white"/>
        </w:rPr>
        <w:t>.  B</w:t>
      </w:r>
      <w:r w:rsidRPr="00064257">
        <w:rPr>
          <w:highlight w:val="white"/>
        </w:rPr>
        <w:t>ecause addiction is typically a chronic disorder characterized by occasional relapses, a short-term, one-time treatment is usually not sufficient</w:t>
      </w:r>
      <w:r w:rsidR="00301E0D">
        <w:rPr>
          <w:highlight w:val="white"/>
        </w:rPr>
        <w:t>.  F</w:t>
      </w:r>
      <w:r w:rsidRPr="00064257">
        <w:rPr>
          <w:highlight w:val="white"/>
        </w:rPr>
        <w:t>or many, treatment is a long-term process that involves multiple interventions and regular monitoring</w:t>
      </w:r>
      <w:r w:rsidR="00301E0D">
        <w:rPr>
          <w:highlight w:val="white"/>
        </w:rPr>
        <w:t>.  T</w:t>
      </w:r>
      <w:r w:rsidRPr="00064257">
        <w:rPr>
          <w:highlight w:val="white"/>
        </w:rPr>
        <w:t>here are a variety of evidence-based approaches to treating addiction</w:t>
      </w:r>
      <w:r w:rsidR="00301E0D">
        <w:rPr>
          <w:highlight w:val="white"/>
        </w:rPr>
        <w:t>.  T</w:t>
      </w:r>
      <w:r w:rsidRPr="00064257">
        <w:rPr>
          <w:highlight w:val="white"/>
        </w:rPr>
        <w:t>reatment can include behavioral therapy (e.g. cognitive-behavioral therapy or contingency management), medications, or their combination</w:t>
      </w:r>
      <w:r w:rsidR="00301E0D">
        <w:rPr>
          <w:highlight w:val="white"/>
        </w:rPr>
        <w:t>.  T</w:t>
      </w:r>
      <w:r w:rsidRPr="00064257">
        <w:rPr>
          <w:highlight w:val="white"/>
        </w:rPr>
        <w:t>he setting for service delivery may be inpatient, or outpatient</w:t>
      </w:r>
      <w:r w:rsidR="00301E0D">
        <w:rPr>
          <w:highlight w:val="white"/>
        </w:rPr>
        <w:t>.  A</w:t>
      </w:r>
      <w:r w:rsidRPr="00064257">
        <w:rPr>
          <w:highlight w:val="white"/>
        </w:rPr>
        <w:t xml:space="preserve"> clinical recommendation for treatment depends on the individualistic needs of a client.</w:t>
      </w:r>
      <w:r w:rsidRPr="005E2F2A">
        <w:rPr>
          <w:rStyle w:val="FootnoteReference"/>
          <w:highlight w:val="white"/>
        </w:rPr>
        <w:footnoteReference w:id="91"/>
      </w:r>
    </w:p>
    <w:p w:rsidR="00400E42" w:rsidRPr="00064257" w:rsidRDefault="00C33429" w:rsidP="002D6E20">
      <w:pPr>
        <w:pStyle w:val="PBody"/>
      </w:pPr>
      <w:r>
        <w:tab/>
      </w:r>
      <w:r w:rsidR="00400E42" w:rsidRPr="00064257">
        <w:t xml:space="preserve">People with Addiction often suffer from other health (e.g., </w:t>
      </w:r>
      <w:r w:rsidR="00400E42">
        <w:t>d</w:t>
      </w:r>
      <w:r w:rsidR="00400E42" w:rsidRPr="00064257">
        <w:t>epression, HIV, Hepatitis), occupational, legal, familial, financial</w:t>
      </w:r>
      <w:r w:rsidR="00400E42">
        <w:t>,</w:t>
      </w:r>
      <w:r w:rsidR="00400E42" w:rsidRPr="00064257">
        <w:t xml:space="preserve"> and social problems that should be addressed concurrently</w:t>
      </w:r>
      <w:r w:rsidR="00301E0D">
        <w:t>.  T</w:t>
      </w:r>
      <w:r w:rsidR="00400E42" w:rsidRPr="00064257">
        <w:t>he best programs provide a combination of therapies and other services to meet an individual’s needs</w:t>
      </w:r>
      <w:r w:rsidR="00301E0D">
        <w:t>.  P</w:t>
      </w:r>
      <w:r w:rsidR="00400E42" w:rsidRPr="00064257">
        <w:t xml:space="preserve">sychoactive medications, (e.g. antidepressants, anti-anxiety agents, mood stabilizers, and antipsychotic medications) may be critical for </w:t>
      </w:r>
      <w:r w:rsidR="00400E42">
        <w:t>a</w:t>
      </w:r>
      <w:r w:rsidR="00400E42" w:rsidRPr="00064257">
        <w:t>ddiction treatment success for patients that have co-occurring mental disorders</w:t>
      </w:r>
      <w:r w:rsidR="00301E0D">
        <w:t>.  C</w:t>
      </w:r>
      <w:r w:rsidR="00400E42" w:rsidRPr="00064257">
        <w:t xml:space="preserve">urrently, the BSAS data set does not account for all these critical elements of people served in our treatment system; however there is potential to collect and analyze this information in the future. </w:t>
      </w:r>
    </w:p>
    <w:p w:rsidR="00400E42" w:rsidRPr="00064257" w:rsidRDefault="00400E42" w:rsidP="002D6E20">
      <w:pPr>
        <w:pStyle w:val="PBody"/>
      </w:pPr>
      <w:r>
        <w:rPr>
          <w:b/>
        </w:rPr>
        <w:lastRenderedPageBreak/>
        <w:t>BSAS Data Collection</w:t>
      </w:r>
      <w:r w:rsidRPr="0011377E">
        <w:rPr>
          <w:b/>
        </w:rPr>
        <w:t>:</w:t>
      </w:r>
      <w:r w:rsidRPr="00DE65CB">
        <w:t xml:space="preserve"> </w:t>
      </w:r>
      <w:r w:rsidRPr="00064257">
        <w:t>Massachusetts Department of Public Health</w:t>
      </w:r>
      <w:r>
        <w:t>’s</w:t>
      </w:r>
      <w:r w:rsidRPr="00064257">
        <w:t xml:space="preserve"> Bureau of Substance Abuse Services (BSAS) is the single state authority responsible for regulating and licensing substance abuse treatment providers throughout the Commonwealth</w:t>
      </w:r>
      <w:r w:rsidR="00301E0D">
        <w:t>.  T</w:t>
      </w:r>
      <w:r w:rsidRPr="00064257">
        <w:t xml:space="preserve">he </w:t>
      </w:r>
      <w:r>
        <w:t>D</w:t>
      </w:r>
      <w:r w:rsidRPr="00064257">
        <w:t>epartment’s authority is defined under MGL Ch.111 B and E</w:t>
      </w:r>
      <w:r w:rsidR="00301E0D">
        <w:t>.  U</w:t>
      </w:r>
      <w:r w:rsidRPr="00064257">
        <w:t>nder this authority</w:t>
      </w:r>
      <w:r>
        <w:t>,</w:t>
      </w:r>
      <w:r w:rsidRPr="00064257">
        <w:t xml:space="preserve"> the </w:t>
      </w:r>
      <w:r>
        <w:t>D</w:t>
      </w:r>
      <w:r w:rsidRPr="00064257">
        <w:t>epartment must ensure that treatment services are available along the continuum of care from d</w:t>
      </w:r>
      <w:r>
        <w:t>etoxification to recovery</w:t>
      </w:r>
      <w:r w:rsidR="00301E0D">
        <w:t>.  T</w:t>
      </w:r>
      <w:r>
        <w:t>he D</w:t>
      </w:r>
      <w:r w:rsidRPr="00064257">
        <w:t>epartment can also engage into contracts with private providers and fund ser</w:t>
      </w:r>
      <w:r>
        <w:t>vices</w:t>
      </w:r>
      <w:r w:rsidR="00301E0D">
        <w:t>.  T</w:t>
      </w:r>
      <w:r>
        <w:t>he D</w:t>
      </w:r>
      <w:r w:rsidRPr="00064257">
        <w:t>epartment currently licenses A</w:t>
      </w:r>
      <w:r>
        <w:t xml:space="preserve">merican </w:t>
      </w:r>
      <w:r w:rsidRPr="00064257">
        <w:t>S</w:t>
      </w:r>
      <w:r>
        <w:t xml:space="preserve">ociety of </w:t>
      </w:r>
      <w:r w:rsidRPr="00064257">
        <w:t>A</w:t>
      </w:r>
      <w:r>
        <w:t xml:space="preserve">ddiction </w:t>
      </w:r>
      <w:r w:rsidRPr="00064257">
        <w:t>M</w:t>
      </w:r>
      <w:r>
        <w:t>edicine (ASAM)</w:t>
      </w:r>
      <w:r w:rsidRPr="00064257">
        <w:t xml:space="preserve"> levels I – IV but only funds levels I – III</w:t>
      </w:r>
      <w:r w:rsidR="00301E0D">
        <w:t>.  T</w:t>
      </w:r>
      <w:r w:rsidRPr="00064257">
        <w:t>he services that fall under the funded categories range from acute detoxification to residential and outpatient-based services</w:t>
      </w:r>
      <w:r w:rsidR="00301E0D">
        <w:t>.  I</w:t>
      </w:r>
      <w:r w:rsidRPr="00064257">
        <w:t>n addition to licensing, regulating</w:t>
      </w:r>
      <w:r>
        <w:t>,</w:t>
      </w:r>
      <w:r w:rsidRPr="00064257">
        <w:t xml:space="preserve"> and funding treatment services, BSAS funds prevention and recovery support services throughout the Commonwealth.</w:t>
      </w:r>
    </w:p>
    <w:p w:rsidR="00400E42" w:rsidRDefault="00400E42" w:rsidP="00C33429">
      <w:pPr>
        <w:spacing w:after="120" w:line="276" w:lineRule="auto"/>
        <w:rPr>
          <w:rFonts w:ascii="Calibri" w:hAnsi="Calibri"/>
          <w:b/>
          <w:color w:val="000000"/>
          <w:sz w:val="28"/>
          <w:szCs w:val="22"/>
        </w:rPr>
      </w:pPr>
      <w:r>
        <w:rPr>
          <w:rFonts w:ascii="Calibri" w:hAnsi="Calibri"/>
          <w:b/>
          <w:color w:val="000000"/>
          <w:sz w:val="28"/>
          <w:szCs w:val="22"/>
        </w:rPr>
        <w:br w:type="page"/>
      </w:r>
    </w:p>
    <w:p w:rsidR="00400E42" w:rsidRPr="009943F4" w:rsidRDefault="00400E42" w:rsidP="00A11EC1">
      <w:pPr>
        <w:pStyle w:val="Heading1"/>
      </w:pPr>
      <w:bookmarkStart w:id="52" w:name="_Toc453664369"/>
      <w:bookmarkStart w:id="53" w:name="_Toc454724781"/>
      <w:r w:rsidRPr="009943F4">
        <w:lastRenderedPageBreak/>
        <w:t xml:space="preserve">Appendix </w:t>
      </w:r>
      <w:r>
        <w:t>J</w:t>
      </w:r>
      <w:r w:rsidRPr="009943F4">
        <w:t>:  Partnerships</w:t>
      </w:r>
      <w:bookmarkEnd w:id="50"/>
      <w:bookmarkEnd w:id="52"/>
      <w:bookmarkEnd w:id="53"/>
    </w:p>
    <w:p w:rsidR="00400E42" w:rsidRDefault="00400E42" w:rsidP="002D6E20">
      <w:pPr>
        <w:pStyle w:val="PBody"/>
      </w:pPr>
      <w:r>
        <w:t>The Chapter 55 project brought together analysts and researchers from across government, six academic institutions, and two private consulting firms</w:t>
      </w:r>
      <w:r w:rsidR="00301E0D">
        <w:t>.  F</w:t>
      </w:r>
      <w:r>
        <w:t>irst and foremost, the Department of Public Health would like to thank all those who participated in this effort.  Without everyone’s assistance, this report could not have been completed in time</w:t>
      </w:r>
      <w:r w:rsidR="00301E0D">
        <w:t>.  T</w:t>
      </w:r>
      <w:r>
        <w:t>he work done here has been groundbreaking and the collaboration has been extraordinary both inside and outside government institutions.</w:t>
      </w:r>
    </w:p>
    <w:p w:rsidR="00400E42" w:rsidRDefault="00400E42" w:rsidP="002D6E20">
      <w:pPr>
        <w:pStyle w:val="PBody"/>
      </w:pPr>
      <w:r w:rsidRPr="000B7691">
        <w:t xml:space="preserve">The concept of a shared, integrated, data environment, accessible by government, academic institutions and private enterprise predates both </w:t>
      </w:r>
      <w:r w:rsidR="006C7B57">
        <w:t>this</w:t>
      </w:r>
      <w:r w:rsidR="006C7B57" w:rsidRPr="000B7691">
        <w:t xml:space="preserve"> </w:t>
      </w:r>
      <w:r w:rsidRPr="000B7691">
        <w:t xml:space="preserve">opioid epidemic and the </w:t>
      </w:r>
      <w:r>
        <w:t>Chapter 55</w:t>
      </w:r>
      <w:r w:rsidRPr="000B7691">
        <w:t xml:space="preserve"> legislation</w:t>
      </w:r>
      <w:r w:rsidR="00301E0D">
        <w:t>.  T</w:t>
      </w:r>
      <w:r>
        <w:t xml:space="preserve">he March 2015 report to the </w:t>
      </w:r>
      <w:r w:rsidR="003B41B4">
        <w:t>Legislature</w:t>
      </w:r>
      <w:r>
        <w:t xml:space="preserve"> titled “</w:t>
      </w:r>
      <w:r w:rsidRPr="00F66090">
        <w:t>Feasibility Proposal and Implementation Plan for a</w:t>
      </w:r>
      <w:r w:rsidR="00C33429">
        <w:t xml:space="preserve"> </w:t>
      </w:r>
      <w:r>
        <w:t>Public Health Data Warehouse” describes much of the infrastructure, data security plans, and the partnership goals that were central to the Chap</w:t>
      </w:r>
      <w:r w:rsidRPr="009C6CE3">
        <w:t>ter</w:t>
      </w:r>
      <w:r>
        <w:t xml:space="preserve"> </w:t>
      </w:r>
      <w:r w:rsidRPr="009C6CE3">
        <w:t>55 work.  One specific goal stated in the March 2015 report captures the approach taken by all parties</w:t>
      </w:r>
      <w:r w:rsidR="00301E0D">
        <w:t>.  I</w:t>
      </w:r>
      <w:r w:rsidRPr="009C6CE3">
        <w:t>t was, “To design a technical architecture for a data warehouse that utilizes state resources efficiently while enabling secure access to public health data for internal and external users.”</w:t>
      </w:r>
    </w:p>
    <w:p w:rsidR="00400E42" w:rsidRDefault="00C33429" w:rsidP="002D6E20">
      <w:pPr>
        <w:pStyle w:val="PBody"/>
      </w:pPr>
      <w:r>
        <w:tab/>
      </w:r>
      <w:r w:rsidR="00400E42">
        <w:t>This goal was an acknowledgement that e</w:t>
      </w:r>
      <w:r w:rsidR="00400E42" w:rsidRPr="000B7691">
        <w:t>ach type of organization</w:t>
      </w:r>
      <w:r w:rsidR="00400E42">
        <w:t xml:space="preserve"> (i.e., </w:t>
      </w:r>
      <w:r w:rsidR="00400E42" w:rsidRPr="000B7691">
        <w:t>government, academic and private industry</w:t>
      </w:r>
      <w:r w:rsidR="00400E42">
        <w:t>)</w:t>
      </w:r>
      <w:r w:rsidR="00400E42" w:rsidRPr="000B7691">
        <w:t xml:space="preserve"> had essential but incomplete resources and expertise relevant to </w:t>
      </w:r>
      <w:r w:rsidR="00400E42">
        <w:t>completing the work undertaken in the Chapter 55</w:t>
      </w:r>
      <w:r w:rsidR="00400E42" w:rsidRPr="000B7691">
        <w:t xml:space="preserve"> </w:t>
      </w:r>
      <w:r w:rsidR="00400E42">
        <w:t>project</w:t>
      </w:r>
      <w:r w:rsidR="00301E0D">
        <w:t>.  T</w:t>
      </w:r>
      <w:r w:rsidR="00400E42" w:rsidRPr="000B7691">
        <w:t xml:space="preserve">he </w:t>
      </w:r>
      <w:r w:rsidR="00400E42">
        <w:t>Chapter 55</w:t>
      </w:r>
      <w:r w:rsidR="00400E42" w:rsidRPr="000B7691">
        <w:t xml:space="preserve"> </w:t>
      </w:r>
      <w:r w:rsidR="00400E42">
        <w:t>r</w:t>
      </w:r>
      <w:r w:rsidR="00400E42" w:rsidRPr="000B7691">
        <w:t>eport</w:t>
      </w:r>
      <w:r w:rsidR="00400E42">
        <w:t>, therefore, became</w:t>
      </w:r>
      <w:r w:rsidR="00400E42" w:rsidRPr="000B7691">
        <w:t xml:space="preserve"> the catalyst that motivated a collective and concerted effort towards bringing the vision of a shared, integrated, data environment to fruition</w:t>
      </w:r>
      <w:r w:rsidR="00301E0D">
        <w:t>.  T</w:t>
      </w:r>
      <w:r w:rsidR="00400E42" w:rsidRPr="000B7691">
        <w:t>he collaborative, multi-sector, work done to date is a single instance of the vision</w:t>
      </w:r>
      <w:r w:rsidR="00301E0D">
        <w:t>.  T</w:t>
      </w:r>
      <w:r w:rsidR="00400E42" w:rsidRPr="000B7691">
        <w:t xml:space="preserve">he </w:t>
      </w:r>
      <w:r w:rsidR="00400E42">
        <w:t>Chapter 55</w:t>
      </w:r>
      <w:r w:rsidR="00400E42" w:rsidRPr="000B7691">
        <w:t xml:space="preserve"> project represents a process that should be continued, adapted, and refined as new public health challenges and new collaborators emerge.</w:t>
      </w:r>
    </w:p>
    <w:p w:rsidR="00400E42" w:rsidRDefault="00400E42" w:rsidP="00400E42">
      <w:pPr>
        <w:rPr>
          <w:rFonts w:ascii="Calibri" w:hAnsi="Calibri"/>
          <w:sz w:val="22"/>
          <w:szCs w:val="22"/>
        </w:rPr>
      </w:pPr>
    </w:p>
    <w:p w:rsidR="00400E42" w:rsidRDefault="00400E42" w:rsidP="00400E42">
      <w:pPr>
        <w:jc w:val="center"/>
        <w:rPr>
          <w:rFonts w:ascii="Calibri" w:hAnsi="Calibri"/>
          <w:sz w:val="22"/>
          <w:szCs w:val="22"/>
        </w:rPr>
      </w:pPr>
      <w:r>
        <w:rPr>
          <w:rFonts w:ascii="Calibri" w:hAnsi="Calibri"/>
          <w:sz w:val="22"/>
          <w:szCs w:val="22"/>
        </w:rPr>
        <w:t>The Department would specifically like to thank the following institutions.</w:t>
      </w:r>
    </w:p>
    <w:p w:rsidR="00400E42" w:rsidRDefault="00400E42" w:rsidP="00400E42">
      <w:pPr>
        <w:rPr>
          <w:rFonts w:ascii="Calibri" w:hAnsi="Calibri"/>
          <w:sz w:val="22"/>
          <w:szCs w:val="22"/>
        </w:rPr>
      </w:pPr>
    </w:p>
    <w:tbl>
      <w:tblPr>
        <w:tblW w:w="6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39"/>
      </w:tblGrid>
      <w:tr w:rsidR="00400E42" w:rsidTr="00A92FFC">
        <w:trPr>
          <w:trHeight w:val="243"/>
          <w:jc w:val="center"/>
        </w:trPr>
        <w:tc>
          <w:tcPr>
            <w:tcW w:w="6539" w:type="dxa"/>
            <w:shd w:val="clear" w:color="auto" w:fill="A6A6A6"/>
          </w:tcPr>
          <w:p w:rsidR="00400E42" w:rsidRPr="00570FB0" w:rsidRDefault="00400E42" w:rsidP="00A92FFC">
            <w:pPr>
              <w:rPr>
                <w:rFonts w:ascii="Calibri" w:hAnsi="Calibri"/>
                <w:szCs w:val="22"/>
              </w:rPr>
            </w:pPr>
            <w:r w:rsidRPr="00570FB0">
              <w:rPr>
                <w:rFonts w:ascii="Calibri" w:hAnsi="Calibri"/>
                <w:sz w:val="22"/>
                <w:szCs w:val="22"/>
              </w:rPr>
              <w:t>Academic Institutions</w:t>
            </w:r>
          </w:p>
        </w:tc>
      </w:tr>
      <w:tr w:rsidR="00400E42" w:rsidTr="00A92FFC">
        <w:trPr>
          <w:trHeight w:val="2216"/>
          <w:jc w:val="center"/>
        </w:trPr>
        <w:tc>
          <w:tcPr>
            <w:tcW w:w="6539" w:type="dxa"/>
          </w:tcPr>
          <w:p w:rsidR="00400E42" w:rsidRPr="00570FB0" w:rsidRDefault="00400E42" w:rsidP="00A92FFC">
            <w:pPr>
              <w:pStyle w:val="ListParagraph"/>
              <w:numPr>
                <w:ilvl w:val="0"/>
                <w:numId w:val="13"/>
              </w:numPr>
              <w:rPr>
                <w:rFonts w:ascii="Calibri" w:hAnsi="Calibri"/>
                <w:szCs w:val="22"/>
              </w:rPr>
            </w:pPr>
            <w:r w:rsidRPr="00570FB0">
              <w:rPr>
                <w:rFonts w:ascii="Calibri" w:hAnsi="Calibri"/>
                <w:sz w:val="22"/>
                <w:szCs w:val="22"/>
              </w:rPr>
              <w:t>Boston University School of Medicine</w:t>
            </w:r>
          </w:p>
          <w:p w:rsidR="00E11012" w:rsidRPr="00570FB0" w:rsidRDefault="00E11012" w:rsidP="00E11012">
            <w:pPr>
              <w:pStyle w:val="ListParagraph"/>
              <w:numPr>
                <w:ilvl w:val="0"/>
                <w:numId w:val="13"/>
              </w:numPr>
              <w:rPr>
                <w:rFonts w:ascii="Calibri" w:hAnsi="Calibri"/>
                <w:szCs w:val="22"/>
              </w:rPr>
            </w:pPr>
            <w:r w:rsidRPr="00570FB0">
              <w:rPr>
                <w:rFonts w:ascii="Calibri" w:hAnsi="Calibri"/>
                <w:sz w:val="22"/>
                <w:szCs w:val="22"/>
              </w:rPr>
              <w:t>Brown University</w:t>
            </w:r>
          </w:p>
          <w:p w:rsidR="00400E42" w:rsidRPr="00570FB0" w:rsidRDefault="00400E42" w:rsidP="00A92FFC">
            <w:pPr>
              <w:pStyle w:val="ListParagraph"/>
              <w:numPr>
                <w:ilvl w:val="0"/>
                <w:numId w:val="13"/>
              </w:numPr>
              <w:rPr>
                <w:rFonts w:ascii="Calibri" w:hAnsi="Calibri"/>
                <w:szCs w:val="22"/>
              </w:rPr>
            </w:pPr>
            <w:r w:rsidRPr="00570FB0">
              <w:rPr>
                <w:rFonts w:ascii="Calibri" w:hAnsi="Calibri"/>
                <w:sz w:val="22"/>
                <w:szCs w:val="22"/>
              </w:rPr>
              <w:t>Harvard Medical School</w:t>
            </w:r>
          </w:p>
          <w:p w:rsidR="00400E42" w:rsidRPr="00570FB0" w:rsidRDefault="00400E42" w:rsidP="00A92FFC">
            <w:pPr>
              <w:pStyle w:val="ListParagraph"/>
              <w:numPr>
                <w:ilvl w:val="0"/>
                <w:numId w:val="13"/>
              </w:numPr>
              <w:rPr>
                <w:rFonts w:ascii="Calibri" w:hAnsi="Calibri"/>
                <w:szCs w:val="22"/>
              </w:rPr>
            </w:pPr>
            <w:r w:rsidRPr="00570FB0">
              <w:rPr>
                <w:rFonts w:ascii="Calibri" w:hAnsi="Calibri"/>
                <w:sz w:val="22"/>
                <w:szCs w:val="22"/>
              </w:rPr>
              <w:t>Harvard School of Public Health</w:t>
            </w:r>
          </w:p>
          <w:p w:rsidR="00400E42" w:rsidRPr="00570FB0" w:rsidRDefault="00400E42" w:rsidP="00A92FFC">
            <w:pPr>
              <w:pStyle w:val="ListParagraph"/>
              <w:numPr>
                <w:ilvl w:val="0"/>
                <w:numId w:val="13"/>
              </w:numPr>
              <w:rPr>
                <w:rFonts w:ascii="Calibri" w:hAnsi="Calibri"/>
                <w:szCs w:val="22"/>
              </w:rPr>
            </w:pPr>
            <w:r w:rsidRPr="00570FB0">
              <w:rPr>
                <w:rFonts w:ascii="Calibri" w:hAnsi="Calibri"/>
                <w:sz w:val="22"/>
                <w:szCs w:val="22"/>
              </w:rPr>
              <w:t>Northeastern University</w:t>
            </w:r>
          </w:p>
          <w:p w:rsidR="00400E42" w:rsidRPr="00570FB0" w:rsidRDefault="00400E42" w:rsidP="00A92FFC">
            <w:pPr>
              <w:pStyle w:val="ListParagraph"/>
              <w:numPr>
                <w:ilvl w:val="0"/>
                <w:numId w:val="13"/>
              </w:numPr>
              <w:rPr>
                <w:rFonts w:ascii="Calibri" w:hAnsi="Calibri"/>
                <w:szCs w:val="22"/>
              </w:rPr>
            </w:pPr>
            <w:r w:rsidRPr="00570FB0">
              <w:rPr>
                <w:rFonts w:ascii="Calibri" w:hAnsi="Calibri"/>
                <w:sz w:val="22"/>
                <w:szCs w:val="22"/>
              </w:rPr>
              <w:t>Tufts University School of Medicine</w:t>
            </w:r>
          </w:p>
          <w:p w:rsidR="00400E42" w:rsidRPr="00570FB0" w:rsidRDefault="00400E42" w:rsidP="00A92FFC">
            <w:pPr>
              <w:pStyle w:val="ListParagraph"/>
              <w:numPr>
                <w:ilvl w:val="0"/>
                <w:numId w:val="13"/>
              </w:numPr>
              <w:rPr>
                <w:rFonts w:ascii="Calibri" w:hAnsi="Calibri"/>
                <w:szCs w:val="22"/>
              </w:rPr>
            </w:pPr>
            <w:r w:rsidRPr="00570FB0">
              <w:rPr>
                <w:rFonts w:ascii="Calibri" w:hAnsi="Calibri"/>
                <w:sz w:val="22"/>
                <w:szCs w:val="22"/>
              </w:rPr>
              <w:t>University of Massachusetts,  Boston</w:t>
            </w:r>
          </w:p>
          <w:p w:rsidR="00400E42" w:rsidRPr="00570FB0" w:rsidRDefault="00400E42" w:rsidP="00A92FFC">
            <w:pPr>
              <w:pStyle w:val="ListParagraph"/>
              <w:numPr>
                <w:ilvl w:val="0"/>
                <w:numId w:val="13"/>
              </w:numPr>
              <w:rPr>
                <w:rFonts w:ascii="Calibri" w:hAnsi="Calibri"/>
                <w:szCs w:val="22"/>
              </w:rPr>
            </w:pPr>
            <w:r w:rsidRPr="00570FB0">
              <w:rPr>
                <w:rFonts w:ascii="Calibri" w:hAnsi="Calibri"/>
                <w:sz w:val="22"/>
                <w:szCs w:val="22"/>
              </w:rPr>
              <w:t>University of Massachusetts Medical School</w:t>
            </w:r>
          </w:p>
          <w:p w:rsidR="00400E42" w:rsidRPr="00570FB0" w:rsidRDefault="00400E42" w:rsidP="00A92FFC">
            <w:pPr>
              <w:pStyle w:val="ListParagraph"/>
              <w:numPr>
                <w:ilvl w:val="0"/>
                <w:numId w:val="13"/>
              </w:numPr>
              <w:rPr>
                <w:rFonts w:ascii="Calibri" w:hAnsi="Calibri"/>
                <w:szCs w:val="22"/>
              </w:rPr>
            </w:pPr>
            <w:r w:rsidRPr="00570FB0">
              <w:rPr>
                <w:rFonts w:ascii="Calibri" w:hAnsi="Calibri"/>
                <w:sz w:val="22"/>
                <w:szCs w:val="22"/>
              </w:rPr>
              <w:t>Worcester Polytechnic Institute</w:t>
            </w:r>
          </w:p>
        </w:tc>
      </w:tr>
      <w:tr w:rsidR="00400E42" w:rsidTr="00A92FFC">
        <w:trPr>
          <w:trHeight w:val="254"/>
          <w:jc w:val="center"/>
        </w:trPr>
        <w:tc>
          <w:tcPr>
            <w:tcW w:w="6539" w:type="dxa"/>
            <w:shd w:val="clear" w:color="auto" w:fill="A6A6A6"/>
          </w:tcPr>
          <w:p w:rsidR="00400E42" w:rsidRPr="00570FB0" w:rsidRDefault="00400E42" w:rsidP="00A92FFC">
            <w:pPr>
              <w:rPr>
                <w:rFonts w:ascii="Calibri" w:hAnsi="Calibri"/>
                <w:szCs w:val="22"/>
              </w:rPr>
            </w:pPr>
            <w:r w:rsidRPr="00570FB0">
              <w:rPr>
                <w:rFonts w:ascii="Calibri" w:hAnsi="Calibri"/>
                <w:sz w:val="22"/>
                <w:szCs w:val="22"/>
              </w:rPr>
              <w:t xml:space="preserve">Private Institutions </w:t>
            </w:r>
          </w:p>
        </w:tc>
      </w:tr>
      <w:tr w:rsidR="00400E42" w:rsidTr="00A92FFC">
        <w:trPr>
          <w:trHeight w:val="1029"/>
          <w:jc w:val="center"/>
        </w:trPr>
        <w:tc>
          <w:tcPr>
            <w:tcW w:w="6539" w:type="dxa"/>
          </w:tcPr>
          <w:p w:rsidR="00400E42" w:rsidRPr="00570FB0" w:rsidRDefault="00400E42" w:rsidP="00A92FFC">
            <w:pPr>
              <w:pStyle w:val="ListParagraph"/>
              <w:numPr>
                <w:ilvl w:val="0"/>
                <w:numId w:val="14"/>
              </w:numPr>
              <w:rPr>
                <w:rFonts w:ascii="Calibri" w:hAnsi="Calibri"/>
                <w:szCs w:val="22"/>
              </w:rPr>
            </w:pPr>
            <w:r w:rsidRPr="00570FB0">
              <w:rPr>
                <w:rFonts w:ascii="Calibri" w:hAnsi="Calibri"/>
                <w:sz w:val="22"/>
                <w:szCs w:val="22"/>
              </w:rPr>
              <w:t>Boston Children’s Hospital</w:t>
            </w:r>
          </w:p>
          <w:p w:rsidR="00400E42" w:rsidRPr="00570FB0" w:rsidRDefault="00400E42" w:rsidP="00A92FFC">
            <w:pPr>
              <w:pStyle w:val="ListParagraph"/>
              <w:numPr>
                <w:ilvl w:val="0"/>
                <w:numId w:val="14"/>
              </w:numPr>
              <w:rPr>
                <w:rFonts w:ascii="Calibri" w:hAnsi="Calibri"/>
                <w:szCs w:val="22"/>
              </w:rPr>
            </w:pPr>
            <w:r w:rsidRPr="00570FB0">
              <w:rPr>
                <w:rFonts w:ascii="Calibri" w:hAnsi="Calibri"/>
                <w:sz w:val="22"/>
                <w:szCs w:val="22"/>
              </w:rPr>
              <w:t>MITRE Corporation</w:t>
            </w:r>
          </w:p>
          <w:p w:rsidR="00400E42" w:rsidRPr="00570FB0" w:rsidRDefault="00400E42" w:rsidP="00A92FFC">
            <w:pPr>
              <w:pStyle w:val="ListParagraph"/>
              <w:numPr>
                <w:ilvl w:val="0"/>
                <w:numId w:val="14"/>
              </w:numPr>
              <w:rPr>
                <w:rFonts w:ascii="Calibri" w:hAnsi="Calibri"/>
                <w:szCs w:val="22"/>
              </w:rPr>
            </w:pPr>
            <w:r w:rsidRPr="00570FB0">
              <w:rPr>
                <w:rFonts w:ascii="Calibri" w:hAnsi="Calibri"/>
                <w:sz w:val="22"/>
                <w:szCs w:val="22"/>
              </w:rPr>
              <w:t>Price</w:t>
            </w:r>
            <w:r>
              <w:rPr>
                <w:rFonts w:ascii="Calibri" w:hAnsi="Calibri"/>
                <w:sz w:val="22"/>
                <w:szCs w:val="22"/>
              </w:rPr>
              <w:t xml:space="preserve"> W</w:t>
            </w:r>
            <w:r w:rsidRPr="00570FB0">
              <w:rPr>
                <w:rFonts w:ascii="Calibri" w:hAnsi="Calibri"/>
                <w:sz w:val="22"/>
                <w:szCs w:val="22"/>
              </w:rPr>
              <w:t>aterhouse</w:t>
            </w:r>
            <w:r>
              <w:rPr>
                <w:rFonts w:ascii="Calibri" w:hAnsi="Calibri"/>
                <w:sz w:val="22"/>
                <w:szCs w:val="22"/>
              </w:rPr>
              <w:t xml:space="preserve"> </w:t>
            </w:r>
            <w:r w:rsidRPr="00570FB0">
              <w:rPr>
                <w:rFonts w:ascii="Calibri" w:hAnsi="Calibri"/>
                <w:sz w:val="22"/>
                <w:szCs w:val="22"/>
              </w:rPr>
              <w:t>Coopers</w:t>
            </w:r>
            <w:r>
              <w:rPr>
                <w:rFonts w:ascii="Calibri" w:hAnsi="Calibri"/>
                <w:sz w:val="22"/>
                <w:szCs w:val="22"/>
              </w:rPr>
              <w:t xml:space="preserve"> (PwC)</w:t>
            </w:r>
          </w:p>
          <w:p w:rsidR="00400E42" w:rsidRPr="00570FB0" w:rsidRDefault="00400E42" w:rsidP="00A92FFC">
            <w:pPr>
              <w:pStyle w:val="ListParagraph"/>
              <w:numPr>
                <w:ilvl w:val="0"/>
                <w:numId w:val="14"/>
              </w:numPr>
              <w:rPr>
                <w:rFonts w:ascii="Calibri" w:hAnsi="Calibri"/>
                <w:szCs w:val="22"/>
              </w:rPr>
            </w:pPr>
            <w:r w:rsidRPr="00570FB0">
              <w:rPr>
                <w:rFonts w:ascii="Calibri" w:hAnsi="Calibri"/>
                <w:sz w:val="22"/>
                <w:szCs w:val="22"/>
              </w:rPr>
              <w:t>SAS Analytics</w:t>
            </w:r>
          </w:p>
        </w:tc>
      </w:tr>
      <w:tr w:rsidR="00400E42" w:rsidTr="00A92FFC">
        <w:trPr>
          <w:trHeight w:val="243"/>
          <w:jc w:val="center"/>
        </w:trPr>
        <w:tc>
          <w:tcPr>
            <w:tcW w:w="6539" w:type="dxa"/>
            <w:shd w:val="clear" w:color="auto" w:fill="A6A6A6"/>
          </w:tcPr>
          <w:p w:rsidR="00400E42" w:rsidRPr="007177E4" w:rsidRDefault="00400E42" w:rsidP="00A92FFC">
            <w:pPr>
              <w:rPr>
                <w:rFonts w:ascii="Calibri" w:hAnsi="Calibri"/>
                <w:szCs w:val="24"/>
              </w:rPr>
            </w:pPr>
            <w:r w:rsidRPr="007177E4">
              <w:rPr>
                <w:rFonts w:ascii="Calibri" w:hAnsi="Calibri"/>
                <w:szCs w:val="24"/>
              </w:rPr>
              <w:lastRenderedPageBreak/>
              <w:t>Government Agencies</w:t>
            </w:r>
          </w:p>
        </w:tc>
      </w:tr>
      <w:tr w:rsidR="00400E42" w:rsidTr="00A92FFC">
        <w:trPr>
          <w:trHeight w:val="254"/>
          <w:jc w:val="center"/>
        </w:trPr>
        <w:tc>
          <w:tcPr>
            <w:tcW w:w="6539" w:type="dxa"/>
            <w:tcBorders>
              <w:bottom w:val="nil"/>
            </w:tcBorders>
          </w:tcPr>
          <w:p w:rsidR="00400E42" w:rsidRPr="00570FB0" w:rsidRDefault="00400E42" w:rsidP="00A92FFC">
            <w:pPr>
              <w:pStyle w:val="ListParagraph"/>
              <w:numPr>
                <w:ilvl w:val="0"/>
                <w:numId w:val="12"/>
              </w:numPr>
              <w:rPr>
                <w:rFonts w:ascii="Calibri" w:hAnsi="Calibri"/>
                <w:szCs w:val="22"/>
              </w:rPr>
            </w:pPr>
            <w:r w:rsidRPr="00570FB0">
              <w:rPr>
                <w:rFonts w:ascii="Calibri" w:hAnsi="Calibri"/>
                <w:sz w:val="22"/>
                <w:szCs w:val="22"/>
              </w:rPr>
              <w:t>Executive Office of Health and Human Services</w:t>
            </w:r>
          </w:p>
        </w:tc>
      </w:tr>
      <w:tr w:rsidR="00400E42" w:rsidTr="00A92FFC">
        <w:trPr>
          <w:trHeight w:val="498"/>
          <w:jc w:val="center"/>
        </w:trPr>
        <w:tc>
          <w:tcPr>
            <w:tcW w:w="6539" w:type="dxa"/>
            <w:tcBorders>
              <w:top w:val="nil"/>
              <w:bottom w:val="nil"/>
            </w:tcBorders>
          </w:tcPr>
          <w:p w:rsidR="00400E42" w:rsidRPr="00570FB0" w:rsidRDefault="00400E42" w:rsidP="00A92FFC">
            <w:pPr>
              <w:pStyle w:val="ListParagraph"/>
              <w:numPr>
                <w:ilvl w:val="1"/>
                <w:numId w:val="12"/>
              </w:numPr>
              <w:rPr>
                <w:rFonts w:ascii="Calibri" w:hAnsi="Calibri"/>
                <w:szCs w:val="22"/>
              </w:rPr>
            </w:pPr>
            <w:r w:rsidRPr="00570FB0">
              <w:rPr>
                <w:rFonts w:ascii="Calibri" w:hAnsi="Calibri"/>
                <w:sz w:val="22"/>
                <w:szCs w:val="22"/>
              </w:rPr>
              <w:t>Executive Office of Health and Human Services, Information Technology Division</w:t>
            </w:r>
          </w:p>
        </w:tc>
      </w:tr>
      <w:tr w:rsidR="00400E42" w:rsidTr="00A92FFC">
        <w:trPr>
          <w:trHeight w:val="243"/>
          <w:jc w:val="center"/>
        </w:trPr>
        <w:tc>
          <w:tcPr>
            <w:tcW w:w="6539" w:type="dxa"/>
            <w:tcBorders>
              <w:top w:val="nil"/>
              <w:bottom w:val="nil"/>
            </w:tcBorders>
          </w:tcPr>
          <w:p w:rsidR="00400E42" w:rsidRPr="00025B23" w:rsidRDefault="00400E42" w:rsidP="00A92FFC">
            <w:pPr>
              <w:pStyle w:val="ListParagraph"/>
              <w:numPr>
                <w:ilvl w:val="1"/>
                <w:numId w:val="12"/>
              </w:numPr>
              <w:rPr>
                <w:rFonts w:ascii="Calibri" w:hAnsi="Calibri"/>
                <w:szCs w:val="22"/>
              </w:rPr>
            </w:pPr>
            <w:r w:rsidRPr="00025B23">
              <w:rPr>
                <w:rFonts w:ascii="Calibri" w:hAnsi="Calibri"/>
                <w:sz w:val="22"/>
                <w:szCs w:val="22"/>
              </w:rPr>
              <w:t>Center for Health Information and Analysis</w:t>
            </w:r>
          </w:p>
        </w:tc>
      </w:tr>
      <w:tr w:rsidR="00400E42" w:rsidTr="00A92FFC">
        <w:trPr>
          <w:trHeight w:val="254"/>
          <w:jc w:val="center"/>
        </w:trPr>
        <w:tc>
          <w:tcPr>
            <w:tcW w:w="6539" w:type="dxa"/>
            <w:tcBorders>
              <w:top w:val="nil"/>
              <w:bottom w:val="nil"/>
            </w:tcBorders>
          </w:tcPr>
          <w:p w:rsidR="00400E42" w:rsidRPr="00025B23" w:rsidRDefault="00400E42" w:rsidP="00A92FFC">
            <w:pPr>
              <w:pStyle w:val="ListParagraph"/>
              <w:numPr>
                <w:ilvl w:val="1"/>
                <w:numId w:val="12"/>
              </w:numPr>
              <w:rPr>
                <w:rFonts w:ascii="Calibri" w:hAnsi="Calibri"/>
                <w:szCs w:val="22"/>
              </w:rPr>
            </w:pPr>
            <w:r w:rsidRPr="00025B23">
              <w:rPr>
                <w:rFonts w:ascii="Calibri" w:hAnsi="Calibri"/>
                <w:sz w:val="22"/>
                <w:szCs w:val="22"/>
              </w:rPr>
              <w:t>MassHealth</w:t>
            </w:r>
          </w:p>
        </w:tc>
      </w:tr>
      <w:tr w:rsidR="00400E42" w:rsidTr="00A92FFC">
        <w:trPr>
          <w:trHeight w:val="509"/>
          <w:jc w:val="center"/>
        </w:trPr>
        <w:tc>
          <w:tcPr>
            <w:tcW w:w="6539" w:type="dxa"/>
            <w:tcBorders>
              <w:top w:val="nil"/>
              <w:bottom w:val="nil"/>
            </w:tcBorders>
          </w:tcPr>
          <w:p w:rsidR="00400E42" w:rsidRPr="00025B23" w:rsidRDefault="00400E42" w:rsidP="00A92FFC">
            <w:pPr>
              <w:pStyle w:val="ListParagraph"/>
              <w:numPr>
                <w:ilvl w:val="0"/>
                <w:numId w:val="12"/>
              </w:numPr>
              <w:rPr>
                <w:rFonts w:ascii="Calibri" w:hAnsi="Calibri"/>
                <w:szCs w:val="22"/>
              </w:rPr>
            </w:pPr>
            <w:r w:rsidRPr="00025B23">
              <w:rPr>
                <w:rFonts w:ascii="Calibri" w:hAnsi="Calibri"/>
                <w:sz w:val="22"/>
                <w:szCs w:val="22"/>
              </w:rPr>
              <w:t xml:space="preserve">Executive Office of Public Safety and Security </w:t>
            </w:r>
          </w:p>
          <w:p w:rsidR="00400E42" w:rsidRPr="00025B23" w:rsidRDefault="00400E42" w:rsidP="00A92FFC">
            <w:pPr>
              <w:pStyle w:val="ListParagraph"/>
              <w:numPr>
                <w:ilvl w:val="1"/>
                <w:numId w:val="12"/>
              </w:numPr>
              <w:rPr>
                <w:rFonts w:ascii="Calibri" w:hAnsi="Calibri"/>
                <w:szCs w:val="22"/>
              </w:rPr>
            </w:pPr>
            <w:r w:rsidRPr="00025B23">
              <w:rPr>
                <w:rFonts w:ascii="Calibri" w:hAnsi="Calibri"/>
                <w:sz w:val="22"/>
                <w:szCs w:val="22"/>
              </w:rPr>
              <w:t>Department of Correction</w:t>
            </w:r>
          </w:p>
        </w:tc>
      </w:tr>
      <w:tr w:rsidR="00400E42" w:rsidTr="00A92FFC">
        <w:trPr>
          <w:trHeight w:val="243"/>
          <w:jc w:val="center"/>
        </w:trPr>
        <w:tc>
          <w:tcPr>
            <w:tcW w:w="6539" w:type="dxa"/>
            <w:tcBorders>
              <w:top w:val="nil"/>
              <w:bottom w:val="nil"/>
            </w:tcBorders>
          </w:tcPr>
          <w:p w:rsidR="00400E42" w:rsidRPr="00025B23" w:rsidRDefault="00400E42" w:rsidP="00A92FFC">
            <w:pPr>
              <w:pStyle w:val="ListParagraph"/>
              <w:numPr>
                <w:ilvl w:val="1"/>
                <w:numId w:val="12"/>
              </w:numPr>
              <w:rPr>
                <w:rFonts w:ascii="Calibri" w:hAnsi="Calibri"/>
                <w:szCs w:val="22"/>
              </w:rPr>
            </w:pPr>
            <w:r w:rsidRPr="00025B23">
              <w:rPr>
                <w:rFonts w:ascii="Calibri" w:hAnsi="Calibri"/>
                <w:sz w:val="22"/>
                <w:szCs w:val="22"/>
              </w:rPr>
              <w:t>Office of the Chief Medical Examiner</w:t>
            </w:r>
          </w:p>
        </w:tc>
      </w:tr>
      <w:tr w:rsidR="00400E42" w:rsidTr="00A92FFC">
        <w:trPr>
          <w:trHeight w:val="243"/>
          <w:jc w:val="center"/>
        </w:trPr>
        <w:tc>
          <w:tcPr>
            <w:tcW w:w="6539" w:type="dxa"/>
            <w:tcBorders>
              <w:top w:val="nil"/>
              <w:bottom w:val="nil"/>
            </w:tcBorders>
          </w:tcPr>
          <w:p w:rsidR="00400E42" w:rsidRPr="00025B23" w:rsidRDefault="00400E42" w:rsidP="00A92FFC">
            <w:pPr>
              <w:pStyle w:val="ListParagraph"/>
              <w:numPr>
                <w:ilvl w:val="0"/>
                <w:numId w:val="12"/>
              </w:numPr>
              <w:rPr>
                <w:rFonts w:ascii="Calibri" w:hAnsi="Calibri"/>
                <w:szCs w:val="22"/>
              </w:rPr>
            </w:pPr>
            <w:r w:rsidRPr="00025B23">
              <w:rPr>
                <w:rFonts w:ascii="Calibri" w:hAnsi="Calibri"/>
                <w:sz w:val="22"/>
                <w:szCs w:val="22"/>
              </w:rPr>
              <w:t>Massachusetts Office of Information Technology</w:t>
            </w:r>
          </w:p>
          <w:p w:rsidR="00400E42" w:rsidRPr="00025B23" w:rsidRDefault="00400E42" w:rsidP="00A92FFC">
            <w:pPr>
              <w:pStyle w:val="ListParagraph"/>
              <w:numPr>
                <w:ilvl w:val="1"/>
                <w:numId w:val="12"/>
              </w:numPr>
              <w:rPr>
                <w:rFonts w:ascii="Calibri" w:hAnsi="Calibri"/>
                <w:szCs w:val="22"/>
              </w:rPr>
            </w:pPr>
            <w:r w:rsidRPr="00025B23">
              <w:rPr>
                <w:rFonts w:ascii="Calibri" w:hAnsi="Calibri"/>
                <w:sz w:val="22"/>
                <w:szCs w:val="22"/>
              </w:rPr>
              <w:t>Enterprise Data Management (“the Data Office”)</w:t>
            </w:r>
          </w:p>
          <w:p w:rsidR="00400E42" w:rsidRPr="00FA4574" w:rsidRDefault="00400E42" w:rsidP="00A92FFC">
            <w:pPr>
              <w:pStyle w:val="ListParagraph"/>
              <w:numPr>
                <w:ilvl w:val="1"/>
                <w:numId w:val="12"/>
              </w:numPr>
              <w:rPr>
                <w:rFonts w:ascii="Calibri" w:hAnsi="Calibri"/>
                <w:szCs w:val="22"/>
              </w:rPr>
            </w:pPr>
            <w:r w:rsidRPr="00025B23">
              <w:rPr>
                <w:rFonts w:ascii="Calibri" w:hAnsi="Calibri"/>
                <w:sz w:val="22"/>
                <w:szCs w:val="22"/>
              </w:rPr>
              <w:t xml:space="preserve">Infrastructure Planning Group </w:t>
            </w:r>
          </w:p>
          <w:p w:rsidR="00400E42" w:rsidRPr="00025B23" w:rsidRDefault="00400E42" w:rsidP="00A92FFC">
            <w:pPr>
              <w:pStyle w:val="ListParagraph"/>
              <w:numPr>
                <w:ilvl w:val="1"/>
                <w:numId w:val="12"/>
              </w:numPr>
              <w:rPr>
                <w:rFonts w:ascii="Calibri" w:hAnsi="Calibri"/>
                <w:szCs w:val="22"/>
              </w:rPr>
            </w:pPr>
            <w:r w:rsidRPr="00570FB0">
              <w:rPr>
                <w:rFonts w:ascii="Calibri" w:hAnsi="Calibri"/>
                <w:sz w:val="22"/>
                <w:szCs w:val="22"/>
              </w:rPr>
              <w:t>Office of the Chief Medical Examiner</w:t>
            </w:r>
          </w:p>
        </w:tc>
      </w:tr>
      <w:tr w:rsidR="00400E42" w:rsidTr="00A92FFC">
        <w:trPr>
          <w:trHeight w:val="254"/>
          <w:jc w:val="center"/>
        </w:trPr>
        <w:tc>
          <w:tcPr>
            <w:tcW w:w="6539" w:type="dxa"/>
            <w:shd w:val="clear" w:color="auto" w:fill="A6A6A6"/>
          </w:tcPr>
          <w:p w:rsidR="00400E42" w:rsidRPr="00FA4574" w:rsidRDefault="00400E42" w:rsidP="00A92FFC">
            <w:pPr>
              <w:rPr>
                <w:rFonts w:ascii="Calibri" w:hAnsi="Calibri"/>
                <w:szCs w:val="22"/>
              </w:rPr>
            </w:pPr>
            <w:r>
              <w:rPr>
                <w:rFonts w:ascii="Calibri" w:hAnsi="Calibri"/>
                <w:szCs w:val="22"/>
              </w:rPr>
              <w:t>Department of Public Health</w:t>
            </w:r>
          </w:p>
        </w:tc>
      </w:tr>
      <w:tr w:rsidR="00400E42" w:rsidTr="00A92FFC">
        <w:trPr>
          <w:trHeight w:val="254"/>
          <w:jc w:val="center"/>
        </w:trPr>
        <w:tc>
          <w:tcPr>
            <w:tcW w:w="6539" w:type="dxa"/>
            <w:tcBorders>
              <w:bottom w:val="nil"/>
            </w:tcBorders>
          </w:tcPr>
          <w:p w:rsidR="00400E42" w:rsidRPr="00570FB0" w:rsidRDefault="00400E42" w:rsidP="00A92FFC">
            <w:pPr>
              <w:pStyle w:val="ListParagraph"/>
              <w:numPr>
                <w:ilvl w:val="0"/>
                <w:numId w:val="15"/>
              </w:numPr>
              <w:rPr>
                <w:rFonts w:ascii="Calibri" w:hAnsi="Calibri"/>
                <w:szCs w:val="22"/>
              </w:rPr>
            </w:pPr>
            <w:r w:rsidRPr="00570FB0">
              <w:rPr>
                <w:rFonts w:ascii="Calibri" w:hAnsi="Calibri"/>
                <w:sz w:val="22"/>
                <w:szCs w:val="22"/>
              </w:rPr>
              <w:t>Commissioner’s Office</w:t>
            </w:r>
          </w:p>
        </w:tc>
      </w:tr>
      <w:tr w:rsidR="00400E42" w:rsidTr="00A92FFC">
        <w:trPr>
          <w:trHeight w:val="254"/>
          <w:jc w:val="center"/>
        </w:trPr>
        <w:tc>
          <w:tcPr>
            <w:tcW w:w="6539" w:type="dxa"/>
            <w:tcBorders>
              <w:top w:val="nil"/>
              <w:bottom w:val="nil"/>
            </w:tcBorders>
          </w:tcPr>
          <w:p w:rsidR="00400E42" w:rsidRPr="00570FB0" w:rsidRDefault="00400E42" w:rsidP="00A92FFC">
            <w:pPr>
              <w:pStyle w:val="ListParagraph"/>
              <w:numPr>
                <w:ilvl w:val="0"/>
                <w:numId w:val="15"/>
              </w:numPr>
              <w:rPr>
                <w:rFonts w:ascii="Calibri" w:hAnsi="Calibri"/>
                <w:szCs w:val="22"/>
              </w:rPr>
            </w:pPr>
            <w:r w:rsidRPr="00570FB0">
              <w:rPr>
                <w:rFonts w:ascii="Calibri" w:hAnsi="Calibri"/>
                <w:sz w:val="22"/>
                <w:szCs w:val="22"/>
              </w:rPr>
              <w:t>Bureau of Community Health and Prevention</w:t>
            </w:r>
          </w:p>
        </w:tc>
      </w:tr>
      <w:tr w:rsidR="00400E42" w:rsidTr="00A92FFC">
        <w:trPr>
          <w:trHeight w:val="509"/>
          <w:jc w:val="center"/>
        </w:trPr>
        <w:tc>
          <w:tcPr>
            <w:tcW w:w="6539" w:type="dxa"/>
            <w:tcBorders>
              <w:top w:val="nil"/>
              <w:bottom w:val="nil"/>
            </w:tcBorders>
          </w:tcPr>
          <w:p w:rsidR="00400E42" w:rsidRPr="00570FB0" w:rsidRDefault="00400E42" w:rsidP="00A92FFC">
            <w:pPr>
              <w:pStyle w:val="ListParagraph"/>
              <w:numPr>
                <w:ilvl w:val="0"/>
                <w:numId w:val="15"/>
              </w:numPr>
              <w:rPr>
                <w:rFonts w:ascii="Calibri" w:hAnsi="Calibri"/>
                <w:szCs w:val="22"/>
              </w:rPr>
            </w:pPr>
            <w:r w:rsidRPr="00570FB0">
              <w:rPr>
                <w:rFonts w:ascii="Calibri" w:hAnsi="Calibri"/>
                <w:sz w:val="22"/>
                <w:szCs w:val="22"/>
              </w:rPr>
              <w:t xml:space="preserve">Bureau of Health Care Safety and Quality </w:t>
            </w:r>
          </w:p>
          <w:p w:rsidR="00400E42" w:rsidRPr="00570FB0" w:rsidRDefault="00400E42" w:rsidP="00A92FFC">
            <w:pPr>
              <w:pStyle w:val="ListParagraph"/>
              <w:numPr>
                <w:ilvl w:val="1"/>
                <w:numId w:val="15"/>
              </w:numPr>
              <w:rPr>
                <w:rFonts w:ascii="Calibri" w:hAnsi="Calibri"/>
                <w:szCs w:val="22"/>
              </w:rPr>
            </w:pPr>
            <w:r w:rsidRPr="00570FB0">
              <w:rPr>
                <w:rFonts w:ascii="Calibri" w:hAnsi="Calibri"/>
                <w:sz w:val="22"/>
                <w:szCs w:val="22"/>
              </w:rPr>
              <w:t>Office of Prescription Monitoring and Drug Control</w:t>
            </w:r>
          </w:p>
          <w:p w:rsidR="00400E42" w:rsidRPr="00570FB0" w:rsidRDefault="00400E42" w:rsidP="00A92FFC">
            <w:pPr>
              <w:pStyle w:val="ListParagraph"/>
              <w:numPr>
                <w:ilvl w:val="1"/>
                <w:numId w:val="15"/>
              </w:numPr>
              <w:rPr>
                <w:rFonts w:ascii="Calibri" w:hAnsi="Calibri"/>
                <w:szCs w:val="22"/>
              </w:rPr>
            </w:pPr>
            <w:r w:rsidRPr="00570FB0">
              <w:rPr>
                <w:rFonts w:ascii="Calibri" w:hAnsi="Calibri"/>
                <w:sz w:val="22"/>
                <w:szCs w:val="22"/>
              </w:rPr>
              <w:t>Emergency Medical Services</w:t>
            </w:r>
          </w:p>
          <w:p w:rsidR="00400E42" w:rsidRPr="00570FB0" w:rsidRDefault="00400E42" w:rsidP="00A92FFC">
            <w:pPr>
              <w:pStyle w:val="ListParagraph"/>
              <w:numPr>
                <w:ilvl w:val="0"/>
                <w:numId w:val="15"/>
              </w:numPr>
              <w:rPr>
                <w:rFonts w:ascii="Calibri" w:hAnsi="Calibri"/>
                <w:szCs w:val="22"/>
              </w:rPr>
            </w:pPr>
            <w:r w:rsidRPr="00570FB0">
              <w:rPr>
                <w:rFonts w:ascii="Calibri" w:hAnsi="Calibri"/>
                <w:sz w:val="22"/>
                <w:szCs w:val="22"/>
              </w:rPr>
              <w:t xml:space="preserve">Bureau of Family and Community Health </w:t>
            </w:r>
          </w:p>
        </w:tc>
      </w:tr>
      <w:tr w:rsidR="00400E42" w:rsidTr="00A92FFC">
        <w:trPr>
          <w:trHeight w:val="254"/>
          <w:jc w:val="center"/>
        </w:trPr>
        <w:tc>
          <w:tcPr>
            <w:tcW w:w="6539" w:type="dxa"/>
            <w:tcBorders>
              <w:top w:val="nil"/>
              <w:bottom w:val="nil"/>
            </w:tcBorders>
          </w:tcPr>
          <w:p w:rsidR="00400E42" w:rsidRPr="00880CB9" w:rsidRDefault="00400E42" w:rsidP="00A92FFC">
            <w:pPr>
              <w:pStyle w:val="ListParagraph"/>
              <w:numPr>
                <w:ilvl w:val="0"/>
                <w:numId w:val="15"/>
              </w:numPr>
              <w:rPr>
                <w:rFonts w:ascii="Calibri" w:hAnsi="Calibri"/>
                <w:szCs w:val="22"/>
              </w:rPr>
            </w:pPr>
            <w:r w:rsidRPr="00570FB0">
              <w:rPr>
                <w:rFonts w:ascii="Calibri" w:hAnsi="Calibri"/>
                <w:sz w:val="22"/>
                <w:szCs w:val="22"/>
              </w:rPr>
              <w:t>Bureau of Substance Abuse Services</w:t>
            </w:r>
          </w:p>
          <w:p w:rsidR="00400E42" w:rsidRPr="00570FB0" w:rsidRDefault="00400E42" w:rsidP="00A92FFC">
            <w:pPr>
              <w:pStyle w:val="ListParagraph"/>
              <w:numPr>
                <w:ilvl w:val="0"/>
                <w:numId w:val="15"/>
              </w:numPr>
              <w:rPr>
                <w:rFonts w:ascii="Calibri" w:hAnsi="Calibri"/>
                <w:szCs w:val="22"/>
              </w:rPr>
            </w:pPr>
            <w:r>
              <w:rPr>
                <w:rFonts w:ascii="Calibri" w:hAnsi="Calibri"/>
                <w:sz w:val="22"/>
                <w:szCs w:val="22"/>
              </w:rPr>
              <w:t>Office of the Chief Legal Counsel</w:t>
            </w:r>
          </w:p>
          <w:p w:rsidR="00400E42" w:rsidRPr="00570FB0" w:rsidRDefault="00400E42" w:rsidP="00A92FFC">
            <w:pPr>
              <w:pStyle w:val="ListParagraph"/>
              <w:numPr>
                <w:ilvl w:val="0"/>
                <w:numId w:val="15"/>
              </w:numPr>
              <w:rPr>
                <w:rFonts w:ascii="Calibri" w:hAnsi="Calibri"/>
                <w:szCs w:val="22"/>
              </w:rPr>
            </w:pPr>
            <w:r w:rsidRPr="00570FB0">
              <w:rPr>
                <w:rFonts w:ascii="Calibri" w:hAnsi="Calibri"/>
                <w:sz w:val="22"/>
                <w:szCs w:val="22"/>
              </w:rPr>
              <w:t>Office of Office of Data Management and Outcomes Assessment</w:t>
            </w:r>
          </w:p>
        </w:tc>
      </w:tr>
      <w:tr w:rsidR="00400E42" w:rsidTr="00A92FFC">
        <w:trPr>
          <w:trHeight w:val="254"/>
          <w:jc w:val="center"/>
        </w:trPr>
        <w:tc>
          <w:tcPr>
            <w:tcW w:w="6539" w:type="dxa"/>
            <w:tcBorders>
              <w:top w:val="nil"/>
            </w:tcBorders>
          </w:tcPr>
          <w:p w:rsidR="00400E42" w:rsidRPr="00570FB0" w:rsidRDefault="00400E42" w:rsidP="00A92FFC">
            <w:pPr>
              <w:rPr>
                <w:rFonts w:ascii="Calibri" w:hAnsi="Calibri"/>
                <w:szCs w:val="22"/>
              </w:rPr>
            </w:pPr>
          </w:p>
        </w:tc>
      </w:tr>
    </w:tbl>
    <w:p w:rsidR="00400E42" w:rsidRDefault="00400E42" w:rsidP="00400E42">
      <w:pPr>
        <w:jc w:val="center"/>
        <w:rPr>
          <w:rFonts w:ascii="Calibri" w:hAnsi="Calibri"/>
          <w:b/>
          <w:sz w:val="28"/>
          <w:szCs w:val="22"/>
        </w:rPr>
      </w:pPr>
    </w:p>
    <w:p w:rsidR="000C6FF2" w:rsidRDefault="000C6FF2" w:rsidP="002D6E20">
      <w:pPr>
        <w:pStyle w:val="PBody"/>
      </w:pPr>
    </w:p>
    <w:sectPr w:rsidR="000C6FF2" w:rsidSect="00073F58">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3B9" w:rsidRDefault="002573B9" w:rsidP="00743297">
      <w:r>
        <w:separator/>
      </w:r>
    </w:p>
    <w:p w:rsidR="002573B9" w:rsidRDefault="002573B9"/>
    <w:p w:rsidR="002573B9" w:rsidRDefault="002573B9" w:rsidP="008B1A0A"/>
  </w:endnote>
  <w:endnote w:type="continuationSeparator" w:id="0">
    <w:p w:rsidR="002573B9" w:rsidRDefault="002573B9" w:rsidP="00743297">
      <w:r>
        <w:continuationSeparator/>
      </w:r>
    </w:p>
    <w:p w:rsidR="002573B9" w:rsidRDefault="002573B9"/>
    <w:p w:rsidR="002573B9" w:rsidRDefault="002573B9" w:rsidP="008B1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LinePrinter">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AdvTTc7ad1622">
    <w:panose1 w:val="00000000000000000000"/>
    <w:charset w:val="00"/>
    <w:family w:val="roman"/>
    <w:notTrueType/>
    <w:pitch w:val="default"/>
    <w:sig w:usb0="00000003" w:usb1="00000000" w:usb2="00000000" w:usb3="00000000" w:csb0="00000001" w:csb1="00000000"/>
  </w:font>
  <w:font w:name="AdvTT17891b3d.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Garamond-Regular">
    <w:panose1 w:val="00000000000000000000"/>
    <w:charset w:val="00"/>
    <w:family w:val="roman"/>
    <w:notTrueType/>
    <w:pitch w:val="default"/>
    <w:sig w:usb0="00000003" w:usb1="00000000" w:usb2="00000000" w:usb3="00000000" w:csb0="00000001" w:csb1="00000000"/>
  </w:font>
  <w:font w:name="AGaramon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Default="002666A8" w:rsidP="00C85E2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66A8" w:rsidRDefault="002666A8" w:rsidP="00C85E2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Default="002666A8" w:rsidP="00C85E2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Default="002666A8" w:rsidP="00C85E29">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Pr="001F64F0" w:rsidRDefault="002666A8" w:rsidP="001F64F0">
    <w:pPr>
      <w:pStyle w:val="Footer"/>
      <w:framePr w:wrap="none" w:vAnchor="text" w:hAnchor="margin" w:xAlign="right" w:y="1"/>
      <w:jc w:val="both"/>
      <w:rPr>
        <w:rStyle w:val="PageNumber"/>
        <w:rFonts w:asciiTheme="minorHAnsi" w:hAnsiTheme="minorHAnsi"/>
        <w:i/>
        <w:sz w:val="22"/>
        <w:szCs w:val="22"/>
      </w:rPr>
    </w:pPr>
    <w:r w:rsidRPr="001F64F0">
      <w:rPr>
        <w:rStyle w:val="PageNumber"/>
        <w:rFonts w:asciiTheme="minorHAnsi" w:hAnsiTheme="minorHAnsi"/>
        <w:i/>
        <w:sz w:val="22"/>
        <w:szCs w:val="22"/>
      </w:rPr>
      <w:fldChar w:fldCharType="begin"/>
    </w:r>
    <w:r w:rsidRPr="001F64F0">
      <w:rPr>
        <w:rStyle w:val="PageNumber"/>
        <w:rFonts w:asciiTheme="minorHAnsi" w:hAnsiTheme="minorHAnsi"/>
        <w:i/>
        <w:sz w:val="22"/>
        <w:szCs w:val="22"/>
      </w:rPr>
      <w:instrText xml:space="preserve">PAGE  </w:instrText>
    </w:r>
    <w:r w:rsidRPr="001F64F0">
      <w:rPr>
        <w:rStyle w:val="PageNumber"/>
        <w:rFonts w:asciiTheme="minorHAnsi" w:hAnsiTheme="minorHAnsi"/>
        <w:i/>
        <w:sz w:val="22"/>
        <w:szCs w:val="22"/>
      </w:rPr>
      <w:fldChar w:fldCharType="separate"/>
    </w:r>
    <w:r w:rsidR="00337CB7">
      <w:rPr>
        <w:rStyle w:val="PageNumber"/>
        <w:rFonts w:asciiTheme="minorHAnsi" w:hAnsiTheme="minorHAnsi"/>
        <w:i/>
        <w:noProof/>
        <w:sz w:val="22"/>
        <w:szCs w:val="22"/>
      </w:rPr>
      <w:t>83</w:t>
    </w:r>
    <w:r w:rsidRPr="001F64F0">
      <w:rPr>
        <w:rStyle w:val="PageNumber"/>
        <w:rFonts w:asciiTheme="minorHAnsi" w:hAnsiTheme="minorHAnsi"/>
        <w:i/>
        <w:sz w:val="22"/>
        <w:szCs w:val="22"/>
      </w:rPr>
      <w:fldChar w:fldCharType="end"/>
    </w:r>
  </w:p>
  <w:p w:rsidR="002666A8" w:rsidRDefault="002666A8" w:rsidP="00C85E29">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Pr="001F64F0" w:rsidRDefault="002666A8" w:rsidP="001F64F0">
    <w:pPr>
      <w:pStyle w:val="Footer"/>
      <w:framePr w:wrap="none" w:vAnchor="text" w:hAnchor="margin" w:xAlign="right" w:y="1"/>
      <w:jc w:val="right"/>
      <w:rPr>
        <w:rStyle w:val="PageNumber"/>
        <w:rFonts w:ascii="Calibri" w:hAnsi="Calibri"/>
        <w:i/>
        <w:sz w:val="22"/>
        <w:szCs w:val="22"/>
      </w:rPr>
    </w:pPr>
    <w:r w:rsidRPr="001F64F0">
      <w:rPr>
        <w:rStyle w:val="PageNumber"/>
        <w:rFonts w:ascii="Calibri" w:hAnsi="Calibri"/>
        <w:i/>
        <w:sz w:val="22"/>
        <w:szCs w:val="22"/>
      </w:rPr>
      <w:fldChar w:fldCharType="begin"/>
    </w:r>
    <w:r w:rsidRPr="001F64F0">
      <w:rPr>
        <w:rStyle w:val="PageNumber"/>
        <w:rFonts w:ascii="Calibri" w:hAnsi="Calibri"/>
        <w:i/>
        <w:sz w:val="22"/>
        <w:szCs w:val="22"/>
      </w:rPr>
      <w:instrText xml:space="preserve">PAGE  </w:instrText>
    </w:r>
    <w:r w:rsidRPr="001F64F0">
      <w:rPr>
        <w:rStyle w:val="PageNumber"/>
        <w:rFonts w:ascii="Calibri" w:hAnsi="Calibri"/>
        <w:i/>
        <w:sz w:val="22"/>
        <w:szCs w:val="22"/>
      </w:rPr>
      <w:fldChar w:fldCharType="separate"/>
    </w:r>
    <w:r w:rsidR="00337CB7">
      <w:rPr>
        <w:rStyle w:val="PageNumber"/>
        <w:rFonts w:ascii="Calibri" w:hAnsi="Calibri"/>
        <w:i/>
        <w:noProof/>
        <w:sz w:val="22"/>
        <w:szCs w:val="22"/>
      </w:rPr>
      <w:t>84</w:t>
    </w:r>
    <w:r w:rsidRPr="001F64F0">
      <w:rPr>
        <w:rStyle w:val="PageNumber"/>
        <w:rFonts w:ascii="Calibri" w:hAnsi="Calibri"/>
        <w:i/>
        <w:sz w:val="22"/>
        <w:szCs w:val="22"/>
      </w:rPr>
      <w:fldChar w:fldCharType="end"/>
    </w:r>
  </w:p>
  <w:p w:rsidR="002666A8" w:rsidRDefault="002666A8" w:rsidP="00C85E29">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Default="002666A8" w:rsidP="00C85E2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66A8" w:rsidRDefault="002666A8" w:rsidP="00C85E29">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Pr="00C85E29" w:rsidRDefault="002666A8" w:rsidP="00C85E29">
    <w:pPr>
      <w:pStyle w:val="Footer"/>
      <w:framePr w:wrap="none" w:vAnchor="text" w:hAnchor="margin" w:xAlign="right" w:y="1"/>
      <w:rPr>
        <w:rStyle w:val="PageNumber"/>
        <w:rFonts w:ascii="Calibri" w:hAnsi="Calibri"/>
        <w:i/>
        <w:sz w:val="22"/>
        <w:szCs w:val="22"/>
      </w:rPr>
    </w:pPr>
    <w:r w:rsidRPr="00C85E29">
      <w:rPr>
        <w:rStyle w:val="PageNumber"/>
        <w:rFonts w:ascii="Calibri" w:hAnsi="Calibri"/>
        <w:i/>
        <w:sz w:val="22"/>
        <w:szCs w:val="22"/>
      </w:rPr>
      <w:fldChar w:fldCharType="begin"/>
    </w:r>
    <w:r w:rsidRPr="00C85E29">
      <w:rPr>
        <w:rStyle w:val="PageNumber"/>
        <w:rFonts w:ascii="Calibri" w:hAnsi="Calibri"/>
        <w:i/>
        <w:sz w:val="22"/>
        <w:szCs w:val="22"/>
      </w:rPr>
      <w:instrText xml:space="preserve">PAGE  </w:instrText>
    </w:r>
    <w:r w:rsidRPr="00C85E29">
      <w:rPr>
        <w:rStyle w:val="PageNumber"/>
        <w:rFonts w:ascii="Calibri" w:hAnsi="Calibri"/>
        <w:i/>
        <w:sz w:val="22"/>
        <w:szCs w:val="22"/>
      </w:rPr>
      <w:fldChar w:fldCharType="separate"/>
    </w:r>
    <w:r w:rsidR="00337CB7">
      <w:rPr>
        <w:rStyle w:val="PageNumber"/>
        <w:rFonts w:ascii="Calibri" w:hAnsi="Calibri"/>
        <w:i/>
        <w:noProof/>
        <w:sz w:val="22"/>
        <w:szCs w:val="22"/>
      </w:rPr>
      <w:t>97</w:t>
    </w:r>
    <w:r w:rsidRPr="00C85E29">
      <w:rPr>
        <w:rStyle w:val="PageNumber"/>
        <w:rFonts w:ascii="Calibri" w:hAnsi="Calibri"/>
        <w:i/>
        <w:sz w:val="22"/>
        <w:szCs w:val="22"/>
      </w:rPr>
      <w:fldChar w:fldCharType="end"/>
    </w:r>
  </w:p>
  <w:p w:rsidR="002666A8" w:rsidRDefault="002666A8" w:rsidP="00C85E29">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Pr="00C85E29" w:rsidRDefault="002666A8" w:rsidP="00C85E29">
    <w:pPr>
      <w:pStyle w:val="Footer"/>
      <w:framePr w:wrap="none" w:vAnchor="text" w:hAnchor="margin" w:xAlign="right" w:y="1"/>
      <w:rPr>
        <w:rStyle w:val="PageNumber"/>
        <w:rFonts w:ascii="Calibri" w:hAnsi="Calibri"/>
        <w:i/>
        <w:sz w:val="22"/>
        <w:szCs w:val="22"/>
      </w:rPr>
    </w:pPr>
    <w:r w:rsidRPr="00C85E29">
      <w:rPr>
        <w:rStyle w:val="PageNumber"/>
        <w:rFonts w:ascii="Calibri" w:hAnsi="Calibri"/>
        <w:i/>
        <w:sz w:val="22"/>
        <w:szCs w:val="22"/>
      </w:rPr>
      <w:fldChar w:fldCharType="begin"/>
    </w:r>
    <w:r w:rsidRPr="00C85E29">
      <w:rPr>
        <w:rStyle w:val="PageNumber"/>
        <w:rFonts w:ascii="Calibri" w:hAnsi="Calibri"/>
        <w:i/>
        <w:sz w:val="22"/>
        <w:szCs w:val="22"/>
      </w:rPr>
      <w:instrText xml:space="preserve">PAGE  </w:instrText>
    </w:r>
    <w:r w:rsidRPr="00C85E29">
      <w:rPr>
        <w:rStyle w:val="PageNumber"/>
        <w:rFonts w:ascii="Calibri" w:hAnsi="Calibri"/>
        <w:i/>
        <w:sz w:val="22"/>
        <w:szCs w:val="22"/>
      </w:rPr>
      <w:fldChar w:fldCharType="separate"/>
    </w:r>
    <w:r w:rsidR="00337CB7">
      <w:rPr>
        <w:rStyle w:val="PageNumber"/>
        <w:rFonts w:ascii="Calibri" w:hAnsi="Calibri"/>
        <w:i/>
        <w:noProof/>
        <w:sz w:val="22"/>
        <w:szCs w:val="22"/>
      </w:rPr>
      <w:t>85</w:t>
    </w:r>
    <w:r w:rsidRPr="00C85E29">
      <w:rPr>
        <w:rStyle w:val="PageNumber"/>
        <w:rFonts w:ascii="Calibri" w:hAnsi="Calibri"/>
        <w:i/>
        <w:sz w:val="22"/>
        <w:szCs w:val="22"/>
      </w:rPr>
      <w:fldChar w:fldCharType="end"/>
    </w:r>
  </w:p>
  <w:p w:rsidR="002666A8" w:rsidRDefault="002666A8" w:rsidP="00C85E2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3B9" w:rsidRDefault="002573B9" w:rsidP="00743297">
      <w:r>
        <w:separator/>
      </w:r>
    </w:p>
    <w:p w:rsidR="002573B9" w:rsidRDefault="002573B9"/>
    <w:p w:rsidR="002573B9" w:rsidRDefault="002573B9" w:rsidP="008B1A0A"/>
  </w:footnote>
  <w:footnote w:type="continuationSeparator" w:id="0">
    <w:p w:rsidR="002573B9" w:rsidRDefault="002573B9" w:rsidP="00743297">
      <w:r>
        <w:continuationSeparator/>
      </w:r>
    </w:p>
    <w:p w:rsidR="002573B9" w:rsidRDefault="002573B9"/>
    <w:p w:rsidR="002573B9" w:rsidRDefault="002573B9" w:rsidP="008B1A0A"/>
  </w:footnote>
  <w:footnote w:id="1">
    <w:p w:rsidR="002666A8" w:rsidRDefault="002666A8" w:rsidP="00BC57E7">
      <w:pPr>
        <w:pStyle w:val="FootnoteText"/>
      </w:pPr>
      <w:r w:rsidRPr="005044BE">
        <w:rPr>
          <w:rStyle w:val="FootnoteReference"/>
          <w:sz w:val="18"/>
        </w:rPr>
        <w:footnoteRef/>
      </w:r>
      <w:r w:rsidRPr="005044BE">
        <w:rPr>
          <w:rFonts w:ascii="Calibri" w:hAnsi="Calibri"/>
          <w:sz w:val="18"/>
        </w:rPr>
        <w:t xml:space="preserve"> </w:t>
      </w:r>
      <w:r>
        <w:rPr>
          <w:rFonts w:ascii="Calibri" w:hAnsi="Calibri"/>
          <w:color w:val="000000"/>
          <w:sz w:val="18"/>
          <w:szCs w:val="18"/>
        </w:rPr>
        <w:t xml:space="preserve">Accessed at </w:t>
      </w:r>
      <w:hyperlink r:id="rId1" w:history="1">
        <w:r w:rsidRPr="00C74CEB">
          <w:rPr>
            <w:rStyle w:val="Hyperlink"/>
            <w:rFonts w:ascii="Calibri" w:hAnsi="Calibri"/>
            <w:sz w:val="18"/>
          </w:rPr>
          <w:t>http://www.mass.gov/eohhs/docs/dph/quality/drugcontrol/county-level-pmp/data-brief-overdose-deaths-may-2016.pdf</w:t>
        </w:r>
      </w:hyperlink>
      <w:r>
        <w:rPr>
          <w:rFonts w:ascii="Calibri" w:hAnsi="Calibri"/>
          <w:sz w:val="18"/>
        </w:rPr>
        <w:t xml:space="preserve"> </w:t>
      </w:r>
    </w:p>
  </w:footnote>
  <w:footnote w:id="2">
    <w:p w:rsidR="002666A8" w:rsidRDefault="002666A8" w:rsidP="00BC57E7">
      <w:pPr>
        <w:pStyle w:val="FootnoteText"/>
      </w:pPr>
      <w:r w:rsidRPr="005044BE">
        <w:rPr>
          <w:rStyle w:val="FootnoteReference"/>
          <w:sz w:val="18"/>
          <w:szCs w:val="18"/>
        </w:rPr>
        <w:footnoteRef/>
      </w:r>
      <w:r w:rsidRPr="005044BE">
        <w:rPr>
          <w:rFonts w:ascii="Calibri" w:hAnsi="Calibri"/>
          <w:sz w:val="18"/>
          <w:szCs w:val="18"/>
        </w:rPr>
        <w:t xml:space="preserve"> Centers for Disease Control and Prevention, National Center for Health Statistics</w:t>
      </w:r>
      <w:r>
        <w:rPr>
          <w:rFonts w:ascii="Calibri" w:hAnsi="Calibri"/>
          <w:sz w:val="18"/>
          <w:szCs w:val="18"/>
        </w:rPr>
        <w:t>.  M</w:t>
      </w:r>
      <w:r w:rsidRPr="005044BE">
        <w:rPr>
          <w:rFonts w:ascii="Calibri" w:hAnsi="Calibri"/>
          <w:sz w:val="18"/>
          <w:szCs w:val="18"/>
        </w:rPr>
        <w:t>ultiple Cause of Death 1999-2014 on CDC WONDER Online Database, released 2015</w:t>
      </w:r>
      <w:r>
        <w:rPr>
          <w:rFonts w:ascii="Calibri" w:hAnsi="Calibri"/>
          <w:sz w:val="18"/>
          <w:szCs w:val="18"/>
        </w:rPr>
        <w:t>.  D</w:t>
      </w:r>
      <w:r w:rsidRPr="005044BE">
        <w:rPr>
          <w:rFonts w:ascii="Calibri" w:hAnsi="Calibri"/>
          <w:sz w:val="18"/>
          <w:szCs w:val="18"/>
        </w:rPr>
        <w:t>ata are from the Multiple Cause of Death Files, 1999-2014, as compiled from data provided by the 57 vital statistics jurisdictions through the Vital Statistics Cooperative Program</w:t>
      </w:r>
      <w:r>
        <w:rPr>
          <w:rFonts w:ascii="Calibri" w:hAnsi="Calibri"/>
          <w:sz w:val="18"/>
          <w:szCs w:val="18"/>
        </w:rPr>
        <w:t>.  A</w:t>
      </w:r>
      <w:r w:rsidRPr="005044BE">
        <w:rPr>
          <w:rFonts w:ascii="Calibri" w:hAnsi="Calibri"/>
          <w:sz w:val="18"/>
          <w:szCs w:val="18"/>
        </w:rPr>
        <w:t xml:space="preserve">ccessed at </w:t>
      </w:r>
      <w:hyperlink r:id="rId2" w:history="1">
        <w:r w:rsidRPr="00C74CEB">
          <w:rPr>
            <w:rStyle w:val="Hyperlink"/>
            <w:rFonts w:ascii="Calibri" w:hAnsi="Calibri"/>
            <w:sz w:val="18"/>
            <w:szCs w:val="18"/>
          </w:rPr>
          <w:t>http://wonder.cdc.gov/mcd-icd10.html</w:t>
        </w:r>
      </w:hyperlink>
      <w:r>
        <w:rPr>
          <w:rFonts w:ascii="Calibri" w:hAnsi="Calibri"/>
          <w:sz w:val="18"/>
          <w:szCs w:val="18"/>
        </w:rPr>
        <w:t xml:space="preserve"> </w:t>
      </w:r>
      <w:r w:rsidRPr="005044BE">
        <w:rPr>
          <w:rFonts w:ascii="Calibri" w:hAnsi="Calibri"/>
          <w:sz w:val="18"/>
          <w:szCs w:val="18"/>
        </w:rPr>
        <w:t>.</w:t>
      </w:r>
    </w:p>
  </w:footnote>
  <w:footnote w:id="3">
    <w:p w:rsidR="002666A8" w:rsidRPr="00447F84" w:rsidRDefault="002666A8">
      <w:pPr>
        <w:pStyle w:val="FootnoteText"/>
        <w:rPr>
          <w:rFonts w:asciiTheme="minorHAnsi" w:hAnsiTheme="minorHAnsi"/>
          <w:sz w:val="18"/>
          <w:szCs w:val="18"/>
        </w:rPr>
      </w:pPr>
      <w:r w:rsidRPr="00447F84">
        <w:rPr>
          <w:rStyle w:val="FootnoteReference"/>
          <w:rFonts w:asciiTheme="minorHAnsi" w:hAnsiTheme="minorHAnsi"/>
          <w:sz w:val="18"/>
          <w:szCs w:val="18"/>
        </w:rPr>
        <w:footnoteRef/>
      </w:r>
      <w:r w:rsidRPr="00447F84">
        <w:rPr>
          <w:rFonts w:asciiTheme="minorHAnsi" w:hAnsiTheme="minorHAnsi"/>
          <w:sz w:val="18"/>
          <w:szCs w:val="18"/>
        </w:rPr>
        <w:t xml:space="preserve"> Naltrexone, also known as Vivitrol, is a Schedule VI drug</w:t>
      </w:r>
      <w:r>
        <w:rPr>
          <w:rFonts w:asciiTheme="minorHAnsi" w:hAnsiTheme="minorHAnsi"/>
          <w:sz w:val="18"/>
          <w:szCs w:val="18"/>
        </w:rPr>
        <w:t>. As such, it</w:t>
      </w:r>
      <w:r w:rsidRPr="00447F84">
        <w:rPr>
          <w:rFonts w:asciiTheme="minorHAnsi" w:hAnsiTheme="minorHAnsi"/>
          <w:sz w:val="18"/>
          <w:szCs w:val="18"/>
        </w:rPr>
        <w:t xml:space="preserve"> is not captured in the PDMP. In future work, </w:t>
      </w:r>
      <w:r>
        <w:rPr>
          <w:rFonts w:asciiTheme="minorHAnsi" w:hAnsiTheme="minorHAnsi"/>
          <w:sz w:val="18"/>
          <w:szCs w:val="18"/>
        </w:rPr>
        <w:t>All Payer Claims Database (</w:t>
      </w:r>
      <w:r w:rsidRPr="00447F84">
        <w:rPr>
          <w:rFonts w:asciiTheme="minorHAnsi" w:hAnsiTheme="minorHAnsi"/>
          <w:sz w:val="18"/>
          <w:szCs w:val="18"/>
        </w:rPr>
        <w:t>APCD</w:t>
      </w:r>
      <w:r>
        <w:rPr>
          <w:rFonts w:asciiTheme="minorHAnsi" w:hAnsiTheme="minorHAnsi"/>
          <w:sz w:val="18"/>
          <w:szCs w:val="18"/>
        </w:rPr>
        <w:t>)</w:t>
      </w:r>
      <w:r w:rsidRPr="00447F84">
        <w:rPr>
          <w:rFonts w:asciiTheme="minorHAnsi" w:hAnsiTheme="minorHAnsi"/>
          <w:sz w:val="18"/>
          <w:szCs w:val="18"/>
        </w:rPr>
        <w:t xml:space="preserve"> data will be used to assess the potential risk reduction associated with Vivitrol use.</w:t>
      </w:r>
    </w:p>
  </w:footnote>
  <w:footnote w:id="4">
    <w:p w:rsidR="002666A8" w:rsidRDefault="002666A8" w:rsidP="00400E42">
      <w:pPr>
        <w:pStyle w:val="FootnoteText"/>
      </w:pPr>
      <w:r w:rsidRPr="00FC0FBD">
        <w:rPr>
          <w:rFonts w:ascii="Calibri" w:hAnsi="Calibri"/>
          <w:color w:val="000000"/>
          <w:sz w:val="18"/>
          <w:szCs w:val="18"/>
        </w:rPr>
        <w:t xml:space="preserve"> </w:t>
      </w:r>
      <w:r w:rsidRPr="00FC0FBD">
        <w:rPr>
          <w:rFonts w:ascii="Calibri" w:hAnsi="Calibri"/>
          <w:sz w:val="18"/>
          <w:szCs w:val="18"/>
        </w:rPr>
        <w:t>Center for Behavioral Health Statistics and Quality. (2015)</w:t>
      </w:r>
      <w:r>
        <w:rPr>
          <w:rFonts w:ascii="Calibri" w:hAnsi="Calibri"/>
          <w:sz w:val="18"/>
          <w:szCs w:val="18"/>
        </w:rPr>
        <w:t>.  B</w:t>
      </w:r>
      <w:r w:rsidRPr="00FC0FBD">
        <w:rPr>
          <w:rFonts w:ascii="Calibri" w:hAnsi="Calibri"/>
          <w:sz w:val="18"/>
          <w:szCs w:val="18"/>
        </w:rPr>
        <w:t>ehavioral health trends in the United States: Results from the 2014 Nat</w:t>
      </w:r>
    </w:p>
  </w:footnote>
  <w:footnote w:id="5">
    <w:p w:rsidR="002666A8" w:rsidRDefault="002666A8" w:rsidP="00400E42">
      <w:pPr>
        <w:pStyle w:val="FootnoteText"/>
      </w:pPr>
      <w:r w:rsidRPr="00FC0FBD">
        <w:rPr>
          <w:rFonts w:ascii="Calibri" w:hAnsi="Calibri"/>
          <w:sz w:val="18"/>
          <w:szCs w:val="18"/>
        </w:rPr>
        <w:t>ional Survey on Drug Use and Health (HHS Publication No. SMA 15-4927, NSDUH Series H-50)</w:t>
      </w:r>
      <w:r>
        <w:rPr>
          <w:rFonts w:ascii="Calibri" w:hAnsi="Calibri"/>
          <w:sz w:val="18"/>
          <w:szCs w:val="18"/>
        </w:rPr>
        <w:t>.  R</w:t>
      </w:r>
      <w:r w:rsidRPr="00FC0FBD">
        <w:rPr>
          <w:rFonts w:ascii="Calibri" w:hAnsi="Calibri"/>
          <w:sz w:val="18"/>
          <w:szCs w:val="18"/>
        </w:rPr>
        <w:t>etrieved from http://www.samhsa.gov/ data/</w:t>
      </w:r>
      <w:r>
        <w:rPr>
          <w:rFonts w:ascii="Calibri" w:hAnsi="Calibri"/>
          <w:sz w:val="18"/>
          <w:szCs w:val="18"/>
        </w:rPr>
        <w:t xml:space="preserve"> </w:t>
      </w:r>
    </w:p>
    <w:p w:rsidR="002666A8" w:rsidRDefault="002666A8" w:rsidP="00400E42">
      <w:pPr>
        <w:autoSpaceDE w:val="0"/>
        <w:autoSpaceDN w:val="0"/>
        <w:adjustRightInd w:val="0"/>
      </w:pPr>
      <w:r w:rsidRPr="00C74CEB">
        <w:rPr>
          <w:rStyle w:val="Hyperlink"/>
          <w:rFonts w:ascii="Calibri" w:hAnsi="Calibri" w:cs="Cambria"/>
          <w:sz w:val="18"/>
          <w:szCs w:val="18"/>
        </w:rPr>
        <w:t>rugabuse.gov/publications/drugfacts/workplace</w:t>
      </w:r>
      <w:r>
        <w:rPr>
          <w:rFonts w:ascii="Calibri" w:hAnsi="Calibri" w:cs="Cambria"/>
          <w:color w:val="000000"/>
          <w:sz w:val="18"/>
          <w:szCs w:val="18"/>
        </w:rPr>
        <w:t xml:space="preserve"> </w:t>
      </w:r>
      <w:r w:rsidRPr="00FC0FBD">
        <w:rPr>
          <w:rFonts w:ascii="Calibri" w:hAnsi="Calibri" w:cs="Cambria"/>
          <w:color w:val="000000"/>
          <w:sz w:val="18"/>
          <w:szCs w:val="18"/>
        </w:rPr>
        <w:t>--‐</w:t>
      </w:r>
      <w:r>
        <w:rPr>
          <w:rFonts w:ascii="Calibri" w:hAnsi="Calibri" w:cs="Cambria"/>
          <w:color w:val="000000"/>
          <w:sz w:val="18"/>
          <w:szCs w:val="18"/>
        </w:rPr>
        <w:t xml:space="preserve"> </w:t>
      </w:r>
      <w:r w:rsidRPr="00FC0FBD">
        <w:rPr>
          <w:rFonts w:ascii="Calibri" w:hAnsi="Calibri" w:cs="Cambria"/>
          <w:color w:val="000000"/>
          <w:sz w:val="18"/>
          <w:szCs w:val="18"/>
        </w:rPr>
        <w:t>resources</w:t>
      </w:r>
    </w:p>
  </w:footnote>
  <w:footnote w:id="6">
    <w:p w:rsidR="002666A8" w:rsidRDefault="002666A8" w:rsidP="00400E42">
      <w:r w:rsidRPr="00FC0FBD">
        <w:rPr>
          <w:rStyle w:val="FootnoteReference"/>
          <w:color w:val="000000"/>
          <w:sz w:val="18"/>
          <w:szCs w:val="18"/>
        </w:rPr>
        <w:footnoteRef/>
      </w:r>
      <w:r w:rsidRPr="00FC0FBD">
        <w:rPr>
          <w:rFonts w:ascii="Calibri" w:hAnsi="Calibri"/>
          <w:color w:val="000000"/>
          <w:sz w:val="18"/>
          <w:szCs w:val="18"/>
        </w:rPr>
        <w:t xml:space="preserve"> </w:t>
      </w:r>
      <w:r>
        <w:rPr>
          <w:rFonts w:ascii="Calibri" w:hAnsi="Calibri"/>
          <w:color w:val="000000"/>
          <w:sz w:val="18"/>
          <w:szCs w:val="18"/>
        </w:rPr>
        <w:t xml:space="preserve">Accessed at  </w:t>
      </w:r>
      <w:hyperlink r:id="rId3" w:history="1">
        <w:r w:rsidRPr="00C74CEB">
          <w:rPr>
            <w:rStyle w:val="Hyperlink"/>
            <w:rFonts w:ascii="Calibri" w:hAnsi="Calibri"/>
            <w:sz w:val="18"/>
            <w:szCs w:val="18"/>
          </w:rPr>
          <w:t>https://www.nlm.nih.gov/medlineplus/magazine/issues/spring07/articles/spring07pg14-17.html</w:t>
        </w:r>
      </w:hyperlink>
      <w:r w:rsidRPr="00FC0FBD">
        <w:rPr>
          <w:rFonts w:ascii="Calibri" w:hAnsi="Calibri"/>
          <w:color w:val="000000"/>
          <w:sz w:val="18"/>
          <w:szCs w:val="18"/>
        </w:rPr>
        <w:t>)</w:t>
      </w:r>
      <w:r>
        <w:rPr>
          <w:rFonts w:ascii="Calibri" w:hAnsi="Calibri"/>
          <w:color w:val="000000"/>
          <w:sz w:val="18"/>
          <w:szCs w:val="18"/>
        </w:rPr>
        <w:t xml:space="preserve"> </w:t>
      </w:r>
      <w:r w:rsidRPr="00FC0FBD">
        <w:rPr>
          <w:rFonts w:ascii="Calibri" w:hAnsi="Calibri"/>
          <w:color w:val="000000"/>
          <w:sz w:val="18"/>
          <w:szCs w:val="18"/>
        </w:rPr>
        <w:t>.</w:t>
      </w:r>
    </w:p>
  </w:footnote>
  <w:footnote w:id="7">
    <w:p w:rsidR="002666A8" w:rsidRDefault="002666A8" w:rsidP="00400E42">
      <w:pPr>
        <w:pStyle w:val="FootnoteText"/>
      </w:pPr>
      <w:r w:rsidRPr="00FC0FBD">
        <w:rPr>
          <w:rStyle w:val="FootnoteReference"/>
          <w:color w:val="000000"/>
          <w:sz w:val="18"/>
          <w:szCs w:val="18"/>
        </w:rPr>
        <w:footnoteRef/>
      </w:r>
      <w:r w:rsidRPr="00FC0FBD">
        <w:rPr>
          <w:rFonts w:ascii="Calibri" w:hAnsi="Calibri"/>
          <w:color w:val="000000"/>
          <w:sz w:val="18"/>
          <w:szCs w:val="18"/>
        </w:rPr>
        <w:t xml:space="preserve"> </w:t>
      </w:r>
      <w:r w:rsidRPr="00FC0FBD">
        <w:rPr>
          <w:rFonts w:ascii="Calibri" w:hAnsi="Calibri" w:cs="Arial"/>
          <w:color w:val="222222"/>
          <w:sz w:val="18"/>
          <w:szCs w:val="18"/>
          <w:shd w:val="clear" w:color="auto" w:fill="FFFFFF"/>
        </w:rPr>
        <w:t>American Psychiatric Association. (2013)</w:t>
      </w:r>
      <w:r>
        <w:rPr>
          <w:rFonts w:ascii="Calibri" w:hAnsi="Calibri" w:cs="Arial"/>
          <w:color w:val="222222"/>
          <w:sz w:val="18"/>
          <w:szCs w:val="18"/>
          <w:shd w:val="clear" w:color="auto" w:fill="FFFFFF"/>
        </w:rPr>
        <w:t>.  D</w:t>
      </w:r>
      <w:r w:rsidRPr="00FC0FBD">
        <w:rPr>
          <w:rFonts w:ascii="Calibri" w:hAnsi="Calibri" w:cs="Arial"/>
          <w:color w:val="222222"/>
          <w:sz w:val="18"/>
          <w:szCs w:val="18"/>
          <w:shd w:val="clear" w:color="auto" w:fill="FFFFFF"/>
        </w:rPr>
        <w:t>iagnostic and statistical manual of mental disorders:</w:t>
      </w:r>
      <w:r w:rsidRPr="00FC0FBD">
        <w:rPr>
          <w:rStyle w:val="apple-converted-space"/>
          <w:rFonts w:ascii="Calibri" w:hAnsi="Calibri" w:cs="Arial"/>
          <w:color w:val="222222"/>
          <w:sz w:val="18"/>
          <w:szCs w:val="18"/>
          <w:shd w:val="clear" w:color="auto" w:fill="FFFFFF"/>
        </w:rPr>
        <w:t> </w:t>
      </w:r>
      <w:r w:rsidRPr="00FC0FBD">
        <w:rPr>
          <w:rFonts w:ascii="Calibri" w:hAnsi="Calibri" w:cs="Arial"/>
          <w:b/>
          <w:bCs/>
          <w:color w:val="222222"/>
          <w:sz w:val="18"/>
          <w:szCs w:val="18"/>
          <w:shd w:val="clear" w:color="auto" w:fill="FFFFFF"/>
        </w:rPr>
        <w:t>DSM</w:t>
      </w:r>
      <w:r w:rsidRPr="00FC0FBD">
        <w:rPr>
          <w:rFonts w:ascii="Calibri" w:hAnsi="Calibri" w:cs="Arial"/>
          <w:color w:val="222222"/>
          <w:sz w:val="18"/>
          <w:szCs w:val="18"/>
          <w:shd w:val="clear" w:color="auto" w:fill="FFFFFF"/>
        </w:rPr>
        <w:t>-</w:t>
      </w:r>
      <w:r w:rsidRPr="00FC0FBD">
        <w:rPr>
          <w:rFonts w:ascii="Calibri" w:hAnsi="Calibri" w:cs="Arial"/>
          <w:b/>
          <w:bCs/>
          <w:color w:val="222222"/>
          <w:sz w:val="18"/>
          <w:szCs w:val="18"/>
          <w:shd w:val="clear" w:color="auto" w:fill="FFFFFF"/>
        </w:rPr>
        <w:t>5</w:t>
      </w:r>
      <w:r>
        <w:rPr>
          <w:rFonts w:ascii="Calibri" w:hAnsi="Calibri" w:cs="Arial"/>
          <w:color w:val="222222"/>
          <w:sz w:val="18"/>
          <w:szCs w:val="18"/>
          <w:shd w:val="clear" w:color="auto" w:fill="FFFFFF"/>
        </w:rPr>
        <w:t>.  W</w:t>
      </w:r>
      <w:r w:rsidRPr="00FC0FBD">
        <w:rPr>
          <w:rFonts w:ascii="Calibri" w:hAnsi="Calibri" w:cs="Arial"/>
          <w:color w:val="222222"/>
          <w:sz w:val="18"/>
          <w:szCs w:val="18"/>
          <w:shd w:val="clear" w:color="auto" w:fill="FFFFFF"/>
        </w:rPr>
        <w:t>ashington, D.C: American Psychiatric Association.</w:t>
      </w:r>
    </w:p>
  </w:footnote>
  <w:footnote w:id="8">
    <w:p w:rsidR="002666A8" w:rsidRDefault="002666A8" w:rsidP="00400E42">
      <w:pPr>
        <w:pStyle w:val="FootnoteText"/>
      </w:pPr>
      <w:r w:rsidRPr="00F240EB">
        <w:rPr>
          <w:rStyle w:val="FootnoteReference"/>
          <w:sz w:val="18"/>
          <w:szCs w:val="18"/>
        </w:rPr>
        <w:footnoteRef/>
      </w:r>
      <w:r w:rsidRPr="00F240EB">
        <w:rPr>
          <w:rFonts w:ascii="Calibri" w:hAnsi="Calibri"/>
          <w:sz w:val="18"/>
          <w:szCs w:val="18"/>
        </w:rPr>
        <w:t xml:space="preserve"> </w:t>
      </w:r>
      <w:r>
        <w:rPr>
          <w:rFonts w:ascii="Calibri" w:hAnsi="Calibri"/>
          <w:color w:val="000000"/>
          <w:sz w:val="18"/>
          <w:szCs w:val="18"/>
        </w:rPr>
        <w:t xml:space="preserve">Accessed at </w:t>
      </w:r>
      <w:hyperlink r:id="rId4" w:history="1">
        <w:r w:rsidRPr="00F240EB">
          <w:rPr>
            <w:rStyle w:val="Hyperlink"/>
            <w:rFonts w:ascii="Calibri" w:hAnsi="Calibri"/>
            <w:sz w:val="18"/>
            <w:szCs w:val="18"/>
          </w:rPr>
          <w:t>http://www.dea.gov/resource-center/DIR-017-13%20NDTA%20Summary%20final.pdf</w:t>
        </w:r>
      </w:hyperlink>
      <w:r w:rsidRPr="00F240EB">
        <w:rPr>
          <w:rFonts w:ascii="Calibri" w:hAnsi="Calibri"/>
          <w:sz w:val="18"/>
          <w:szCs w:val="18"/>
        </w:rPr>
        <w:t>, pg. 7</w:t>
      </w:r>
    </w:p>
  </w:footnote>
  <w:footnote w:id="9">
    <w:p w:rsidR="002666A8" w:rsidRDefault="002666A8" w:rsidP="00400E42">
      <w:pPr>
        <w:pStyle w:val="FootnoteText"/>
      </w:pPr>
      <w:r w:rsidRPr="00F240EB">
        <w:rPr>
          <w:rStyle w:val="FootnoteReference"/>
          <w:sz w:val="18"/>
          <w:szCs w:val="18"/>
        </w:rPr>
        <w:footnoteRef/>
      </w:r>
      <w:r w:rsidRPr="00F240EB">
        <w:rPr>
          <w:rFonts w:ascii="Calibri" w:hAnsi="Calibri"/>
          <w:sz w:val="18"/>
          <w:szCs w:val="18"/>
        </w:rPr>
        <w:t xml:space="preserve"> This includes both </w:t>
      </w:r>
      <w:r>
        <w:rPr>
          <w:rFonts w:ascii="Calibri" w:hAnsi="Calibri"/>
          <w:sz w:val="18"/>
          <w:szCs w:val="18"/>
        </w:rPr>
        <w:t>Heroin</w:t>
      </w:r>
      <w:r w:rsidRPr="00F240EB">
        <w:rPr>
          <w:rFonts w:ascii="Calibri" w:hAnsi="Calibri"/>
          <w:sz w:val="18"/>
          <w:szCs w:val="18"/>
        </w:rPr>
        <w:t xml:space="preserve"> and other opioids.</w:t>
      </w:r>
    </w:p>
  </w:footnote>
  <w:footnote w:id="10">
    <w:p w:rsidR="002666A8" w:rsidRPr="00CA6DF5" w:rsidRDefault="002666A8" w:rsidP="00400E42">
      <w:pPr>
        <w:pStyle w:val="FootnoteText"/>
        <w:rPr>
          <w:rFonts w:ascii="Calibri" w:hAnsi="Calibri"/>
          <w:sz w:val="18"/>
          <w:szCs w:val="18"/>
        </w:rPr>
      </w:pPr>
      <w:r w:rsidRPr="00CA6DF5">
        <w:rPr>
          <w:rStyle w:val="FootnoteReference"/>
          <w:sz w:val="18"/>
          <w:szCs w:val="18"/>
        </w:rPr>
        <w:footnoteRef/>
      </w:r>
      <w:r w:rsidRPr="00CA6DF5">
        <w:rPr>
          <w:rFonts w:ascii="Calibri" w:hAnsi="Calibri"/>
          <w:sz w:val="18"/>
          <w:szCs w:val="18"/>
        </w:rPr>
        <w:t xml:space="preserve"> Accessed at </w:t>
      </w:r>
      <w:hyperlink r:id="rId5" w:history="1">
        <w:r w:rsidRPr="00EF4788">
          <w:rPr>
            <w:rStyle w:val="Hyperlink"/>
            <w:rFonts w:ascii="Calibri" w:hAnsi="Calibri"/>
            <w:sz w:val="18"/>
            <w:szCs w:val="18"/>
          </w:rPr>
          <w:t>https://www.bostonglobe.com/metro/2016/03/27/massachusetts-hospital-visits-for-opioid-abuse-soar/GGRehpwvyhY5OEea1bWO2J/story.htm</w:t>
        </w:r>
      </w:hyperlink>
      <w:r>
        <w:rPr>
          <w:rFonts w:ascii="Calibri" w:hAnsi="Calibri"/>
          <w:sz w:val="18"/>
          <w:szCs w:val="18"/>
        </w:rPr>
        <w:t xml:space="preserve"> </w:t>
      </w:r>
    </w:p>
  </w:footnote>
  <w:footnote w:id="11">
    <w:p w:rsidR="002666A8" w:rsidRPr="00CA6DF5" w:rsidRDefault="002666A8" w:rsidP="00400E42">
      <w:pPr>
        <w:pStyle w:val="CommentText"/>
        <w:rPr>
          <w:rFonts w:asciiTheme="minorHAnsi" w:hAnsiTheme="minorHAnsi"/>
          <w:sz w:val="18"/>
          <w:szCs w:val="18"/>
        </w:rPr>
      </w:pPr>
      <w:r w:rsidRPr="00CA6DF5">
        <w:rPr>
          <w:rStyle w:val="FootnoteReference"/>
          <w:rFonts w:asciiTheme="minorHAnsi" w:hAnsiTheme="minorHAnsi"/>
          <w:sz w:val="18"/>
          <w:szCs w:val="18"/>
        </w:rPr>
        <w:footnoteRef/>
      </w:r>
      <w:r w:rsidRPr="00CA6DF5">
        <w:rPr>
          <w:rFonts w:asciiTheme="minorHAnsi" w:hAnsiTheme="minorHAnsi"/>
          <w:sz w:val="18"/>
          <w:szCs w:val="18"/>
        </w:rPr>
        <w:t xml:space="preserve"> Accessed at: </w:t>
      </w:r>
      <w:hyperlink r:id="rId6" w:history="1">
        <w:r w:rsidRPr="00EF4788">
          <w:rPr>
            <w:rStyle w:val="Hyperlink"/>
            <w:rFonts w:asciiTheme="minorHAnsi" w:hAnsiTheme="minorHAnsi"/>
            <w:sz w:val="18"/>
            <w:szCs w:val="18"/>
          </w:rPr>
          <w:t>http://www.bchumanservices.net/library/2016/04/Health-Policy-Commission-3-23-16-Opioid-Prelim.-Data-Presentation.pdf</w:t>
        </w:r>
      </w:hyperlink>
      <w:r>
        <w:rPr>
          <w:rFonts w:asciiTheme="minorHAnsi" w:hAnsiTheme="minorHAnsi"/>
          <w:sz w:val="18"/>
          <w:szCs w:val="18"/>
        </w:rPr>
        <w:t xml:space="preserve"> </w:t>
      </w:r>
    </w:p>
  </w:footnote>
  <w:footnote w:id="12">
    <w:p w:rsidR="002666A8" w:rsidRDefault="002666A8" w:rsidP="00400E42">
      <w:pPr>
        <w:pStyle w:val="FootnoteText"/>
      </w:pPr>
      <w:r w:rsidRPr="00307BA2">
        <w:rPr>
          <w:rStyle w:val="FootnoteReference"/>
          <w:sz w:val="18"/>
          <w:szCs w:val="16"/>
        </w:rPr>
        <w:footnoteRef/>
      </w:r>
      <w:r w:rsidRPr="00307BA2">
        <w:rPr>
          <w:rFonts w:ascii="Calibri" w:hAnsi="Calibri"/>
          <w:sz w:val="18"/>
          <w:szCs w:val="16"/>
        </w:rPr>
        <w:t xml:space="preserve"> </w:t>
      </w:r>
      <w:r>
        <w:rPr>
          <w:rFonts w:ascii="Calibri" w:hAnsi="Calibri"/>
          <w:color w:val="000000"/>
          <w:sz w:val="18"/>
          <w:szCs w:val="18"/>
        </w:rPr>
        <w:t xml:space="preserve">Accessed at </w:t>
      </w:r>
      <w:hyperlink r:id="rId7" w:history="1">
        <w:r w:rsidRPr="00EF4788">
          <w:rPr>
            <w:rStyle w:val="Hyperlink"/>
            <w:rFonts w:ascii="Calibri" w:hAnsi="Calibri" w:cs="Arial"/>
            <w:sz w:val="18"/>
            <w:szCs w:val="16"/>
          </w:rPr>
          <w:t>http://www.mass.gov/eohhs/gov/departments/dph/stop-addiction/current-statistics.html</w:t>
        </w:r>
      </w:hyperlink>
      <w:r>
        <w:rPr>
          <w:rFonts w:ascii="Calibri" w:hAnsi="Calibri" w:cs="Arial"/>
          <w:sz w:val="18"/>
          <w:szCs w:val="16"/>
        </w:rPr>
        <w:t xml:space="preserve"> </w:t>
      </w:r>
    </w:p>
  </w:footnote>
  <w:footnote w:id="13">
    <w:p w:rsidR="002666A8" w:rsidRDefault="002666A8" w:rsidP="00400E42">
      <w:pPr>
        <w:pStyle w:val="FootnoteText"/>
      </w:pPr>
      <w:r w:rsidRPr="00307BA2">
        <w:rPr>
          <w:rStyle w:val="FootnoteReference"/>
          <w:sz w:val="18"/>
          <w:szCs w:val="16"/>
        </w:rPr>
        <w:footnoteRef/>
      </w:r>
      <w:r w:rsidRPr="00307BA2">
        <w:rPr>
          <w:rFonts w:ascii="Calibri" w:hAnsi="Calibri"/>
          <w:sz w:val="18"/>
          <w:szCs w:val="16"/>
        </w:rPr>
        <w:t xml:space="preserve"> This report includes confirmed fatal Opioid-overdoses from 2014 – 2015 (n=2,192)</w:t>
      </w:r>
    </w:p>
  </w:footnote>
  <w:footnote w:id="14">
    <w:p w:rsidR="002666A8" w:rsidRPr="00617A99" w:rsidRDefault="002666A8" w:rsidP="00400E42">
      <w:pPr>
        <w:pStyle w:val="FootnoteText"/>
        <w:rPr>
          <w:rFonts w:asciiTheme="minorHAnsi" w:hAnsiTheme="minorHAnsi"/>
          <w:sz w:val="18"/>
          <w:szCs w:val="18"/>
        </w:rPr>
      </w:pPr>
      <w:r w:rsidRPr="00617A99">
        <w:rPr>
          <w:rStyle w:val="FootnoteReference"/>
          <w:rFonts w:asciiTheme="minorHAnsi" w:hAnsiTheme="minorHAnsi"/>
          <w:sz w:val="18"/>
          <w:szCs w:val="18"/>
        </w:rPr>
        <w:footnoteRef/>
      </w:r>
      <w:r w:rsidRPr="00617A99">
        <w:rPr>
          <w:rFonts w:asciiTheme="minorHAnsi" w:hAnsiTheme="minorHAnsi"/>
          <w:sz w:val="18"/>
          <w:szCs w:val="18"/>
        </w:rPr>
        <w:t xml:space="preserve"> Centers for Disease Control and Prevention, National Center for Health Statistics</w:t>
      </w:r>
      <w:r>
        <w:rPr>
          <w:rFonts w:asciiTheme="minorHAnsi" w:hAnsiTheme="minorHAnsi"/>
          <w:sz w:val="18"/>
          <w:szCs w:val="18"/>
        </w:rPr>
        <w:t>.  M</w:t>
      </w:r>
      <w:r w:rsidRPr="00617A99">
        <w:rPr>
          <w:rFonts w:asciiTheme="minorHAnsi" w:hAnsiTheme="minorHAnsi"/>
          <w:sz w:val="18"/>
          <w:szCs w:val="18"/>
        </w:rPr>
        <w:t>ultiple Cause of Death 1999-2014 on CDC WONDER Online Database, released 2015</w:t>
      </w:r>
      <w:r>
        <w:rPr>
          <w:rFonts w:asciiTheme="minorHAnsi" w:hAnsiTheme="minorHAnsi"/>
          <w:sz w:val="18"/>
          <w:szCs w:val="18"/>
        </w:rPr>
        <w:t>.  D</w:t>
      </w:r>
      <w:r w:rsidRPr="00617A99">
        <w:rPr>
          <w:rFonts w:asciiTheme="minorHAnsi" w:hAnsiTheme="minorHAnsi"/>
          <w:sz w:val="18"/>
          <w:szCs w:val="18"/>
        </w:rPr>
        <w:t>ata are from the Multiple Cause of Death Files, 1999-2014, as compiled from data provided by the 57 vital statistics jurisdictions through the Vital Statistics Cooperative Program</w:t>
      </w:r>
      <w:r>
        <w:rPr>
          <w:rFonts w:asciiTheme="minorHAnsi" w:hAnsiTheme="minorHAnsi"/>
          <w:sz w:val="18"/>
          <w:szCs w:val="18"/>
        </w:rPr>
        <w:t>.  A</w:t>
      </w:r>
      <w:r w:rsidRPr="00617A99">
        <w:rPr>
          <w:rFonts w:asciiTheme="minorHAnsi" w:hAnsiTheme="minorHAnsi"/>
          <w:sz w:val="18"/>
          <w:szCs w:val="18"/>
        </w:rPr>
        <w:t xml:space="preserve">ccessed at </w:t>
      </w:r>
      <w:hyperlink r:id="rId8" w:history="1">
        <w:r w:rsidRPr="00617A99">
          <w:rPr>
            <w:rStyle w:val="Hyperlink"/>
            <w:rFonts w:asciiTheme="minorHAnsi" w:hAnsiTheme="minorHAnsi"/>
            <w:sz w:val="18"/>
            <w:szCs w:val="18"/>
          </w:rPr>
          <w:t>http://wonder.cdc.gov/mcd-icd10.html</w:t>
        </w:r>
      </w:hyperlink>
      <w:r w:rsidRPr="00617A99">
        <w:rPr>
          <w:rFonts w:asciiTheme="minorHAnsi" w:hAnsiTheme="minorHAnsi"/>
          <w:sz w:val="18"/>
          <w:szCs w:val="18"/>
        </w:rPr>
        <w:t xml:space="preserve"> .</w:t>
      </w:r>
    </w:p>
  </w:footnote>
  <w:footnote w:id="15">
    <w:p w:rsidR="002666A8" w:rsidRDefault="002666A8" w:rsidP="00400E42">
      <w:pPr>
        <w:pStyle w:val="FootnoteText"/>
      </w:pPr>
      <w:r w:rsidRPr="00307BA2">
        <w:rPr>
          <w:rStyle w:val="FootnoteReference"/>
          <w:sz w:val="18"/>
          <w:szCs w:val="18"/>
        </w:rPr>
        <w:footnoteRef/>
      </w:r>
      <w:r w:rsidRPr="00307BA2">
        <w:rPr>
          <w:rFonts w:ascii="Calibri" w:hAnsi="Calibri"/>
          <w:sz w:val="18"/>
          <w:szCs w:val="18"/>
        </w:rPr>
        <w:t xml:space="preserve"> </w:t>
      </w:r>
      <w:r>
        <w:rPr>
          <w:rFonts w:ascii="Calibri" w:hAnsi="Calibri"/>
          <w:color w:val="000000"/>
          <w:sz w:val="18"/>
          <w:szCs w:val="18"/>
        </w:rPr>
        <w:t>Accessed at</w:t>
      </w:r>
      <w:r w:rsidRPr="00307BA2">
        <w:rPr>
          <w:rFonts w:ascii="Calibri" w:hAnsi="Calibri"/>
          <w:sz w:val="18"/>
          <w:szCs w:val="18"/>
        </w:rPr>
        <w:t xml:space="preserve"> </w:t>
      </w:r>
      <w:hyperlink r:id="rId9" w:history="1">
        <w:r w:rsidRPr="00C74CEB">
          <w:rPr>
            <w:rStyle w:val="Hyperlink"/>
            <w:rFonts w:ascii="Calibri" w:hAnsi="Calibri"/>
            <w:sz w:val="18"/>
            <w:szCs w:val="18"/>
          </w:rPr>
          <w:t>http://www.mass.gov/eohhs/docs/dph/quality/drugcontrol/county-level-pmp/data-brief-overdose-deaths-may-2016.pdf</w:t>
        </w:r>
      </w:hyperlink>
      <w:r>
        <w:rPr>
          <w:rFonts w:ascii="Calibri" w:hAnsi="Calibri"/>
          <w:sz w:val="18"/>
          <w:szCs w:val="18"/>
        </w:rPr>
        <w:t xml:space="preserve"> </w:t>
      </w:r>
    </w:p>
  </w:footnote>
  <w:footnote w:id="16">
    <w:p w:rsidR="002666A8" w:rsidRPr="00CA6DF5" w:rsidRDefault="002666A8" w:rsidP="00400E42">
      <w:pPr>
        <w:pStyle w:val="FootnoteText"/>
        <w:rPr>
          <w:rFonts w:asciiTheme="minorHAnsi" w:hAnsiTheme="minorHAnsi"/>
          <w:sz w:val="18"/>
          <w:szCs w:val="18"/>
        </w:rPr>
      </w:pPr>
      <w:r w:rsidRPr="005044BE">
        <w:rPr>
          <w:rStyle w:val="FootnoteReference"/>
          <w:sz w:val="18"/>
          <w:szCs w:val="18"/>
        </w:rPr>
        <w:footnoteRef/>
      </w:r>
      <w:r w:rsidRPr="005044BE">
        <w:rPr>
          <w:rFonts w:ascii="Calibri" w:hAnsi="Calibri"/>
          <w:sz w:val="18"/>
          <w:szCs w:val="18"/>
        </w:rPr>
        <w:t xml:space="preserve"> Unpublished data from analysis of </w:t>
      </w:r>
      <w:r>
        <w:rPr>
          <w:rFonts w:ascii="Calibri" w:hAnsi="Calibri"/>
          <w:sz w:val="18"/>
          <w:szCs w:val="18"/>
        </w:rPr>
        <w:t xml:space="preserve">Massachusetts </w:t>
      </w:r>
      <w:r w:rsidRPr="005044BE">
        <w:rPr>
          <w:rFonts w:ascii="Calibri" w:hAnsi="Calibri"/>
          <w:sz w:val="18"/>
          <w:szCs w:val="18"/>
        </w:rPr>
        <w:t>death records between 2000 and 2015</w:t>
      </w:r>
      <w:r>
        <w:rPr>
          <w:rFonts w:ascii="Calibri" w:hAnsi="Calibri"/>
          <w:sz w:val="18"/>
          <w:szCs w:val="18"/>
        </w:rPr>
        <w:t xml:space="preserve"> managed by the Registry of Vital Records and Statistics adjusted for population growth.</w:t>
      </w:r>
    </w:p>
  </w:footnote>
  <w:footnote w:id="17">
    <w:p w:rsidR="002666A8" w:rsidRPr="00CA6DF5" w:rsidRDefault="002666A8" w:rsidP="00400E42">
      <w:pPr>
        <w:pStyle w:val="FootnoteText"/>
        <w:rPr>
          <w:rFonts w:asciiTheme="minorHAnsi" w:hAnsiTheme="minorHAnsi"/>
          <w:sz w:val="18"/>
          <w:szCs w:val="18"/>
        </w:rPr>
      </w:pPr>
      <w:r w:rsidRPr="00CA6DF5">
        <w:rPr>
          <w:rStyle w:val="FootnoteReference"/>
          <w:rFonts w:asciiTheme="minorHAnsi" w:hAnsiTheme="minorHAnsi"/>
          <w:sz w:val="18"/>
          <w:szCs w:val="18"/>
        </w:rPr>
        <w:footnoteRef/>
      </w:r>
      <w:r w:rsidRPr="00CA6DF5">
        <w:rPr>
          <w:rFonts w:asciiTheme="minorHAnsi" w:hAnsiTheme="minorHAnsi"/>
          <w:sz w:val="18"/>
          <w:szCs w:val="18"/>
        </w:rPr>
        <w:t xml:space="preserve"> Accessed at: </w:t>
      </w:r>
      <w:hyperlink r:id="rId10" w:tgtFrame="_blank" w:history="1">
        <w:r w:rsidRPr="00CA6DF5">
          <w:rPr>
            <w:rStyle w:val="Hyperlink"/>
            <w:rFonts w:asciiTheme="minorHAnsi" w:hAnsiTheme="minorHAnsi"/>
            <w:sz w:val="18"/>
            <w:szCs w:val="18"/>
          </w:rPr>
          <w:t>https://www.dea.gov/divisions/hq/2016/hq061016.shtml</w:t>
        </w:r>
      </w:hyperlink>
    </w:p>
  </w:footnote>
  <w:footnote w:id="18">
    <w:p w:rsidR="002666A8" w:rsidRDefault="002666A8" w:rsidP="00400E42">
      <w:pPr>
        <w:pStyle w:val="CommentText"/>
      </w:pPr>
      <w:r w:rsidRPr="00CA6DF5">
        <w:rPr>
          <w:rStyle w:val="FootnoteReference"/>
          <w:rFonts w:asciiTheme="minorHAnsi" w:hAnsiTheme="minorHAnsi"/>
          <w:sz w:val="18"/>
          <w:szCs w:val="18"/>
        </w:rPr>
        <w:footnoteRef/>
      </w:r>
      <w:r w:rsidRPr="00CA6DF5">
        <w:rPr>
          <w:rFonts w:asciiTheme="minorHAnsi" w:hAnsiTheme="minorHAnsi"/>
          <w:sz w:val="18"/>
          <w:szCs w:val="18"/>
        </w:rPr>
        <w:t xml:space="preserve"> Accessed at: </w:t>
      </w:r>
      <w:hyperlink r:id="rId11" w:tgtFrame="_blank" w:history="1">
        <w:r w:rsidRPr="00CA6DF5">
          <w:rPr>
            <w:rStyle w:val="Hyperlink"/>
            <w:rFonts w:asciiTheme="minorHAnsi" w:hAnsiTheme="minorHAnsi"/>
            <w:sz w:val="18"/>
            <w:szCs w:val="18"/>
          </w:rPr>
          <w:t>http://www.cdc.gov/drugoverdose/opioids/fentanyl.html</w:t>
        </w:r>
      </w:hyperlink>
    </w:p>
  </w:footnote>
  <w:footnote w:id="19">
    <w:p w:rsidR="002666A8" w:rsidRDefault="002666A8" w:rsidP="00400E42">
      <w:pPr>
        <w:pStyle w:val="FootnoteText"/>
      </w:pPr>
      <w:r w:rsidRPr="001B1BE7">
        <w:rPr>
          <w:rStyle w:val="FootnoteReference"/>
          <w:sz w:val="18"/>
          <w:szCs w:val="18"/>
        </w:rPr>
        <w:footnoteRef/>
      </w:r>
      <w:r w:rsidRPr="001B1BE7">
        <w:rPr>
          <w:rFonts w:ascii="Calibri" w:hAnsi="Calibri"/>
          <w:sz w:val="18"/>
          <w:szCs w:val="18"/>
        </w:rPr>
        <w:t xml:space="preserve"> For more information:  </w:t>
      </w:r>
      <w:hyperlink r:id="rId12" w:history="1">
        <w:r w:rsidRPr="001B1BE7">
          <w:rPr>
            <w:rStyle w:val="Hyperlink"/>
            <w:rFonts w:ascii="Calibri" w:hAnsi="Calibri"/>
            <w:sz w:val="18"/>
            <w:szCs w:val="18"/>
          </w:rPr>
          <w:t>http://www.cdc.gov/mmwr/preview/mmwrhtml/mm6450a3.htm</w:t>
        </w:r>
      </w:hyperlink>
    </w:p>
  </w:footnote>
  <w:footnote w:id="20">
    <w:p w:rsidR="002666A8" w:rsidRDefault="002666A8" w:rsidP="00400E42">
      <w:pPr>
        <w:pStyle w:val="FootnoteText"/>
      </w:pPr>
      <w:r w:rsidRPr="00764E3C">
        <w:rPr>
          <w:rStyle w:val="FootnoteReference"/>
          <w:sz w:val="18"/>
          <w:szCs w:val="18"/>
        </w:rPr>
        <w:footnoteRef/>
      </w:r>
      <w:r w:rsidRPr="00764E3C">
        <w:rPr>
          <w:rFonts w:ascii="Calibri" w:hAnsi="Calibri"/>
          <w:sz w:val="18"/>
          <w:szCs w:val="18"/>
        </w:rPr>
        <w:t xml:space="preserve"> The CDC alert can be found at: </w:t>
      </w:r>
      <w:hyperlink r:id="rId13" w:history="1">
        <w:r w:rsidRPr="00C74CEB">
          <w:rPr>
            <w:rStyle w:val="Hyperlink"/>
            <w:rFonts w:ascii="Calibri" w:hAnsi="Calibri"/>
            <w:sz w:val="18"/>
            <w:szCs w:val="18"/>
          </w:rPr>
          <w:t>http://emergency.cdc.gov/han/han00384.asp</w:t>
        </w:r>
      </w:hyperlink>
      <w:r>
        <w:rPr>
          <w:rFonts w:ascii="Calibri" w:hAnsi="Calibri"/>
          <w:sz w:val="18"/>
          <w:szCs w:val="18"/>
        </w:rPr>
        <w:t xml:space="preserve"> </w:t>
      </w:r>
    </w:p>
  </w:footnote>
  <w:footnote w:id="21">
    <w:p w:rsidR="002666A8" w:rsidRDefault="002666A8" w:rsidP="00400E42">
      <w:pPr>
        <w:pStyle w:val="FootnoteText"/>
      </w:pPr>
      <w:r w:rsidRPr="005044BE">
        <w:rPr>
          <w:rStyle w:val="FootnoteReference"/>
          <w:sz w:val="18"/>
        </w:rPr>
        <w:footnoteRef/>
      </w:r>
      <w:r w:rsidRPr="005044BE">
        <w:rPr>
          <w:rFonts w:ascii="Calibri" w:hAnsi="Calibri"/>
          <w:sz w:val="18"/>
        </w:rPr>
        <w:t xml:space="preserve"> Unpublished data from analysis of Massachusetts toxicology reports managed by the Office of the Chief Medical Examiner.</w:t>
      </w:r>
    </w:p>
  </w:footnote>
  <w:footnote w:id="22">
    <w:p w:rsidR="002666A8" w:rsidRDefault="002666A8" w:rsidP="00400E42">
      <w:pPr>
        <w:pStyle w:val="FootnoteText"/>
      </w:pPr>
      <w:r w:rsidRPr="005044BE">
        <w:rPr>
          <w:rStyle w:val="FootnoteReference"/>
          <w:sz w:val="18"/>
          <w:szCs w:val="18"/>
        </w:rPr>
        <w:footnoteRef/>
      </w:r>
      <w:r w:rsidRPr="005044BE">
        <w:rPr>
          <w:rFonts w:ascii="Calibri" w:hAnsi="Calibri"/>
          <w:sz w:val="18"/>
          <w:szCs w:val="18"/>
        </w:rPr>
        <w:t xml:space="preserve"> </w:t>
      </w:r>
      <w:r>
        <w:rPr>
          <w:rFonts w:ascii="Calibri" w:hAnsi="Calibri"/>
          <w:color w:val="000000"/>
          <w:sz w:val="18"/>
          <w:szCs w:val="18"/>
        </w:rPr>
        <w:t xml:space="preserve">Accessed at </w:t>
      </w:r>
      <w:hyperlink r:id="rId14" w:history="1">
        <w:r w:rsidRPr="005044BE">
          <w:rPr>
            <w:rStyle w:val="Hyperlink"/>
            <w:rFonts w:ascii="Calibri" w:hAnsi="Calibri"/>
            <w:sz w:val="18"/>
            <w:szCs w:val="18"/>
          </w:rPr>
          <w:t>http://www.mass.gov/eohhs/docs/dph/quality/drugcontrol/county-level-pmp/data-brief-overdose-deaths-may-2016.pdf</w:t>
        </w:r>
      </w:hyperlink>
      <w:r w:rsidRPr="00F978E0">
        <w:rPr>
          <w:rFonts w:ascii="Calibri" w:hAnsi="Calibri"/>
          <w:sz w:val="18"/>
          <w:szCs w:val="18"/>
        </w:rPr>
        <w:t xml:space="preserve"> </w:t>
      </w:r>
    </w:p>
  </w:footnote>
  <w:footnote w:id="23">
    <w:p w:rsidR="002666A8" w:rsidRDefault="002666A8" w:rsidP="00400E42">
      <w:r w:rsidRPr="00F978E0">
        <w:rPr>
          <w:rStyle w:val="FootnoteReference"/>
          <w:sz w:val="18"/>
          <w:szCs w:val="18"/>
        </w:rPr>
        <w:footnoteRef/>
      </w:r>
      <w:r w:rsidRPr="00F978E0">
        <w:rPr>
          <w:rFonts w:ascii="Calibri" w:hAnsi="Calibri"/>
          <w:sz w:val="18"/>
          <w:szCs w:val="18"/>
        </w:rPr>
        <w:t xml:space="preserve"> Ceder G and Jones AW</w:t>
      </w:r>
      <w:r>
        <w:rPr>
          <w:rFonts w:ascii="Calibri" w:hAnsi="Calibri"/>
          <w:sz w:val="18"/>
          <w:szCs w:val="18"/>
        </w:rPr>
        <w:t>.  C</w:t>
      </w:r>
      <w:r w:rsidRPr="00F978E0">
        <w:rPr>
          <w:rFonts w:ascii="Calibri" w:hAnsi="Calibri"/>
          <w:sz w:val="18"/>
          <w:szCs w:val="18"/>
        </w:rPr>
        <w:t xml:space="preserve">oncentration ratios of </w:t>
      </w:r>
      <w:r>
        <w:rPr>
          <w:rFonts w:ascii="Calibri" w:hAnsi="Calibri"/>
          <w:sz w:val="18"/>
          <w:szCs w:val="18"/>
        </w:rPr>
        <w:t>Morphine</w:t>
      </w:r>
      <w:r w:rsidRPr="00F978E0">
        <w:rPr>
          <w:rFonts w:ascii="Calibri" w:hAnsi="Calibri"/>
          <w:sz w:val="18"/>
          <w:szCs w:val="18"/>
        </w:rPr>
        <w:t xml:space="preserve"> to </w:t>
      </w:r>
      <w:r>
        <w:rPr>
          <w:rFonts w:ascii="Calibri" w:hAnsi="Calibri"/>
          <w:sz w:val="18"/>
          <w:szCs w:val="18"/>
        </w:rPr>
        <w:t>Codeine</w:t>
      </w:r>
      <w:r w:rsidRPr="00F978E0">
        <w:rPr>
          <w:rFonts w:ascii="Calibri" w:hAnsi="Calibri"/>
          <w:sz w:val="18"/>
          <w:szCs w:val="18"/>
        </w:rPr>
        <w:t xml:space="preserve"> in blood of</w:t>
      </w:r>
      <w:r>
        <w:rPr>
          <w:rFonts w:ascii="Calibri" w:hAnsi="Calibri"/>
          <w:sz w:val="18"/>
          <w:szCs w:val="18"/>
        </w:rPr>
        <w:t xml:space="preserve"> </w:t>
      </w:r>
      <w:r w:rsidRPr="00F978E0">
        <w:rPr>
          <w:rFonts w:ascii="Calibri" w:hAnsi="Calibri"/>
          <w:sz w:val="18"/>
          <w:szCs w:val="18"/>
        </w:rPr>
        <w:t xml:space="preserve">impaired drivers as evidence of </w:t>
      </w:r>
      <w:r>
        <w:rPr>
          <w:rFonts w:ascii="Calibri" w:hAnsi="Calibri"/>
          <w:sz w:val="18"/>
          <w:szCs w:val="18"/>
        </w:rPr>
        <w:t>Heroin</w:t>
      </w:r>
      <w:r w:rsidRPr="00F978E0">
        <w:rPr>
          <w:rFonts w:ascii="Calibri" w:hAnsi="Calibri"/>
          <w:sz w:val="18"/>
          <w:szCs w:val="18"/>
        </w:rPr>
        <w:t xml:space="preserve"> use and not medication with </w:t>
      </w:r>
      <w:r>
        <w:rPr>
          <w:rFonts w:ascii="Calibri" w:hAnsi="Calibri"/>
          <w:sz w:val="18"/>
          <w:szCs w:val="18"/>
        </w:rPr>
        <w:t>Codeine.  C</w:t>
      </w:r>
      <w:r w:rsidRPr="00F978E0">
        <w:rPr>
          <w:rFonts w:ascii="Calibri" w:hAnsi="Calibri"/>
          <w:sz w:val="18"/>
          <w:szCs w:val="18"/>
        </w:rPr>
        <w:t>linical Chemistry</w:t>
      </w:r>
      <w:r>
        <w:rPr>
          <w:rFonts w:ascii="Calibri" w:hAnsi="Calibri"/>
          <w:sz w:val="18"/>
          <w:szCs w:val="18"/>
        </w:rPr>
        <w:t>.  N</w:t>
      </w:r>
      <w:r w:rsidRPr="00F978E0">
        <w:rPr>
          <w:rFonts w:ascii="Calibri" w:hAnsi="Calibri"/>
          <w:bCs/>
          <w:color w:val="333300"/>
          <w:sz w:val="18"/>
          <w:szCs w:val="18"/>
          <w:bdr w:val="none" w:sz="0" w:space="0" w:color="auto" w:frame="1"/>
          <w:shd w:val="clear" w:color="auto" w:fill="FFFFFF"/>
        </w:rPr>
        <w:t>ovember 2001 vol. 47 no. 11 1980-1984</w:t>
      </w:r>
      <w:r>
        <w:rPr>
          <w:rFonts w:ascii="Calibri" w:hAnsi="Calibri"/>
          <w:bCs/>
          <w:color w:val="333300"/>
          <w:sz w:val="18"/>
          <w:szCs w:val="18"/>
          <w:bdr w:val="none" w:sz="0" w:space="0" w:color="auto" w:frame="1"/>
          <w:shd w:val="clear" w:color="auto" w:fill="FFFFFF"/>
        </w:rPr>
        <w:t>.  A</w:t>
      </w:r>
      <w:r w:rsidRPr="00F978E0">
        <w:rPr>
          <w:rFonts w:ascii="Calibri" w:hAnsi="Calibri"/>
          <w:bCs/>
          <w:color w:val="333300"/>
          <w:sz w:val="18"/>
          <w:szCs w:val="18"/>
          <w:bdr w:val="none" w:sz="0" w:space="0" w:color="auto" w:frame="1"/>
          <w:shd w:val="clear" w:color="auto" w:fill="FFFFFF"/>
        </w:rPr>
        <w:t xml:space="preserve">ccessed at: </w:t>
      </w:r>
      <w:hyperlink r:id="rId15" w:history="1">
        <w:r w:rsidRPr="00C74CEB">
          <w:rPr>
            <w:rStyle w:val="Hyperlink"/>
            <w:rFonts w:ascii="Calibri" w:hAnsi="Calibri"/>
            <w:bCs/>
            <w:sz w:val="18"/>
            <w:szCs w:val="18"/>
            <w:bdr w:val="none" w:sz="0" w:space="0" w:color="auto" w:frame="1"/>
            <w:shd w:val="clear" w:color="auto" w:fill="FFFFFF"/>
          </w:rPr>
          <w:t>http://www.clinchem.org/content/47/11/1980.long</w:t>
        </w:r>
      </w:hyperlink>
      <w:r>
        <w:rPr>
          <w:rFonts w:ascii="Calibri" w:hAnsi="Calibri"/>
          <w:bCs/>
          <w:color w:val="333300"/>
          <w:sz w:val="18"/>
          <w:szCs w:val="18"/>
          <w:bdr w:val="none" w:sz="0" w:space="0" w:color="auto" w:frame="1"/>
          <w:shd w:val="clear" w:color="auto" w:fill="FFFFFF"/>
        </w:rPr>
        <w:t xml:space="preserve"> </w:t>
      </w:r>
    </w:p>
  </w:footnote>
  <w:footnote w:id="24">
    <w:p w:rsidR="002666A8" w:rsidRDefault="002666A8" w:rsidP="00400E42">
      <w:r w:rsidRPr="00F978E0">
        <w:rPr>
          <w:rStyle w:val="FootnoteReference"/>
          <w:sz w:val="18"/>
          <w:szCs w:val="18"/>
        </w:rPr>
        <w:footnoteRef/>
      </w:r>
      <w:r w:rsidRPr="00F978E0">
        <w:rPr>
          <w:rFonts w:ascii="Calibri" w:hAnsi="Calibri"/>
          <w:sz w:val="18"/>
          <w:szCs w:val="18"/>
        </w:rPr>
        <w:t xml:space="preserve"> </w:t>
      </w:r>
      <w:r w:rsidRPr="00F978E0">
        <w:rPr>
          <w:rFonts w:ascii="Calibri" w:hAnsi="Calibri" w:cs="Arial"/>
          <w:color w:val="222222"/>
          <w:sz w:val="18"/>
          <w:szCs w:val="18"/>
          <w:shd w:val="clear" w:color="auto" w:fill="FFFFFF"/>
        </w:rPr>
        <w:t xml:space="preserve">Ellis, Ashley D., et al. "Identifying cases of </w:t>
      </w:r>
      <w:r>
        <w:rPr>
          <w:rFonts w:ascii="Calibri" w:hAnsi="Calibri" w:cs="Arial"/>
          <w:color w:val="222222"/>
          <w:sz w:val="18"/>
          <w:szCs w:val="18"/>
          <w:shd w:val="clear" w:color="auto" w:fill="FFFFFF"/>
        </w:rPr>
        <w:t>Heroin</w:t>
      </w:r>
      <w:r w:rsidRPr="00F978E0">
        <w:rPr>
          <w:rFonts w:ascii="Calibri" w:hAnsi="Calibri" w:cs="Arial"/>
          <w:color w:val="222222"/>
          <w:sz w:val="18"/>
          <w:szCs w:val="18"/>
          <w:shd w:val="clear" w:color="auto" w:fill="FFFFFF"/>
        </w:rPr>
        <w:t xml:space="preserve"> toxicity where 6-acetyl</w:t>
      </w:r>
      <w:r>
        <w:rPr>
          <w:rFonts w:ascii="Calibri" w:hAnsi="Calibri" w:cs="Arial"/>
          <w:color w:val="222222"/>
          <w:sz w:val="18"/>
          <w:szCs w:val="18"/>
          <w:shd w:val="clear" w:color="auto" w:fill="FFFFFF"/>
        </w:rPr>
        <w:t>Morphine</w:t>
      </w:r>
      <w:r w:rsidRPr="00F978E0">
        <w:rPr>
          <w:rFonts w:ascii="Calibri" w:hAnsi="Calibri" w:cs="Arial"/>
          <w:color w:val="222222"/>
          <w:sz w:val="18"/>
          <w:szCs w:val="18"/>
          <w:shd w:val="clear" w:color="auto" w:fill="FFFFFF"/>
        </w:rPr>
        <w:t xml:space="preserve"> (6-AM) is not detected by toxicological analyses." </w:t>
      </w:r>
      <w:r w:rsidRPr="00F978E0">
        <w:rPr>
          <w:rFonts w:ascii="Calibri" w:hAnsi="Calibri" w:cs="Arial"/>
          <w:i/>
          <w:iCs/>
          <w:color w:val="222222"/>
          <w:sz w:val="18"/>
          <w:szCs w:val="18"/>
          <w:shd w:val="clear" w:color="auto" w:fill="FFFFFF"/>
        </w:rPr>
        <w:t>Forensic science, medicine, and pathology</w:t>
      </w:r>
      <w:r w:rsidRPr="00F978E0">
        <w:rPr>
          <w:rFonts w:ascii="Calibri" w:hAnsi="Calibri" w:cs="Arial"/>
          <w:color w:val="222222"/>
          <w:sz w:val="18"/>
          <w:szCs w:val="18"/>
          <w:shd w:val="clear" w:color="auto" w:fill="FFFFFF"/>
        </w:rPr>
        <w:t> (2016): 1-5.</w:t>
      </w:r>
    </w:p>
  </w:footnote>
  <w:footnote w:id="25">
    <w:p w:rsidR="002666A8" w:rsidRDefault="002666A8" w:rsidP="00400E42">
      <w:r w:rsidRPr="001543DA">
        <w:rPr>
          <w:rStyle w:val="FootnoteReference"/>
          <w:sz w:val="18"/>
          <w:szCs w:val="18"/>
        </w:rPr>
        <w:footnoteRef/>
      </w:r>
      <w:r w:rsidRPr="001543DA">
        <w:rPr>
          <w:rFonts w:ascii="Calibri" w:hAnsi="Calibri"/>
          <w:sz w:val="18"/>
          <w:szCs w:val="18"/>
        </w:rPr>
        <w:t xml:space="preserve"> </w:t>
      </w:r>
      <w:r w:rsidRPr="001543DA">
        <w:rPr>
          <w:rFonts w:ascii="Calibri" w:hAnsi="Calibri" w:cs="Arial"/>
          <w:color w:val="222222"/>
          <w:sz w:val="18"/>
          <w:szCs w:val="18"/>
          <w:shd w:val="clear" w:color="auto" w:fill="FFFFFF"/>
        </w:rPr>
        <w:t>Rudd, Rose A., et al. "Increases in drug and opioid overdose deaths-United States, 2000-2014." </w:t>
      </w:r>
      <w:r w:rsidRPr="001543DA">
        <w:rPr>
          <w:rFonts w:ascii="Calibri" w:hAnsi="Calibri" w:cs="Arial"/>
          <w:i/>
          <w:iCs/>
          <w:color w:val="222222"/>
          <w:sz w:val="18"/>
          <w:szCs w:val="18"/>
          <w:shd w:val="clear" w:color="auto" w:fill="FFFFFF"/>
        </w:rPr>
        <w:t>MMWR: Morbidity and mortality weekly report</w:t>
      </w:r>
      <w:r w:rsidRPr="001543DA">
        <w:rPr>
          <w:rFonts w:ascii="Calibri" w:hAnsi="Calibri" w:cs="Arial"/>
          <w:color w:val="222222"/>
          <w:sz w:val="18"/>
          <w:szCs w:val="18"/>
          <w:shd w:val="clear" w:color="auto" w:fill="FFFFFF"/>
        </w:rPr>
        <w:t> 64.50-51 (2016): 1378-1382.</w:t>
      </w:r>
    </w:p>
  </w:footnote>
  <w:footnote w:id="26">
    <w:p w:rsidR="002666A8" w:rsidRPr="00CA6DF5" w:rsidRDefault="002666A8" w:rsidP="00400E42">
      <w:pPr>
        <w:pStyle w:val="FootnoteText"/>
        <w:rPr>
          <w:rFonts w:asciiTheme="minorHAnsi" w:hAnsiTheme="minorHAnsi"/>
          <w:sz w:val="18"/>
          <w:szCs w:val="18"/>
        </w:rPr>
      </w:pPr>
      <w:r w:rsidRPr="00CA6DF5">
        <w:rPr>
          <w:rStyle w:val="FootnoteReference"/>
          <w:rFonts w:asciiTheme="minorHAnsi" w:hAnsiTheme="minorHAnsi"/>
          <w:sz w:val="18"/>
          <w:szCs w:val="18"/>
        </w:rPr>
        <w:footnoteRef/>
      </w:r>
      <w:r w:rsidRPr="00CA6DF5">
        <w:rPr>
          <w:rFonts w:asciiTheme="minorHAnsi" w:hAnsiTheme="minorHAnsi"/>
          <w:sz w:val="18"/>
          <w:szCs w:val="18"/>
        </w:rPr>
        <w:t xml:space="preserve"> Accessed at: </w:t>
      </w:r>
      <w:hyperlink r:id="rId16" w:tgtFrame="_blank" w:history="1">
        <w:r w:rsidRPr="00CA6DF5">
          <w:rPr>
            <w:rStyle w:val="Hyperlink"/>
            <w:rFonts w:asciiTheme="minorHAnsi" w:hAnsiTheme="minorHAnsi"/>
            <w:sz w:val="18"/>
            <w:szCs w:val="18"/>
          </w:rPr>
          <w:t>https://www.dea.gov/divisions/hq/2016/hq061016.shtml</w:t>
        </w:r>
      </w:hyperlink>
    </w:p>
  </w:footnote>
  <w:footnote w:id="27">
    <w:p w:rsidR="002666A8" w:rsidRDefault="002666A8" w:rsidP="00400E42">
      <w:pPr>
        <w:pStyle w:val="CommentText"/>
      </w:pPr>
      <w:r w:rsidRPr="00CA6DF5">
        <w:rPr>
          <w:rStyle w:val="FootnoteReference"/>
          <w:rFonts w:asciiTheme="minorHAnsi" w:hAnsiTheme="minorHAnsi"/>
          <w:sz w:val="18"/>
          <w:szCs w:val="18"/>
        </w:rPr>
        <w:footnoteRef/>
      </w:r>
      <w:r w:rsidRPr="00CA6DF5">
        <w:rPr>
          <w:rFonts w:asciiTheme="minorHAnsi" w:hAnsiTheme="minorHAnsi"/>
          <w:sz w:val="18"/>
          <w:szCs w:val="18"/>
        </w:rPr>
        <w:t xml:space="preserve"> Accessed at: </w:t>
      </w:r>
      <w:hyperlink r:id="rId17" w:tgtFrame="_blank" w:history="1">
        <w:r w:rsidRPr="00CA6DF5">
          <w:rPr>
            <w:rStyle w:val="Hyperlink"/>
            <w:rFonts w:asciiTheme="minorHAnsi" w:hAnsiTheme="minorHAnsi"/>
            <w:sz w:val="18"/>
            <w:szCs w:val="18"/>
          </w:rPr>
          <w:t>http://www.cdc.gov/drugoverdose/opioids/fentanyl.html</w:t>
        </w:r>
      </w:hyperlink>
    </w:p>
  </w:footnote>
  <w:footnote w:id="28">
    <w:p w:rsidR="002666A8" w:rsidRDefault="002666A8">
      <w:pPr>
        <w:pStyle w:val="FootnoteText"/>
      </w:pPr>
      <w:r>
        <w:rPr>
          <w:rStyle w:val="FootnoteReference"/>
        </w:rPr>
        <w:footnoteRef/>
      </w:r>
      <w:r>
        <w:t xml:space="preserve"> </w:t>
      </w:r>
      <w:r>
        <w:rPr>
          <w:rFonts w:ascii="Calibri" w:hAnsi="Calibri"/>
          <w:sz w:val="18"/>
        </w:rPr>
        <w:t>While “</w:t>
      </w:r>
      <w:r w:rsidRPr="001141BB">
        <w:rPr>
          <w:rFonts w:ascii="Calibri" w:hAnsi="Calibri"/>
          <w:sz w:val="18"/>
        </w:rPr>
        <w:t>deadliness</w:t>
      </w:r>
      <w:r>
        <w:rPr>
          <w:rFonts w:ascii="Calibri" w:hAnsi="Calibri"/>
          <w:sz w:val="18"/>
        </w:rPr>
        <w:t>” is an imprecise term, drugs</w:t>
      </w:r>
      <w:r w:rsidRPr="001141BB">
        <w:rPr>
          <w:rFonts w:ascii="Calibri" w:hAnsi="Calibri"/>
          <w:sz w:val="18"/>
        </w:rPr>
        <w:t xml:space="preserve"> </w:t>
      </w:r>
      <w:r>
        <w:rPr>
          <w:rFonts w:ascii="Calibri" w:hAnsi="Calibri"/>
          <w:sz w:val="18"/>
        </w:rPr>
        <w:t>are considered deadlier when equivalent amounts are more likely to lead to death.  In this case, equivalent amounts of Heroin or Fentanyl are more likely to result in death than buprenorphine.</w:t>
      </w:r>
    </w:p>
  </w:footnote>
  <w:footnote w:id="29">
    <w:p w:rsidR="002666A8" w:rsidRPr="004F1712" w:rsidRDefault="002666A8" w:rsidP="00400E42">
      <w:pPr>
        <w:pStyle w:val="FootnoteText"/>
        <w:rPr>
          <w:rFonts w:asciiTheme="minorHAnsi" w:hAnsiTheme="minorHAnsi"/>
        </w:rPr>
      </w:pPr>
      <w:r w:rsidRPr="004F1712">
        <w:rPr>
          <w:rStyle w:val="FootnoteReference"/>
          <w:rFonts w:asciiTheme="minorHAnsi" w:hAnsiTheme="minorHAnsi"/>
          <w:sz w:val="18"/>
          <w:szCs w:val="18"/>
        </w:rPr>
        <w:footnoteRef/>
      </w:r>
      <w:r w:rsidRPr="004F1712">
        <w:rPr>
          <w:rFonts w:asciiTheme="minorHAnsi" w:hAnsiTheme="minorHAnsi"/>
          <w:sz w:val="18"/>
          <w:szCs w:val="18"/>
        </w:rPr>
        <w:t xml:space="preserve"> This value (1,657) differs from the total number of cases with toxicology reports (1,692) because there were 35 cases in which no positive results for the substances listed in the table were detected.</w:t>
      </w:r>
    </w:p>
  </w:footnote>
  <w:footnote w:id="30">
    <w:p w:rsidR="002666A8" w:rsidRPr="004F1712" w:rsidRDefault="002666A8" w:rsidP="004F1712">
      <w:pPr>
        <w:pStyle w:val="FootnoteText"/>
        <w:rPr>
          <w:rFonts w:asciiTheme="minorHAnsi" w:hAnsiTheme="minorHAnsi"/>
          <w:sz w:val="18"/>
          <w:szCs w:val="18"/>
        </w:rPr>
      </w:pPr>
      <w:r w:rsidRPr="004F1712">
        <w:rPr>
          <w:rStyle w:val="FootnoteReference"/>
          <w:rFonts w:asciiTheme="minorHAnsi" w:hAnsiTheme="minorHAnsi"/>
          <w:sz w:val="18"/>
          <w:szCs w:val="18"/>
        </w:rPr>
        <w:footnoteRef/>
      </w:r>
      <w:r w:rsidRPr="004F1712">
        <w:rPr>
          <w:rFonts w:asciiTheme="minorHAnsi" w:hAnsiTheme="minorHAnsi"/>
          <w:sz w:val="18"/>
          <w:szCs w:val="18"/>
        </w:rPr>
        <w:t xml:space="preserve"> This medication is in the sedative/hypnotic drug class, and acts on the central nervous system. When used in combination with an Opioid, it poses a very high risk for overdose.</w:t>
      </w:r>
    </w:p>
  </w:footnote>
  <w:footnote w:id="31">
    <w:p w:rsidR="002666A8" w:rsidRDefault="002666A8" w:rsidP="00400E42">
      <w:pPr>
        <w:pStyle w:val="FootnoteText"/>
      </w:pPr>
      <w:r w:rsidRPr="004F1712">
        <w:rPr>
          <w:rStyle w:val="FootnoteReference"/>
          <w:rFonts w:asciiTheme="minorHAnsi" w:hAnsiTheme="minorHAnsi"/>
          <w:sz w:val="18"/>
          <w:szCs w:val="18"/>
        </w:rPr>
        <w:footnoteRef/>
      </w:r>
      <w:r w:rsidRPr="004F1712">
        <w:rPr>
          <w:rFonts w:asciiTheme="minorHAnsi" w:hAnsiTheme="minorHAnsi"/>
          <w:sz w:val="18"/>
          <w:szCs w:val="18"/>
        </w:rPr>
        <w:t xml:space="preserve"> </w:t>
      </w:r>
      <w:r w:rsidRPr="004F1712">
        <w:rPr>
          <w:rFonts w:asciiTheme="minorHAnsi" w:hAnsiTheme="minorHAnsi" w:cs="Arial"/>
          <w:color w:val="222222"/>
          <w:sz w:val="18"/>
          <w:szCs w:val="18"/>
          <w:shd w:val="clear" w:color="auto" w:fill="FFFFFF"/>
        </w:rPr>
        <w:t>Park, T. W., Saitz, R., Ganoczy, D., Ilgen, M. A., &amp; Bohnert, A. S. (2015).  Benzodiazepine prescribing patterns and deaths from drug overdose among US veterans receiving opioid analgesics: case-cohort study.  B</w:t>
      </w:r>
      <w:r w:rsidRPr="004F1712">
        <w:rPr>
          <w:rFonts w:asciiTheme="minorHAnsi" w:hAnsiTheme="minorHAnsi" w:cs="Arial"/>
          <w:i/>
          <w:iCs/>
          <w:color w:val="222222"/>
          <w:sz w:val="18"/>
          <w:szCs w:val="18"/>
          <w:shd w:val="clear" w:color="auto" w:fill="FFFFFF"/>
        </w:rPr>
        <w:t>mj</w:t>
      </w:r>
      <w:r w:rsidRPr="004F1712">
        <w:rPr>
          <w:rFonts w:asciiTheme="minorHAnsi" w:hAnsiTheme="minorHAnsi" w:cs="Arial"/>
          <w:color w:val="222222"/>
          <w:sz w:val="18"/>
          <w:szCs w:val="18"/>
          <w:shd w:val="clear" w:color="auto" w:fill="FFFFFF"/>
        </w:rPr>
        <w:t>, </w:t>
      </w:r>
      <w:r w:rsidRPr="004F1712">
        <w:rPr>
          <w:rFonts w:asciiTheme="minorHAnsi" w:hAnsiTheme="minorHAnsi" w:cs="Arial"/>
          <w:i/>
          <w:iCs/>
          <w:color w:val="222222"/>
          <w:sz w:val="18"/>
          <w:szCs w:val="18"/>
          <w:shd w:val="clear" w:color="auto" w:fill="FFFFFF"/>
        </w:rPr>
        <w:t>350</w:t>
      </w:r>
      <w:r w:rsidRPr="004F1712">
        <w:rPr>
          <w:rFonts w:asciiTheme="minorHAnsi" w:hAnsiTheme="minorHAnsi" w:cs="Arial"/>
          <w:color w:val="222222"/>
          <w:sz w:val="18"/>
          <w:szCs w:val="18"/>
          <w:shd w:val="clear" w:color="auto" w:fill="FFFFFF"/>
        </w:rPr>
        <w:t>, h2698.</w:t>
      </w:r>
    </w:p>
  </w:footnote>
  <w:footnote w:id="32">
    <w:p w:rsidR="002666A8" w:rsidRDefault="002666A8" w:rsidP="00400E42">
      <w:pPr>
        <w:pStyle w:val="FootnoteText"/>
      </w:pPr>
      <w:r w:rsidRPr="002A7973">
        <w:rPr>
          <w:rStyle w:val="FootnoteReference"/>
          <w:sz w:val="18"/>
          <w:szCs w:val="18"/>
        </w:rPr>
        <w:footnoteRef/>
      </w:r>
      <w:r w:rsidRPr="002A7973">
        <w:rPr>
          <w:rFonts w:ascii="Calibri" w:hAnsi="Calibri"/>
          <w:sz w:val="18"/>
          <w:szCs w:val="18"/>
        </w:rPr>
        <w:t xml:space="preserve"> Smith, RV, et al. "Gabapentin misuse, abuse and diversion: a systematic review." Addiction. 2016 Jul;111(7):1160-1174. doi: 10.1111/add.13324</w:t>
      </w:r>
      <w:r>
        <w:rPr>
          <w:rFonts w:ascii="Calibri" w:hAnsi="Calibri"/>
          <w:sz w:val="18"/>
          <w:szCs w:val="18"/>
        </w:rPr>
        <w:t>.  E</w:t>
      </w:r>
      <w:r w:rsidRPr="002A7973">
        <w:rPr>
          <w:rFonts w:ascii="Calibri" w:hAnsi="Calibri"/>
          <w:sz w:val="18"/>
          <w:szCs w:val="18"/>
        </w:rPr>
        <w:t>pub 2016 Mar 18.</w:t>
      </w:r>
    </w:p>
  </w:footnote>
  <w:footnote w:id="33">
    <w:p w:rsidR="002666A8" w:rsidRDefault="002666A8" w:rsidP="00400E42">
      <w:pPr>
        <w:pStyle w:val="FootnoteText"/>
      </w:pPr>
      <w:r w:rsidRPr="002A7973">
        <w:rPr>
          <w:rStyle w:val="FootnoteReference"/>
          <w:sz w:val="18"/>
          <w:szCs w:val="18"/>
        </w:rPr>
        <w:footnoteRef/>
      </w:r>
      <w:r w:rsidRPr="002A7973">
        <w:rPr>
          <w:rFonts w:ascii="Calibri" w:hAnsi="Calibri"/>
          <w:sz w:val="18"/>
          <w:szCs w:val="18"/>
        </w:rPr>
        <w:t xml:space="preserve"> Shapiro, B. J., Lynch, K. L., Toochinda, T., Lutnick, A., Cheng, H. Y., &amp; Kral, A. H. (2013)</w:t>
      </w:r>
      <w:r>
        <w:rPr>
          <w:rFonts w:ascii="Calibri" w:hAnsi="Calibri"/>
          <w:sz w:val="18"/>
          <w:szCs w:val="18"/>
        </w:rPr>
        <w:t>.  P</w:t>
      </w:r>
      <w:r w:rsidRPr="002A7973">
        <w:rPr>
          <w:rFonts w:ascii="Calibri" w:hAnsi="Calibri"/>
          <w:sz w:val="18"/>
          <w:szCs w:val="18"/>
        </w:rPr>
        <w:t>romethazine misuse among methadone maintenance patients and community-based injection drug users</w:t>
      </w:r>
      <w:r>
        <w:rPr>
          <w:rFonts w:ascii="Calibri" w:hAnsi="Calibri"/>
          <w:sz w:val="18"/>
          <w:szCs w:val="18"/>
        </w:rPr>
        <w:t>.  J</w:t>
      </w:r>
      <w:r w:rsidRPr="002A7973">
        <w:rPr>
          <w:rFonts w:ascii="Calibri" w:hAnsi="Calibri"/>
          <w:sz w:val="18"/>
          <w:szCs w:val="18"/>
        </w:rPr>
        <w:t>ournal of addiction medicine,7(2), 96.</w:t>
      </w:r>
    </w:p>
  </w:footnote>
  <w:footnote w:id="34">
    <w:p w:rsidR="002666A8" w:rsidRDefault="002666A8" w:rsidP="00400E42">
      <w:pPr>
        <w:pStyle w:val="FootnoteText"/>
      </w:pPr>
      <w:r w:rsidRPr="002A7973">
        <w:rPr>
          <w:rStyle w:val="FootnoteReference"/>
          <w:sz w:val="18"/>
          <w:szCs w:val="18"/>
        </w:rPr>
        <w:footnoteRef/>
      </w:r>
      <w:r w:rsidRPr="002A7973">
        <w:rPr>
          <w:rFonts w:ascii="Calibri" w:hAnsi="Calibri"/>
          <w:sz w:val="18"/>
          <w:szCs w:val="18"/>
        </w:rPr>
        <w:t xml:space="preserve"> Lynch, K. L., Shapiro, B. J., Coffa, D., Novak, S. P., &amp; Kral, A. H. (2015)</w:t>
      </w:r>
      <w:r>
        <w:rPr>
          <w:rFonts w:ascii="Calibri" w:hAnsi="Calibri"/>
          <w:sz w:val="18"/>
          <w:szCs w:val="18"/>
        </w:rPr>
        <w:t>.  P</w:t>
      </w:r>
      <w:r w:rsidRPr="002A7973">
        <w:rPr>
          <w:rFonts w:ascii="Calibri" w:hAnsi="Calibri"/>
          <w:sz w:val="18"/>
          <w:szCs w:val="18"/>
        </w:rPr>
        <w:t>romethazine use among chronic pain patients</w:t>
      </w:r>
      <w:r>
        <w:rPr>
          <w:rFonts w:ascii="Calibri" w:hAnsi="Calibri"/>
          <w:sz w:val="18"/>
          <w:szCs w:val="18"/>
        </w:rPr>
        <w:t>.  D</w:t>
      </w:r>
      <w:r w:rsidRPr="002A7973">
        <w:rPr>
          <w:rFonts w:ascii="Calibri" w:hAnsi="Calibri"/>
          <w:sz w:val="18"/>
          <w:szCs w:val="18"/>
        </w:rPr>
        <w:t>rug and alcohol dependence, 150, 92-97.</w:t>
      </w:r>
    </w:p>
  </w:footnote>
  <w:footnote w:id="35">
    <w:p w:rsidR="002666A8" w:rsidRDefault="002666A8" w:rsidP="00400E42">
      <w:pPr>
        <w:pStyle w:val="FootnoteText"/>
      </w:pPr>
      <w:r w:rsidRPr="002A7973">
        <w:rPr>
          <w:rStyle w:val="FootnoteReference"/>
          <w:sz w:val="18"/>
          <w:szCs w:val="18"/>
        </w:rPr>
        <w:footnoteRef/>
      </w:r>
      <w:r w:rsidRPr="002A7973">
        <w:rPr>
          <w:rFonts w:ascii="Calibri" w:hAnsi="Calibri"/>
          <w:sz w:val="18"/>
          <w:szCs w:val="18"/>
        </w:rPr>
        <w:t xml:space="preserve"> Dennison, S. J. (2001)</w:t>
      </w:r>
      <w:r>
        <w:rPr>
          <w:rFonts w:ascii="Calibri" w:hAnsi="Calibri"/>
          <w:sz w:val="18"/>
          <w:szCs w:val="18"/>
        </w:rPr>
        <w:t>.  C</w:t>
      </w:r>
      <w:r w:rsidRPr="002A7973">
        <w:rPr>
          <w:rFonts w:ascii="Calibri" w:hAnsi="Calibri"/>
          <w:sz w:val="18"/>
          <w:szCs w:val="18"/>
        </w:rPr>
        <w:t>lonidine abuse among opiate addicts</w:t>
      </w:r>
      <w:r>
        <w:rPr>
          <w:rFonts w:ascii="Calibri" w:hAnsi="Calibri"/>
          <w:sz w:val="18"/>
          <w:szCs w:val="18"/>
        </w:rPr>
        <w:t>.  P</w:t>
      </w:r>
      <w:r w:rsidRPr="002A7973">
        <w:rPr>
          <w:rFonts w:ascii="Calibri" w:hAnsi="Calibri"/>
          <w:sz w:val="18"/>
          <w:szCs w:val="18"/>
        </w:rPr>
        <w:t>sychiatric quarterly, 72(2), 191-195.</w:t>
      </w:r>
    </w:p>
  </w:footnote>
  <w:footnote w:id="36">
    <w:p w:rsidR="002666A8" w:rsidRDefault="002666A8" w:rsidP="00400E42">
      <w:pPr>
        <w:pStyle w:val="FootnoteText"/>
      </w:pPr>
      <w:r w:rsidRPr="002A7973">
        <w:rPr>
          <w:rStyle w:val="FootnoteReference"/>
          <w:sz w:val="18"/>
          <w:szCs w:val="18"/>
        </w:rPr>
        <w:footnoteRef/>
      </w:r>
      <w:r w:rsidRPr="002A7973">
        <w:rPr>
          <w:rFonts w:ascii="Calibri" w:hAnsi="Calibri"/>
          <w:sz w:val="18"/>
          <w:szCs w:val="18"/>
        </w:rPr>
        <w:t xml:space="preserve"> Beuger, M., Tommasello, A., Schwartz, R., &amp; Clinton, M. (1998)</w:t>
      </w:r>
      <w:r>
        <w:rPr>
          <w:rFonts w:ascii="Calibri" w:hAnsi="Calibri"/>
          <w:sz w:val="18"/>
          <w:szCs w:val="18"/>
        </w:rPr>
        <w:t>.  C</w:t>
      </w:r>
      <w:r w:rsidRPr="002A7973">
        <w:rPr>
          <w:rFonts w:ascii="Calibri" w:hAnsi="Calibri"/>
          <w:sz w:val="18"/>
          <w:szCs w:val="18"/>
        </w:rPr>
        <w:t>lonidine use and abuse among methadone program applicants and patients</w:t>
      </w:r>
      <w:r>
        <w:rPr>
          <w:rFonts w:ascii="Calibri" w:hAnsi="Calibri"/>
          <w:sz w:val="18"/>
          <w:szCs w:val="18"/>
        </w:rPr>
        <w:t>.  J</w:t>
      </w:r>
      <w:r w:rsidRPr="002A7973">
        <w:rPr>
          <w:rFonts w:ascii="Calibri" w:hAnsi="Calibri"/>
          <w:sz w:val="18"/>
          <w:szCs w:val="18"/>
        </w:rPr>
        <w:t>ournal of substance abuse treatment, 15(6), 589-593.</w:t>
      </w:r>
    </w:p>
  </w:footnote>
  <w:footnote w:id="37">
    <w:p w:rsidR="002666A8" w:rsidRDefault="002666A8" w:rsidP="00400E42">
      <w:pPr>
        <w:pStyle w:val="FootnoteText"/>
      </w:pPr>
      <w:r w:rsidRPr="004A7BF5">
        <w:rPr>
          <w:rStyle w:val="FootnoteReference"/>
          <w:sz w:val="18"/>
          <w:szCs w:val="18"/>
        </w:rPr>
        <w:footnoteRef/>
      </w:r>
      <w:r w:rsidRPr="004A7BF5">
        <w:rPr>
          <w:rFonts w:ascii="Calibri" w:hAnsi="Calibri"/>
          <w:sz w:val="18"/>
          <w:szCs w:val="18"/>
        </w:rPr>
        <w:t xml:space="preserve"> Kariminia A, Butler TG, Corben SP, Levy MH, Grant L, Kaldor JM, Law MG: Extreme cause specific mortality in a cohort of adult prisoners – 1998 to 2002: a data-linkage study</w:t>
      </w:r>
      <w:r>
        <w:rPr>
          <w:rFonts w:ascii="Calibri" w:hAnsi="Calibri"/>
          <w:sz w:val="18"/>
          <w:szCs w:val="18"/>
        </w:rPr>
        <w:t>.  I</w:t>
      </w:r>
      <w:r w:rsidRPr="004A7BF5">
        <w:rPr>
          <w:rFonts w:ascii="Calibri" w:hAnsi="Calibri"/>
          <w:sz w:val="18"/>
          <w:szCs w:val="18"/>
        </w:rPr>
        <w:t>nt J Epidemiol. 2007, 36 (2): 310-8.10.1093/ije/dyl225.</w:t>
      </w:r>
    </w:p>
  </w:footnote>
  <w:footnote w:id="38">
    <w:p w:rsidR="002666A8" w:rsidRDefault="002666A8" w:rsidP="00400E42">
      <w:pPr>
        <w:autoSpaceDE w:val="0"/>
        <w:autoSpaceDN w:val="0"/>
        <w:adjustRightInd w:val="0"/>
      </w:pPr>
      <w:r w:rsidRPr="004A7BF5">
        <w:rPr>
          <w:rStyle w:val="FootnoteReference"/>
          <w:b/>
          <w:bCs/>
          <w:sz w:val="18"/>
          <w:szCs w:val="18"/>
        </w:rPr>
        <w:footnoteRef/>
      </w:r>
      <w:r w:rsidRPr="004A7BF5">
        <w:rPr>
          <w:rFonts w:ascii="Calibri" w:hAnsi="Calibri"/>
          <w:sz w:val="18"/>
          <w:szCs w:val="18"/>
        </w:rPr>
        <w:t xml:space="preserve"> </w:t>
      </w:r>
      <w:r w:rsidRPr="004A7BF5">
        <w:rPr>
          <w:rFonts w:ascii="Calibri" w:hAnsi="Calibri" w:cs="AdvTTc7ad1622"/>
          <w:sz w:val="18"/>
          <w:szCs w:val="18"/>
        </w:rPr>
        <w:t>Glaze L. E., Keuble D</w:t>
      </w:r>
      <w:r>
        <w:rPr>
          <w:rFonts w:ascii="Calibri" w:hAnsi="Calibri" w:cs="AdvTTc7ad1622"/>
          <w:sz w:val="18"/>
          <w:szCs w:val="18"/>
        </w:rPr>
        <w:t>.  C</w:t>
      </w:r>
      <w:r w:rsidRPr="004A7BF5">
        <w:rPr>
          <w:rFonts w:ascii="Calibri" w:hAnsi="Calibri" w:cs="AdvTT17891b3d.I"/>
          <w:sz w:val="18"/>
          <w:szCs w:val="18"/>
        </w:rPr>
        <w:t xml:space="preserve">orrectional Populations in the United States, </w:t>
      </w:r>
      <w:r w:rsidRPr="004A7BF5">
        <w:rPr>
          <w:rFonts w:ascii="Calibri" w:hAnsi="Calibri" w:cs="AdvTTc7ad1622"/>
          <w:sz w:val="18"/>
          <w:szCs w:val="18"/>
        </w:rPr>
        <w:t>2013</w:t>
      </w:r>
      <w:r>
        <w:rPr>
          <w:rFonts w:ascii="Calibri" w:hAnsi="Calibri" w:cs="AdvTTc7ad1622"/>
          <w:sz w:val="18"/>
          <w:szCs w:val="18"/>
        </w:rPr>
        <w:t>.  W</w:t>
      </w:r>
      <w:r w:rsidRPr="004A7BF5">
        <w:rPr>
          <w:rFonts w:ascii="Calibri" w:hAnsi="Calibri" w:cs="AdvTTc7ad1622"/>
          <w:sz w:val="18"/>
          <w:szCs w:val="18"/>
        </w:rPr>
        <w:t>ashington, DC: Bureau of Justice Statistics; 2014.</w:t>
      </w:r>
    </w:p>
  </w:footnote>
  <w:footnote w:id="39">
    <w:p w:rsidR="002666A8" w:rsidRDefault="002666A8" w:rsidP="00400E42">
      <w:pPr>
        <w:pStyle w:val="FootnoteText"/>
      </w:pPr>
      <w:r w:rsidRPr="004A7BF5">
        <w:rPr>
          <w:rStyle w:val="FootnoteReference"/>
          <w:sz w:val="18"/>
          <w:szCs w:val="18"/>
        </w:rPr>
        <w:footnoteRef/>
      </w:r>
      <w:r>
        <w:t xml:space="preserve"> </w:t>
      </w:r>
      <w:r w:rsidRPr="004A7BF5">
        <w:rPr>
          <w:rFonts w:ascii="Calibri" w:hAnsi="Calibri"/>
          <w:iCs/>
          <w:sz w:val="18"/>
          <w:szCs w:val="18"/>
        </w:rPr>
        <w:t>Merrall EL, Kariminia A, Binswanger IA, Hobbs MS, Farrell M, Marsden J, Hutchinson SJ, Bird SM: Meta-analysis of drug-related deaths soon after release from prison</w:t>
      </w:r>
      <w:r>
        <w:rPr>
          <w:rFonts w:ascii="Calibri" w:hAnsi="Calibri"/>
          <w:iCs/>
          <w:sz w:val="18"/>
          <w:szCs w:val="18"/>
        </w:rPr>
        <w:t>.  A</w:t>
      </w:r>
      <w:r w:rsidRPr="004A7BF5">
        <w:rPr>
          <w:rFonts w:ascii="Calibri" w:hAnsi="Calibri"/>
          <w:iCs/>
          <w:sz w:val="18"/>
          <w:szCs w:val="18"/>
        </w:rPr>
        <w:t>ddiction. 2010, 105 (9): 1545-1554. 10.1111/j.1360-0443.2010.02990.x</w:t>
      </w:r>
    </w:p>
  </w:footnote>
  <w:footnote w:id="40">
    <w:p w:rsidR="002666A8" w:rsidRDefault="002666A8" w:rsidP="00400E42">
      <w:pPr>
        <w:pStyle w:val="FootnoteText"/>
      </w:pPr>
      <w:r w:rsidRPr="00232D2E">
        <w:rPr>
          <w:rStyle w:val="FootnoteReference"/>
          <w:sz w:val="18"/>
          <w:szCs w:val="18"/>
        </w:rPr>
        <w:footnoteRef/>
      </w:r>
      <w:r w:rsidRPr="00232D2E">
        <w:rPr>
          <w:rFonts w:ascii="Calibri" w:hAnsi="Calibri"/>
          <w:sz w:val="18"/>
          <w:szCs w:val="18"/>
        </w:rPr>
        <w:t xml:space="preserve"> This figure represents sum of the population of the state in 2013 and 2014.</w:t>
      </w:r>
    </w:p>
  </w:footnote>
  <w:footnote w:id="41">
    <w:p w:rsidR="002666A8" w:rsidRPr="001141BB" w:rsidRDefault="002666A8" w:rsidP="00FB160F">
      <w:pPr>
        <w:pStyle w:val="FootnoteText"/>
        <w:rPr>
          <w:rFonts w:ascii="Calibri" w:hAnsi="Calibri"/>
          <w:sz w:val="18"/>
          <w:szCs w:val="18"/>
        </w:rPr>
      </w:pPr>
      <w:r w:rsidRPr="001141BB">
        <w:rPr>
          <w:rStyle w:val="FootnoteReference"/>
          <w:sz w:val="18"/>
          <w:szCs w:val="18"/>
        </w:rPr>
        <w:footnoteRef/>
      </w:r>
      <w:r w:rsidRPr="001141BB">
        <w:rPr>
          <w:rFonts w:ascii="Calibri" w:hAnsi="Calibri"/>
          <w:sz w:val="18"/>
          <w:szCs w:val="18"/>
        </w:rPr>
        <w:t xml:space="preserve"> The Comprehensive Drug Abuse Prevention and Control Act of 1970 established an initial list of five classifications </w:t>
      </w:r>
      <w:r>
        <w:rPr>
          <w:rFonts w:ascii="Calibri" w:hAnsi="Calibri"/>
          <w:sz w:val="18"/>
          <w:szCs w:val="18"/>
        </w:rPr>
        <w:t xml:space="preserve">or </w:t>
      </w:r>
      <w:r w:rsidRPr="001141BB">
        <w:rPr>
          <w:rFonts w:ascii="Calibri" w:hAnsi="Calibri"/>
          <w:sz w:val="18"/>
          <w:szCs w:val="18"/>
          <w:u w:val="single"/>
        </w:rPr>
        <w:t>schedules</w:t>
      </w:r>
      <w:r>
        <w:rPr>
          <w:rFonts w:ascii="Calibri" w:hAnsi="Calibri"/>
          <w:sz w:val="18"/>
          <w:szCs w:val="18"/>
        </w:rPr>
        <w:t xml:space="preserve"> </w:t>
      </w:r>
      <w:r w:rsidRPr="001141BB">
        <w:rPr>
          <w:rFonts w:ascii="Calibri" w:hAnsi="Calibri"/>
          <w:sz w:val="18"/>
          <w:szCs w:val="18"/>
        </w:rPr>
        <w:t>of drugs</w:t>
      </w:r>
      <w:r>
        <w:rPr>
          <w:rFonts w:ascii="Calibri" w:hAnsi="Calibri"/>
          <w:sz w:val="18"/>
          <w:szCs w:val="18"/>
        </w:rPr>
        <w:t>.  The legislation also</w:t>
      </w:r>
      <w:r w:rsidRPr="001141BB">
        <w:rPr>
          <w:rFonts w:ascii="Calibri" w:hAnsi="Calibri"/>
          <w:sz w:val="18"/>
          <w:szCs w:val="18"/>
        </w:rPr>
        <w:t xml:space="preserve"> authorized two Federal agencies (the Drug Enforcement Administration and the Food and Drug Administration) to manage the </w:t>
      </w:r>
      <w:r>
        <w:rPr>
          <w:rFonts w:ascii="Calibri" w:hAnsi="Calibri"/>
          <w:sz w:val="18"/>
          <w:szCs w:val="18"/>
        </w:rPr>
        <w:t>five schedules</w:t>
      </w:r>
      <w:r w:rsidRPr="001141BB">
        <w:rPr>
          <w:rFonts w:ascii="Calibri" w:hAnsi="Calibri"/>
          <w:sz w:val="18"/>
          <w:szCs w:val="18"/>
        </w:rPr>
        <w:t xml:space="preserve"> and add or subtract drugs as needed.</w:t>
      </w:r>
    </w:p>
  </w:footnote>
  <w:footnote w:id="42">
    <w:p w:rsidR="002666A8" w:rsidRPr="001141BB" w:rsidRDefault="002666A8" w:rsidP="00FB160F">
      <w:pPr>
        <w:pStyle w:val="FootnoteText"/>
        <w:rPr>
          <w:rFonts w:ascii="Calibri" w:hAnsi="Calibri"/>
        </w:rPr>
      </w:pPr>
      <w:r w:rsidRPr="001141BB">
        <w:rPr>
          <w:rStyle w:val="FootnoteReference"/>
          <w:sz w:val="18"/>
        </w:rPr>
        <w:footnoteRef/>
      </w:r>
      <w:r w:rsidRPr="001141BB">
        <w:rPr>
          <w:rFonts w:ascii="Calibri" w:hAnsi="Calibri"/>
          <w:sz w:val="18"/>
        </w:rPr>
        <w:t xml:space="preserve"> </w:t>
      </w:r>
      <w:r>
        <w:rPr>
          <w:rFonts w:ascii="Calibri" w:hAnsi="Calibri"/>
          <w:sz w:val="18"/>
        </w:rPr>
        <w:t>While “</w:t>
      </w:r>
      <w:r w:rsidRPr="001141BB">
        <w:rPr>
          <w:rFonts w:ascii="Calibri" w:hAnsi="Calibri"/>
          <w:sz w:val="18"/>
        </w:rPr>
        <w:t>deadliness</w:t>
      </w:r>
      <w:r>
        <w:rPr>
          <w:rFonts w:ascii="Calibri" w:hAnsi="Calibri"/>
          <w:sz w:val="18"/>
        </w:rPr>
        <w:t>” is an imprecise term, drugs</w:t>
      </w:r>
      <w:r w:rsidRPr="001141BB">
        <w:rPr>
          <w:rFonts w:ascii="Calibri" w:hAnsi="Calibri"/>
          <w:sz w:val="18"/>
        </w:rPr>
        <w:t xml:space="preserve"> </w:t>
      </w:r>
      <w:r>
        <w:rPr>
          <w:rFonts w:ascii="Calibri" w:hAnsi="Calibri"/>
          <w:sz w:val="18"/>
        </w:rPr>
        <w:t>are considered deadlier when equivalent amounts are more likely to lead to death.  In this case, equivalent amounts of Heroin or Fentanyl are more likely to result in death than buprenorphine.</w:t>
      </w:r>
    </w:p>
  </w:footnote>
  <w:footnote w:id="43">
    <w:p w:rsidR="002666A8" w:rsidRDefault="002666A8" w:rsidP="00FB160F">
      <w:pPr>
        <w:pStyle w:val="FootnoteText"/>
      </w:pPr>
      <w:r w:rsidRPr="00163D74">
        <w:rPr>
          <w:rStyle w:val="FootnoteReference"/>
          <w:sz w:val="18"/>
          <w:szCs w:val="18"/>
        </w:rPr>
        <w:footnoteRef/>
      </w:r>
      <w:r w:rsidRPr="00163D74">
        <w:rPr>
          <w:rFonts w:ascii="Calibri" w:hAnsi="Calibri"/>
          <w:sz w:val="18"/>
          <w:szCs w:val="18"/>
        </w:rPr>
        <w:t xml:space="preserve"> There are evidence-based guidelines from SAMHSA and associations like American Society of Addiction Medicine (ASAM) and American Psychological Association (APA) for particular treatment services and for particular populations</w:t>
      </w:r>
      <w:r>
        <w:rPr>
          <w:rFonts w:ascii="Calibri" w:hAnsi="Calibri"/>
          <w:sz w:val="18"/>
          <w:szCs w:val="18"/>
        </w:rPr>
        <w:t>.  F</w:t>
      </w:r>
      <w:r w:rsidRPr="00163D74">
        <w:rPr>
          <w:rFonts w:ascii="Calibri" w:hAnsi="Calibri"/>
          <w:sz w:val="18"/>
          <w:szCs w:val="18"/>
        </w:rPr>
        <w:t>or instance, there are guidelines for clinically evaluating patients to determine what is medically necessary and determine individualistic needs</w:t>
      </w:r>
      <w:r>
        <w:rPr>
          <w:rFonts w:ascii="Calibri" w:hAnsi="Calibri"/>
          <w:sz w:val="18"/>
          <w:szCs w:val="18"/>
        </w:rPr>
        <w:t>.  T</w:t>
      </w:r>
      <w:r w:rsidRPr="00163D74">
        <w:rPr>
          <w:rFonts w:ascii="Calibri" w:hAnsi="Calibri"/>
          <w:sz w:val="18"/>
          <w:szCs w:val="18"/>
        </w:rPr>
        <w:t>he guidelines outline standards of care for stabilizing patients with withdrawal symptoms during detoxification and there are recommendations for maintenance care</w:t>
      </w:r>
      <w:r>
        <w:rPr>
          <w:rFonts w:ascii="Calibri" w:hAnsi="Calibri"/>
          <w:sz w:val="18"/>
          <w:szCs w:val="18"/>
        </w:rPr>
        <w:t>.  T</w:t>
      </w:r>
      <w:r w:rsidRPr="00163D74">
        <w:rPr>
          <w:rFonts w:ascii="Calibri" w:hAnsi="Calibri"/>
          <w:sz w:val="18"/>
          <w:szCs w:val="18"/>
        </w:rPr>
        <w:t>he guidelines also specify MAT dosing for detoxification purposes as well as maintenance</w:t>
      </w:r>
      <w:r>
        <w:rPr>
          <w:rFonts w:ascii="Calibri" w:hAnsi="Calibri"/>
          <w:sz w:val="18"/>
          <w:szCs w:val="18"/>
        </w:rPr>
        <w:t>.  O</w:t>
      </w:r>
      <w:r w:rsidRPr="00163D74">
        <w:rPr>
          <w:rFonts w:ascii="Calibri" w:hAnsi="Calibri"/>
          <w:sz w:val="18"/>
          <w:szCs w:val="18"/>
          <w:highlight w:val="white"/>
        </w:rPr>
        <w:t>ften, people with severe addiction are poly-substance users and require treatment for all substances abused.</w:t>
      </w:r>
    </w:p>
  </w:footnote>
  <w:footnote w:id="44">
    <w:p w:rsidR="002666A8" w:rsidRDefault="002666A8" w:rsidP="00FB160F">
      <w:pPr>
        <w:pStyle w:val="FootnoteText"/>
      </w:pPr>
      <w:r w:rsidRPr="00F978E0">
        <w:rPr>
          <w:rStyle w:val="FootnoteReference"/>
          <w:sz w:val="18"/>
          <w:szCs w:val="18"/>
        </w:rPr>
        <w:footnoteRef/>
      </w:r>
      <w:r w:rsidRPr="00F978E0">
        <w:rPr>
          <w:rFonts w:ascii="Calibri" w:hAnsi="Calibri"/>
          <w:sz w:val="18"/>
          <w:szCs w:val="18"/>
        </w:rPr>
        <w:t xml:space="preserve"> </w:t>
      </w:r>
      <w:r w:rsidRPr="00F978E0">
        <w:rPr>
          <w:rFonts w:ascii="Calibri" w:hAnsi="Calibri" w:cs="Arial"/>
          <w:sz w:val="18"/>
          <w:szCs w:val="18"/>
        </w:rPr>
        <w:t>Klingemann and Sobell, 2007; Shaffer, 2007; Shaffer and Jones, 1989; Slutske, 2006; Sobell et al., 1996</w:t>
      </w:r>
    </w:p>
  </w:footnote>
  <w:footnote w:id="45">
    <w:p w:rsidR="002666A8" w:rsidRDefault="002666A8" w:rsidP="00FB160F">
      <w:pPr>
        <w:pStyle w:val="FootnoteText"/>
      </w:pPr>
      <w:r w:rsidRPr="00F978E0">
        <w:rPr>
          <w:rStyle w:val="FootnoteReference"/>
          <w:sz w:val="18"/>
          <w:szCs w:val="18"/>
        </w:rPr>
        <w:footnoteRef/>
      </w:r>
      <w:r w:rsidRPr="00F978E0">
        <w:rPr>
          <w:rFonts w:ascii="Calibri" w:hAnsi="Calibri"/>
          <w:sz w:val="18"/>
          <w:szCs w:val="18"/>
        </w:rPr>
        <w:t xml:space="preserve"> </w:t>
      </w:r>
      <w:r w:rsidRPr="00F978E0">
        <w:rPr>
          <w:rFonts w:ascii="Calibri" w:hAnsi="Calibri" w:cs="Arial"/>
          <w:color w:val="222222"/>
          <w:sz w:val="18"/>
          <w:szCs w:val="18"/>
          <w:shd w:val="clear" w:color="auto" w:fill="FFFFFF"/>
        </w:rPr>
        <w:t>Kessler, R. C., Aguilar-Gaxiola, S., Berglund, P. A., Caraveo-Anduaga, J. J., DeWit, D. J., Greenfield, S. F., ... &amp; Vega, W. A. (2001)</w:t>
      </w:r>
      <w:r>
        <w:rPr>
          <w:rFonts w:ascii="Calibri" w:hAnsi="Calibri" w:cs="Arial"/>
          <w:color w:val="222222"/>
          <w:sz w:val="18"/>
          <w:szCs w:val="18"/>
          <w:shd w:val="clear" w:color="auto" w:fill="FFFFFF"/>
        </w:rPr>
        <w:t>.  P</w:t>
      </w:r>
      <w:r w:rsidRPr="00F978E0">
        <w:rPr>
          <w:rFonts w:ascii="Calibri" w:hAnsi="Calibri" w:cs="Arial"/>
          <w:color w:val="222222"/>
          <w:sz w:val="18"/>
          <w:szCs w:val="18"/>
          <w:shd w:val="clear" w:color="auto" w:fill="FFFFFF"/>
        </w:rPr>
        <w:t>atterns and predictors of treatment seeking after onset of a substance use disorder.</w:t>
      </w:r>
      <w:r w:rsidRPr="00F978E0">
        <w:rPr>
          <w:rFonts w:ascii="Calibri" w:hAnsi="Calibri" w:cs="Arial"/>
          <w:i/>
          <w:iCs/>
          <w:color w:val="222222"/>
          <w:sz w:val="18"/>
          <w:szCs w:val="18"/>
          <w:shd w:val="clear" w:color="auto" w:fill="FFFFFF"/>
        </w:rPr>
        <w:t>Archives of general psychiatry</w:t>
      </w:r>
      <w:r w:rsidRPr="00F978E0">
        <w:rPr>
          <w:rFonts w:ascii="Calibri" w:hAnsi="Calibri" w:cs="Arial"/>
          <w:color w:val="222222"/>
          <w:sz w:val="18"/>
          <w:szCs w:val="18"/>
          <w:shd w:val="clear" w:color="auto" w:fill="FFFFFF"/>
        </w:rPr>
        <w:t>,</w:t>
      </w:r>
      <w:r w:rsidRPr="00F978E0">
        <w:rPr>
          <w:rStyle w:val="apple-converted-space"/>
          <w:rFonts w:ascii="Calibri" w:hAnsi="Calibri" w:cs="Arial"/>
          <w:color w:val="222222"/>
          <w:sz w:val="18"/>
          <w:szCs w:val="18"/>
          <w:shd w:val="clear" w:color="auto" w:fill="FFFFFF"/>
        </w:rPr>
        <w:t> </w:t>
      </w:r>
      <w:r w:rsidRPr="00F978E0">
        <w:rPr>
          <w:rFonts w:ascii="Calibri" w:hAnsi="Calibri" w:cs="Arial"/>
          <w:i/>
          <w:iCs/>
          <w:color w:val="222222"/>
          <w:sz w:val="18"/>
          <w:szCs w:val="18"/>
          <w:shd w:val="clear" w:color="auto" w:fill="FFFFFF"/>
        </w:rPr>
        <w:t>58</w:t>
      </w:r>
      <w:r w:rsidRPr="00F978E0">
        <w:rPr>
          <w:rFonts w:ascii="Calibri" w:hAnsi="Calibri" w:cs="Arial"/>
          <w:color w:val="222222"/>
          <w:sz w:val="18"/>
          <w:szCs w:val="18"/>
          <w:shd w:val="clear" w:color="auto" w:fill="FFFFFF"/>
        </w:rPr>
        <w:t>(11), 1065-1071.</w:t>
      </w:r>
    </w:p>
  </w:footnote>
  <w:footnote w:id="46">
    <w:p w:rsidR="002666A8" w:rsidRDefault="002666A8" w:rsidP="00FB160F">
      <w:pPr>
        <w:pStyle w:val="FootnoteText"/>
      </w:pPr>
      <w:r w:rsidRPr="00F978E0">
        <w:rPr>
          <w:rStyle w:val="FootnoteReference"/>
          <w:sz w:val="18"/>
          <w:szCs w:val="18"/>
        </w:rPr>
        <w:footnoteRef/>
      </w:r>
      <w:r w:rsidRPr="00F978E0">
        <w:rPr>
          <w:rFonts w:ascii="Calibri" w:hAnsi="Calibri"/>
          <w:sz w:val="18"/>
          <w:szCs w:val="18"/>
        </w:rPr>
        <w:t xml:space="preserve"> </w:t>
      </w:r>
      <w:r w:rsidRPr="00F978E0">
        <w:rPr>
          <w:rFonts w:ascii="Calibri" w:hAnsi="Calibri" w:cs="Helvetica"/>
          <w:color w:val="333333"/>
          <w:sz w:val="18"/>
          <w:szCs w:val="18"/>
        </w:rPr>
        <w:t>Substance Abuse and Mental Health Services Administration</w:t>
      </w:r>
      <w:r>
        <w:rPr>
          <w:rFonts w:ascii="Calibri" w:hAnsi="Calibri" w:cs="Helvetica"/>
          <w:color w:val="333333"/>
          <w:sz w:val="18"/>
          <w:szCs w:val="18"/>
        </w:rPr>
        <w:t>.  R</w:t>
      </w:r>
      <w:r w:rsidRPr="00F978E0">
        <w:rPr>
          <w:rFonts w:ascii="Calibri" w:hAnsi="Calibri" w:cs="Helvetica"/>
          <w:i/>
          <w:iCs/>
          <w:color w:val="333333"/>
          <w:sz w:val="18"/>
          <w:szCs w:val="18"/>
        </w:rPr>
        <w:t>esults from the 2014 National Survey on Drug Use and Health: Summary of National Findings</w:t>
      </w:r>
      <w:r>
        <w:rPr>
          <w:rFonts w:ascii="Calibri" w:hAnsi="Calibri" w:cs="Helvetica"/>
          <w:i/>
          <w:iCs/>
          <w:color w:val="333333"/>
          <w:sz w:val="18"/>
          <w:szCs w:val="18"/>
        </w:rPr>
        <w:t>.  R</w:t>
      </w:r>
      <w:r w:rsidRPr="00F978E0">
        <w:rPr>
          <w:rFonts w:ascii="Calibri" w:hAnsi="Calibri" w:cs="Helvetica"/>
          <w:color w:val="333333"/>
          <w:sz w:val="18"/>
          <w:szCs w:val="18"/>
        </w:rPr>
        <w:t>ockville, MD: Substance Abuse and Mental Health Services Administration; 2015.</w:t>
      </w:r>
    </w:p>
  </w:footnote>
  <w:footnote w:id="47">
    <w:p w:rsidR="002666A8" w:rsidRDefault="002666A8" w:rsidP="00FB160F">
      <w:pPr>
        <w:pStyle w:val="FootnoteText"/>
      </w:pPr>
      <w:r w:rsidRPr="00F978E0">
        <w:rPr>
          <w:rStyle w:val="FootnoteReference"/>
          <w:sz w:val="18"/>
          <w:szCs w:val="18"/>
        </w:rPr>
        <w:footnoteRef/>
      </w:r>
      <w:r w:rsidRPr="00F978E0">
        <w:rPr>
          <w:rFonts w:ascii="Calibri" w:hAnsi="Calibri"/>
          <w:sz w:val="18"/>
          <w:szCs w:val="18"/>
        </w:rPr>
        <w:t xml:space="preserve"> </w:t>
      </w:r>
      <w:r w:rsidRPr="00F978E0">
        <w:rPr>
          <w:rFonts w:ascii="Calibri" w:hAnsi="Calibri" w:cs="Helvetica"/>
          <w:color w:val="333333"/>
          <w:sz w:val="18"/>
          <w:szCs w:val="18"/>
        </w:rPr>
        <w:t>Honberg R, Diehl S, Kimball A, Gruttadaro D, Fitzpatrick M</w:t>
      </w:r>
      <w:r>
        <w:rPr>
          <w:rFonts w:ascii="Calibri" w:hAnsi="Calibri" w:cs="Helvetica"/>
          <w:color w:val="333333"/>
          <w:sz w:val="18"/>
          <w:szCs w:val="18"/>
        </w:rPr>
        <w:t>.  S</w:t>
      </w:r>
      <w:r w:rsidRPr="00F978E0">
        <w:rPr>
          <w:rFonts w:ascii="Calibri" w:hAnsi="Calibri" w:cs="Helvetica"/>
          <w:i/>
          <w:iCs/>
          <w:color w:val="333333"/>
          <w:sz w:val="18"/>
          <w:szCs w:val="18"/>
        </w:rPr>
        <w:t>tate mental health cuts: A national Crisis</w:t>
      </w:r>
      <w:r>
        <w:rPr>
          <w:rFonts w:ascii="Calibri" w:hAnsi="Calibri" w:cs="Helvetica"/>
          <w:i/>
          <w:iCs/>
          <w:color w:val="333333"/>
          <w:sz w:val="18"/>
          <w:szCs w:val="18"/>
        </w:rPr>
        <w:t>.  N</w:t>
      </w:r>
      <w:r w:rsidRPr="00F978E0">
        <w:rPr>
          <w:rFonts w:ascii="Calibri" w:hAnsi="Calibri" w:cs="Helvetica"/>
          <w:color w:val="333333"/>
          <w:sz w:val="18"/>
          <w:szCs w:val="18"/>
        </w:rPr>
        <w:t>ational Alliance on Mental Illness2011.</w:t>
      </w:r>
    </w:p>
  </w:footnote>
  <w:footnote w:id="48">
    <w:p w:rsidR="002666A8" w:rsidRDefault="002666A8" w:rsidP="00FB160F">
      <w:pPr>
        <w:pStyle w:val="FootnoteText"/>
      </w:pPr>
      <w:r w:rsidRPr="00F978E0">
        <w:rPr>
          <w:rStyle w:val="FootnoteReference"/>
          <w:sz w:val="18"/>
          <w:szCs w:val="18"/>
        </w:rPr>
        <w:footnoteRef/>
      </w:r>
      <w:r w:rsidRPr="00F978E0">
        <w:rPr>
          <w:rFonts w:ascii="Calibri" w:hAnsi="Calibri"/>
          <w:sz w:val="18"/>
          <w:szCs w:val="18"/>
        </w:rPr>
        <w:t xml:space="preserve"> </w:t>
      </w:r>
      <w:r w:rsidRPr="00F978E0">
        <w:rPr>
          <w:rFonts w:ascii="Calibri" w:hAnsi="Calibri" w:cs="Helvetica"/>
          <w:color w:val="333333"/>
          <w:sz w:val="18"/>
          <w:szCs w:val="18"/>
        </w:rPr>
        <w:t>Mental Health America</w:t>
      </w:r>
      <w:r>
        <w:rPr>
          <w:rFonts w:ascii="Calibri" w:hAnsi="Calibri" w:cs="Helvetica"/>
          <w:color w:val="333333"/>
          <w:sz w:val="18"/>
          <w:szCs w:val="18"/>
        </w:rPr>
        <w:t>.  P</w:t>
      </w:r>
      <w:r w:rsidRPr="00F978E0">
        <w:rPr>
          <w:rFonts w:ascii="Calibri" w:hAnsi="Calibri" w:cs="Helvetica"/>
          <w:color w:val="333333"/>
          <w:sz w:val="18"/>
          <w:szCs w:val="18"/>
        </w:rPr>
        <w:t>osition Statement 14: The Federal Government's Responsibilities for Mental Health Services. 2011;</w:t>
      </w:r>
      <w:r w:rsidRPr="00F978E0">
        <w:rPr>
          <w:rStyle w:val="apple-converted-space"/>
          <w:rFonts w:ascii="Calibri" w:hAnsi="Calibri" w:cs="Helvetica"/>
          <w:color w:val="333333"/>
          <w:sz w:val="18"/>
          <w:szCs w:val="18"/>
        </w:rPr>
        <w:t> </w:t>
      </w:r>
      <w:hyperlink r:id="rId18" w:history="1">
        <w:r w:rsidRPr="00F978E0">
          <w:rPr>
            <w:rStyle w:val="Hyperlink"/>
            <w:rFonts w:ascii="Calibri" w:hAnsi="Calibri" w:cs="Helvetica"/>
            <w:sz w:val="18"/>
            <w:szCs w:val="18"/>
          </w:rPr>
          <w:t>http://www.mentalhealthamerica.net/positions/federal-role</w:t>
        </w:r>
      </w:hyperlink>
      <w:r w:rsidRPr="00F978E0">
        <w:rPr>
          <w:rFonts w:ascii="Calibri" w:hAnsi="Calibri" w:cs="Helvetica"/>
          <w:color w:val="333333"/>
          <w:sz w:val="18"/>
          <w:szCs w:val="18"/>
        </w:rPr>
        <w:t>.</w:t>
      </w:r>
    </w:p>
  </w:footnote>
  <w:footnote w:id="49">
    <w:p w:rsidR="002666A8" w:rsidRPr="00F978E0" w:rsidRDefault="002666A8" w:rsidP="00FB160F">
      <w:pPr>
        <w:pStyle w:val="FootnoteText"/>
        <w:rPr>
          <w:rFonts w:ascii="Calibri" w:hAnsi="Calibri"/>
          <w:sz w:val="18"/>
          <w:szCs w:val="18"/>
        </w:rPr>
      </w:pPr>
      <w:r w:rsidRPr="00F978E0">
        <w:rPr>
          <w:rStyle w:val="FootnoteReference"/>
          <w:sz w:val="18"/>
          <w:szCs w:val="18"/>
        </w:rPr>
        <w:footnoteRef/>
      </w:r>
      <w:r w:rsidRPr="00F978E0">
        <w:rPr>
          <w:rFonts w:ascii="Calibri" w:hAnsi="Calibri"/>
          <w:sz w:val="18"/>
          <w:szCs w:val="18"/>
        </w:rPr>
        <w:t xml:space="preserve"> </w:t>
      </w:r>
      <w:r>
        <w:rPr>
          <w:rFonts w:ascii="Calibri" w:hAnsi="Calibri"/>
          <w:color w:val="000000"/>
          <w:sz w:val="18"/>
          <w:szCs w:val="18"/>
        </w:rPr>
        <w:t xml:space="preserve">Accessed at </w:t>
      </w:r>
      <w:hyperlink r:id="rId19" w:history="1">
        <w:r w:rsidRPr="00C74CEB">
          <w:rPr>
            <w:rStyle w:val="Hyperlink"/>
            <w:rFonts w:ascii="Calibri" w:hAnsi="Calibri" w:cs="Arial"/>
            <w:sz w:val="18"/>
            <w:szCs w:val="18"/>
          </w:rPr>
          <w:t>http://www.samhsa.gov/data/sites/default/files/NSDUH-DR-FRR3-2014/NSDUH-DR-FRR3-2014/NSDUH-DR-FRR3-2014.htm</w:t>
        </w:r>
      </w:hyperlink>
      <w:r>
        <w:rPr>
          <w:rFonts w:ascii="Calibri" w:hAnsi="Calibri" w:cs="Arial"/>
          <w:sz w:val="18"/>
          <w:szCs w:val="18"/>
        </w:rPr>
        <w:t xml:space="preserve"> </w:t>
      </w:r>
      <w:r w:rsidRPr="00F978E0">
        <w:rPr>
          <w:rFonts w:ascii="Calibri" w:hAnsi="Calibri" w:cs="Arial"/>
          <w:sz w:val="18"/>
          <w:szCs w:val="18"/>
        </w:rPr>
        <w:t xml:space="preserve"> (figure 15 and 21)</w:t>
      </w:r>
    </w:p>
    <w:p w:rsidR="002666A8" w:rsidRDefault="002666A8" w:rsidP="00FB160F">
      <w:pPr>
        <w:pStyle w:val="FootnoteText"/>
      </w:pPr>
    </w:p>
  </w:footnote>
  <w:footnote w:id="50">
    <w:p w:rsidR="002666A8" w:rsidRDefault="002666A8" w:rsidP="00FB160F">
      <w:pPr>
        <w:pStyle w:val="FootnoteText"/>
      </w:pPr>
      <w:r w:rsidRPr="002E20BE">
        <w:rPr>
          <w:rStyle w:val="FootnoteReference"/>
          <w:sz w:val="18"/>
          <w:szCs w:val="18"/>
        </w:rPr>
        <w:footnoteRef/>
      </w:r>
      <w:r w:rsidRPr="002E20BE">
        <w:rPr>
          <w:rFonts w:ascii="Calibri" w:hAnsi="Calibri"/>
          <w:sz w:val="18"/>
          <w:szCs w:val="18"/>
        </w:rPr>
        <w:t xml:space="preserve"> </w:t>
      </w:r>
      <w:r>
        <w:rPr>
          <w:rFonts w:ascii="Calibri" w:hAnsi="Calibri"/>
          <w:color w:val="000000"/>
          <w:sz w:val="18"/>
          <w:szCs w:val="18"/>
        </w:rPr>
        <w:t xml:space="preserve">Accessed at </w:t>
      </w:r>
      <w:hyperlink r:id="rId20" w:history="1">
        <w:r w:rsidRPr="00C74CEB">
          <w:rPr>
            <w:rStyle w:val="Hyperlink"/>
            <w:rFonts w:ascii="Calibri" w:hAnsi="Calibri"/>
            <w:sz w:val="18"/>
            <w:szCs w:val="18"/>
          </w:rPr>
          <w:t>http://helpline-online.com/</w:t>
        </w:r>
      </w:hyperlink>
      <w:r>
        <w:rPr>
          <w:rFonts w:ascii="Calibri" w:hAnsi="Calibri"/>
          <w:sz w:val="18"/>
          <w:szCs w:val="18"/>
        </w:rPr>
        <w:t xml:space="preserve"> </w:t>
      </w:r>
    </w:p>
  </w:footnote>
  <w:footnote w:id="51">
    <w:p w:rsidR="002666A8" w:rsidRPr="00390A22" w:rsidRDefault="002666A8" w:rsidP="00FB160F">
      <w:pPr>
        <w:pStyle w:val="FootnoteText"/>
        <w:rPr>
          <w:rFonts w:ascii="Calibri" w:hAnsi="Calibri"/>
          <w:sz w:val="18"/>
          <w:szCs w:val="18"/>
        </w:rPr>
      </w:pPr>
      <w:r w:rsidRPr="00E11012">
        <w:rPr>
          <w:rStyle w:val="FootnoteReference"/>
          <w:sz w:val="18"/>
          <w:szCs w:val="18"/>
        </w:rPr>
        <w:footnoteRef/>
      </w:r>
      <w:r w:rsidRPr="00E11012">
        <w:rPr>
          <w:rFonts w:ascii="Calibri" w:hAnsi="Calibri"/>
          <w:sz w:val="18"/>
          <w:szCs w:val="18"/>
        </w:rPr>
        <w:t xml:space="preserve"> The following ICD9 codes were used:</w:t>
      </w:r>
      <w:r>
        <w:rPr>
          <w:rFonts w:ascii="Calibri" w:hAnsi="Calibri"/>
          <w:sz w:val="18"/>
          <w:szCs w:val="18"/>
        </w:rPr>
        <w:t xml:space="preserve"> </w:t>
      </w:r>
      <w:r w:rsidRPr="00E11012">
        <w:rPr>
          <w:rFonts w:ascii="Calibri" w:hAnsi="Calibri"/>
          <w:sz w:val="18"/>
          <w:szCs w:val="18"/>
        </w:rPr>
        <w:t xml:space="preserve"> 96500, 96501, 96502, E8500, E8501, E8502.</w:t>
      </w:r>
    </w:p>
  </w:footnote>
  <w:footnote w:id="52">
    <w:p w:rsidR="002666A8" w:rsidRDefault="002666A8" w:rsidP="00FB160F">
      <w:pPr>
        <w:pStyle w:val="FootnoteText"/>
      </w:pPr>
      <w:r w:rsidRPr="00163D74">
        <w:rPr>
          <w:rStyle w:val="FootnoteReference"/>
          <w:sz w:val="18"/>
          <w:szCs w:val="18"/>
        </w:rPr>
        <w:footnoteRef/>
      </w:r>
      <w:r w:rsidRPr="00163D74">
        <w:rPr>
          <w:rFonts w:ascii="Calibri" w:hAnsi="Calibri"/>
          <w:sz w:val="18"/>
          <w:szCs w:val="18"/>
        </w:rPr>
        <w:t xml:space="preserve"> </w:t>
      </w:r>
      <w:r w:rsidRPr="00163D74">
        <w:rPr>
          <w:rFonts w:ascii="Calibri" w:hAnsi="Calibri" w:cs="Arial"/>
          <w:color w:val="222222"/>
          <w:sz w:val="18"/>
          <w:szCs w:val="18"/>
          <w:shd w:val="clear" w:color="auto" w:fill="FFFFFF"/>
        </w:rPr>
        <w:t>Chandler RK, et. Al.. "Treating drug abuse and addiction in the criminal justice system: improving public health and safety." </w:t>
      </w:r>
      <w:r w:rsidRPr="00163D74">
        <w:rPr>
          <w:rFonts w:ascii="Calibri" w:hAnsi="Calibri" w:cs="Arial"/>
          <w:i/>
          <w:iCs/>
          <w:color w:val="222222"/>
          <w:sz w:val="18"/>
          <w:szCs w:val="18"/>
          <w:shd w:val="clear" w:color="auto" w:fill="FFFFFF"/>
        </w:rPr>
        <w:t>Jama</w:t>
      </w:r>
      <w:r w:rsidRPr="00163D74">
        <w:rPr>
          <w:rFonts w:ascii="Calibri" w:hAnsi="Calibri" w:cs="Arial"/>
          <w:color w:val="222222"/>
          <w:sz w:val="18"/>
          <w:szCs w:val="18"/>
          <w:shd w:val="clear" w:color="auto" w:fill="FFFFFF"/>
        </w:rPr>
        <w:t> 301.2 (2009): 183-190.</w:t>
      </w:r>
    </w:p>
  </w:footnote>
  <w:footnote w:id="53">
    <w:p w:rsidR="002666A8" w:rsidRDefault="002666A8" w:rsidP="00FB160F">
      <w:pPr>
        <w:pStyle w:val="FootnoteText"/>
      </w:pPr>
      <w:r w:rsidRPr="00163D74">
        <w:rPr>
          <w:rStyle w:val="FootnoteReference"/>
          <w:sz w:val="18"/>
          <w:szCs w:val="18"/>
        </w:rPr>
        <w:footnoteRef/>
      </w:r>
      <w:r w:rsidRPr="00163D74">
        <w:rPr>
          <w:rFonts w:ascii="Calibri" w:hAnsi="Calibri"/>
          <w:sz w:val="18"/>
          <w:szCs w:val="18"/>
        </w:rPr>
        <w:t xml:space="preserve"> </w:t>
      </w:r>
      <w:r w:rsidRPr="00163D74">
        <w:rPr>
          <w:rFonts w:ascii="Calibri" w:hAnsi="Calibri" w:cs="Arial"/>
          <w:color w:val="222222"/>
          <w:sz w:val="18"/>
          <w:szCs w:val="18"/>
          <w:shd w:val="clear" w:color="auto" w:fill="FFFFFF"/>
        </w:rPr>
        <w:t>Mumola CJ, et. Al.. "Bureau of Justice Statistics special report." </w:t>
      </w:r>
      <w:r w:rsidRPr="00163D74">
        <w:rPr>
          <w:rFonts w:ascii="Calibri" w:hAnsi="Calibri" w:cs="Arial"/>
          <w:i/>
          <w:iCs/>
          <w:color w:val="222222"/>
          <w:sz w:val="18"/>
          <w:szCs w:val="18"/>
          <w:shd w:val="clear" w:color="auto" w:fill="FFFFFF"/>
        </w:rPr>
        <w:t>Washington, DC: Department of Justice</w:t>
      </w:r>
      <w:r w:rsidRPr="00163D74">
        <w:rPr>
          <w:rFonts w:ascii="Calibri" w:hAnsi="Calibri" w:cs="Arial"/>
          <w:color w:val="222222"/>
          <w:sz w:val="18"/>
          <w:szCs w:val="18"/>
          <w:shd w:val="clear" w:color="auto" w:fill="FFFFFF"/>
        </w:rPr>
        <w:t> (2006).</w:t>
      </w:r>
    </w:p>
  </w:footnote>
  <w:footnote w:id="54">
    <w:p w:rsidR="002666A8" w:rsidRDefault="002666A8" w:rsidP="00FB160F">
      <w:pPr>
        <w:pStyle w:val="FootnoteText"/>
      </w:pPr>
      <w:r w:rsidRPr="00163D74">
        <w:rPr>
          <w:rStyle w:val="FootnoteReference"/>
          <w:sz w:val="18"/>
          <w:szCs w:val="18"/>
        </w:rPr>
        <w:footnoteRef/>
      </w:r>
      <w:r w:rsidRPr="00163D74">
        <w:rPr>
          <w:rFonts w:ascii="Calibri" w:hAnsi="Calibri"/>
          <w:sz w:val="18"/>
          <w:szCs w:val="18"/>
        </w:rPr>
        <w:t xml:space="preserve"> Ibid.</w:t>
      </w:r>
    </w:p>
  </w:footnote>
  <w:footnote w:id="55">
    <w:p w:rsidR="002666A8" w:rsidRDefault="002666A8" w:rsidP="00FB160F">
      <w:pPr>
        <w:autoSpaceDE w:val="0"/>
        <w:autoSpaceDN w:val="0"/>
        <w:adjustRightInd w:val="0"/>
      </w:pPr>
      <w:r w:rsidRPr="00184C0B">
        <w:rPr>
          <w:rStyle w:val="FootnoteReference"/>
          <w:sz w:val="18"/>
          <w:szCs w:val="18"/>
        </w:rPr>
        <w:footnoteRef/>
      </w:r>
      <w:r w:rsidRPr="00184C0B">
        <w:rPr>
          <w:rFonts w:ascii="Calibri" w:hAnsi="Calibri"/>
          <w:sz w:val="18"/>
          <w:szCs w:val="18"/>
        </w:rPr>
        <w:t xml:space="preserve"> </w:t>
      </w:r>
      <w:r w:rsidRPr="00184C0B">
        <w:rPr>
          <w:rFonts w:ascii="Calibri" w:hAnsi="Calibri" w:cs="AdvTTc7ad1622"/>
          <w:sz w:val="18"/>
          <w:szCs w:val="18"/>
        </w:rPr>
        <w:t>Glaze L. E., Keuble D</w:t>
      </w:r>
      <w:r>
        <w:rPr>
          <w:rFonts w:ascii="Calibri" w:hAnsi="Calibri" w:cs="AdvTTc7ad1622"/>
          <w:sz w:val="18"/>
          <w:szCs w:val="18"/>
        </w:rPr>
        <w:t>.  C</w:t>
      </w:r>
      <w:r w:rsidRPr="00184C0B">
        <w:rPr>
          <w:rFonts w:ascii="Calibri" w:hAnsi="Calibri" w:cs="AdvTT17891b3d.I"/>
          <w:sz w:val="18"/>
          <w:szCs w:val="18"/>
        </w:rPr>
        <w:t xml:space="preserve">orrectional Populations in the United States, </w:t>
      </w:r>
      <w:r w:rsidRPr="00184C0B">
        <w:rPr>
          <w:rFonts w:ascii="Calibri" w:hAnsi="Calibri" w:cs="AdvTTc7ad1622"/>
          <w:sz w:val="18"/>
          <w:szCs w:val="18"/>
        </w:rPr>
        <w:t>2013</w:t>
      </w:r>
      <w:r>
        <w:rPr>
          <w:rFonts w:ascii="Calibri" w:hAnsi="Calibri" w:cs="AdvTTc7ad1622"/>
          <w:sz w:val="18"/>
          <w:szCs w:val="18"/>
        </w:rPr>
        <w:t>.  W</w:t>
      </w:r>
      <w:r w:rsidRPr="00184C0B">
        <w:rPr>
          <w:rFonts w:ascii="Calibri" w:hAnsi="Calibri" w:cs="AdvTTc7ad1622"/>
          <w:sz w:val="18"/>
          <w:szCs w:val="18"/>
        </w:rPr>
        <w:t>ashington, DC: Bureau of Justice Statistics; 2014.</w:t>
      </w:r>
    </w:p>
  </w:footnote>
  <w:footnote w:id="56">
    <w:p w:rsidR="002666A8" w:rsidRDefault="002666A8" w:rsidP="00FB160F">
      <w:pPr>
        <w:pStyle w:val="authors"/>
        <w:shd w:val="clear" w:color="auto" w:fill="FFFFFF"/>
        <w:spacing w:before="0" w:beforeAutospacing="0" w:after="0" w:afterAutospacing="0"/>
        <w:textAlignment w:val="baseline"/>
      </w:pPr>
      <w:r w:rsidRPr="002E20BE">
        <w:rPr>
          <w:rStyle w:val="FootnoteReference"/>
          <w:color w:val="000000"/>
          <w:sz w:val="18"/>
          <w:szCs w:val="18"/>
        </w:rPr>
        <w:footnoteRef/>
      </w:r>
      <w:r w:rsidRPr="002E20BE">
        <w:rPr>
          <w:rFonts w:ascii="Calibri" w:hAnsi="Calibri"/>
          <w:color w:val="000000"/>
          <w:sz w:val="18"/>
          <w:szCs w:val="18"/>
        </w:rPr>
        <w:t xml:space="preserve"> </w:t>
      </w:r>
      <w:r w:rsidRPr="002E20BE">
        <w:rPr>
          <w:rFonts w:ascii="Calibri" w:hAnsi="Calibri" w:cs="Arial"/>
          <w:color w:val="000000"/>
          <w:sz w:val="18"/>
          <w:szCs w:val="18"/>
        </w:rPr>
        <w:t>Ingrid A. Binswanger, M.D., Marc F. Stern, M.D., Richard A. Deyo, M.D., Patrick J. Heagerty, Ph.D., Allen Cheadle, Ph.D., Joann G. Elmore, M.D., and Thomas D. Koepsell, M.D</w:t>
      </w:r>
      <w:r>
        <w:rPr>
          <w:rFonts w:ascii="Calibri" w:hAnsi="Calibri" w:cs="Arial"/>
          <w:color w:val="000000"/>
          <w:sz w:val="18"/>
          <w:szCs w:val="18"/>
        </w:rPr>
        <w:t>.  R</w:t>
      </w:r>
      <w:r w:rsidRPr="002E20BE">
        <w:rPr>
          <w:rFonts w:ascii="Calibri" w:hAnsi="Calibri" w:cs="Arial"/>
          <w:color w:val="000000"/>
          <w:sz w:val="18"/>
          <w:szCs w:val="18"/>
        </w:rPr>
        <w:t>elease from Prison – A High Risk of Death for Former Inmates.</w:t>
      </w:r>
      <w:r w:rsidRPr="002E20BE">
        <w:rPr>
          <w:rStyle w:val="citation"/>
          <w:rFonts w:ascii="Calibri" w:hAnsi="Calibri" w:cs="Arial"/>
          <w:color w:val="000000"/>
          <w:sz w:val="18"/>
          <w:szCs w:val="18"/>
          <w:bdr w:val="none" w:sz="0" w:space="0" w:color="auto" w:frame="1"/>
        </w:rPr>
        <w:t>N Engl J Med 2007; 356:157-165</w:t>
      </w:r>
      <w:hyperlink r:id="rId21" w:history="1">
        <w:r w:rsidRPr="002E20BE">
          <w:rPr>
            <w:rStyle w:val="Hyperlink"/>
            <w:rFonts w:ascii="Calibri" w:hAnsi="Calibri" w:cs="Arial"/>
            <w:color w:val="000000"/>
            <w:sz w:val="18"/>
            <w:szCs w:val="18"/>
            <w:bdr w:val="none" w:sz="0" w:space="0" w:color="auto" w:frame="1"/>
          </w:rPr>
          <w:t>January 11, 2007</w:t>
        </w:r>
      </w:hyperlink>
      <w:r w:rsidRPr="002E20BE">
        <w:rPr>
          <w:rFonts w:ascii="Calibri" w:hAnsi="Calibri" w:cs="Arial"/>
          <w:color w:val="000000"/>
          <w:sz w:val="18"/>
          <w:szCs w:val="18"/>
        </w:rPr>
        <w:t xml:space="preserve">. </w:t>
      </w:r>
      <w:hyperlink r:id="rId22" w:anchor="t=articleTop" w:history="1">
        <w:r w:rsidRPr="00764E3C">
          <w:rPr>
            <w:rStyle w:val="Hyperlink"/>
            <w:rFonts w:ascii="Calibri" w:hAnsi="Calibri"/>
            <w:color w:val="000000"/>
            <w:sz w:val="18"/>
            <w:szCs w:val="18"/>
            <w:u w:val="none"/>
          </w:rPr>
          <w:t>http://www.nejm.org/doi/full/10.1056/nejmsa064115#t=articleTop</w:t>
        </w:r>
      </w:hyperlink>
      <w:r>
        <w:rPr>
          <w:rFonts w:ascii="Calibri" w:hAnsi="Calibri"/>
          <w:sz w:val="18"/>
          <w:szCs w:val="18"/>
        </w:rPr>
        <w:t xml:space="preserve"> </w:t>
      </w:r>
      <w:r>
        <w:t xml:space="preserve"> </w:t>
      </w:r>
    </w:p>
  </w:footnote>
  <w:footnote w:id="57">
    <w:p w:rsidR="002666A8" w:rsidRDefault="002666A8" w:rsidP="00FB160F">
      <w:pPr>
        <w:pStyle w:val="FootnoteText"/>
      </w:pPr>
      <w:r w:rsidRPr="002E20BE">
        <w:rPr>
          <w:rStyle w:val="FootnoteReference"/>
          <w:sz w:val="18"/>
          <w:szCs w:val="18"/>
        </w:rPr>
        <w:footnoteRef/>
      </w:r>
      <w:r w:rsidRPr="002E20BE">
        <w:rPr>
          <w:rFonts w:ascii="Calibri" w:hAnsi="Calibri"/>
          <w:sz w:val="18"/>
          <w:szCs w:val="18"/>
        </w:rPr>
        <w:t xml:space="preserve"> </w:t>
      </w:r>
      <w:r>
        <w:rPr>
          <w:rFonts w:ascii="Calibri" w:hAnsi="Calibri"/>
          <w:sz w:val="18"/>
          <w:szCs w:val="18"/>
        </w:rPr>
        <w:t xml:space="preserve">Mumola CJ and </w:t>
      </w:r>
      <w:r w:rsidRPr="002E20BE">
        <w:rPr>
          <w:rFonts w:ascii="Calibri" w:hAnsi="Calibri" w:cs="Arial"/>
          <w:sz w:val="18"/>
          <w:szCs w:val="18"/>
        </w:rPr>
        <w:t>Karberg </w:t>
      </w:r>
      <w:r>
        <w:rPr>
          <w:rFonts w:ascii="Calibri" w:hAnsi="Calibri" w:cs="Arial"/>
          <w:sz w:val="18"/>
          <w:szCs w:val="18"/>
        </w:rPr>
        <w:t xml:space="preserve">JC.  Drug Use and Dependence State and Federal Prisoners.  Accessed at: </w:t>
      </w:r>
      <w:hyperlink r:id="rId23" w:history="1">
        <w:r w:rsidRPr="006E623D">
          <w:rPr>
            <w:rStyle w:val="Hyperlink"/>
            <w:rFonts w:ascii="Calibri" w:hAnsi="Calibri" w:cs="Arial"/>
            <w:sz w:val="18"/>
            <w:szCs w:val="18"/>
          </w:rPr>
          <w:t>http://proxychi.baremetal.com/csdp.org/research/dudsfp04.pdf</w:t>
        </w:r>
      </w:hyperlink>
      <w:r>
        <w:rPr>
          <w:rFonts w:ascii="Calibri" w:hAnsi="Calibri" w:cs="Arial"/>
          <w:sz w:val="18"/>
          <w:szCs w:val="18"/>
        </w:rPr>
        <w:t xml:space="preserve"> </w:t>
      </w:r>
    </w:p>
  </w:footnote>
  <w:footnote w:id="58">
    <w:p w:rsidR="002666A8" w:rsidRDefault="002666A8" w:rsidP="00FB160F">
      <w:pPr>
        <w:pStyle w:val="FootnoteText"/>
      </w:pPr>
      <w:r w:rsidRPr="002E20BE">
        <w:rPr>
          <w:rStyle w:val="FootnoteReference"/>
          <w:sz w:val="18"/>
          <w:szCs w:val="18"/>
        </w:rPr>
        <w:footnoteRef/>
      </w:r>
      <w:r w:rsidRPr="002E20BE">
        <w:rPr>
          <w:rFonts w:ascii="Calibri" w:hAnsi="Calibri"/>
          <w:sz w:val="18"/>
          <w:szCs w:val="18"/>
        </w:rPr>
        <w:t xml:space="preserve"> </w:t>
      </w:r>
      <w:r>
        <w:rPr>
          <w:rFonts w:ascii="Calibri" w:hAnsi="Calibri"/>
          <w:color w:val="000000"/>
          <w:sz w:val="18"/>
          <w:szCs w:val="18"/>
        </w:rPr>
        <w:t xml:space="preserve">Accessed at </w:t>
      </w:r>
      <w:hyperlink r:id="rId24" w:history="1">
        <w:r w:rsidRPr="00C74CEB">
          <w:rPr>
            <w:rStyle w:val="Hyperlink"/>
            <w:rFonts w:ascii="Calibri" w:hAnsi="Calibri" w:cs="Arial"/>
            <w:sz w:val="18"/>
            <w:szCs w:val="18"/>
          </w:rPr>
          <w:t>https://www.drugabuse.gov/publications/principles-drug-abuse-treatment-criminal-justice-populations/introduction</w:t>
        </w:r>
      </w:hyperlink>
      <w:r>
        <w:rPr>
          <w:rFonts w:ascii="Calibri" w:hAnsi="Calibri" w:cs="Arial"/>
          <w:sz w:val="18"/>
          <w:szCs w:val="18"/>
        </w:rPr>
        <w:t xml:space="preserve"> </w:t>
      </w:r>
    </w:p>
  </w:footnote>
  <w:footnote w:id="59">
    <w:p w:rsidR="002666A8" w:rsidRDefault="002666A8" w:rsidP="00FB160F">
      <w:pPr>
        <w:pStyle w:val="FootnoteText"/>
      </w:pPr>
      <w:r w:rsidRPr="002E20BE">
        <w:rPr>
          <w:rStyle w:val="FootnoteReference"/>
          <w:sz w:val="18"/>
          <w:szCs w:val="18"/>
        </w:rPr>
        <w:footnoteRef/>
      </w:r>
      <w:r w:rsidRPr="002E20BE">
        <w:rPr>
          <w:rFonts w:ascii="Calibri" w:hAnsi="Calibri"/>
          <w:sz w:val="18"/>
          <w:szCs w:val="18"/>
        </w:rPr>
        <w:t xml:space="preserve"> </w:t>
      </w:r>
      <w:r>
        <w:rPr>
          <w:rFonts w:ascii="Calibri" w:hAnsi="Calibri" w:cs="Arial"/>
          <w:sz w:val="18"/>
          <w:szCs w:val="18"/>
        </w:rPr>
        <w:t>Ibid.</w:t>
      </w:r>
    </w:p>
  </w:footnote>
  <w:footnote w:id="60">
    <w:p w:rsidR="002666A8" w:rsidRDefault="002666A8" w:rsidP="00400E42">
      <w:pPr>
        <w:pStyle w:val="FootnoteText"/>
      </w:pPr>
      <w:r w:rsidRPr="002B53A2">
        <w:rPr>
          <w:rStyle w:val="FootnoteReference"/>
          <w:sz w:val="18"/>
          <w:szCs w:val="18"/>
        </w:rPr>
        <w:footnoteRef/>
      </w:r>
      <w:r w:rsidRPr="002B53A2">
        <w:rPr>
          <w:rFonts w:ascii="Calibri" w:hAnsi="Calibri"/>
          <w:sz w:val="18"/>
          <w:szCs w:val="18"/>
        </w:rPr>
        <w:t xml:space="preserve"> </w:t>
      </w:r>
      <w:r>
        <w:rPr>
          <w:rFonts w:ascii="Calibri" w:hAnsi="Calibri"/>
          <w:color w:val="000000"/>
          <w:sz w:val="18"/>
          <w:szCs w:val="18"/>
        </w:rPr>
        <w:t xml:space="preserve">Accessed at </w:t>
      </w:r>
      <w:hyperlink r:id="rId25" w:history="1">
        <w:r w:rsidRPr="00C74CEB">
          <w:rPr>
            <w:rStyle w:val="Hyperlink"/>
            <w:rFonts w:ascii="Calibri" w:hAnsi="Calibri"/>
            <w:sz w:val="18"/>
            <w:szCs w:val="18"/>
          </w:rPr>
          <w:t>http://www.mass.gov/eohhs/gov/departments/dph/programs/admin/dmoa/vitals/</w:t>
        </w:r>
      </w:hyperlink>
      <w:r>
        <w:rPr>
          <w:rFonts w:ascii="Calibri" w:hAnsi="Calibri"/>
          <w:sz w:val="18"/>
          <w:szCs w:val="18"/>
        </w:rPr>
        <w:t xml:space="preserve"> </w:t>
      </w:r>
    </w:p>
  </w:footnote>
  <w:footnote w:id="61">
    <w:p w:rsidR="002666A8" w:rsidRPr="00355E02" w:rsidRDefault="002666A8" w:rsidP="00400E42">
      <w:pPr>
        <w:pStyle w:val="FootnoteText"/>
        <w:rPr>
          <w:rFonts w:asciiTheme="minorHAnsi" w:hAnsiTheme="minorHAnsi"/>
          <w:sz w:val="18"/>
          <w:szCs w:val="18"/>
        </w:rPr>
      </w:pPr>
      <w:r w:rsidRPr="00355E02">
        <w:rPr>
          <w:rStyle w:val="FootnoteReference"/>
          <w:rFonts w:asciiTheme="minorHAnsi" w:hAnsiTheme="minorHAnsi"/>
          <w:sz w:val="18"/>
          <w:szCs w:val="18"/>
        </w:rPr>
        <w:footnoteRef/>
      </w:r>
      <w:r w:rsidRPr="00355E02">
        <w:rPr>
          <w:rFonts w:asciiTheme="minorHAnsi" w:hAnsiTheme="minorHAnsi"/>
          <w:sz w:val="18"/>
          <w:szCs w:val="18"/>
        </w:rPr>
        <w:t xml:space="preserve"> The collection of death certificate data is authorized by MGL Chapter 46</w:t>
      </w:r>
      <w:r>
        <w:rPr>
          <w:rFonts w:asciiTheme="minorHAnsi" w:hAnsiTheme="minorHAnsi"/>
          <w:sz w:val="18"/>
          <w:szCs w:val="18"/>
        </w:rPr>
        <w:t>.</w:t>
      </w:r>
    </w:p>
  </w:footnote>
  <w:footnote w:id="62">
    <w:p w:rsidR="002666A8" w:rsidRDefault="002666A8" w:rsidP="00400E42">
      <w:pPr>
        <w:pStyle w:val="FootnoteText"/>
      </w:pPr>
      <w:r w:rsidRPr="002B53A2">
        <w:rPr>
          <w:rStyle w:val="FootnoteReference"/>
          <w:sz w:val="18"/>
          <w:szCs w:val="18"/>
        </w:rPr>
        <w:footnoteRef/>
      </w:r>
      <w:r>
        <w:rPr>
          <w:rFonts w:ascii="Calibri" w:hAnsi="Calibri"/>
          <w:sz w:val="18"/>
          <w:szCs w:val="18"/>
        </w:rPr>
        <w:t xml:space="preserve"> </w:t>
      </w:r>
      <w:r>
        <w:rPr>
          <w:rFonts w:ascii="Calibri" w:hAnsi="Calibri"/>
          <w:color w:val="000000"/>
          <w:sz w:val="18"/>
          <w:szCs w:val="18"/>
        </w:rPr>
        <w:t>Accessed at</w:t>
      </w:r>
      <w:r w:rsidRPr="002B53A2">
        <w:rPr>
          <w:rFonts w:ascii="Calibri" w:hAnsi="Calibri"/>
          <w:sz w:val="18"/>
          <w:szCs w:val="18"/>
        </w:rPr>
        <w:t xml:space="preserve"> </w:t>
      </w:r>
      <w:hyperlink r:id="rId26" w:history="1">
        <w:r w:rsidRPr="00C74CEB">
          <w:rPr>
            <w:rStyle w:val="Hyperlink"/>
            <w:rFonts w:ascii="Calibri" w:hAnsi="Calibri"/>
            <w:sz w:val="18"/>
            <w:szCs w:val="18"/>
          </w:rPr>
          <w:t>http://www.mass.gov/eohhs/gov/departments/dph/programs/admin/dmoa/vitals/vitals-information-partnership-vip.html</w:t>
        </w:r>
      </w:hyperlink>
      <w:r>
        <w:rPr>
          <w:rFonts w:ascii="Calibri" w:hAnsi="Calibri"/>
          <w:sz w:val="18"/>
          <w:szCs w:val="18"/>
        </w:rPr>
        <w:t xml:space="preserve"> </w:t>
      </w:r>
    </w:p>
  </w:footnote>
  <w:footnote w:id="63">
    <w:p w:rsidR="002666A8" w:rsidRDefault="002666A8" w:rsidP="00400E42">
      <w:pPr>
        <w:pStyle w:val="FootnoteText"/>
      </w:pPr>
      <w:r w:rsidRPr="002B09B4">
        <w:rPr>
          <w:rStyle w:val="FootnoteReference"/>
          <w:sz w:val="18"/>
          <w:szCs w:val="18"/>
        </w:rPr>
        <w:footnoteRef/>
      </w:r>
      <w:r w:rsidRPr="002B09B4">
        <w:rPr>
          <w:rFonts w:ascii="Calibri" w:hAnsi="Calibri"/>
          <w:sz w:val="18"/>
          <w:szCs w:val="18"/>
        </w:rPr>
        <w:t xml:space="preserve"> </w:t>
      </w:r>
      <w:r>
        <w:rPr>
          <w:rFonts w:ascii="Calibri" w:hAnsi="Calibri"/>
          <w:color w:val="000000"/>
          <w:sz w:val="18"/>
          <w:szCs w:val="18"/>
        </w:rPr>
        <w:t>Accessed at</w:t>
      </w:r>
      <w:r w:rsidRPr="002B09B4">
        <w:rPr>
          <w:rFonts w:ascii="Calibri" w:hAnsi="Calibri"/>
          <w:sz w:val="18"/>
          <w:szCs w:val="18"/>
        </w:rPr>
        <w:t xml:space="preserve"> </w:t>
      </w:r>
      <w:hyperlink r:id="rId27" w:history="1">
        <w:r w:rsidRPr="00C74CEB">
          <w:rPr>
            <w:rStyle w:val="Hyperlink"/>
            <w:rFonts w:ascii="Calibri" w:hAnsi="Calibri"/>
            <w:sz w:val="18"/>
            <w:szCs w:val="18"/>
          </w:rPr>
          <w:t>http://www.mass.gov/eohhs/gov/departments/dph/programs/substance-abuse/</w:t>
        </w:r>
      </w:hyperlink>
      <w:r>
        <w:rPr>
          <w:rFonts w:ascii="Calibri" w:hAnsi="Calibri"/>
          <w:sz w:val="18"/>
          <w:szCs w:val="18"/>
        </w:rPr>
        <w:t xml:space="preserve"> </w:t>
      </w:r>
    </w:p>
  </w:footnote>
  <w:footnote w:id="64">
    <w:p w:rsidR="002666A8" w:rsidRDefault="002666A8" w:rsidP="00400E42">
      <w:pPr>
        <w:pStyle w:val="EndnoteText"/>
      </w:pPr>
      <w:r w:rsidRPr="002B09B4">
        <w:rPr>
          <w:rStyle w:val="FootnoteReference"/>
          <w:sz w:val="18"/>
          <w:szCs w:val="18"/>
        </w:rPr>
        <w:footnoteRef/>
      </w:r>
      <w:r w:rsidRPr="002B09B4">
        <w:rPr>
          <w:sz w:val="18"/>
          <w:szCs w:val="18"/>
        </w:rPr>
        <w:t xml:space="preserve"> The collection of detailed substance abuse treatment by BSAS is authorized under MGL Ch.111 B and E.</w:t>
      </w:r>
      <w:r>
        <w:rPr>
          <w:sz w:val="18"/>
          <w:szCs w:val="18"/>
        </w:rPr>
        <w:t xml:space="preserve"> A</w:t>
      </w:r>
      <w:r w:rsidRPr="006A2C00">
        <w:rPr>
          <w:sz w:val="18"/>
          <w:szCs w:val="18"/>
        </w:rPr>
        <w:t>ll treatment providers are required to submit data to BSAS to carry out the responsibilities listed under the law. The regulations promulgated to carry out these responsibilities require the providers to submit data in a timely manner. The required data fields include but are not limited to: client characteristics, enrollment, disenrollment information, services and outcomes. Currently, only treatment providers that receive funding from the Department submit the required data to BSAS. BSAS uses this data for billing/payment and service planning purposes. Almost all BSAS licensed/contracted providers enter the required data through the Virtual Gateway. Assessment data collected at admission and disenrollment are entered into Enterprise Invoice Management/Enterprise Service Management (EIM/ESM) system daily or in batches.  Data entry occurs at provider sites and is transmitted to BSAS on a monthly basis. The current database includes data from Fiscal Year 2000-2016. BSAS can readily report data at the provider level, the enrollment level, and the client level.</w:t>
      </w:r>
    </w:p>
  </w:footnote>
  <w:footnote w:id="65">
    <w:p w:rsidR="002666A8" w:rsidRDefault="002666A8" w:rsidP="00400E42">
      <w:pPr>
        <w:pStyle w:val="FootnoteText"/>
      </w:pPr>
      <w:r w:rsidRPr="00B309B7">
        <w:rPr>
          <w:rStyle w:val="FootnoteReference"/>
          <w:sz w:val="18"/>
          <w:szCs w:val="18"/>
        </w:rPr>
        <w:footnoteRef/>
      </w:r>
      <w:r w:rsidRPr="00B309B7">
        <w:rPr>
          <w:rFonts w:ascii="Calibri" w:hAnsi="Calibri"/>
          <w:sz w:val="18"/>
          <w:szCs w:val="18"/>
        </w:rPr>
        <w:t xml:space="preserve"> </w:t>
      </w:r>
      <w:r>
        <w:rPr>
          <w:rFonts w:ascii="Calibri" w:hAnsi="Calibri"/>
          <w:color w:val="000000"/>
          <w:sz w:val="18"/>
          <w:szCs w:val="18"/>
        </w:rPr>
        <w:t xml:space="preserve">Accessed at </w:t>
      </w:r>
      <w:hyperlink r:id="rId28" w:history="1">
        <w:r w:rsidRPr="00C74CEB">
          <w:rPr>
            <w:rStyle w:val="Hyperlink"/>
            <w:rFonts w:ascii="Calibri" w:hAnsi="Calibri"/>
            <w:sz w:val="18"/>
            <w:szCs w:val="18"/>
          </w:rPr>
          <w:t>http://www.mass.gov/eohhs/gov/departments/dph/programs/hcq/drug-control/PDMP/</w:t>
        </w:r>
      </w:hyperlink>
      <w:r>
        <w:rPr>
          <w:rFonts w:ascii="Calibri" w:hAnsi="Calibri"/>
          <w:sz w:val="18"/>
          <w:szCs w:val="18"/>
        </w:rPr>
        <w:t xml:space="preserve"> </w:t>
      </w:r>
    </w:p>
  </w:footnote>
  <w:footnote w:id="66">
    <w:p w:rsidR="002666A8" w:rsidRDefault="002666A8" w:rsidP="00400E42">
      <w:pPr>
        <w:pStyle w:val="FootnoteText"/>
      </w:pPr>
      <w:r w:rsidRPr="00B309B7">
        <w:rPr>
          <w:rStyle w:val="FootnoteReference"/>
          <w:sz w:val="18"/>
          <w:szCs w:val="18"/>
        </w:rPr>
        <w:footnoteRef/>
      </w:r>
      <w:r w:rsidRPr="00B309B7">
        <w:rPr>
          <w:rFonts w:ascii="Calibri" w:hAnsi="Calibri"/>
          <w:sz w:val="18"/>
          <w:szCs w:val="18"/>
        </w:rPr>
        <w:t xml:space="preserve"> The Department of Public Health’s Office of Prescription Monitoring and Drug Control (OPMDC)  established the Massachusetts Prescription Monitoring Program (MA </w:t>
      </w:r>
      <w:r>
        <w:rPr>
          <w:rFonts w:ascii="Calibri" w:hAnsi="Calibri"/>
          <w:sz w:val="18"/>
          <w:szCs w:val="18"/>
        </w:rPr>
        <w:t>PDMP</w:t>
      </w:r>
      <w:r w:rsidRPr="00B309B7">
        <w:rPr>
          <w:rFonts w:ascii="Calibri" w:hAnsi="Calibri"/>
          <w:sz w:val="18"/>
          <w:szCs w:val="18"/>
        </w:rPr>
        <w:t>) in 1992 pursuant to joint regulations (105 CMR 700.012) with the Board of Registration in Pharmacy (247 CMR 5.04).</w:t>
      </w:r>
    </w:p>
  </w:footnote>
  <w:footnote w:id="67">
    <w:p w:rsidR="002666A8" w:rsidRDefault="002666A8" w:rsidP="00400E42">
      <w:pPr>
        <w:pStyle w:val="FootnoteText"/>
      </w:pPr>
      <w:r w:rsidRPr="002B09B4">
        <w:rPr>
          <w:rStyle w:val="FootnoteReference"/>
          <w:sz w:val="18"/>
          <w:szCs w:val="18"/>
        </w:rPr>
        <w:footnoteRef/>
      </w:r>
      <w:r w:rsidRPr="002B09B4">
        <w:rPr>
          <w:rFonts w:ascii="Calibri" w:hAnsi="Calibri"/>
          <w:sz w:val="18"/>
          <w:szCs w:val="18"/>
        </w:rPr>
        <w:t xml:space="preserve"> For more information see: </w:t>
      </w:r>
      <w:hyperlink r:id="rId29" w:history="1">
        <w:r w:rsidRPr="00306D65">
          <w:rPr>
            <w:rFonts w:ascii="Calibri" w:hAnsi="Calibri"/>
            <w:sz w:val="18"/>
            <w:szCs w:val="18"/>
          </w:rPr>
          <w:t>www.mass.gov/dph/oems/matris</w:t>
        </w:r>
      </w:hyperlink>
    </w:p>
  </w:footnote>
  <w:footnote w:id="68">
    <w:p w:rsidR="002666A8" w:rsidRDefault="002666A8" w:rsidP="00400E42">
      <w:pPr>
        <w:pStyle w:val="FootnoteText"/>
      </w:pPr>
      <w:r w:rsidRPr="002B09B4">
        <w:rPr>
          <w:rStyle w:val="FootnoteReference"/>
          <w:sz w:val="18"/>
          <w:szCs w:val="18"/>
        </w:rPr>
        <w:footnoteRef/>
      </w:r>
      <w:r w:rsidRPr="002B09B4">
        <w:rPr>
          <w:rFonts w:ascii="Calibri" w:hAnsi="Calibri"/>
          <w:sz w:val="18"/>
          <w:szCs w:val="18"/>
        </w:rPr>
        <w:t xml:space="preserve"> The collection of detailed ambulance trip data by OEMS is authorized under 105 CMR 170.345(B)</w:t>
      </w:r>
      <w:r w:rsidRPr="00717D67">
        <w:rPr>
          <w:sz w:val="18"/>
          <w:szCs w:val="18"/>
        </w:rPr>
        <w:t>.</w:t>
      </w:r>
    </w:p>
  </w:footnote>
  <w:footnote w:id="69">
    <w:p w:rsidR="002666A8" w:rsidRDefault="002666A8" w:rsidP="00400E42">
      <w:pPr>
        <w:pStyle w:val="FootnoteText"/>
      </w:pPr>
      <w:r w:rsidRPr="002B53A2">
        <w:rPr>
          <w:rStyle w:val="FootnoteReference"/>
          <w:sz w:val="18"/>
          <w:szCs w:val="18"/>
        </w:rPr>
        <w:footnoteRef/>
      </w:r>
      <w:r w:rsidRPr="002B53A2">
        <w:rPr>
          <w:rFonts w:ascii="Calibri" w:hAnsi="Calibri"/>
          <w:sz w:val="18"/>
          <w:szCs w:val="18"/>
        </w:rPr>
        <w:t xml:space="preserve"> </w:t>
      </w:r>
      <w:r>
        <w:rPr>
          <w:rFonts w:ascii="Calibri" w:hAnsi="Calibri"/>
          <w:color w:val="000000"/>
          <w:sz w:val="18"/>
          <w:szCs w:val="18"/>
        </w:rPr>
        <w:t xml:space="preserve">Accessed at </w:t>
      </w:r>
      <w:hyperlink r:id="rId30" w:history="1">
        <w:r w:rsidRPr="00C74CEB">
          <w:rPr>
            <w:rStyle w:val="Hyperlink"/>
            <w:rFonts w:ascii="Calibri" w:hAnsi="Calibri"/>
            <w:sz w:val="18"/>
            <w:szCs w:val="18"/>
          </w:rPr>
          <w:t>http://www.mass.gov/eohhs/gov/departments/dph/programs/admin/dmoa/vitals/</w:t>
        </w:r>
      </w:hyperlink>
      <w:r>
        <w:rPr>
          <w:rFonts w:ascii="Calibri" w:hAnsi="Calibri"/>
          <w:sz w:val="18"/>
          <w:szCs w:val="18"/>
        </w:rPr>
        <w:t xml:space="preserve"> </w:t>
      </w:r>
    </w:p>
  </w:footnote>
  <w:footnote w:id="70">
    <w:p w:rsidR="002666A8" w:rsidRDefault="002666A8" w:rsidP="00400E42">
      <w:pPr>
        <w:pStyle w:val="FootnoteText"/>
      </w:pPr>
      <w:r w:rsidRPr="002B53A2">
        <w:rPr>
          <w:rStyle w:val="FootnoteReference"/>
          <w:sz w:val="18"/>
          <w:szCs w:val="18"/>
        </w:rPr>
        <w:footnoteRef/>
      </w:r>
      <w:r w:rsidRPr="002B53A2">
        <w:rPr>
          <w:rFonts w:ascii="Calibri" w:hAnsi="Calibri"/>
          <w:sz w:val="18"/>
          <w:szCs w:val="18"/>
        </w:rPr>
        <w:t xml:space="preserve"> The collection of Confidential Birth Information is authorized under 105 CMR 350.000.</w:t>
      </w:r>
    </w:p>
  </w:footnote>
  <w:footnote w:id="71">
    <w:p w:rsidR="002666A8" w:rsidRDefault="002666A8" w:rsidP="00400E42">
      <w:pPr>
        <w:pStyle w:val="FootnoteText"/>
      </w:pPr>
      <w:r w:rsidRPr="002B53A2">
        <w:rPr>
          <w:rStyle w:val="FootnoteReference"/>
          <w:sz w:val="18"/>
          <w:szCs w:val="18"/>
        </w:rPr>
        <w:footnoteRef/>
      </w:r>
      <w:r w:rsidRPr="002B53A2">
        <w:rPr>
          <w:rFonts w:ascii="Calibri" w:hAnsi="Calibri"/>
          <w:sz w:val="18"/>
          <w:szCs w:val="18"/>
        </w:rPr>
        <w:t xml:space="preserve"> </w:t>
      </w:r>
      <w:r>
        <w:rPr>
          <w:rFonts w:ascii="Calibri" w:hAnsi="Calibri"/>
          <w:color w:val="000000"/>
          <w:sz w:val="18"/>
          <w:szCs w:val="18"/>
        </w:rPr>
        <w:t xml:space="preserve">Accessed at </w:t>
      </w:r>
      <w:hyperlink r:id="rId31" w:history="1">
        <w:r w:rsidRPr="00C74CEB">
          <w:rPr>
            <w:rStyle w:val="Hyperlink"/>
            <w:rFonts w:ascii="Calibri" w:hAnsi="Calibri"/>
            <w:sz w:val="18"/>
            <w:szCs w:val="18"/>
          </w:rPr>
          <w:t>http://www.mass.gov/eohhs/gov/departments/dph/programs/admin/dmoa/vitals/vitals-information-partnership-vip.html</w:t>
        </w:r>
      </w:hyperlink>
      <w:r>
        <w:rPr>
          <w:rFonts w:ascii="Calibri" w:hAnsi="Calibri"/>
          <w:sz w:val="18"/>
          <w:szCs w:val="18"/>
        </w:rPr>
        <w:t xml:space="preserve"> </w:t>
      </w:r>
    </w:p>
  </w:footnote>
  <w:footnote w:id="72">
    <w:p w:rsidR="002666A8" w:rsidRDefault="002666A8" w:rsidP="00400E42">
      <w:pPr>
        <w:pStyle w:val="FootnoteText"/>
        <w:tabs>
          <w:tab w:val="left" w:pos="7920"/>
        </w:tabs>
      </w:pPr>
      <w:r w:rsidRPr="002B09B4">
        <w:rPr>
          <w:rStyle w:val="FootnoteReference"/>
          <w:sz w:val="18"/>
          <w:szCs w:val="18"/>
        </w:rPr>
        <w:footnoteRef/>
      </w:r>
      <w:r w:rsidRPr="002B09B4">
        <w:rPr>
          <w:rFonts w:ascii="Calibri" w:hAnsi="Calibri"/>
          <w:sz w:val="18"/>
          <w:szCs w:val="18"/>
        </w:rPr>
        <w:t xml:space="preserve"> </w:t>
      </w:r>
      <w:r>
        <w:rPr>
          <w:rFonts w:ascii="Calibri" w:hAnsi="Calibri"/>
          <w:color w:val="000000"/>
          <w:sz w:val="18"/>
          <w:szCs w:val="18"/>
        </w:rPr>
        <w:t xml:space="preserve">Accessed at </w:t>
      </w:r>
      <w:hyperlink r:id="rId32" w:history="1">
        <w:r w:rsidRPr="00C74CEB">
          <w:rPr>
            <w:rStyle w:val="Hyperlink"/>
            <w:rFonts w:ascii="Calibri" w:hAnsi="Calibri"/>
            <w:sz w:val="18"/>
            <w:szCs w:val="18"/>
          </w:rPr>
          <w:t>http://www.mass.gov/eohhs/gov/departments/dph/programs/admin/dmoa/cancer-registry/</w:t>
        </w:r>
      </w:hyperlink>
      <w:r>
        <w:rPr>
          <w:rFonts w:ascii="Calibri" w:hAnsi="Calibri"/>
          <w:sz w:val="18"/>
          <w:szCs w:val="18"/>
        </w:rPr>
        <w:t xml:space="preserve"> </w:t>
      </w:r>
    </w:p>
  </w:footnote>
  <w:footnote w:id="73">
    <w:p w:rsidR="002666A8" w:rsidRDefault="002666A8" w:rsidP="00400E42">
      <w:pPr>
        <w:pStyle w:val="FootnoteText"/>
      </w:pPr>
      <w:r w:rsidRPr="002B09B4">
        <w:rPr>
          <w:rStyle w:val="FootnoteReference"/>
          <w:sz w:val="18"/>
          <w:szCs w:val="18"/>
        </w:rPr>
        <w:footnoteRef/>
      </w:r>
      <w:r w:rsidRPr="002B09B4">
        <w:rPr>
          <w:rFonts w:ascii="Calibri" w:hAnsi="Calibri"/>
          <w:sz w:val="18"/>
          <w:szCs w:val="18"/>
        </w:rPr>
        <w:t xml:space="preserve"> </w:t>
      </w:r>
      <w:r w:rsidRPr="002B53A2">
        <w:rPr>
          <w:rFonts w:ascii="Calibri" w:hAnsi="Calibri"/>
          <w:sz w:val="18"/>
          <w:szCs w:val="18"/>
        </w:rPr>
        <w:t xml:space="preserve">The collection of detailed </w:t>
      </w:r>
      <w:r>
        <w:rPr>
          <w:rFonts w:ascii="Calibri" w:hAnsi="Calibri"/>
          <w:sz w:val="18"/>
          <w:szCs w:val="18"/>
        </w:rPr>
        <w:t>cancer incidence and staging</w:t>
      </w:r>
      <w:r w:rsidRPr="002B53A2">
        <w:rPr>
          <w:rFonts w:ascii="Calibri" w:hAnsi="Calibri"/>
          <w:sz w:val="18"/>
          <w:szCs w:val="18"/>
        </w:rPr>
        <w:t xml:space="preserve"> by the </w:t>
      </w:r>
      <w:r>
        <w:rPr>
          <w:rFonts w:ascii="Calibri" w:hAnsi="Calibri"/>
          <w:sz w:val="18"/>
          <w:szCs w:val="18"/>
        </w:rPr>
        <w:t>MCR</w:t>
      </w:r>
      <w:r w:rsidRPr="002B53A2">
        <w:rPr>
          <w:rFonts w:ascii="Calibri" w:hAnsi="Calibri"/>
          <w:sz w:val="18"/>
          <w:szCs w:val="18"/>
        </w:rPr>
        <w:t xml:space="preserve"> is authorized under </w:t>
      </w:r>
      <w:r w:rsidRPr="002B09B4">
        <w:rPr>
          <w:rFonts w:ascii="Calibri" w:hAnsi="Calibri"/>
          <w:sz w:val="18"/>
          <w:szCs w:val="18"/>
        </w:rPr>
        <w:t>Chapter 111, Section 111B.</w:t>
      </w:r>
    </w:p>
  </w:footnote>
  <w:footnote w:id="74">
    <w:p w:rsidR="002666A8" w:rsidRDefault="002666A8" w:rsidP="00400E42">
      <w:pPr>
        <w:pStyle w:val="FootnoteText"/>
      </w:pPr>
      <w:r w:rsidRPr="002B09B4">
        <w:rPr>
          <w:rStyle w:val="FootnoteReference"/>
          <w:sz w:val="18"/>
          <w:szCs w:val="18"/>
        </w:rPr>
        <w:footnoteRef/>
      </w:r>
      <w:r w:rsidRPr="002B09B4">
        <w:rPr>
          <w:rFonts w:ascii="Calibri" w:hAnsi="Calibri"/>
          <w:sz w:val="18"/>
          <w:szCs w:val="18"/>
        </w:rPr>
        <w:t xml:space="preserve"> </w:t>
      </w:r>
      <w:r>
        <w:rPr>
          <w:rFonts w:ascii="Calibri" w:hAnsi="Calibri"/>
          <w:color w:val="000000"/>
          <w:sz w:val="18"/>
          <w:szCs w:val="18"/>
        </w:rPr>
        <w:t>Accessed at</w:t>
      </w:r>
      <w:r w:rsidRPr="002B09B4">
        <w:rPr>
          <w:rFonts w:ascii="Calibri" w:hAnsi="Calibri"/>
          <w:sz w:val="18"/>
          <w:szCs w:val="18"/>
        </w:rPr>
        <w:t xml:space="preserve"> </w:t>
      </w:r>
      <w:hyperlink r:id="rId33" w:history="1">
        <w:r w:rsidRPr="00C74CEB">
          <w:rPr>
            <w:rStyle w:val="Hyperlink"/>
            <w:rFonts w:ascii="Calibri" w:hAnsi="Calibri"/>
            <w:sz w:val="18"/>
            <w:szCs w:val="18"/>
          </w:rPr>
          <w:t>http://www.mass.gov/eopss/agencies/ocme/</w:t>
        </w:r>
      </w:hyperlink>
      <w:r>
        <w:rPr>
          <w:rFonts w:ascii="Calibri" w:hAnsi="Calibri"/>
          <w:sz w:val="18"/>
          <w:szCs w:val="18"/>
        </w:rPr>
        <w:t xml:space="preserve"> </w:t>
      </w:r>
    </w:p>
  </w:footnote>
  <w:footnote w:id="75">
    <w:p w:rsidR="002666A8" w:rsidRDefault="002666A8" w:rsidP="00400E42">
      <w:pPr>
        <w:pStyle w:val="FootnoteText"/>
      </w:pPr>
      <w:r w:rsidRPr="00617A99">
        <w:rPr>
          <w:rStyle w:val="FootnoteReference"/>
          <w:sz w:val="18"/>
          <w:szCs w:val="18"/>
        </w:rPr>
        <w:footnoteRef/>
      </w:r>
      <w:r w:rsidRPr="00617A99">
        <w:rPr>
          <w:rFonts w:ascii="Calibri" w:hAnsi="Calibri"/>
          <w:sz w:val="18"/>
          <w:szCs w:val="18"/>
        </w:rPr>
        <w:t xml:space="preserve"> </w:t>
      </w:r>
      <w:r w:rsidRPr="00617A99">
        <w:rPr>
          <w:rFonts w:asciiTheme="minorHAnsi" w:hAnsiTheme="minorHAnsi"/>
          <w:sz w:val="18"/>
          <w:szCs w:val="18"/>
        </w:rPr>
        <w:t>The collection of death certificate data is authorized by MGL Chapter</w:t>
      </w:r>
      <w:r>
        <w:rPr>
          <w:rFonts w:asciiTheme="minorHAnsi" w:hAnsiTheme="minorHAnsi"/>
          <w:sz w:val="18"/>
          <w:szCs w:val="18"/>
        </w:rPr>
        <w:t xml:space="preserve"> </w:t>
      </w:r>
      <w:r w:rsidRPr="00617A99">
        <w:rPr>
          <w:rFonts w:asciiTheme="minorHAnsi" w:hAnsiTheme="minorHAnsi"/>
          <w:sz w:val="18"/>
          <w:szCs w:val="18"/>
        </w:rPr>
        <w:t>38.</w:t>
      </w:r>
    </w:p>
  </w:footnote>
  <w:footnote w:id="76">
    <w:p w:rsidR="002666A8" w:rsidRDefault="002666A8" w:rsidP="00400E42">
      <w:pPr>
        <w:pStyle w:val="FootnoteText"/>
      </w:pPr>
      <w:r w:rsidRPr="00B309B7">
        <w:rPr>
          <w:rStyle w:val="FootnoteReference"/>
          <w:sz w:val="18"/>
          <w:szCs w:val="18"/>
        </w:rPr>
        <w:footnoteRef/>
      </w:r>
      <w:r w:rsidRPr="00B309B7">
        <w:rPr>
          <w:rFonts w:ascii="Calibri" w:hAnsi="Calibri"/>
          <w:sz w:val="18"/>
          <w:szCs w:val="18"/>
        </w:rPr>
        <w:t xml:space="preserve"> </w:t>
      </w:r>
      <w:r>
        <w:rPr>
          <w:rFonts w:ascii="Calibri" w:hAnsi="Calibri"/>
          <w:color w:val="000000"/>
          <w:sz w:val="18"/>
          <w:szCs w:val="18"/>
        </w:rPr>
        <w:t xml:space="preserve">Accessed at </w:t>
      </w:r>
      <w:hyperlink r:id="rId34" w:history="1">
        <w:r w:rsidRPr="00C74CEB">
          <w:rPr>
            <w:rStyle w:val="Hyperlink"/>
            <w:rFonts w:ascii="Calibri" w:hAnsi="Calibri"/>
            <w:sz w:val="18"/>
            <w:szCs w:val="18"/>
          </w:rPr>
          <w:t>http://www.chiamass.gov/case-mix-data/</w:t>
        </w:r>
      </w:hyperlink>
      <w:r>
        <w:rPr>
          <w:rFonts w:ascii="Calibri" w:hAnsi="Calibri"/>
          <w:sz w:val="18"/>
          <w:szCs w:val="18"/>
        </w:rPr>
        <w:t xml:space="preserve"> </w:t>
      </w:r>
    </w:p>
  </w:footnote>
  <w:footnote w:id="77">
    <w:p w:rsidR="002666A8" w:rsidRDefault="002666A8" w:rsidP="00400E42">
      <w:pPr>
        <w:pStyle w:val="FootnoteText"/>
      </w:pPr>
      <w:r w:rsidRPr="00B309B7">
        <w:rPr>
          <w:rStyle w:val="FootnoteReference"/>
          <w:sz w:val="18"/>
          <w:szCs w:val="18"/>
        </w:rPr>
        <w:footnoteRef/>
      </w:r>
      <w:r w:rsidRPr="00B309B7">
        <w:rPr>
          <w:rFonts w:ascii="Calibri" w:hAnsi="Calibri"/>
          <w:sz w:val="18"/>
          <w:szCs w:val="18"/>
        </w:rPr>
        <w:t xml:space="preserve"> Massachusetts acute care hospitals are required to submit </w:t>
      </w:r>
      <w:r>
        <w:rPr>
          <w:rFonts w:ascii="Calibri" w:hAnsi="Calibri"/>
          <w:sz w:val="18"/>
          <w:szCs w:val="18"/>
        </w:rPr>
        <w:t>Case Mix</w:t>
      </w:r>
      <w:r w:rsidRPr="00B309B7">
        <w:rPr>
          <w:rFonts w:ascii="Calibri" w:hAnsi="Calibri"/>
          <w:sz w:val="18"/>
          <w:szCs w:val="18"/>
        </w:rPr>
        <w:t xml:space="preserve"> data in accordance with Regulation 114.1 CMR 17.00.</w:t>
      </w:r>
    </w:p>
  </w:footnote>
  <w:footnote w:id="78">
    <w:p w:rsidR="002666A8" w:rsidRDefault="002666A8" w:rsidP="00400E42">
      <w:pPr>
        <w:pStyle w:val="FootnoteText"/>
      </w:pPr>
      <w:r w:rsidRPr="002B09B4">
        <w:rPr>
          <w:rStyle w:val="FootnoteReference"/>
          <w:sz w:val="18"/>
          <w:szCs w:val="18"/>
        </w:rPr>
        <w:footnoteRef/>
      </w:r>
      <w:r w:rsidRPr="002B09B4">
        <w:rPr>
          <w:rFonts w:ascii="Calibri" w:hAnsi="Calibri"/>
          <w:sz w:val="18"/>
          <w:szCs w:val="18"/>
        </w:rPr>
        <w:t xml:space="preserve"> </w:t>
      </w:r>
      <w:r>
        <w:rPr>
          <w:rFonts w:ascii="Calibri" w:hAnsi="Calibri"/>
          <w:color w:val="000000"/>
          <w:sz w:val="18"/>
          <w:szCs w:val="18"/>
        </w:rPr>
        <w:t xml:space="preserve">Accessed at </w:t>
      </w:r>
      <w:hyperlink r:id="rId35" w:history="1">
        <w:r w:rsidRPr="00C74CEB">
          <w:rPr>
            <w:rStyle w:val="Hyperlink"/>
            <w:rFonts w:ascii="Calibri" w:hAnsi="Calibri"/>
            <w:sz w:val="18"/>
            <w:szCs w:val="18"/>
          </w:rPr>
          <w:t>http://www.chiamass.gov/ma-apcd/</w:t>
        </w:r>
      </w:hyperlink>
      <w:r>
        <w:rPr>
          <w:rFonts w:ascii="Calibri" w:hAnsi="Calibri"/>
          <w:sz w:val="18"/>
          <w:szCs w:val="18"/>
        </w:rPr>
        <w:t xml:space="preserve"> </w:t>
      </w:r>
    </w:p>
  </w:footnote>
  <w:footnote w:id="79">
    <w:p w:rsidR="002666A8" w:rsidRDefault="002666A8" w:rsidP="00400E42">
      <w:pPr>
        <w:pStyle w:val="FootnoteText"/>
      </w:pPr>
      <w:r w:rsidRPr="002B09B4">
        <w:rPr>
          <w:rStyle w:val="FootnoteReference"/>
          <w:sz w:val="18"/>
          <w:szCs w:val="18"/>
        </w:rPr>
        <w:footnoteRef/>
      </w:r>
      <w:r w:rsidRPr="002B09B4">
        <w:rPr>
          <w:rFonts w:ascii="Calibri" w:hAnsi="Calibri"/>
          <w:sz w:val="18"/>
          <w:szCs w:val="18"/>
        </w:rPr>
        <w:t xml:space="preserve"> CHIA has statutory authority to collect data from both public and private health care payers under Massachusetts General Laws Chapter 12C, section 10.  By July 2010, Regulations 114.5 CMR 21.00 and 114.5 CMR 22.00 formally established the APCD in Massachusetts.</w:t>
      </w:r>
    </w:p>
  </w:footnote>
  <w:footnote w:id="80">
    <w:p w:rsidR="002666A8" w:rsidRDefault="002666A8" w:rsidP="00400E42">
      <w:pPr>
        <w:pStyle w:val="FootnoteText"/>
      </w:pPr>
      <w:r w:rsidRPr="00732811">
        <w:rPr>
          <w:rStyle w:val="FootnoteReference"/>
          <w:sz w:val="18"/>
          <w:szCs w:val="18"/>
        </w:rPr>
        <w:footnoteRef/>
      </w:r>
      <w:r w:rsidRPr="00732811">
        <w:rPr>
          <w:rFonts w:ascii="Calibri" w:hAnsi="Calibri"/>
          <w:sz w:val="18"/>
          <w:szCs w:val="18"/>
        </w:rPr>
        <w:t xml:space="preserve"> </w:t>
      </w:r>
      <w:r>
        <w:rPr>
          <w:rFonts w:ascii="Calibri" w:hAnsi="Calibri"/>
          <w:color w:val="000000"/>
          <w:sz w:val="18"/>
          <w:szCs w:val="18"/>
        </w:rPr>
        <w:t xml:space="preserve">Accessed at </w:t>
      </w:r>
      <w:hyperlink r:id="rId36" w:history="1">
        <w:r w:rsidRPr="00C74CEB">
          <w:rPr>
            <w:rStyle w:val="Hyperlink"/>
            <w:rFonts w:ascii="Calibri" w:hAnsi="Calibri"/>
            <w:sz w:val="18"/>
            <w:szCs w:val="18"/>
          </w:rPr>
          <w:t>http://www.mass.gov/eopss/agencies/doc/</w:t>
        </w:r>
      </w:hyperlink>
      <w:r>
        <w:rPr>
          <w:rFonts w:ascii="Calibri" w:hAnsi="Calibri"/>
          <w:sz w:val="18"/>
          <w:szCs w:val="18"/>
        </w:rPr>
        <w:t xml:space="preserve"> </w:t>
      </w:r>
    </w:p>
  </w:footnote>
  <w:footnote w:id="81">
    <w:p w:rsidR="002666A8" w:rsidRDefault="002666A8" w:rsidP="00400E42">
      <w:pPr>
        <w:pStyle w:val="EndnoteText"/>
      </w:pPr>
      <w:r w:rsidRPr="00732811">
        <w:rPr>
          <w:rStyle w:val="FootnoteReference"/>
          <w:sz w:val="18"/>
          <w:szCs w:val="18"/>
        </w:rPr>
        <w:footnoteRef/>
      </w:r>
      <w:r w:rsidRPr="00732811">
        <w:rPr>
          <w:sz w:val="18"/>
          <w:szCs w:val="18"/>
        </w:rPr>
        <w:t xml:space="preserve"> The collection of detailed incarceration data by DoC authorized under MGL c. 124, s. 1(j) and MGL c. 124, s. 1(k).</w:t>
      </w:r>
    </w:p>
  </w:footnote>
  <w:footnote w:id="82">
    <w:p w:rsidR="002666A8" w:rsidRDefault="002666A8" w:rsidP="00400E42">
      <w:pPr>
        <w:autoSpaceDE w:val="0"/>
        <w:autoSpaceDN w:val="0"/>
        <w:adjustRightInd w:val="0"/>
      </w:pPr>
      <w:r w:rsidRPr="00732811">
        <w:rPr>
          <w:rStyle w:val="FootnoteReference"/>
          <w:sz w:val="18"/>
          <w:szCs w:val="18"/>
        </w:rPr>
        <w:footnoteRef/>
      </w:r>
      <w:r w:rsidRPr="00732811">
        <w:rPr>
          <w:rFonts w:ascii="Calibri" w:hAnsi="Calibri"/>
          <w:sz w:val="18"/>
          <w:szCs w:val="18"/>
        </w:rPr>
        <w:t xml:space="preserve"> </w:t>
      </w:r>
      <w:r w:rsidRPr="00732811">
        <w:rPr>
          <w:rFonts w:ascii="Calibri" w:hAnsi="Calibri" w:cs="AGaramond-Regular"/>
          <w:sz w:val="18"/>
          <w:szCs w:val="18"/>
        </w:rPr>
        <w:t xml:space="preserve">Merrall EL, Kariminia A, Binswanger IA, </w:t>
      </w:r>
      <w:r w:rsidRPr="00732811">
        <w:rPr>
          <w:rFonts w:ascii="Calibri" w:hAnsi="Calibri" w:cs="AGaramond-Italic"/>
          <w:i/>
          <w:iCs/>
          <w:sz w:val="18"/>
          <w:szCs w:val="18"/>
        </w:rPr>
        <w:t>et al</w:t>
      </w:r>
      <w:r w:rsidRPr="00732811">
        <w:rPr>
          <w:rFonts w:ascii="Calibri" w:hAnsi="Calibri" w:cs="AGaramond-Regular"/>
          <w:sz w:val="18"/>
          <w:szCs w:val="18"/>
        </w:rPr>
        <w:t>: Meta-analysis of drug-related deaths soon after release from prison</w:t>
      </w:r>
      <w:r>
        <w:rPr>
          <w:rFonts w:ascii="Calibri" w:hAnsi="Calibri" w:cs="AGaramond-Regular"/>
          <w:sz w:val="18"/>
          <w:szCs w:val="18"/>
        </w:rPr>
        <w:t>.  A</w:t>
      </w:r>
      <w:r w:rsidRPr="00732811">
        <w:rPr>
          <w:rFonts w:ascii="Calibri" w:hAnsi="Calibri" w:cs="AGaramond-Regular"/>
          <w:sz w:val="18"/>
          <w:szCs w:val="18"/>
        </w:rPr>
        <w:t>ddiction 105: 1545–54, 2010</w:t>
      </w:r>
    </w:p>
  </w:footnote>
  <w:footnote w:id="83">
    <w:p w:rsidR="002666A8" w:rsidRPr="00732811" w:rsidRDefault="002666A8" w:rsidP="00400E42">
      <w:pPr>
        <w:autoSpaceDE w:val="0"/>
        <w:autoSpaceDN w:val="0"/>
        <w:adjustRightInd w:val="0"/>
        <w:rPr>
          <w:rFonts w:ascii="Calibri" w:hAnsi="Calibri" w:cs="AGaramond-Regular"/>
          <w:sz w:val="18"/>
          <w:szCs w:val="18"/>
        </w:rPr>
      </w:pPr>
      <w:r w:rsidRPr="00732811">
        <w:rPr>
          <w:rStyle w:val="FootnoteReference"/>
          <w:sz w:val="18"/>
          <w:szCs w:val="18"/>
        </w:rPr>
        <w:footnoteRef/>
      </w:r>
      <w:r w:rsidRPr="00732811">
        <w:rPr>
          <w:rFonts w:ascii="Calibri" w:hAnsi="Calibri"/>
          <w:sz w:val="18"/>
          <w:szCs w:val="18"/>
        </w:rPr>
        <w:t xml:space="preserve"> </w:t>
      </w:r>
      <w:r w:rsidRPr="00732811">
        <w:rPr>
          <w:rFonts w:ascii="Calibri" w:hAnsi="Calibri" w:cs="AGaramond-Regular"/>
          <w:sz w:val="18"/>
          <w:szCs w:val="18"/>
        </w:rPr>
        <w:t xml:space="preserve">Binswanger IA, Stern MF, Deyo RA, </w:t>
      </w:r>
      <w:r w:rsidRPr="00732811">
        <w:rPr>
          <w:rFonts w:ascii="Calibri" w:hAnsi="Calibri" w:cs="AGaramond-Italic"/>
          <w:i/>
          <w:iCs/>
          <w:sz w:val="18"/>
          <w:szCs w:val="18"/>
        </w:rPr>
        <w:t>et al</w:t>
      </w:r>
      <w:r w:rsidRPr="00732811">
        <w:rPr>
          <w:rFonts w:ascii="Calibri" w:hAnsi="Calibri" w:cs="AGaramond-Regular"/>
          <w:sz w:val="18"/>
          <w:szCs w:val="18"/>
        </w:rPr>
        <w:t>: Release from prison: a high risk of death for former inmates</w:t>
      </w:r>
      <w:r>
        <w:rPr>
          <w:rFonts w:ascii="Calibri" w:hAnsi="Calibri" w:cs="AGaramond-Regular"/>
          <w:sz w:val="18"/>
          <w:szCs w:val="18"/>
        </w:rPr>
        <w:t>.  N</w:t>
      </w:r>
      <w:r w:rsidRPr="00732811">
        <w:rPr>
          <w:rFonts w:ascii="Calibri" w:hAnsi="Calibri" w:cs="AGaramond-Regular"/>
          <w:sz w:val="18"/>
          <w:szCs w:val="18"/>
        </w:rPr>
        <w:t>Engl J Med 356:157– 65, 2007</w:t>
      </w:r>
    </w:p>
    <w:p w:rsidR="002666A8" w:rsidRDefault="002666A8" w:rsidP="00400E42">
      <w:pPr>
        <w:autoSpaceDE w:val="0"/>
        <w:autoSpaceDN w:val="0"/>
        <w:adjustRightInd w:val="0"/>
      </w:pPr>
    </w:p>
  </w:footnote>
  <w:footnote w:id="84">
    <w:p w:rsidR="002666A8" w:rsidRDefault="002666A8" w:rsidP="00400E42">
      <w:pPr>
        <w:pStyle w:val="FootnoteText"/>
      </w:pPr>
      <w:r w:rsidRPr="0023492A">
        <w:rPr>
          <w:rStyle w:val="FootnoteReference"/>
          <w:sz w:val="16"/>
          <w:szCs w:val="16"/>
        </w:rPr>
        <w:footnoteRef/>
      </w:r>
      <w:r w:rsidRPr="0023492A">
        <w:rPr>
          <w:rFonts w:ascii="Calibri" w:hAnsi="Calibri"/>
          <w:sz w:val="16"/>
          <w:szCs w:val="16"/>
        </w:rPr>
        <w:t xml:space="preserve"> Kessler RC, Crum RM, Warner LA, Nelson CB, Schulenberg J, Anthony JC</w:t>
      </w:r>
      <w:r>
        <w:rPr>
          <w:rFonts w:ascii="Calibri" w:hAnsi="Calibri"/>
          <w:sz w:val="16"/>
          <w:szCs w:val="16"/>
        </w:rPr>
        <w:t>.  L</w:t>
      </w:r>
      <w:r w:rsidRPr="0023492A">
        <w:rPr>
          <w:rFonts w:ascii="Calibri" w:hAnsi="Calibri"/>
          <w:sz w:val="16"/>
          <w:szCs w:val="16"/>
        </w:rPr>
        <w:t>ifetime co-occurrence of DSM-III-R alcohol abuse and dependence with other psychiatric disorders in the National Comorbidity Survey</w:t>
      </w:r>
      <w:r>
        <w:rPr>
          <w:rFonts w:ascii="Calibri" w:hAnsi="Calibri"/>
          <w:sz w:val="16"/>
          <w:szCs w:val="16"/>
        </w:rPr>
        <w:t>.  A</w:t>
      </w:r>
      <w:r w:rsidRPr="0023492A">
        <w:rPr>
          <w:rFonts w:ascii="Calibri" w:hAnsi="Calibri"/>
          <w:sz w:val="16"/>
          <w:szCs w:val="16"/>
        </w:rPr>
        <w:t>rch Gen Psychiatry 1997;54:313–21.</w:t>
      </w:r>
    </w:p>
  </w:footnote>
  <w:footnote w:id="85">
    <w:p w:rsidR="002666A8" w:rsidRDefault="002666A8" w:rsidP="00400E42">
      <w:pPr>
        <w:pStyle w:val="FootnoteText"/>
      </w:pPr>
      <w:r w:rsidRPr="0023492A">
        <w:rPr>
          <w:rStyle w:val="FootnoteReference"/>
          <w:sz w:val="16"/>
          <w:szCs w:val="16"/>
        </w:rPr>
        <w:footnoteRef/>
      </w:r>
      <w:r w:rsidRPr="0023492A">
        <w:rPr>
          <w:rFonts w:ascii="Calibri" w:hAnsi="Calibri"/>
          <w:sz w:val="16"/>
          <w:szCs w:val="16"/>
        </w:rPr>
        <w:t xml:space="preserve"> Tomasson K, Vaglum P</w:t>
      </w:r>
      <w:r>
        <w:rPr>
          <w:rFonts w:ascii="Calibri" w:hAnsi="Calibri"/>
          <w:sz w:val="16"/>
          <w:szCs w:val="16"/>
        </w:rPr>
        <w:t>.  P</w:t>
      </w:r>
      <w:r w:rsidRPr="0023492A">
        <w:rPr>
          <w:rFonts w:ascii="Calibri" w:hAnsi="Calibri"/>
          <w:sz w:val="16"/>
          <w:szCs w:val="16"/>
        </w:rPr>
        <w:t>sychopathology and alcohol consumption among treatment-seeking alcoholics: a prospective study</w:t>
      </w:r>
      <w:r>
        <w:rPr>
          <w:rFonts w:ascii="Calibri" w:hAnsi="Calibri"/>
          <w:sz w:val="16"/>
          <w:szCs w:val="16"/>
        </w:rPr>
        <w:t>.  A</w:t>
      </w:r>
      <w:r w:rsidRPr="0023492A">
        <w:rPr>
          <w:rFonts w:ascii="Calibri" w:hAnsi="Calibri"/>
          <w:sz w:val="16"/>
          <w:szCs w:val="16"/>
        </w:rPr>
        <w:t>ddiction 1996;91:1019–30.</w:t>
      </w:r>
    </w:p>
  </w:footnote>
  <w:footnote w:id="86">
    <w:p w:rsidR="002666A8" w:rsidRDefault="002666A8" w:rsidP="00400E42">
      <w:pPr>
        <w:pStyle w:val="FootnoteText"/>
      </w:pPr>
      <w:r w:rsidRPr="0023492A">
        <w:rPr>
          <w:rStyle w:val="FootnoteReference"/>
          <w:sz w:val="16"/>
          <w:szCs w:val="16"/>
        </w:rPr>
        <w:footnoteRef/>
      </w:r>
      <w:r w:rsidRPr="0023492A">
        <w:rPr>
          <w:rFonts w:ascii="Calibri" w:hAnsi="Calibri"/>
          <w:sz w:val="16"/>
          <w:szCs w:val="16"/>
        </w:rPr>
        <w:t xml:space="preserve"> Evans GW, Kantrowitz E</w:t>
      </w:r>
      <w:r>
        <w:rPr>
          <w:rFonts w:ascii="Calibri" w:hAnsi="Calibri"/>
          <w:sz w:val="16"/>
          <w:szCs w:val="16"/>
        </w:rPr>
        <w:t>.  S</w:t>
      </w:r>
      <w:r w:rsidRPr="0023492A">
        <w:rPr>
          <w:rFonts w:ascii="Calibri" w:hAnsi="Calibri"/>
          <w:sz w:val="16"/>
          <w:szCs w:val="16"/>
        </w:rPr>
        <w:t>ocioeconomic status and health: the potential role of environmental risk exposure. Annual Review Public Health 2002;23:303–31.</w:t>
      </w:r>
    </w:p>
  </w:footnote>
  <w:footnote w:id="87">
    <w:p w:rsidR="002666A8" w:rsidRDefault="002666A8" w:rsidP="00400E42">
      <w:pPr>
        <w:pStyle w:val="FootnoteText"/>
      </w:pPr>
      <w:r w:rsidRPr="0023492A">
        <w:rPr>
          <w:rStyle w:val="FootnoteReference"/>
          <w:sz w:val="16"/>
          <w:szCs w:val="16"/>
        </w:rPr>
        <w:footnoteRef/>
      </w:r>
      <w:r w:rsidRPr="0023492A">
        <w:rPr>
          <w:rFonts w:ascii="Calibri" w:hAnsi="Calibri"/>
          <w:sz w:val="16"/>
          <w:szCs w:val="16"/>
        </w:rPr>
        <w:t xml:space="preserve"> Robins LN</w:t>
      </w:r>
      <w:r>
        <w:rPr>
          <w:rFonts w:ascii="Calibri" w:hAnsi="Calibri"/>
          <w:sz w:val="16"/>
          <w:szCs w:val="16"/>
        </w:rPr>
        <w:t>.  V</w:t>
      </w:r>
      <w:r w:rsidRPr="0023492A">
        <w:rPr>
          <w:rFonts w:ascii="Calibri" w:hAnsi="Calibri"/>
          <w:sz w:val="16"/>
          <w:szCs w:val="16"/>
        </w:rPr>
        <w:t xml:space="preserve">ietnam veterans’ rapid recovery from </w:t>
      </w:r>
      <w:r>
        <w:rPr>
          <w:rFonts w:ascii="Calibri" w:hAnsi="Calibri"/>
          <w:sz w:val="16"/>
          <w:szCs w:val="16"/>
        </w:rPr>
        <w:t>Heroin</w:t>
      </w:r>
      <w:r w:rsidRPr="0023492A">
        <w:rPr>
          <w:rFonts w:ascii="Calibri" w:hAnsi="Calibri"/>
          <w:sz w:val="16"/>
          <w:szCs w:val="16"/>
        </w:rPr>
        <w:t xml:space="preserve"> addiction: a fluke or normal expectation? Addiction 1993;88:1041–54</w:t>
      </w:r>
    </w:p>
  </w:footnote>
  <w:footnote w:id="88">
    <w:p w:rsidR="002666A8" w:rsidRDefault="002666A8" w:rsidP="00400E42">
      <w:pPr>
        <w:pStyle w:val="FootnoteText"/>
      </w:pPr>
      <w:r w:rsidRPr="0023492A">
        <w:rPr>
          <w:rStyle w:val="FootnoteReference"/>
          <w:sz w:val="16"/>
          <w:szCs w:val="16"/>
        </w:rPr>
        <w:footnoteRef/>
      </w:r>
      <w:r w:rsidRPr="0023492A">
        <w:rPr>
          <w:rFonts w:ascii="Calibri" w:hAnsi="Calibri"/>
          <w:sz w:val="16"/>
          <w:szCs w:val="16"/>
        </w:rPr>
        <w:t xml:space="preserve"> Zinberg NE</w:t>
      </w:r>
      <w:r>
        <w:rPr>
          <w:rFonts w:ascii="Calibri" w:hAnsi="Calibri"/>
          <w:sz w:val="16"/>
          <w:szCs w:val="16"/>
        </w:rPr>
        <w:t>.  D</w:t>
      </w:r>
      <w:r w:rsidRPr="0023492A">
        <w:rPr>
          <w:rFonts w:ascii="Calibri" w:hAnsi="Calibri"/>
          <w:sz w:val="16"/>
          <w:szCs w:val="16"/>
        </w:rPr>
        <w:t>rug, set, and setting</w:t>
      </w:r>
      <w:r>
        <w:rPr>
          <w:rFonts w:ascii="Calibri" w:hAnsi="Calibri"/>
          <w:sz w:val="16"/>
          <w:szCs w:val="16"/>
        </w:rPr>
        <w:t>.  N</w:t>
      </w:r>
      <w:r w:rsidRPr="0023492A">
        <w:rPr>
          <w:rFonts w:ascii="Calibri" w:hAnsi="Calibri"/>
          <w:sz w:val="16"/>
          <w:szCs w:val="16"/>
        </w:rPr>
        <w:t>ew Haven, CT: Yale University Press, 1984.</w:t>
      </w:r>
    </w:p>
  </w:footnote>
  <w:footnote w:id="89">
    <w:p w:rsidR="002666A8" w:rsidRDefault="002666A8" w:rsidP="00400E42">
      <w:pPr>
        <w:pStyle w:val="FootnoteText"/>
      </w:pPr>
      <w:r w:rsidRPr="0023492A">
        <w:rPr>
          <w:rStyle w:val="FootnoteReference"/>
          <w:sz w:val="16"/>
          <w:szCs w:val="16"/>
        </w:rPr>
        <w:footnoteRef/>
      </w:r>
      <w:r w:rsidRPr="0023492A">
        <w:rPr>
          <w:rFonts w:ascii="Calibri" w:hAnsi="Calibri"/>
          <w:sz w:val="16"/>
          <w:szCs w:val="16"/>
        </w:rPr>
        <w:t xml:space="preserve"> This includes both </w:t>
      </w:r>
      <w:r>
        <w:rPr>
          <w:rFonts w:ascii="Calibri" w:hAnsi="Calibri"/>
          <w:sz w:val="16"/>
          <w:szCs w:val="16"/>
        </w:rPr>
        <w:t>Heroin</w:t>
      </w:r>
      <w:r w:rsidRPr="0023492A">
        <w:rPr>
          <w:rFonts w:ascii="Calibri" w:hAnsi="Calibri"/>
          <w:sz w:val="16"/>
          <w:szCs w:val="16"/>
        </w:rPr>
        <w:t xml:space="preserve"> and other opioids.</w:t>
      </w:r>
    </w:p>
  </w:footnote>
  <w:footnote w:id="90">
    <w:p w:rsidR="002666A8" w:rsidRDefault="002666A8" w:rsidP="00400E42">
      <w:pPr>
        <w:pStyle w:val="FootnoteText"/>
      </w:pPr>
      <w:r w:rsidRPr="0023492A">
        <w:rPr>
          <w:rStyle w:val="FootnoteReference"/>
          <w:sz w:val="16"/>
          <w:szCs w:val="16"/>
        </w:rPr>
        <w:footnoteRef/>
      </w:r>
      <w:r w:rsidRPr="0023492A">
        <w:rPr>
          <w:rFonts w:ascii="Calibri" w:hAnsi="Calibri"/>
          <w:sz w:val="16"/>
          <w:szCs w:val="16"/>
        </w:rPr>
        <w:t xml:space="preserve"> </w:t>
      </w:r>
      <w:r w:rsidRPr="0023492A">
        <w:rPr>
          <w:rFonts w:ascii="Calibri" w:hAnsi="Calibri" w:cs="Arial"/>
          <w:color w:val="222222"/>
          <w:sz w:val="16"/>
          <w:szCs w:val="16"/>
          <w:shd w:val="clear" w:color="auto" w:fill="FFFFFF"/>
        </w:rPr>
        <w:t>American Psychiatric Association. (2013)</w:t>
      </w:r>
      <w:r>
        <w:rPr>
          <w:rFonts w:ascii="Calibri" w:hAnsi="Calibri" w:cs="Arial"/>
          <w:color w:val="222222"/>
          <w:sz w:val="16"/>
          <w:szCs w:val="16"/>
          <w:shd w:val="clear" w:color="auto" w:fill="FFFFFF"/>
        </w:rPr>
        <w:t>.  D</w:t>
      </w:r>
      <w:r w:rsidRPr="0023492A">
        <w:rPr>
          <w:rFonts w:ascii="Calibri" w:hAnsi="Calibri" w:cs="Arial"/>
          <w:color w:val="222222"/>
          <w:sz w:val="16"/>
          <w:szCs w:val="16"/>
          <w:shd w:val="clear" w:color="auto" w:fill="FFFFFF"/>
        </w:rPr>
        <w:t>iagnostic and statistical manual of mental disorders:</w:t>
      </w:r>
      <w:r w:rsidRPr="0023492A">
        <w:rPr>
          <w:rStyle w:val="apple-converted-space"/>
          <w:rFonts w:ascii="Calibri" w:hAnsi="Calibri" w:cs="Arial"/>
          <w:color w:val="222222"/>
          <w:sz w:val="16"/>
          <w:szCs w:val="16"/>
          <w:shd w:val="clear" w:color="auto" w:fill="FFFFFF"/>
        </w:rPr>
        <w:t> </w:t>
      </w:r>
      <w:r w:rsidRPr="0023492A">
        <w:rPr>
          <w:rFonts w:ascii="Calibri" w:hAnsi="Calibri" w:cs="Arial"/>
          <w:b/>
          <w:bCs/>
          <w:color w:val="222222"/>
          <w:sz w:val="16"/>
          <w:szCs w:val="16"/>
          <w:shd w:val="clear" w:color="auto" w:fill="FFFFFF"/>
        </w:rPr>
        <w:t>DSM</w:t>
      </w:r>
      <w:r w:rsidRPr="0023492A">
        <w:rPr>
          <w:rFonts w:ascii="Calibri" w:hAnsi="Calibri" w:cs="Arial"/>
          <w:color w:val="222222"/>
          <w:sz w:val="16"/>
          <w:szCs w:val="16"/>
          <w:shd w:val="clear" w:color="auto" w:fill="FFFFFF"/>
        </w:rPr>
        <w:t>-</w:t>
      </w:r>
      <w:r w:rsidRPr="0023492A">
        <w:rPr>
          <w:rFonts w:ascii="Calibri" w:hAnsi="Calibri" w:cs="Arial"/>
          <w:b/>
          <w:bCs/>
          <w:color w:val="222222"/>
          <w:sz w:val="16"/>
          <w:szCs w:val="16"/>
          <w:shd w:val="clear" w:color="auto" w:fill="FFFFFF"/>
        </w:rPr>
        <w:t>5</w:t>
      </w:r>
      <w:r>
        <w:rPr>
          <w:rFonts w:ascii="Calibri" w:hAnsi="Calibri" w:cs="Arial"/>
          <w:color w:val="222222"/>
          <w:sz w:val="16"/>
          <w:szCs w:val="16"/>
          <w:shd w:val="clear" w:color="auto" w:fill="FFFFFF"/>
        </w:rPr>
        <w:t>.  W</w:t>
      </w:r>
      <w:r w:rsidRPr="0023492A">
        <w:rPr>
          <w:rFonts w:ascii="Calibri" w:hAnsi="Calibri" w:cs="Arial"/>
          <w:color w:val="222222"/>
          <w:sz w:val="16"/>
          <w:szCs w:val="16"/>
          <w:shd w:val="clear" w:color="auto" w:fill="FFFFFF"/>
        </w:rPr>
        <w:t>ashington, D.C: American Psychiatric Association.</w:t>
      </w:r>
    </w:p>
  </w:footnote>
  <w:footnote w:id="91">
    <w:p w:rsidR="002666A8" w:rsidRDefault="002666A8" w:rsidP="00400E42">
      <w:pPr>
        <w:pStyle w:val="FootnoteText"/>
      </w:pPr>
      <w:r w:rsidRPr="004F263D">
        <w:rPr>
          <w:rStyle w:val="FootnoteReference"/>
          <w:sz w:val="18"/>
          <w:szCs w:val="16"/>
        </w:rPr>
        <w:footnoteRef/>
      </w:r>
      <w:r w:rsidRPr="004F263D">
        <w:rPr>
          <w:rFonts w:ascii="Calibri" w:hAnsi="Calibri"/>
          <w:sz w:val="18"/>
          <w:szCs w:val="16"/>
        </w:rPr>
        <w:t xml:space="preserve"> There are evidence-based guidelines from SAMHSA and associations like American Society of Addiction Medicine (ASAM) and American Psychological Association (APA) for particular treatment services and for particular populations</w:t>
      </w:r>
      <w:r>
        <w:rPr>
          <w:rFonts w:ascii="Calibri" w:hAnsi="Calibri"/>
          <w:sz w:val="18"/>
          <w:szCs w:val="16"/>
        </w:rPr>
        <w:t>.  F</w:t>
      </w:r>
      <w:r w:rsidRPr="004F263D">
        <w:rPr>
          <w:rFonts w:ascii="Calibri" w:hAnsi="Calibri"/>
          <w:sz w:val="18"/>
          <w:szCs w:val="16"/>
        </w:rPr>
        <w:t>or instance, there are guidelines for clinically evaluating patients to determine what is medically necessary and determine individualistic needs</w:t>
      </w:r>
      <w:r>
        <w:rPr>
          <w:rFonts w:ascii="Calibri" w:hAnsi="Calibri"/>
          <w:sz w:val="18"/>
          <w:szCs w:val="16"/>
        </w:rPr>
        <w:t>.  T</w:t>
      </w:r>
      <w:r w:rsidRPr="004F263D">
        <w:rPr>
          <w:rFonts w:ascii="Calibri" w:hAnsi="Calibri"/>
          <w:sz w:val="18"/>
          <w:szCs w:val="16"/>
        </w:rPr>
        <w:t>he guidelines outline standards of care for stabilizing patients with withdrawal symptoms during detoxification and there are recommendations for maintenance care</w:t>
      </w:r>
      <w:r>
        <w:rPr>
          <w:rFonts w:ascii="Calibri" w:hAnsi="Calibri"/>
          <w:sz w:val="18"/>
          <w:szCs w:val="16"/>
        </w:rPr>
        <w:t>.  T</w:t>
      </w:r>
      <w:r w:rsidRPr="004F263D">
        <w:rPr>
          <w:rFonts w:ascii="Calibri" w:hAnsi="Calibri"/>
          <w:sz w:val="18"/>
          <w:szCs w:val="16"/>
        </w:rPr>
        <w:t>he guidelines also specify MAT dosing for detoxification purposes as well as maintenance</w:t>
      </w:r>
      <w:r>
        <w:rPr>
          <w:rFonts w:ascii="Calibri" w:hAnsi="Calibri"/>
          <w:sz w:val="18"/>
          <w:szCs w:val="16"/>
        </w:rPr>
        <w:t>.  O</w:t>
      </w:r>
      <w:r w:rsidRPr="004F263D">
        <w:rPr>
          <w:rFonts w:ascii="Calibri" w:hAnsi="Calibri"/>
          <w:sz w:val="18"/>
          <w:szCs w:val="16"/>
          <w:highlight w:val="white"/>
        </w:rPr>
        <w:t xml:space="preserve">ften, people with severe addiction are poly-substance users and require treatment for all substances abused.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Default="002666A8">
    <w:pPr>
      <w:pStyle w:val="Header"/>
    </w:pPr>
    <w:r>
      <w:rPr>
        <w:rFonts w:ascii="Cambria" w:hAnsi="Cambria"/>
        <w:i/>
        <w:sz w:val="20"/>
      </w:rPr>
      <w:tab/>
    </w:r>
    <w:r>
      <w:rPr>
        <w:rFonts w:ascii="Cambria" w:hAnsi="Cambria"/>
        <w:i/>
        <w:sz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Default="002666A8">
    <w:pPr>
      <w:pStyle w:val="Header"/>
    </w:pPr>
    <w:r>
      <w:rPr>
        <w:noProof/>
      </w:rPr>
      <mc:AlternateContent>
        <mc:Choice Requires="wps">
          <w:drawing>
            <wp:anchor distT="0" distB="0" distL="114300" distR="114300" simplePos="0" relativeHeight="251676672" behindDoc="1" locked="0" layoutInCell="0" allowOverlap="1" wp14:anchorId="6E08F6D2" wp14:editId="68F1B752">
              <wp:simplePos x="0" y="0"/>
              <wp:positionH relativeFrom="margin">
                <wp:align>center</wp:align>
              </wp:positionH>
              <wp:positionV relativeFrom="margin">
                <wp:align>center</wp:align>
              </wp:positionV>
              <wp:extent cx="5237480" cy="106680"/>
              <wp:effectExtent l="0" t="0" r="0" b="0"/>
              <wp:wrapNone/>
              <wp:docPr id="87" name="WordArt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5" o:spid="_x0000_s1037" type="#_x0000_t202" style="position:absolute;margin-left:0;margin-top:0;width:412.4pt;height:8.4pt;rotation:-45;z-index:-2516398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75648" behindDoc="1" locked="0" layoutInCell="0" allowOverlap="1" wp14:anchorId="1C12A753" wp14:editId="12A9C929">
              <wp:simplePos x="0" y="0"/>
              <wp:positionH relativeFrom="margin">
                <wp:align>center</wp:align>
              </wp:positionH>
              <wp:positionV relativeFrom="margin">
                <wp:align>center</wp:align>
              </wp:positionV>
              <wp:extent cx="5237480" cy="106680"/>
              <wp:effectExtent l="0" t="0" r="0" b="0"/>
              <wp:wrapNone/>
              <wp:docPr id="86" name="WordArt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73" o:spid="_x0000_s1038" type="#_x0000_t202" style="position:absolute;margin-left:0;margin-top:0;width:412.4pt;height:8.4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74624" behindDoc="1" locked="0" layoutInCell="0" allowOverlap="1" wp14:anchorId="1696F19B" wp14:editId="37BF7444">
              <wp:simplePos x="0" y="0"/>
              <wp:positionH relativeFrom="margin">
                <wp:align>center</wp:align>
              </wp:positionH>
              <wp:positionV relativeFrom="margin">
                <wp:align>center</wp:align>
              </wp:positionV>
              <wp:extent cx="5237480" cy="106680"/>
              <wp:effectExtent l="0" t="0" r="0" b="0"/>
              <wp:wrapNone/>
              <wp:docPr id="85" name="WordArt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71" o:spid="_x0000_s1039" type="#_x0000_t202" style="position:absolute;margin-left:0;margin-top:0;width:412.4pt;height:8.4pt;rotation:-45;z-index:-251641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72576" behindDoc="1" locked="0" layoutInCell="0" allowOverlap="1" wp14:anchorId="46DC2DF1" wp14:editId="07DB5D35">
              <wp:simplePos x="0" y="0"/>
              <wp:positionH relativeFrom="margin">
                <wp:align>center</wp:align>
              </wp:positionH>
              <wp:positionV relativeFrom="margin">
                <wp:align>center</wp:align>
              </wp:positionV>
              <wp:extent cx="5237480" cy="106680"/>
              <wp:effectExtent l="0" t="0" r="0" b="0"/>
              <wp:wrapNone/>
              <wp:docPr id="84" name="WordArt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9" o:spid="_x0000_s1040" type="#_x0000_t202" style="position:absolute;margin-left:0;margin-top:0;width:412.4pt;height:8.4pt;rotation:-45;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PVIaOaLAgAABA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70528" behindDoc="1" locked="0" layoutInCell="0" allowOverlap="1" wp14:anchorId="059367E4" wp14:editId="03053AB2">
              <wp:simplePos x="0" y="0"/>
              <wp:positionH relativeFrom="margin">
                <wp:align>center</wp:align>
              </wp:positionH>
              <wp:positionV relativeFrom="margin">
                <wp:align>center</wp:align>
              </wp:positionV>
              <wp:extent cx="5237480" cy="106680"/>
              <wp:effectExtent l="0" t="0" r="0" b="0"/>
              <wp:wrapNone/>
              <wp:docPr id="83" name="WordArt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7" o:spid="_x0000_s1041" type="#_x0000_t202" style="position:absolute;margin-left:0;margin-top:0;width:412.4pt;height:8.4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D7IYwKLAgAABA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8480" behindDoc="1" locked="0" layoutInCell="0" allowOverlap="1" wp14:anchorId="7AA98039" wp14:editId="53A90870">
              <wp:simplePos x="0" y="0"/>
              <wp:positionH relativeFrom="margin">
                <wp:align>center</wp:align>
              </wp:positionH>
              <wp:positionV relativeFrom="margin">
                <wp:align>center</wp:align>
              </wp:positionV>
              <wp:extent cx="5237480" cy="106680"/>
              <wp:effectExtent l="0" t="0" r="0" b="0"/>
              <wp:wrapNone/>
              <wp:docPr id="82" name="WordArt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5" o:spid="_x0000_s1042" type="#_x0000_t202" style="position:absolute;margin-left:0;margin-top:0;width:412.4pt;height:8.4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6432" behindDoc="1" locked="0" layoutInCell="0" allowOverlap="1" wp14:anchorId="16B59984" wp14:editId="4FCF14D9">
              <wp:simplePos x="0" y="0"/>
              <wp:positionH relativeFrom="margin">
                <wp:align>center</wp:align>
              </wp:positionH>
              <wp:positionV relativeFrom="margin">
                <wp:align>center</wp:align>
              </wp:positionV>
              <wp:extent cx="5237480" cy="106680"/>
              <wp:effectExtent l="0" t="0" r="0" b="0"/>
              <wp:wrapNone/>
              <wp:docPr id="81" name="WordArt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3" o:spid="_x0000_s1043" type="#_x0000_t202" style="position:absolute;margin-left:0;margin-top:0;width:412.4pt;height:8.4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NSlCUGLAgAABA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4384" behindDoc="1" locked="0" layoutInCell="0" allowOverlap="1" wp14:anchorId="565FB600" wp14:editId="30D610CB">
              <wp:simplePos x="0" y="0"/>
              <wp:positionH relativeFrom="margin">
                <wp:align>center</wp:align>
              </wp:positionH>
              <wp:positionV relativeFrom="margin">
                <wp:align>center</wp:align>
              </wp:positionV>
              <wp:extent cx="5237480" cy="106680"/>
              <wp:effectExtent l="0" t="0" r="0" b="0"/>
              <wp:wrapNone/>
              <wp:docPr id="80" name="WordArt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1" o:spid="_x0000_s1044" type="#_x0000_t202" style="position:absolute;margin-left:0;margin-top:0;width:412.4pt;height:8.4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CGTvGCLAgAABA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2336" behindDoc="1" locked="0" layoutInCell="0" allowOverlap="1" wp14:anchorId="1F4EF9B7" wp14:editId="33CE9D46">
              <wp:simplePos x="0" y="0"/>
              <wp:positionH relativeFrom="margin">
                <wp:align>center</wp:align>
              </wp:positionH>
              <wp:positionV relativeFrom="margin">
                <wp:align>center</wp:align>
              </wp:positionV>
              <wp:extent cx="5237480" cy="106680"/>
              <wp:effectExtent l="0" t="0" r="0" b="0"/>
              <wp:wrapNone/>
              <wp:docPr id="79" name="WordArt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9" o:spid="_x0000_s1045" type="#_x0000_t202" style="position:absolute;margin-left:0;margin-top:0;width:412.4pt;height:8.4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L3XY0GLAgAABA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p>
  <w:p w:rsidR="002666A8" w:rsidRDefault="002666A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Default="002666A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Default="002666A8" w:rsidP="00400E42">
    <w:pPr>
      <w:pStyle w:val="Header"/>
    </w:pPr>
    <w:r>
      <w:rPr>
        <w:noProof/>
      </w:rPr>
      <mc:AlternateContent>
        <mc:Choice Requires="wps">
          <w:drawing>
            <wp:anchor distT="0" distB="0" distL="114300" distR="114300" simplePos="0" relativeHeight="251673600" behindDoc="1" locked="0" layoutInCell="0" allowOverlap="1" wp14:anchorId="18745E53" wp14:editId="43534C1A">
              <wp:simplePos x="0" y="0"/>
              <wp:positionH relativeFrom="margin">
                <wp:align>center</wp:align>
              </wp:positionH>
              <wp:positionV relativeFrom="margin">
                <wp:align>center</wp:align>
              </wp:positionV>
              <wp:extent cx="5237480" cy="106680"/>
              <wp:effectExtent l="0" t="0" r="0" b="0"/>
              <wp:wrapNone/>
              <wp:docPr id="73" name="WordArt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0" o:spid="_x0000_s1046" type="#_x0000_t202" style="position:absolute;margin-left:0;margin-top:0;width:412.4pt;height:8.4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O4CpUSLAgAABA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71552" behindDoc="1" locked="0" layoutInCell="0" allowOverlap="1" wp14:anchorId="6D9B52E4" wp14:editId="7AC7DFAC">
              <wp:simplePos x="0" y="0"/>
              <wp:positionH relativeFrom="margin">
                <wp:align>center</wp:align>
              </wp:positionH>
              <wp:positionV relativeFrom="margin">
                <wp:align>center</wp:align>
              </wp:positionV>
              <wp:extent cx="5237480" cy="106680"/>
              <wp:effectExtent l="0" t="0" r="0" b="0"/>
              <wp:wrapNone/>
              <wp:docPr id="72" name="WordArt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8" o:spid="_x0000_s1047" type="#_x0000_t202" style="position:absolute;margin-left:0;margin-top:0;width:412.4pt;height:8.4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9504" behindDoc="1" locked="0" layoutInCell="0" allowOverlap="1" wp14:anchorId="60DCCA6F" wp14:editId="114EF565">
              <wp:simplePos x="0" y="0"/>
              <wp:positionH relativeFrom="margin">
                <wp:align>center</wp:align>
              </wp:positionH>
              <wp:positionV relativeFrom="margin">
                <wp:align>center</wp:align>
              </wp:positionV>
              <wp:extent cx="5237480" cy="106680"/>
              <wp:effectExtent l="0" t="0" r="0" b="0"/>
              <wp:wrapNone/>
              <wp:docPr id="71" name="WordArt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6" o:spid="_x0000_s1048" type="#_x0000_t202" style="position:absolute;margin-left:0;margin-top:0;width:412.4pt;height:8.4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7456" behindDoc="1" locked="0" layoutInCell="0" allowOverlap="1" wp14:anchorId="1D28DAD7" wp14:editId="436037F5">
              <wp:simplePos x="0" y="0"/>
              <wp:positionH relativeFrom="margin">
                <wp:align>center</wp:align>
              </wp:positionH>
              <wp:positionV relativeFrom="margin">
                <wp:align>center</wp:align>
              </wp:positionV>
              <wp:extent cx="5237480" cy="106680"/>
              <wp:effectExtent l="0" t="0" r="0" b="0"/>
              <wp:wrapNone/>
              <wp:docPr id="70" name="WordArt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4" o:spid="_x0000_s1049" type="#_x0000_t202" style="position:absolute;margin-left:0;margin-top:0;width:412.4pt;height:8.4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EINBQaLAgAABQ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5408" behindDoc="1" locked="0" layoutInCell="0" allowOverlap="1" wp14:anchorId="5D4F8147" wp14:editId="4E1F6160">
              <wp:simplePos x="0" y="0"/>
              <wp:positionH relativeFrom="margin">
                <wp:align>center</wp:align>
              </wp:positionH>
              <wp:positionV relativeFrom="margin">
                <wp:align>center</wp:align>
              </wp:positionV>
              <wp:extent cx="5237480" cy="106680"/>
              <wp:effectExtent l="0" t="0" r="0" b="0"/>
              <wp:wrapNone/>
              <wp:docPr id="69" name="WordArt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2" o:spid="_x0000_s1050" type="#_x0000_t202" style="position:absolute;margin-left:0;margin-top:0;width:412.4pt;height:8.4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OyZuUWLAgAABQ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3360" behindDoc="1" locked="0" layoutInCell="0" allowOverlap="1" wp14:anchorId="24E77EE3" wp14:editId="5FFB8A3A">
              <wp:simplePos x="0" y="0"/>
              <wp:positionH relativeFrom="margin">
                <wp:align>center</wp:align>
              </wp:positionH>
              <wp:positionV relativeFrom="margin">
                <wp:align>center</wp:align>
              </wp:positionV>
              <wp:extent cx="5237480" cy="106680"/>
              <wp:effectExtent l="0" t="0" r="0" b="0"/>
              <wp:wrapNone/>
              <wp:docPr id="68" name="WordArt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0" o:spid="_x0000_s1051" type="#_x0000_t202" style="position:absolute;margin-left:0;margin-top:0;width:412.4pt;height:8.4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1312" behindDoc="1" locked="0" layoutInCell="0" allowOverlap="1" wp14:anchorId="4FF2C303" wp14:editId="2F30322B">
              <wp:simplePos x="0" y="0"/>
              <wp:positionH relativeFrom="margin">
                <wp:align>center</wp:align>
              </wp:positionH>
              <wp:positionV relativeFrom="margin">
                <wp:align>center</wp:align>
              </wp:positionV>
              <wp:extent cx="5237480" cy="106680"/>
              <wp:effectExtent l="0" t="0" r="0" b="0"/>
              <wp:wrapNone/>
              <wp:docPr id="67" name="WordArt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8" o:spid="_x0000_s1052" type="#_x0000_t202" style="position:absolute;margin-left:0;margin-top:0;width:412.4pt;height:8.4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Default="002666A8">
    <w:pPr>
      <w:pStyle w:val="Header"/>
    </w:pPr>
    <w:r>
      <w:rPr>
        <w:noProof/>
      </w:rPr>
      <mc:AlternateContent>
        <mc:Choice Requires="wps">
          <w:drawing>
            <wp:anchor distT="0" distB="0" distL="114300" distR="114300" simplePos="0" relativeHeight="251660288" behindDoc="1" locked="0" layoutInCell="0" allowOverlap="1" wp14:anchorId="43B16770" wp14:editId="07D9FF85">
              <wp:simplePos x="0" y="0"/>
              <wp:positionH relativeFrom="margin">
                <wp:align>center</wp:align>
              </wp:positionH>
              <wp:positionV relativeFrom="margin">
                <wp:align>center</wp:align>
              </wp:positionV>
              <wp:extent cx="5237480" cy="106680"/>
              <wp:effectExtent l="0" t="0" r="0" b="0"/>
              <wp:wrapNone/>
              <wp:docPr id="44" name="WordArt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7" o:spid="_x0000_s1053" type="#_x0000_t202" style="position:absolute;margin-left:0;margin-top:0;width:412.4pt;height:8.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KrNSy+LAgAABQ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7216" behindDoc="1" locked="0" layoutInCell="0" allowOverlap="1" wp14:anchorId="512C3DE6" wp14:editId="294F7D51">
              <wp:simplePos x="0" y="0"/>
              <wp:positionH relativeFrom="margin">
                <wp:align>center</wp:align>
              </wp:positionH>
              <wp:positionV relativeFrom="margin">
                <wp:align>center</wp:align>
              </wp:positionV>
              <wp:extent cx="5237480" cy="106680"/>
              <wp:effectExtent l="0" t="0" r="0" b="0"/>
              <wp:wrapNone/>
              <wp:docPr id="43" name="WordArt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4" o:spid="_x0000_s1054" type="#_x0000_t202" style="position:absolute;margin-left:0;margin-top:0;width:412.4pt;height:8.4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Jc8mNaLAgAABQ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5168" behindDoc="1" locked="0" layoutInCell="0" allowOverlap="1" wp14:anchorId="69876151" wp14:editId="09AD58EA">
              <wp:simplePos x="0" y="0"/>
              <wp:positionH relativeFrom="margin">
                <wp:align>center</wp:align>
              </wp:positionH>
              <wp:positionV relativeFrom="margin">
                <wp:align>center</wp:align>
              </wp:positionV>
              <wp:extent cx="5237480" cy="106680"/>
              <wp:effectExtent l="0" t="0" r="0" b="0"/>
              <wp:wrapNone/>
              <wp:docPr id="42" name="WordArt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2" o:spid="_x0000_s1055" type="#_x0000_t202" style="position:absolute;margin-left:0;margin-top:0;width:412.4pt;height:8.4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LBpZb6LAgAABQ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3120" behindDoc="1" locked="0" layoutInCell="0" allowOverlap="1" wp14:anchorId="5A38BF7B" wp14:editId="4E16AD8C">
              <wp:simplePos x="0" y="0"/>
              <wp:positionH relativeFrom="margin">
                <wp:align>center</wp:align>
              </wp:positionH>
              <wp:positionV relativeFrom="margin">
                <wp:align>center</wp:align>
              </wp:positionV>
              <wp:extent cx="5237480" cy="106680"/>
              <wp:effectExtent l="0" t="0" r="0" b="0"/>
              <wp:wrapNone/>
              <wp:docPr id="41"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0" o:spid="_x0000_s1056" type="#_x0000_t202" style="position:absolute;margin-left:0;margin-top:0;width:412.4pt;height:8.4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1072" behindDoc="1" locked="0" layoutInCell="0" allowOverlap="1" wp14:anchorId="570CA1DC" wp14:editId="1AAA5223">
              <wp:simplePos x="0" y="0"/>
              <wp:positionH relativeFrom="margin">
                <wp:align>center</wp:align>
              </wp:positionH>
              <wp:positionV relativeFrom="margin">
                <wp:align>center</wp:align>
              </wp:positionV>
              <wp:extent cx="5237480" cy="106680"/>
              <wp:effectExtent l="0" t="0" r="0" b="0"/>
              <wp:wrapNone/>
              <wp:docPr id="40" name="WordArt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8" o:spid="_x0000_s1057" type="#_x0000_t202" style="position:absolute;margin-left:0;margin-top:0;width:412.4pt;height:8.4pt;rotation:-45;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49024" behindDoc="1" locked="0" layoutInCell="0" allowOverlap="1" wp14:anchorId="131DBAB2" wp14:editId="768FF80E">
              <wp:simplePos x="0" y="0"/>
              <wp:positionH relativeFrom="margin">
                <wp:align>center</wp:align>
              </wp:positionH>
              <wp:positionV relativeFrom="margin">
                <wp:align>center</wp:align>
              </wp:positionV>
              <wp:extent cx="5237480" cy="106680"/>
              <wp:effectExtent l="0" t="0" r="0" b="0"/>
              <wp:wrapNone/>
              <wp:docPr id="39" name="WordArt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6" o:spid="_x0000_s1058" type="#_x0000_t202" style="position:absolute;margin-left:0;margin-top:0;width:412.4pt;height:8.4pt;rotation:-45;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iCNiwIAAAU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InKII2LAgAABQ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46976" behindDoc="1" locked="0" layoutInCell="0" allowOverlap="1" wp14:anchorId="0C2C3689" wp14:editId="1734EC94">
              <wp:simplePos x="0" y="0"/>
              <wp:positionH relativeFrom="margin">
                <wp:align>center</wp:align>
              </wp:positionH>
              <wp:positionV relativeFrom="margin">
                <wp:align>center</wp:align>
              </wp:positionV>
              <wp:extent cx="5237480" cy="106680"/>
              <wp:effectExtent l="0" t="0" r="0" b="0"/>
              <wp:wrapNone/>
              <wp:docPr id="38" name="WordArt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4" o:spid="_x0000_s1059" type="#_x0000_t202" style="position:absolute;margin-left:0;margin-top:0;width:412.4pt;height:8.4pt;rotation:-45;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qhXjAIAAAUFAAAOAAAAZHJzL2Uyb0RvYy54bWysVMtu2zAQvBfoPxC8O3pEdiwhchA7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44928" behindDoc="1" locked="0" layoutInCell="0" allowOverlap="1" wp14:anchorId="6464B631" wp14:editId="06AE5A22">
              <wp:simplePos x="0" y="0"/>
              <wp:positionH relativeFrom="margin">
                <wp:align>center</wp:align>
              </wp:positionH>
              <wp:positionV relativeFrom="margin">
                <wp:align>center</wp:align>
              </wp:positionV>
              <wp:extent cx="5237480" cy="106680"/>
              <wp:effectExtent l="0" t="0" r="0" b="0"/>
              <wp:wrapNone/>
              <wp:docPr id="37" name="WordArt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2" o:spid="_x0000_s1060" type="#_x0000_t202" style="position:absolute;margin-left:0;margin-top:0;width:412.4pt;height:8.4pt;rotation:-45;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DSqggqLAgAABQ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42880" behindDoc="1" locked="0" layoutInCell="0" allowOverlap="1" wp14:anchorId="69C48624" wp14:editId="335B1155">
              <wp:simplePos x="0" y="0"/>
              <wp:positionH relativeFrom="margin">
                <wp:align>center</wp:align>
              </wp:positionH>
              <wp:positionV relativeFrom="margin">
                <wp:align>center</wp:align>
              </wp:positionV>
              <wp:extent cx="5237480" cy="106680"/>
              <wp:effectExtent l="0" t="0" r="0" b="0"/>
              <wp:wrapNone/>
              <wp:docPr id="36" name="WordArt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0" o:spid="_x0000_s1061" type="#_x0000_t202" style="position:absolute;margin-left:0;margin-top:0;width:412.4pt;height:8.4pt;rotation:-45;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40832" behindDoc="1" locked="0" layoutInCell="0" allowOverlap="1" wp14:anchorId="47B4C631" wp14:editId="7D24173F">
              <wp:simplePos x="0" y="0"/>
              <wp:positionH relativeFrom="margin">
                <wp:align>center</wp:align>
              </wp:positionH>
              <wp:positionV relativeFrom="margin">
                <wp:align>center</wp:align>
              </wp:positionV>
              <wp:extent cx="5237480" cy="106680"/>
              <wp:effectExtent l="0" t="0" r="0" b="0"/>
              <wp:wrapNone/>
              <wp:docPr id="35" name="WordArt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8" o:spid="_x0000_s1062" type="#_x0000_t202" style="position:absolute;margin-left:0;margin-top:0;width:412.4pt;height:8.4pt;rotation:-45;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38784" behindDoc="1" locked="0" layoutInCell="0" allowOverlap="1" wp14:anchorId="6C9CB6BB" wp14:editId="531B2509">
              <wp:simplePos x="0" y="0"/>
              <wp:positionH relativeFrom="margin">
                <wp:align>center</wp:align>
              </wp:positionH>
              <wp:positionV relativeFrom="margin">
                <wp:align>center</wp:align>
              </wp:positionV>
              <wp:extent cx="5237480" cy="106680"/>
              <wp:effectExtent l="0" t="0" r="0" b="0"/>
              <wp:wrapNone/>
              <wp:docPr id="34"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6" o:spid="_x0000_s1063" type="#_x0000_t202" style="position:absolute;margin-left:0;margin-top:0;width:412.4pt;height:8.4pt;rotation:-45;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QDyiwIAAAU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AA1APKLAgAABQ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p>
  <w:p w:rsidR="002666A8" w:rsidRDefault="002666A8"/>
  <w:p w:rsidR="002666A8" w:rsidRDefault="002666A8" w:rsidP="008B1A0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Pr="00A11EC1" w:rsidRDefault="002666A8" w:rsidP="00A11EC1">
    <w:pPr>
      <w:pStyle w:val="Header"/>
      <w:rPr>
        <w:rFonts w:ascii="Cambria" w:hAnsi="Cambria"/>
        <w:i/>
        <w:sz w:val="20"/>
      </w:rPr>
    </w:pPr>
    <w:r>
      <w:rPr>
        <w:noProof/>
      </w:rPr>
      <mc:AlternateContent>
        <mc:Choice Requires="wps">
          <w:drawing>
            <wp:anchor distT="0" distB="0" distL="114300" distR="114300" simplePos="0" relativeHeight="251658240" behindDoc="1" locked="0" layoutInCell="0" allowOverlap="1" wp14:anchorId="5368A2E9" wp14:editId="703E99E9">
              <wp:simplePos x="0" y="0"/>
              <wp:positionH relativeFrom="margin">
                <wp:align>center</wp:align>
              </wp:positionH>
              <wp:positionV relativeFrom="margin">
                <wp:align>center</wp:align>
              </wp:positionV>
              <wp:extent cx="5237480" cy="106680"/>
              <wp:effectExtent l="0" t="0" r="0" b="0"/>
              <wp:wrapNone/>
              <wp:docPr id="33"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5" o:spid="_x0000_s1064" type="#_x0000_t202" style="position:absolute;margin-left:0;margin-top:0;width:412.4pt;height:8.4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I4zTweLAgAABQ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rFonts w:ascii="Cambria" w:hAnsi="Cambria"/>
        <w:i/>
        <w:sz w:val="20"/>
      </w:rPr>
      <w:tab/>
    </w:r>
    <w:r>
      <w:rPr>
        <w:rFonts w:ascii="Cambria" w:hAnsi="Cambria"/>
        <w:i/>
        <w:sz w:val="20"/>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A8" w:rsidRDefault="002666A8">
    <w:pPr>
      <w:pStyle w:val="Header"/>
    </w:pPr>
    <w:r>
      <w:rPr>
        <w:noProof/>
      </w:rPr>
      <mc:AlternateContent>
        <mc:Choice Requires="wps">
          <w:drawing>
            <wp:anchor distT="0" distB="0" distL="114300" distR="114300" simplePos="0" relativeHeight="251659264" behindDoc="1" locked="0" layoutInCell="0" allowOverlap="1" wp14:anchorId="2CA3749C" wp14:editId="15BD4CFB">
              <wp:simplePos x="0" y="0"/>
              <wp:positionH relativeFrom="margin">
                <wp:align>center</wp:align>
              </wp:positionH>
              <wp:positionV relativeFrom="margin">
                <wp:align>center</wp:align>
              </wp:positionV>
              <wp:extent cx="5237480" cy="106680"/>
              <wp:effectExtent l="0" t="0" r="0" b="0"/>
              <wp:wrapNone/>
              <wp:docPr id="32"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6" o:spid="_x0000_s1065" type="#_x0000_t202" style="position:absolute;margin-left:0;margin-top:0;width:412.4pt;height:8.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C9jAIAAAUFAAAOAAAAZHJzL2Uyb0RvYy54bWysVMtu2zAQvBfoPxC8O3pEdiwhchA7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6192" behindDoc="1" locked="0" layoutInCell="0" allowOverlap="1" wp14:anchorId="1A3EF787" wp14:editId="7CAAAE50">
              <wp:simplePos x="0" y="0"/>
              <wp:positionH relativeFrom="margin">
                <wp:align>center</wp:align>
              </wp:positionH>
              <wp:positionV relativeFrom="margin">
                <wp:align>center</wp:align>
              </wp:positionV>
              <wp:extent cx="5237480" cy="106680"/>
              <wp:effectExtent l="0" t="0" r="0" b="0"/>
              <wp:wrapNone/>
              <wp:docPr id="31" name="WordArt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3" o:spid="_x0000_s1066" type="#_x0000_t202" style="position:absolute;margin-left:0;margin-top:0;width:412.4pt;height:8.4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8JVjAIAAAU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4144" behindDoc="1" locked="0" layoutInCell="0" allowOverlap="1" wp14:anchorId="3AEE1CB6" wp14:editId="5BD05073">
              <wp:simplePos x="0" y="0"/>
              <wp:positionH relativeFrom="margin">
                <wp:align>center</wp:align>
              </wp:positionH>
              <wp:positionV relativeFrom="margin">
                <wp:align>center</wp:align>
              </wp:positionV>
              <wp:extent cx="5237480" cy="106680"/>
              <wp:effectExtent l="0" t="0" r="0" b="0"/>
              <wp:wrapNone/>
              <wp:docPr id="30" name="WordArt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1" o:spid="_x0000_s1067" type="#_x0000_t202" style="position:absolute;margin-left:0;margin-top:0;width:412.4pt;height:8.4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EjebFSLAgAABQ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2096" behindDoc="1" locked="0" layoutInCell="0" allowOverlap="1" wp14:anchorId="61AB3FEA" wp14:editId="01BFE2AE">
              <wp:simplePos x="0" y="0"/>
              <wp:positionH relativeFrom="margin">
                <wp:align>center</wp:align>
              </wp:positionH>
              <wp:positionV relativeFrom="margin">
                <wp:align>center</wp:align>
              </wp:positionV>
              <wp:extent cx="5237480" cy="106680"/>
              <wp:effectExtent l="0" t="0" r="0" b="0"/>
              <wp:wrapNone/>
              <wp:docPr id="29"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9" o:spid="_x0000_s1068" type="#_x0000_t202" style="position:absolute;margin-left:0;margin-top:0;width:412.4pt;height:8.4pt;rotation:-45;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8CiwIAAAU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J5z/wKLAgAABQ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0048" behindDoc="1" locked="0" layoutInCell="0" allowOverlap="1" wp14:anchorId="3967EB8D" wp14:editId="62C45EDC">
              <wp:simplePos x="0" y="0"/>
              <wp:positionH relativeFrom="margin">
                <wp:align>center</wp:align>
              </wp:positionH>
              <wp:positionV relativeFrom="margin">
                <wp:align>center</wp:align>
              </wp:positionV>
              <wp:extent cx="5237480" cy="106680"/>
              <wp:effectExtent l="0" t="0" r="0" b="0"/>
              <wp:wrapNone/>
              <wp:docPr id="28" name="WordArt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7" o:spid="_x0000_s1069" type="#_x0000_t202" style="position:absolute;margin-left:0;margin-top:0;width:412.4pt;height:8.4pt;rotation:-45;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BCkro2LAgAABQ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48000" behindDoc="1" locked="0" layoutInCell="0" allowOverlap="1" wp14:anchorId="2277F836" wp14:editId="6F7A04BC">
              <wp:simplePos x="0" y="0"/>
              <wp:positionH relativeFrom="margin">
                <wp:align>center</wp:align>
              </wp:positionH>
              <wp:positionV relativeFrom="margin">
                <wp:align>center</wp:align>
              </wp:positionV>
              <wp:extent cx="5237480" cy="106680"/>
              <wp:effectExtent l="0" t="0" r="0" b="0"/>
              <wp:wrapNone/>
              <wp:docPr id="27" name="WordArt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5" o:spid="_x0000_s1070" type="#_x0000_t202" style="position:absolute;margin-left:0;margin-top:0;width:412.4pt;height:8.4pt;rotation:-45;z-index:-2516684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45952" behindDoc="1" locked="0" layoutInCell="0" allowOverlap="1" wp14:anchorId="37148753" wp14:editId="29984BB4">
              <wp:simplePos x="0" y="0"/>
              <wp:positionH relativeFrom="margin">
                <wp:align>center</wp:align>
              </wp:positionH>
              <wp:positionV relativeFrom="margin">
                <wp:align>center</wp:align>
              </wp:positionV>
              <wp:extent cx="5237480" cy="106680"/>
              <wp:effectExtent l="0" t="0" r="0" b="0"/>
              <wp:wrapNone/>
              <wp:docPr id="26" name="WordArt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3" o:spid="_x0000_s1071" type="#_x0000_t202" style="position:absolute;margin-left:0;margin-top:0;width:412.4pt;height:8.4pt;rotation:-45;z-index:-2516705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iujAIAAAU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43904" behindDoc="1" locked="0" layoutInCell="0" allowOverlap="1" wp14:anchorId="529CF5FB" wp14:editId="6A9583DC">
              <wp:simplePos x="0" y="0"/>
              <wp:positionH relativeFrom="margin">
                <wp:align>center</wp:align>
              </wp:positionH>
              <wp:positionV relativeFrom="margin">
                <wp:align>center</wp:align>
              </wp:positionV>
              <wp:extent cx="5237480" cy="106680"/>
              <wp:effectExtent l="0" t="0" r="0" b="0"/>
              <wp:wrapNone/>
              <wp:docPr id="25" name="WordArt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1" o:spid="_x0000_s1072" type="#_x0000_t202" style="position:absolute;margin-left:0;margin-top:0;width:412.4pt;height:8.4pt;rotation:-45;z-index:-2516725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41856" behindDoc="1" locked="0" layoutInCell="0" allowOverlap="1" wp14:anchorId="04F07B6C" wp14:editId="18BB9250">
              <wp:simplePos x="0" y="0"/>
              <wp:positionH relativeFrom="margin">
                <wp:align>center</wp:align>
              </wp:positionH>
              <wp:positionV relativeFrom="margin">
                <wp:align>center</wp:align>
              </wp:positionV>
              <wp:extent cx="5237480" cy="106680"/>
              <wp:effectExtent l="0" t="0" r="0" b="0"/>
              <wp:wrapNone/>
              <wp:docPr id="24" name="WordArt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9" o:spid="_x0000_s1073" type="#_x0000_t202" style="position:absolute;margin-left:0;margin-top:0;width:412.4pt;height:8.4pt;rotation:-45;z-index:-2516746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99jAIAAAU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39808" behindDoc="1" locked="0" layoutInCell="0" allowOverlap="1" wp14:anchorId="6EE8C3C0" wp14:editId="72AAA1E5">
              <wp:simplePos x="0" y="0"/>
              <wp:positionH relativeFrom="margin">
                <wp:align>center</wp:align>
              </wp:positionH>
              <wp:positionV relativeFrom="margin">
                <wp:align>center</wp:align>
              </wp:positionV>
              <wp:extent cx="5237480" cy="106680"/>
              <wp:effectExtent l="0" t="0" r="0" b="0"/>
              <wp:wrapNone/>
              <wp:docPr id="23" name="WordArt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7" o:spid="_x0000_s1074" type="#_x0000_t202" style="position:absolute;margin-left:0;margin-top:0;width:412.4pt;height:8.4pt;rotation:-45;z-index:-2516766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37760" behindDoc="1" locked="0" layoutInCell="0" allowOverlap="1" wp14:anchorId="1711C5DB" wp14:editId="1FE0192F">
              <wp:simplePos x="0" y="0"/>
              <wp:positionH relativeFrom="margin">
                <wp:align>center</wp:align>
              </wp:positionH>
              <wp:positionV relativeFrom="margin">
                <wp:align>center</wp:align>
              </wp:positionV>
              <wp:extent cx="5237480" cy="106680"/>
              <wp:effectExtent l="0" t="0" r="0" b="0"/>
              <wp:wrapNone/>
              <wp:docPr id="22" name="WordAr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666A8" w:rsidRDefault="002666A8" w:rsidP="00D841A4">
                          <w:pPr>
                            <w:pStyle w:val="NormalWeb"/>
                            <w:spacing w:after="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5" o:spid="_x0000_s1075" type="#_x0000_t202" style="position:absolute;margin-left:0;margin-top:0;width:412.4pt;height:8.4pt;rotation:-45;z-index:-2516787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prjAIAAAU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" o:allowincell="f" filled="f" stroked="f">
              <v:stroke joinstyle="round"/>
              <o:lock v:ext="edit" shapetype="t"/>
              <v:textbox style="mso-fit-shape-to-text:t">
                <w:txbxContent>
                  <w:p w:rsidR="002666A8" w:rsidRDefault="002666A8" w:rsidP="00D841A4">
                    <w:pPr>
                      <w:pStyle w:val="NormalWeb"/>
                      <w:spacing w:after="0"/>
                      <w:jc w:val="center"/>
                    </w:pPr>
                    <w:r>
                      <w:rPr>
                        <w:rFonts w:ascii="Calibri" w:hAnsi="Calibri"/>
                        <w:color w:val="C0C0C0"/>
                        <w:sz w:val="2"/>
                        <w:szCs w:val="2"/>
                      </w:rPr>
                      <w:t>DRAFT</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8782C"/>
    <w:multiLevelType w:val="hybridMultilevel"/>
    <w:tmpl w:val="09D0A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A90E7F"/>
    <w:multiLevelType w:val="hybridMultilevel"/>
    <w:tmpl w:val="7C20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C1769B"/>
    <w:multiLevelType w:val="hybridMultilevel"/>
    <w:tmpl w:val="FC6A38B2"/>
    <w:lvl w:ilvl="0" w:tplc="8B0835E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1A6B3D9C"/>
    <w:multiLevelType w:val="hybridMultilevel"/>
    <w:tmpl w:val="B4EEB8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BA2294"/>
    <w:multiLevelType w:val="hybridMultilevel"/>
    <w:tmpl w:val="7A4E9B66"/>
    <w:lvl w:ilvl="0" w:tplc="B35C557A">
      <w:start w:val="1"/>
      <w:numFmt w:val="bullet"/>
      <w:lvlText w:val=""/>
      <w:lvlJc w:val="left"/>
      <w:pPr>
        <w:tabs>
          <w:tab w:val="num" w:pos="360"/>
        </w:tabs>
        <w:ind w:left="504"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1B77B6"/>
    <w:multiLevelType w:val="hybridMultilevel"/>
    <w:tmpl w:val="74E2A7A0"/>
    <w:lvl w:ilvl="0" w:tplc="D23E325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0CC71C8"/>
    <w:multiLevelType w:val="hybridMultilevel"/>
    <w:tmpl w:val="89643D7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40504F7"/>
    <w:multiLevelType w:val="hybridMultilevel"/>
    <w:tmpl w:val="6B007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1E74E5"/>
    <w:multiLevelType w:val="hybridMultilevel"/>
    <w:tmpl w:val="F8707D9E"/>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80B71BF"/>
    <w:multiLevelType w:val="hybridMultilevel"/>
    <w:tmpl w:val="FA0A1B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0">
    <w:nsid w:val="2FD82B5B"/>
    <w:multiLevelType w:val="hybridMultilevel"/>
    <w:tmpl w:val="F6EC5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A285E9E"/>
    <w:multiLevelType w:val="hybridMultilevel"/>
    <w:tmpl w:val="F4E8F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450302"/>
    <w:multiLevelType w:val="hybridMultilevel"/>
    <w:tmpl w:val="0CBE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763AEA"/>
    <w:multiLevelType w:val="hybridMultilevel"/>
    <w:tmpl w:val="C964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D021C6"/>
    <w:multiLevelType w:val="hybridMultilevel"/>
    <w:tmpl w:val="AFDC3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5B6896"/>
    <w:multiLevelType w:val="hybridMultilevel"/>
    <w:tmpl w:val="0264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D1D0EFD"/>
    <w:multiLevelType w:val="hybridMultilevel"/>
    <w:tmpl w:val="FF24BFF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D6E2B10"/>
    <w:multiLevelType w:val="hybridMultilevel"/>
    <w:tmpl w:val="97D8C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904B6A"/>
    <w:multiLevelType w:val="hybridMultilevel"/>
    <w:tmpl w:val="565C5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281B0C"/>
    <w:multiLevelType w:val="hybridMultilevel"/>
    <w:tmpl w:val="9746F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254081"/>
    <w:multiLevelType w:val="hybridMultilevel"/>
    <w:tmpl w:val="4926CB8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12B0CBE"/>
    <w:multiLevelType w:val="hybridMultilevel"/>
    <w:tmpl w:val="141A9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566CC7"/>
    <w:multiLevelType w:val="hybridMultilevel"/>
    <w:tmpl w:val="D6C26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C44AAC"/>
    <w:multiLevelType w:val="hybridMultilevel"/>
    <w:tmpl w:val="5D388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E06939"/>
    <w:multiLevelType w:val="hybridMultilevel"/>
    <w:tmpl w:val="F8F22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1E07E7"/>
    <w:multiLevelType w:val="hybridMultilevel"/>
    <w:tmpl w:val="D234C9A2"/>
    <w:lvl w:ilvl="0" w:tplc="47669C7C">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0F654C"/>
    <w:multiLevelType w:val="hybridMultilevel"/>
    <w:tmpl w:val="9AECF1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D71127"/>
    <w:multiLevelType w:val="hybridMultilevel"/>
    <w:tmpl w:val="56883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B07A3F"/>
    <w:multiLevelType w:val="hybridMultilevel"/>
    <w:tmpl w:val="7464C5EC"/>
    <w:lvl w:ilvl="0" w:tplc="B3E60F8A">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9D70986"/>
    <w:multiLevelType w:val="hybridMultilevel"/>
    <w:tmpl w:val="AD6EC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405308"/>
    <w:multiLevelType w:val="hybridMultilevel"/>
    <w:tmpl w:val="3618A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F62374"/>
    <w:multiLevelType w:val="hybridMultilevel"/>
    <w:tmpl w:val="A6A48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2"/>
  </w:num>
  <w:num w:numId="4">
    <w:abstractNumId w:val="8"/>
  </w:num>
  <w:num w:numId="5">
    <w:abstractNumId w:val="20"/>
  </w:num>
  <w:num w:numId="6">
    <w:abstractNumId w:val="6"/>
  </w:num>
  <w:num w:numId="7">
    <w:abstractNumId w:val="27"/>
  </w:num>
  <w:num w:numId="8">
    <w:abstractNumId w:val="5"/>
  </w:num>
  <w:num w:numId="9">
    <w:abstractNumId w:val="16"/>
  </w:num>
  <w:num w:numId="10">
    <w:abstractNumId w:val="9"/>
  </w:num>
  <w:num w:numId="11">
    <w:abstractNumId w:val="9"/>
  </w:num>
  <w:num w:numId="12">
    <w:abstractNumId w:val="13"/>
  </w:num>
  <w:num w:numId="13">
    <w:abstractNumId w:val="12"/>
  </w:num>
  <w:num w:numId="14">
    <w:abstractNumId w:val="7"/>
  </w:num>
  <w:num w:numId="15">
    <w:abstractNumId w:val="31"/>
  </w:num>
  <w:num w:numId="16">
    <w:abstractNumId w:val="25"/>
  </w:num>
  <w:num w:numId="17">
    <w:abstractNumId w:val="30"/>
  </w:num>
  <w:num w:numId="18">
    <w:abstractNumId w:val="3"/>
  </w:num>
  <w:num w:numId="19">
    <w:abstractNumId w:val="15"/>
  </w:num>
  <w:num w:numId="20">
    <w:abstractNumId w:val="22"/>
  </w:num>
  <w:num w:numId="21">
    <w:abstractNumId w:val="11"/>
  </w:num>
  <w:num w:numId="22">
    <w:abstractNumId w:val="19"/>
  </w:num>
  <w:num w:numId="23">
    <w:abstractNumId w:val="0"/>
  </w:num>
  <w:num w:numId="24">
    <w:abstractNumId w:val="1"/>
  </w:num>
  <w:num w:numId="25">
    <w:abstractNumId w:val="14"/>
  </w:num>
  <w:num w:numId="26">
    <w:abstractNumId w:val="29"/>
  </w:num>
  <w:num w:numId="27">
    <w:abstractNumId w:val="28"/>
  </w:num>
  <w:num w:numId="28">
    <w:abstractNumId w:val="24"/>
  </w:num>
  <w:num w:numId="29">
    <w:abstractNumId w:val="10"/>
  </w:num>
  <w:num w:numId="30">
    <w:abstractNumId w:val="21"/>
  </w:num>
  <w:num w:numId="31">
    <w:abstractNumId w:val="17"/>
  </w:num>
  <w:num w:numId="32">
    <w:abstractNumId w:val="4"/>
  </w:num>
  <w:num w:numId="33">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ocumentProtection w:edit="readOnly" w:enforcement="1" w:cryptProviderType="rsaFull" w:cryptAlgorithmClass="hash" w:cryptAlgorithmType="typeAny" w:cryptAlgorithmSid="4" w:cryptSpinCount="100000" w:hash="wCK/4MXDLqeaX+UwYwV+SRWFz9c=" w:salt="IMzC1c9Y+whrGxpUGvrQA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2bdd2c2a-ed18-4299-af81-2bd49f680d4c"/>
  </w:docVars>
  <w:rsids>
    <w:rsidRoot w:val="00061989"/>
    <w:rsid w:val="000015E5"/>
    <w:rsid w:val="0000194F"/>
    <w:rsid w:val="0000325A"/>
    <w:rsid w:val="000050DC"/>
    <w:rsid w:val="00005A3D"/>
    <w:rsid w:val="00011CAE"/>
    <w:rsid w:val="00011DA5"/>
    <w:rsid w:val="00012183"/>
    <w:rsid w:val="000145C6"/>
    <w:rsid w:val="000159ED"/>
    <w:rsid w:val="00015EB2"/>
    <w:rsid w:val="00016430"/>
    <w:rsid w:val="000172AB"/>
    <w:rsid w:val="000175A1"/>
    <w:rsid w:val="00020ACC"/>
    <w:rsid w:val="000224DB"/>
    <w:rsid w:val="00025B23"/>
    <w:rsid w:val="0002753F"/>
    <w:rsid w:val="00030FA0"/>
    <w:rsid w:val="00031634"/>
    <w:rsid w:val="000348B0"/>
    <w:rsid w:val="000350AA"/>
    <w:rsid w:val="0003633A"/>
    <w:rsid w:val="00036718"/>
    <w:rsid w:val="000401C8"/>
    <w:rsid w:val="00041575"/>
    <w:rsid w:val="0004308E"/>
    <w:rsid w:val="00045B34"/>
    <w:rsid w:val="00046832"/>
    <w:rsid w:val="00047569"/>
    <w:rsid w:val="00047ED4"/>
    <w:rsid w:val="000511DA"/>
    <w:rsid w:val="0005432F"/>
    <w:rsid w:val="000550CC"/>
    <w:rsid w:val="00061989"/>
    <w:rsid w:val="0006219B"/>
    <w:rsid w:val="00062F92"/>
    <w:rsid w:val="00064257"/>
    <w:rsid w:val="00066B37"/>
    <w:rsid w:val="00066F84"/>
    <w:rsid w:val="00067A55"/>
    <w:rsid w:val="00070AA1"/>
    <w:rsid w:val="00070E7F"/>
    <w:rsid w:val="0007123E"/>
    <w:rsid w:val="00073F58"/>
    <w:rsid w:val="000745D4"/>
    <w:rsid w:val="000750F1"/>
    <w:rsid w:val="00075FC0"/>
    <w:rsid w:val="0008034B"/>
    <w:rsid w:val="00080A7C"/>
    <w:rsid w:val="00081514"/>
    <w:rsid w:val="0008251F"/>
    <w:rsid w:val="00083EAB"/>
    <w:rsid w:val="00084796"/>
    <w:rsid w:val="000868DB"/>
    <w:rsid w:val="00086D7A"/>
    <w:rsid w:val="0008781A"/>
    <w:rsid w:val="00092957"/>
    <w:rsid w:val="00092FF7"/>
    <w:rsid w:val="000950A7"/>
    <w:rsid w:val="00097261"/>
    <w:rsid w:val="000A0812"/>
    <w:rsid w:val="000A30FF"/>
    <w:rsid w:val="000A3F65"/>
    <w:rsid w:val="000A497B"/>
    <w:rsid w:val="000A6B11"/>
    <w:rsid w:val="000B0604"/>
    <w:rsid w:val="000B193B"/>
    <w:rsid w:val="000B31FF"/>
    <w:rsid w:val="000B32DF"/>
    <w:rsid w:val="000B6E93"/>
    <w:rsid w:val="000B73ED"/>
    <w:rsid w:val="000B7691"/>
    <w:rsid w:val="000C1AE9"/>
    <w:rsid w:val="000C2428"/>
    <w:rsid w:val="000C4A93"/>
    <w:rsid w:val="000C52CC"/>
    <w:rsid w:val="000C65D8"/>
    <w:rsid w:val="000C6FF2"/>
    <w:rsid w:val="000C72EB"/>
    <w:rsid w:val="000D231D"/>
    <w:rsid w:val="000D2CAA"/>
    <w:rsid w:val="000D3293"/>
    <w:rsid w:val="000D4B3F"/>
    <w:rsid w:val="000D6BD1"/>
    <w:rsid w:val="000D6F6E"/>
    <w:rsid w:val="000E45A4"/>
    <w:rsid w:val="000F0A45"/>
    <w:rsid w:val="000F1C10"/>
    <w:rsid w:val="000F2179"/>
    <w:rsid w:val="000F2200"/>
    <w:rsid w:val="000F24CF"/>
    <w:rsid w:val="000F26B1"/>
    <w:rsid w:val="000F3F92"/>
    <w:rsid w:val="000F6152"/>
    <w:rsid w:val="000F760E"/>
    <w:rsid w:val="00103E73"/>
    <w:rsid w:val="00105086"/>
    <w:rsid w:val="00105A50"/>
    <w:rsid w:val="00106E83"/>
    <w:rsid w:val="0010705C"/>
    <w:rsid w:val="00110584"/>
    <w:rsid w:val="00111AB8"/>
    <w:rsid w:val="0011377E"/>
    <w:rsid w:val="0011495D"/>
    <w:rsid w:val="001150C2"/>
    <w:rsid w:val="0011579A"/>
    <w:rsid w:val="001178AC"/>
    <w:rsid w:val="00124724"/>
    <w:rsid w:val="00124A86"/>
    <w:rsid w:val="00126833"/>
    <w:rsid w:val="00130118"/>
    <w:rsid w:val="001304D9"/>
    <w:rsid w:val="001334F2"/>
    <w:rsid w:val="0013704D"/>
    <w:rsid w:val="001375D8"/>
    <w:rsid w:val="001376CB"/>
    <w:rsid w:val="001437DE"/>
    <w:rsid w:val="00143B5A"/>
    <w:rsid w:val="00144298"/>
    <w:rsid w:val="001443B3"/>
    <w:rsid w:val="00151761"/>
    <w:rsid w:val="00153ED5"/>
    <w:rsid w:val="001543DA"/>
    <w:rsid w:val="00155825"/>
    <w:rsid w:val="001613A3"/>
    <w:rsid w:val="001615DE"/>
    <w:rsid w:val="00161DFF"/>
    <w:rsid w:val="00162559"/>
    <w:rsid w:val="00163B3B"/>
    <w:rsid w:val="00163D74"/>
    <w:rsid w:val="0016416C"/>
    <w:rsid w:val="001642C2"/>
    <w:rsid w:val="00165D09"/>
    <w:rsid w:val="001660B1"/>
    <w:rsid w:val="0016666E"/>
    <w:rsid w:val="00172E5C"/>
    <w:rsid w:val="0017399C"/>
    <w:rsid w:val="00176697"/>
    <w:rsid w:val="00180A51"/>
    <w:rsid w:val="00181D19"/>
    <w:rsid w:val="00182E27"/>
    <w:rsid w:val="00184C0B"/>
    <w:rsid w:val="00185327"/>
    <w:rsid w:val="00185C7B"/>
    <w:rsid w:val="001866AC"/>
    <w:rsid w:val="00187A5E"/>
    <w:rsid w:val="001920AA"/>
    <w:rsid w:val="0019406A"/>
    <w:rsid w:val="001951CE"/>
    <w:rsid w:val="00196412"/>
    <w:rsid w:val="001A017E"/>
    <w:rsid w:val="001A04B5"/>
    <w:rsid w:val="001A0856"/>
    <w:rsid w:val="001A29C3"/>
    <w:rsid w:val="001A41EB"/>
    <w:rsid w:val="001A4278"/>
    <w:rsid w:val="001A552B"/>
    <w:rsid w:val="001B0B83"/>
    <w:rsid w:val="001B1BE7"/>
    <w:rsid w:val="001B2897"/>
    <w:rsid w:val="001B2F20"/>
    <w:rsid w:val="001B5A84"/>
    <w:rsid w:val="001B6B75"/>
    <w:rsid w:val="001C0982"/>
    <w:rsid w:val="001C267C"/>
    <w:rsid w:val="001C26F5"/>
    <w:rsid w:val="001C34B2"/>
    <w:rsid w:val="001C3A1F"/>
    <w:rsid w:val="001C406B"/>
    <w:rsid w:val="001C4A9C"/>
    <w:rsid w:val="001C7AB5"/>
    <w:rsid w:val="001C7BD7"/>
    <w:rsid w:val="001D2DAF"/>
    <w:rsid w:val="001D381B"/>
    <w:rsid w:val="001D451C"/>
    <w:rsid w:val="001D4D4F"/>
    <w:rsid w:val="001E325C"/>
    <w:rsid w:val="001E4170"/>
    <w:rsid w:val="001E582D"/>
    <w:rsid w:val="001E5B9D"/>
    <w:rsid w:val="001E6CC5"/>
    <w:rsid w:val="001E709F"/>
    <w:rsid w:val="001E7C82"/>
    <w:rsid w:val="001F012C"/>
    <w:rsid w:val="001F0375"/>
    <w:rsid w:val="001F5990"/>
    <w:rsid w:val="001F5B2B"/>
    <w:rsid w:val="001F64F0"/>
    <w:rsid w:val="001F6D0C"/>
    <w:rsid w:val="002023EA"/>
    <w:rsid w:val="00202D38"/>
    <w:rsid w:val="00203048"/>
    <w:rsid w:val="002075B4"/>
    <w:rsid w:val="0021646B"/>
    <w:rsid w:val="002224F2"/>
    <w:rsid w:val="00224B33"/>
    <w:rsid w:val="00225954"/>
    <w:rsid w:val="002277D4"/>
    <w:rsid w:val="002307BF"/>
    <w:rsid w:val="002329E6"/>
    <w:rsid w:val="00232D2E"/>
    <w:rsid w:val="00232E4F"/>
    <w:rsid w:val="00233C68"/>
    <w:rsid w:val="00234485"/>
    <w:rsid w:val="0023492A"/>
    <w:rsid w:val="00236F30"/>
    <w:rsid w:val="00237AD3"/>
    <w:rsid w:val="00237B30"/>
    <w:rsid w:val="0024004D"/>
    <w:rsid w:val="00242E4A"/>
    <w:rsid w:val="00242E4E"/>
    <w:rsid w:val="00244616"/>
    <w:rsid w:val="00245DB9"/>
    <w:rsid w:val="002476D5"/>
    <w:rsid w:val="00250113"/>
    <w:rsid w:val="00251E10"/>
    <w:rsid w:val="00251FDE"/>
    <w:rsid w:val="00252489"/>
    <w:rsid w:val="002531D1"/>
    <w:rsid w:val="0025392C"/>
    <w:rsid w:val="00253B35"/>
    <w:rsid w:val="00253C63"/>
    <w:rsid w:val="002555CA"/>
    <w:rsid w:val="002573B9"/>
    <w:rsid w:val="002606AC"/>
    <w:rsid w:val="002606D6"/>
    <w:rsid w:val="0026143F"/>
    <w:rsid w:val="00261F33"/>
    <w:rsid w:val="00262824"/>
    <w:rsid w:val="0026315C"/>
    <w:rsid w:val="00264DAE"/>
    <w:rsid w:val="00264DDB"/>
    <w:rsid w:val="00265D02"/>
    <w:rsid w:val="00265D65"/>
    <w:rsid w:val="002666A8"/>
    <w:rsid w:val="00267852"/>
    <w:rsid w:val="00274E9E"/>
    <w:rsid w:val="002769B6"/>
    <w:rsid w:val="00281193"/>
    <w:rsid w:val="00281A16"/>
    <w:rsid w:val="00284D1B"/>
    <w:rsid w:val="002856D1"/>
    <w:rsid w:val="002866A8"/>
    <w:rsid w:val="0028742F"/>
    <w:rsid w:val="0029220F"/>
    <w:rsid w:val="0029493C"/>
    <w:rsid w:val="00295DDE"/>
    <w:rsid w:val="00296005"/>
    <w:rsid w:val="002A0BAA"/>
    <w:rsid w:val="002A26A5"/>
    <w:rsid w:val="002A5A0D"/>
    <w:rsid w:val="002A7687"/>
    <w:rsid w:val="002A7973"/>
    <w:rsid w:val="002B013C"/>
    <w:rsid w:val="002B09B4"/>
    <w:rsid w:val="002B16CA"/>
    <w:rsid w:val="002B53A2"/>
    <w:rsid w:val="002C1EB6"/>
    <w:rsid w:val="002C530A"/>
    <w:rsid w:val="002C58BA"/>
    <w:rsid w:val="002D0577"/>
    <w:rsid w:val="002D2A41"/>
    <w:rsid w:val="002D3D4C"/>
    <w:rsid w:val="002D40D1"/>
    <w:rsid w:val="002D4572"/>
    <w:rsid w:val="002D6038"/>
    <w:rsid w:val="002D6E20"/>
    <w:rsid w:val="002D7EF5"/>
    <w:rsid w:val="002E0E66"/>
    <w:rsid w:val="002E134B"/>
    <w:rsid w:val="002E20BE"/>
    <w:rsid w:val="002E235E"/>
    <w:rsid w:val="002E2FA0"/>
    <w:rsid w:val="002E4011"/>
    <w:rsid w:val="002E4855"/>
    <w:rsid w:val="002E5F57"/>
    <w:rsid w:val="002F261A"/>
    <w:rsid w:val="002F3648"/>
    <w:rsid w:val="002F4721"/>
    <w:rsid w:val="002F4D43"/>
    <w:rsid w:val="002F538F"/>
    <w:rsid w:val="002F5A65"/>
    <w:rsid w:val="002F63E9"/>
    <w:rsid w:val="002F6993"/>
    <w:rsid w:val="00301E0D"/>
    <w:rsid w:val="003063EE"/>
    <w:rsid w:val="00306964"/>
    <w:rsid w:val="00306A41"/>
    <w:rsid w:val="00306D65"/>
    <w:rsid w:val="00307BA2"/>
    <w:rsid w:val="00307C1F"/>
    <w:rsid w:val="00310241"/>
    <w:rsid w:val="0031242B"/>
    <w:rsid w:val="00313655"/>
    <w:rsid w:val="0031396B"/>
    <w:rsid w:val="00316F72"/>
    <w:rsid w:val="003178D5"/>
    <w:rsid w:val="00324A1C"/>
    <w:rsid w:val="00327620"/>
    <w:rsid w:val="00332470"/>
    <w:rsid w:val="00333146"/>
    <w:rsid w:val="00334B79"/>
    <w:rsid w:val="00334ED5"/>
    <w:rsid w:val="00337CB7"/>
    <w:rsid w:val="00340332"/>
    <w:rsid w:val="003403E8"/>
    <w:rsid w:val="00342B36"/>
    <w:rsid w:val="003447AA"/>
    <w:rsid w:val="003471B2"/>
    <w:rsid w:val="00347891"/>
    <w:rsid w:val="00352573"/>
    <w:rsid w:val="00353BFC"/>
    <w:rsid w:val="0035513D"/>
    <w:rsid w:val="00357999"/>
    <w:rsid w:val="0036022B"/>
    <w:rsid w:val="003616C0"/>
    <w:rsid w:val="00362B48"/>
    <w:rsid w:val="00363536"/>
    <w:rsid w:val="0036356F"/>
    <w:rsid w:val="00363651"/>
    <w:rsid w:val="00363A7C"/>
    <w:rsid w:val="003652BE"/>
    <w:rsid w:val="003665AE"/>
    <w:rsid w:val="003747F9"/>
    <w:rsid w:val="003756F6"/>
    <w:rsid w:val="00376B3E"/>
    <w:rsid w:val="0038195F"/>
    <w:rsid w:val="0038300B"/>
    <w:rsid w:val="00383083"/>
    <w:rsid w:val="003833AB"/>
    <w:rsid w:val="003833B0"/>
    <w:rsid w:val="0039113F"/>
    <w:rsid w:val="00391D41"/>
    <w:rsid w:val="00392001"/>
    <w:rsid w:val="0039317A"/>
    <w:rsid w:val="003962B3"/>
    <w:rsid w:val="0039660D"/>
    <w:rsid w:val="003971ED"/>
    <w:rsid w:val="003A0010"/>
    <w:rsid w:val="003A01E4"/>
    <w:rsid w:val="003A0AFE"/>
    <w:rsid w:val="003A2B7A"/>
    <w:rsid w:val="003A3936"/>
    <w:rsid w:val="003A3D20"/>
    <w:rsid w:val="003A3D5C"/>
    <w:rsid w:val="003A5ADE"/>
    <w:rsid w:val="003B0254"/>
    <w:rsid w:val="003B0311"/>
    <w:rsid w:val="003B1897"/>
    <w:rsid w:val="003B41B4"/>
    <w:rsid w:val="003B4987"/>
    <w:rsid w:val="003B53AE"/>
    <w:rsid w:val="003B6134"/>
    <w:rsid w:val="003B7ACA"/>
    <w:rsid w:val="003C0301"/>
    <w:rsid w:val="003C0970"/>
    <w:rsid w:val="003C21C3"/>
    <w:rsid w:val="003C3140"/>
    <w:rsid w:val="003C3B26"/>
    <w:rsid w:val="003D0CA5"/>
    <w:rsid w:val="003D1445"/>
    <w:rsid w:val="003D1836"/>
    <w:rsid w:val="003D2623"/>
    <w:rsid w:val="003D632E"/>
    <w:rsid w:val="003D75D4"/>
    <w:rsid w:val="003D769F"/>
    <w:rsid w:val="003D7E04"/>
    <w:rsid w:val="003D7E19"/>
    <w:rsid w:val="003E3C77"/>
    <w:rsid w:val="003E64C2"/>
    <w:rsid w:val="003E65AF"/>
    <w:rsid w:val="003E679E"/>
    <w:rsid w:val="003E71F2"/>
    <w:rsid w:val="003F51C3"/>
    <w:rsid w:val="003F5F5F"/>
    <w:rsid w:val="00400E42"/>
    <w:rsid w:val="00402C80"/>
    <w:rsid w:val="004119DF"/>
    <w:rsid w:val="00414505"/>
    <w:rsid w:val="004173AA"/>
    <w:rsid w:val="00417E52"/>
    <w:rsid w:val="004227D7"/>
    <w:rsid w:val="00430252"/>
    <w:rsid w:val="00433510"/>
    <w:rsid w:val="00434E70"/>
    <w:rsid w:val="00440262"/>
    <w:rsid w:val="00440B77"/>
    <w:rsid w:val="004413EA"/>
    <w:rsid w:val="00442063"/>
    <w:rsid w:val="00444BA6"/>
    <w:rsid w:val="00447F84"/>
    <w:rsid w:val="00450B3F"/>
    <w:rsid w:val="00453FA5"/>
    <w:rsid w:val="00455540"/>
    <w:rsid w:val="004605CE"/>
    <w:rsid w:val="00463247"/>
    <w:rsid w:val="00463DFE"/>
    <w:rsid w:val="00466500"/>
    <w:rsid w:val="00470BD0"/>
    <w:rsid w:val="00472518"/>
    <w:rsid w:val="00472595"/>
    <w:rsid w:val="00472EC5"/>
    <w:rsid w:val="0047342A"/>
    <w:rsid w:val="00480196"/>
    <w:rsid w:val="00480444"/>
    <w:rsid w:val="0048269E"/>
    <w:rsid w:val="00482909"/>
    <w:rsid w:val="0048342D"/>
    <w:rsid w:val="00490A36"/>
    <w:rsid w:val="00491C84"/>
    <w:rsid w:val="00492D3D"/>
    <w:rsid w:val="004940AB"/>
    <w:rsid w:val="00495FA7"/>
    <w:rsid w:val="004964E6"/>
    <w:rsid w:val="004974B7"/>
    <w:rsid w:val="004A052C"/>
    <w:rsid w:val="004A35F9"/>
    <w:rsid w:val="004A5E82"/>
    <w:rsid w:val="004A6BA5"/>
    <w:rsid w:val="004A7BF5"/>
    <w:rsid w:val="004B4D73"/>
    <w:rsid w:val="004B5A47"/>
    <w:rsid w:val="004B61BE"/>
    <w:rsid w:val="004B700F"/>
    <w:rsid w:val="004B71F9"/>
    <w:rsid w:val="004C0E61"/>
    <w:rsid w:val="004C30AA"/>
    <w:rsid w:val="004C6554"/>
    <w:rsid w:val="004C6F92"/>
    <w:rsid w:val="004C79A6"/>
    <w:rsid w:val="004D00B0"/>
    <w:rsid w:val="004D12EE"/>
    <w:rsid w:val="004D1A8C"/>
    <w:rsid w:val="004D34C7"/>
    <w:rsid w:val="004D4CB0"/>
    <w:rsid w:val="004E14B1"/>
    <w:rsid w:val="004E595C"/>
    <w:rsid w:val="004E5B48"/>
    <w:rsid w:val="004F004E"/>
    <w:rsid w:val="004F1712"/>
    <w:rsid w:val="004F263D"/>
    <w:rsid w:val="004F3AAB"/>
    <w:rsid w:val="004F4B21"/>
    <w:rsid w:val="004F563F"/>
    <w:rsid w:val="004F72E5"/>
    <w:rsid w:val="004F7490"/>
    <w:rsid w:val="00500411"/>
    <w:rsid w:val="00501AD4"/>
    <w:rsid w:val="00501D4E"/>
    <w:rsid w:val="00501EF1"/>
    <w:rsid w:val="005020DB"/>
    <w:rsid w:val="00503724"/>
    <w:rsid w:val="005044BE"/>
    <w:rsid w:val="0050537B"/>
    <w:rsid w:val="0050544E"/>
    <w:rsid w:val="005069FA"/>
    <w:rsid w:val="00507045"/>
    <w:rsid w:val="00507B54"/>
    <w:rsid w:val="00512B91"/>
    <w:rsid w:val="00514BA8"/>
    <w:rsid w:val="00515644"/>
    <w:rsid w:val="0051733F"/>
    <w:rsid w:val="00521150"/>
    <w:rsid w:val="00521901"/>
    <w:rsid w:val="00522340"/>
    <w:rsid w:val="00524380"/>
    <w:rsid w:val="00525D51"/>
    <w:rsid w:val="0052669E"/>
    <w:rsid w:val="00533B3C"/>
    <w:rsid w:val="0053486D"/>
    <w:rsid w:val="00543307"/>
    <w:rsid w:val="00545C0F"/>
    <w:rsid w:val="0054725B"/>
    <w:rsid w:val="005506EB"/>
    <w:rsid w:val="005519E5"/>
    <w:rsid w:val="00552C25"/>
    <w:rsid w:val="00561631"/>
    <w:rsid w:val="00564D37"/>
    <w:rsid w:val="00570FB0"/>
    <w:rsid w:val="00575C30"/>
    <w:rsid w:val="0058192A"/>
    <w:rsid w:val="005821E9"/>
    <w:rsid w:val="00584D57"/>
    <w:rsid w:val="005859B1"/>
    <w:rsid w:val="00585B6E"/>
    <w:rsid w:val="0058663B"/>
    <w:rsid w:val="0058779E"/>
    <w:rsid w:val="00587B47"/>
    <w:rsid w:val="005914C5"/>
    <w:rsid w:val="00592896"/>
    <w:rsid w:val="005931D3"/>
    <w:rsid w:val="00593C00"/>
    <w:rsid w:val="00595CB8"/>
    <w:rsid w:val="005A0EEC"/>
    <w:rsid w:val="005A1F44"/>
    <w:rsid w:val="005A26D3"/>
    <w:rsid w:val="005A293A"/>
    <w:rsid w:val="005A43ED"/>
    <w:rsid w:val="005B05C1"/>
    <w:rsid w:val="005B38C9"/>
    <w:rsid w:val="005B5712"/>
    <w:rsid w:val="005B6AD0"/>
    <w:rsid w:val="005B6BBD"/>
    <w:rsid w:val="005B72A8"/>
    <w:rsid w:val="005C5280"/>
    <w:rsid w:val="005C5522"/>
    <w:rsid w:val="005C5E9B"/>
    <w:rsid w:val="005C602A"/>
    <w:rsid w:val="005C65A8"/>
    <w:rsid w:val="005C7AEB"/>
    <w:rsid w:val="005D101C"/>
    <w:rsid w:val="005D3080"/>
    <w:rsid w:val="005D648D"/>
    <w:rsid w:val="005E1BD4"/>
    <w:rsid w:val="005E1D32"/>
    <w:rsid w:val="005E2F2A"/>
    <w:rsid w:val="005E44AC"/>
    <w:rsid w:val="005E6F25"/>
    <w:rsid w:val="005F4A3F"/>
    <w:rsid w:val="005F7A9A"/>
    <w:rsid w:val="00600191"/>
    <w:rsid w:val="00601E53"/>
    <w:rsid w:val="0060206E"/>
    <w:rsid w:val="006036FF"/>
    <w:rsid w:val="0060429D"/>
    <w:rsid w:val="00604C38"/>
    <w:rsid w:val="00605B1A"/>
    <w:rsid w:val="00606FE8"/>
    <w:rsid w:val="0061171A"/>
    <w:rsid w:val="006229E8"/>
    <w:rsid w:val="006249CA"/>
    <w:rsid w:val="00625B33"/>
    <w:rsid w:val="00627DFF"/>
    <w:rsid w:val="0063167F"/>
    <w:rsid w:val="006318A0"/>
    <w:rsid w:val="006336AB"/>
    <w:rsid w:val="00637671"/>
    <w:rsid w:val="00640931"/>
    <w:rsid w:val="00640F34"/>
    <w:rsid w:val="006445F7"/>
    <w:rsid w:val="00644D2B"/>
    <w:rsid w:val="006473BE"/>
    <w:rsid w:val="006478D4"/>
    <w:rsid w:val="00650625"/>
    <w:rsid w:val="00651635"/>
    <w:rsid w:val="00651FF2"/>
    <w:rsid w:val="006523D5"/>
    <w:rsid w:val="00655410"/>
    <w:rsid w:val="00656562"/>
    <w:rsid w:val="00657BD1"/>
    <w:rsid w:val="0066155A"/>
    <w:rsid w:val="00661A22"/>
    <w:rsid w:val="00663FDA"/>
    <w:rsid w:val="006678D2"/>
    <w:rsid w:val="00667C4C"/>
    <w:rsid w:val="00671157"/>
    <w:rsid w:val="00671883"/>
    <w:rsid w:val="0067326D"/>
    <w:rsid w:val="00673FEC"/>
    <w:rsid w:val="006752D7"/>
    <w:rsid w:val="006754FC"/>
    <w:rsid w:val="006769ED"/>
    <w:rsid w:val="006779F0"/>
    <w:rsid w:val="00677AE2"/>
    <w:rsid w:val="00677CFE"/>
    <w:rsid w:val="00680E5B"/>
    <w:rsid w:val="00681FEB"/>
    <w:rsid w:val="00682674"/>
    <w:rsid w:val="00686A23"/>
    <w:rsid w:val="00686FEB"/>
    <w:rsid w:val="00692FF9"/>
    <w:rsid w:val="00694A6F"/>
    <w:rsid w:val="00695DC3"/>
    <w:rsid w:val="0069630A"/>
    <w:rsid w:val="006971D6"/>
    <w:rsid w:val="006A1027"/>
    <w:rsid w:val="006A2C00"/>
    <w:rsid w:val="006A5542"/>
    <w:rsid w:val="006A70D5"/>
    <w:rsid w:val="006B12E2"/>
    <w:rsid w:val="006B1754"/>
    <w:rsid w:val="006B21F6"/>
    <w:rsid w:val="006B257F"/>
    <w:rsid w:val="006B54E4"/>
    <w:rsid w:val="006B7D59"/>
    <w:rsid w:val="006C356A"/>
    <w:rsid w:val="006C40E5"/>
    <w:rsid w:val="006C6551"/>
    <w:rsid w:val="006C7B57"/>
    <w:rsid w:val="006D1BC6"/>
    <w:rsid w:val="006D43F2"/>
    <w:rsid w:val="006D5D24"/>
    <w:rsid w:val="006D6ED9"/>
    <w:rsid w:val="006D7860"/>
    <w:rsid w:val="006E2769"/>
    <w:rsid w:val="006E3DCA"/>
    <w:rsid w:val="006E4674"/>
    <w:rsid w:val="006E4AA0"/>
    <w:rsid w:val="006E505F"/>
    <w:rsid w:val="006E5696"/>
    <w:rsid w:val="006E58CB"/>
    <w:rsid w:val="006F390F"/>
    <w:rsid w:val="006F3CC4"/>
    <w:rsid w:val="006F468D"/>
    <w:rsid w:val="006F5E0B"/>
    <w:rsid w:val="006F7027"/>
    <w:rsid w:val="00701ABA"/>
    <w:rsid w:val="00703CFD"/>
    <w:rsid w:val="007066CC"/>
    <w:rsid w:val="00707763"/>
    <w:rsid w:val="00707E51"/>
    <w:rsid w:val="00710BBA"/>
    <w:rsid w:val="00710C10"/>
    <w:rsid w:val="00710D98"/>
    <w:rsid w:val="007118A5"/>
    <w:rsid w:val="00711D33"/>
    <w:rsid w:val="00713A9C"/>
    <w:rsid w:val="00714A8F"/>
    <w:rsid w:val="00714B3F"/>
    <w:rsid w:val="007153EA"/>
    <w:rsid w:val="00716264"/>
    <w:rsid w:val="00716688"/>
    <w:rsid w:val="007177E4"/>
    <w:rsid w:val="00717D67"/>
    <w:rsid w:val="00717E0E"/>
    <w:rsid w:val="00722434"/>
    <w:rsid w:val="00724717"/>
    <w:rsid w:val="0072551B"/>
    <w:rsid w:val="007303E2"/>
    <w:rsid w:val="00732811"/>
    <w:rsid w:val="00735583"/>
    <w:rsid w:val="007402BA"/>
    <w:rsid w:val="00740D38"/>
    <w:rsid w:val="00741E2C"/>
    <w:rsid w:val="00743297"/>
    <w:rsid w:val="007432B7"/>
    <w:rsid w:val="00743355"/>
    <w:rsid w:val="007514A9"/>
    <w:rsid w:val="00751744"/>
    <w:rsid w:val="0075338A"/>
    <w:rsid w:val="00761341"/>
    <w:rsid w:val="00761523"/>
    <w:rsid w:val="007635BA"/>
    <w:rsid w:val="00764E3C"/>
    <w:rsid w:val="00765829"/>
    <w:rsid w:val="00770861"/>
    <w:rsid w:val="007712C1"/>
    <w:rsid w:val="0077400C"/>
    <w:rsid w:val="00777F2C"/>
    <w:rsid w:val="0078025D"/>
    <w:rsid w:val="007905F2"/>
    <w:rsid w:val="00791CCB"/>
    <w:rsid w:val="00793C9D"/>
    <w:rsid w:val="00795ABD"/>
    <w:rsid w:val="007966CE"/>
    <w:rsid w:val="00797DF8"/>
    <w:rsid w:val="007A233E"/>
    <w:rsid w:val="007A2650"/>
    <w:rsid w:val="007A58D5"/>
    <w:rsid w:val="007A63A8"/>
    <w:rsid w:val="007A7D49"/>
    <w:rsid w:val="007B0736"/>
    <w:rsid w:val="007B18CA"/>
    <w:rsid w:val="007B2154"/>
    <w:rsid w:val="007B2E25"/>
    <w:rsid w:val="007B5CA0"/>
    <w:rsid w:val="007B7846"/>
    <w:rsid w:val="007B79E6"/>
    <w:rsid w:val="007C4D98"/>
    <w:rsid w:val="007C5B31"/>
    <w:rsid w:val="007C6043"/>
    <w:rsid w:val="007C7689"/>
    <w:rsid w:val="007D0564"/>
    <w:rsid w:val="007D21BB"/>
    <w:rsid w:val="007D42B5"/>
    <w:rsid w:val="007D5E66"/>
    <w:rsid w:val="007E10E1"/>
    <w:rsid w:val="007E161A"/>
    <w:rsid w:val="007E2B59"/>
    <w:rsid w:val="007E6005"/>
    <w:rsid w:val="007E6745"/>
    <w:rsid w:val="007F4703"/>
    <w:rsid w:val="007F6320"/>
    <w:rsid w:val="007F6980"/>
    <w:rsid w:val="007F6FF9"/>
    <w:rsid w:val="00803D4F"/>
    <w:rsid w:val="0080505B"/>
    <w:rsid w:val="00805443"/>
    <w:rsid w:val="0080627B"/>
    <w:rsid w:val="008065CF"/>
    <w:rsid w:val="00807187"/>
    <w:rsid w:val="0080783F"/>
    <w:rsid w:val="0081124A"/>
    <w:rsid w:val="008133AC"/>
    <w:rsid w:val="008133C1"/>
    <w:rsid w:val="00816AB5"/>
    <w:rsid w:val="00817828"/>
    <w:rsid w:val="00817E53"/>
    <w:rsid w:val="00822BC8"/>
    <w:rsid w:val="00823ED0"/>
    <w:rsid w:val="00824241"/>
    <w:rsid w:val="0082477F"/>
    <w:rsid w:val="00825068"/>
    <w:rsid w:val="00825F67"/>
    <w:rsid w:val="00827D5C"/>
    <w:rsid w:val="0083146B"/>
    <w:rsid w:val="00833CE5"/>
    <w:rsid w:val="008345CA"/>
    <w:rsid w:val="00835BD7"/>
    <w:rsid w:val="00835C4E"/>
    <w:rsid w:val="00836BF8"/>
    <w:rsid w:val="00842A92"/>
    <w:rsid w:val="00845A74"/>
    <w:rsid w:val="00850B86"/>
    <w:rsid w:val="00852354"/>
    <w:rsid w:val="00856AE9"/>
    <w:rsid w:val="00860F76"/>
    <w:rsid w:val="00862D5F"/>
    <w:rsid w:val="008638DC"/>
    <w:rsid w:val="008659F5"/>
    <w:rsid w:val="00866AFB"/>
    <w:rsid w:val="008723B3"/>
    <w:rsid w:val="0088029D"/>
    <w:rsid w:val="00880CB9"/>
    <w:rsid w:val="00882B5E"/>
    <w:rsid w:val="00883000"/>
    <w:rsid w:val="00883E32"/>
    <w:rsid w:val="008922C8"/>
    <w:rsid w:val="00892472"/>
    <w:rsid w:val="00893156"/>
    <w:rsid w:val="008A1960"/>
    <w:rsid w:val="008A2399"/>
    <w:rsid w:val="008A4D3D"/>
    <w:rsid w:val="008A576D"/>
    <w:rsid w:val="008A5CA2"/>
    <w:rsid w:val="008B04FC"/>
    <w:rsid w:val="008B1A0A"/>
    <w:rsid w:val="008B1EC1"/>
    <w:rsid w:val="008B289D"/>
    <w:rsid w:val="008B3630"/>
    <w:rsid w:val="008B7322"/>
    <w:rsid w:val="008B7D9A"/>
    <w:rsid w:val="008C0CE3"/>
    <w:rsid w:val="008C15C7"/>
    <w:rsid w:val="008C49A0"/>
    <w:rsid w:val="008C5027"/>
    <w:rsid w:val="008C5B02"/>
    <w:rsid w:val="008C631B"/>
    <w:rsid w:val="008D00C8"/>
    <w:rsid w:val="008D0A52"/>
    <w:rsid w:val="008D0EF9"/>
    <w:rsid w:val="008D10EE"/>
    <w:rsid w:val="008D10F2"/>
    <w:rsid w:val="008D115F"/>
    <w:rsid w:val="008D1D7D"/>
    <w:rsid w:val="008D45D0"/>
    <w:rsid w:val="008D5FF8"/>
    <w:rsid w:val="008D6EAF"/>
    <w:rsid w:val="008E10FB"/>
    <w:rsid w:val="008E1753"/>
    <w:rsid w:val="008E1B63"/>
    <w:rsid w:val="008F0C85"/>
    <w:rsid w:val="008F1A99"/>
    <w:rsid w:val="008F291B"/>
    <w:rsid w:val="008F4DBD"/>
    <w:rsid w:val="00900E9E"/>
    <w:rsid w:val="009064F2"/>
    <w:rsid w:val="00906BC2"/>
    <w:rsid w:val="009071CA"/>
    <w:rsid w:val="00910856"/>
    <w:rsid w:val="00910C98"/>
    <w:rsid w:val="0091130E"/>
    <w:rsid w:val="00912590"/>
    <w:rsid w:val="009136B5"/>
    <w:rsid w:val="00915B39"/>
    <w:rsid w:val="00916E02"/>
    <w:rsid w:val="00917CB2"/>
    <w:rsid w:val="009202D3"/>
    <w:rsid w:val="009217AE"/>
    <w:rsid w:val="0092313F"/>
    <w:rsid w:val="00923432"/>
    <w:rsid w:val="0092519C"/>
    <w:rsid w:val="00927171"/>
    <w:rsid w:val="009274D2"/>
    <w:rsid w:val="00930A27"/>
    <w:rsid w:val="00930F1F"/>
    <w:rsid w:val="009350D4"/>
    <w:rsid w:val="009351C0"/>
    <w:rsid w:val="009432A1"/>
    <w:rsid w:val="00945676"/>
    <w:rsid w:val="00946534"/>
    <w:rsid w:val="0095312C"/>
    <w:rsid w:val="00955113"/>
    <w:rsid w:val="009555ED"/>
    <w:rsid w:val="009576A9"/>
    <w:rsid w:val="00960854"/>
    <w:rsid w:val="00963C3C"/>
    <w:rsid w:val="0096506F"/>
    <w:rsid w:val="00966411"/>
    <w:rsid w:val="00970C37"/>
    <w:rsid w:val="00971C03"/>
    <w:rsid w:val="00972DC3"/>
    <w:rsid w:val="00973A11"/>
    <w:rsid w:val="00974C79"/>
    <w:rsid w:val="00980B5D"/>
    <w:rsid w:val="009841F4"/>
    <w:rsid w:val="009851EC"/>
    <w:rsid w:val="00985278"/>
    <w:rsid w:val="00985493"/>
    <w:rsid w:val="00986A16"/>
    <w:rsid w:val="009906E1"/>
    <w:rsid w:val="00990DE0"/>
    <w:rsid w:val="00991A4F"/>
    <w:rsid w:val="00993AAB"/>
    <w:rsid w:val="00993D8B"/>
    <w:rsid w:val="009943F4"/>
    <w:rsid w:val="00995BF6"/>
    <w:rsid w:val="00997A22"/>
    <w:rsid w:val="009A068A"/>
    <w:rsid w:val="009A12E0"/>
    <w:rsid w:val="009A3B86"/>
    <w:rsid w:val="009A4FCE"/>
    <w:rsid w:val="009A61DC"/>
    <w:rsid w:val="009B07EF"/>
    <w:rsid w:val="009B2A93"/>
    <w:rsid w:val="009B2C16"/>
    <w:rsid w:val="009B4629"/>
    <w:rsid w:val="009B7108"/>
    <w:rsid w:val="009C1F5B"/>
    <w:rsid w:val="009C2690"/>
    <w:rsid w:val="009C2B5F"/>
    <w:rsid w:val="009C6CE3"/>
    <w:rsid w:val="009D047F"/>
    <w:rsid w:val="009D2614"/>
    <w:rsid w:val="009D2D83"/>
    <w:rsid w:val="009E0BA0"/>
    <w:rsid w:val="009E1213"/>
    <w:rsid w:val="009E26FD"/>
    <w:rsid w:val="009E3769"/>
    <w:rsid w:val="009E39ED"/>
    <w:rsid w:val="009E52ED"/>
    <w:rsid w:val="009F0040"/>
    <w:rsid w:val="009F2F34"/>
    <w:rsid w:val="009F6D1E"/>
    <w:rsid w:val="00A005EB"/>
    <w:rsid w:val="00A05972"/>
    <w:rsid w:val="00A06110"/>
    <w:rsid w:val="00A06BF0"/>
    <w:rsid w:val="00A10B91"/>
    <w:rsid w:val="00A10D1D"/>
    <w:rsid w:val="00A11EC1"/>
    <w:rsid w:val="00A12F07"/>
    <w:rsid w:val="00A1331A"/>
    <w:rsid w:val="00A16EE5"/>
    <w:rsid w:val="00A2031E"/>
    <w:rsid w:val="00A209A9"/>
    <w:rsid w:val="00A20EA2"/>
    <w:rsid w:val="00A22A84"/>
    <w:rsid w:val="00A24C4E"/>
    <w:rsid w:val="00A25769"/>
    <w:rsid w:val="00A26D32"/>
    <w:rsid w:val="00A31051"/>
    <w:rsid w:val="00A33A3A"/>
    <w:rsid w:val="00A358D4"/>
    <w:rsid w:val="00A374EF"/>
    <w:rsid w:val="00A3785E"/>
    <w:rsid w:val="00A408F3"/>
    <w:rsid w:val="00A4151E"/>
    <w:rsid w:val="00A4298F"/>
    <w:rsid w:val="00A4523F"/>
    <w:rsid w:val="00A4670F"/>
    <w:rsid w:val="00A47870"/>
    <w:rsid w:val="00A5016B"/>
    <w:rsid w:val="00A5175B"/>
    <w:rsid w:val="00A53BB4"/>
    <w:rsid w:val="00A5734C"/>
    <w:rsid w:val="00A60F64"/>
    <w:rsid w:val="00A62BA5"/>
    <w:rsid w:val="00A643C6"/>
    <w:rsid w:val="00A7381A"/>
    <w:rsid w:val="00A748CC"/>
    <w:rsid w:val="00A7647C"/>
    <w:rsid w:val="00A82755"/>
    <w:rsid w:val="00A835D1"/>
    <w:rsid w:val="00A8368A"/>
    <w:rsid w:val="00A84C35"/>
    <w:rsid w:val="00A84DFB"/>
    <w:rsid w:val="00A86179"/>
    <w:rsid w:val="00A879A4"/>
    <w:rsid w:val="00A92FFC"/>
    <w:rsid w:val="00A948B7"/>
    <w:rsid w:val="00A9546F"/>
    <w:rsid w:val="00A9550C"/>
    <w:rsid w:val="00A96278"/>
    <w:rsid w:val="00A962B7"/>
    <w:rsid w:val="00AA049C"/>
    <w:rsid w:val="00AA585C"/>
    <w:rsid w:val="00AA5FDA"/>
    <w:rsid w:val="00AB1DF6"/>
    <w:rsid w:val="00AB266D"/>
    <w:rsid w:val="00AB48F6"/>
    <w:rsid w:val="00AB50DB"/>
    <w:rsid w:val="00AB5B16"/>
    <w:rsid w:val="00AB7203"/>
    <w:rsid w:val="00AC06F8"/>
    <w:rsid w:val="00AC3E8A"/>
    <w:rsid w:val="00AC51C2"/>
    <w:rsid w:val="00AC63CB"/>
    <w:rsid w:val="00AD0CAF"/>
    <w:rsid w:val="00AD145A"/>
    <w:rsid w:val="00AD1977"/>
    <w:rsid w:val="00AD5155"/>
    <w:rsid w:val="00AD5249"/>
    <w:rsid w:val="00AD7A8A"/>
    <w:rsid w:val="00AE03D8"/>
    <w:rsid w:val="00AE17DE"/>
    <w:rsid w:val="00AE4413"/>
    <w:rsid w:val="00AE6103"/>
    <w:rsid w:val="00AE736C"/>
    <w:rsid w:val="00AE76EB"/>
    <w:rsid w:val="00AF1529"/>
    <w:rsid w:val="00AF3A5D"/>
    <w:rsid w:val="00AF3A8F"/>
    <w:rsid w:val="00AF5567"/>
    <w:rsid w:val="00AF5CE8"/>
    <w:rsid w:val="00AF7402"/>
    <w:rsid w:val="00AF7A53"/>
    <w:rsid w:val="00B00867"/>
    <w:rsid w:val="00B01231"/>
    <w:rsid w:val="00B01A99"/>
    <w:rsid w:val="00B03E74"/>
    <w:rsid w:val="00B0445C"/>
    <w:rsid w:val="00B05372"/>
    <w:rsid w:val="00B056D6"/>
    <w:rsid w:val="00B05C9E"/>
    <w:rsid w:val="00B0745C"/>
    <w:rsid w:val="00B1135C"/>
    <w:rsid w:val="00B121A8"/>
    <w:rsid w:val="00B14ECB"/>
    <w:rsid w:val="00B153DF"/>
    <w:rsid w:val="00B15956"/>
    <w:rsid w:val="00B17EB8"/>
    <w:rsid w:val="00B2083E"/>
    <w:rsid w:val="00B217AA"/>
    <w:rsid w:val="00B234DE"/>
    <w:rsid w:val="00B25C9D"/>
    <w:rsid w:val="00B2617E"/>
    <w:rsid w:val="00B309B7"/>
    <w:rsid w:val="00B3181A"/>
    <w:rsid w:val="00B318E2"/>
    <w:rsid w:val="00B31B69"/>
    <w:rsid w:val="00B324B8"/>
    <w:rsid w:val="00B32B5D"/>
    <w:rsid w:val="00B362B8"/>
    <w:rsid w:val="00B367DC"/>
    <w:rsid w:val="00B40E32"/>
    <w:rsid w:val="00B41E47"/>
    <w:rsid w:val="00B439E7"/>
    <w:rsid w:val="00B43DD8"/>
    <w:rsid w:val="00B4407D"/>
    <w:rsid w:val="00B45211"/>
    <w:rsid w:val="00B457B8"/>
    <w:rsid w:val="00B45C0A"/>
    <w:rsid w:val="00B50634"/>
    <w:rsid w:val="00B5142A"/>
    <w:rsid w:val="00B528BC"/>
    <w:rsid w:val="00B53263"/>
    <w:rsid w:val="00B55DFD"/>
    <w:rsid w:val="00B61728"/>
    <w:rsid w:val="00B61D8C"/>
    <w:rsid w:val="00B635AF"/>
    <w:rsid w:val="00B64947"/>
    <w:rsid w:val="00B67312"/>
    <w:rsid w:val="00B7196E"/>
    <w:rsid w:val="00B725BF"/>
    <w:rsid w:val="00B72D1D"/>
    <w:rsid w:val="00B83388"/>
    <w:rsid w:val="00B85973"/>
    <w:rsid w:val="00B86C52"/>
    <w:rsid w:val="00B86CC9"/>
    <w:rsid w:val="00B90DBA"/>
    <w:rsid w:val="00B92644"/>
    <w:rsid w:val="00B93150"/>
    <w:rsid w:val="00B94F6C"/>
    <w:rsid w:val="00BA017A"/>
    <w:rsid w:val="00BA0798"/>
    <w:rsid w:val="00BA107B"/>
    <w:rsid w:val="00BA270A"/>
    <w:rsid w:val="00BA3381"/>
    <w:rsid w:val="00BB0157"/>
    <w:rsid w:val="00BB0E25"/>
    <w:rsid w:val="00BB13E9"/>
    <w:rsid w:val="00BB1DD8"/>
    <w:rsid w:val="00BB3039"/>
    <w:rsid w:val="00BB4132"/>
    <w:rsid w:val="00BB5282"/>
    <w:rsid w:val="00BB546B"/>
    <w:rsid w:val="00BB5850"/>
    <w:rsid w:val="00BB6276"/>
    <w:rsid w:val="00BB62FF"/>
    <w:rsid w:val="00BC160F"/>
    <w:rsid w:val="00BC17FF"/>
    <w:rsid w:val="00BC57E7"/>
    <w:rsid w:val="00BC63AC"/>
    <w:rsid w:val="00BD1721"/>
    <w:rsid w:val="00BD1B82"/>
    <w:rsid w:val="00BD2EF7"/>
    <w:rsid w:val="00BD3455"/>
    <w:rsid w:val="00BD4647"/>
    <w:rsid w:val="00BD46FB"/>
    <w:rsid w:val="00BE24E3"/>
    <w:rsid w:val="00BE5D3F"/>
    <w:rsid w:val="00BE70E3"/>
    <w:rsid w:val="00BE79CA"/>
    <w:rsid w:val="00BF27C1"/>
    <w:rsid w:val="00BF31BD"/>
    <w:rsid w:val="00BF3DA4"/>
    <w:rsid w:val="00BF638C"/>
    <w:rsid w:val="00C01F53"/>
    <w:rsid w:val="00C02B2D"/>
    <w:rsid w:val="00C03274"/>
    <w:rsid w:val="00C068CD"/>
    <w:rsid w:val="00C06E0B"/>
    <w:rsid w:val="00C150CA"/>
    <w:rsid w:val="00C160F8"/>
    <w:rsid w:val="00C17708"/>
    <w:rsid w:val="00C17CA0"/>
    <w:rsid w:val="00C20C07"/>
    <w:rsid w:val="00C227F4"/>
    <w:rsid w:val="00C263BD"/>
    <w:rsid w:val="00C30F22"/>
    <w:rsid w:val="00C312DC"/>
    <w:rsid w:val="00C33429"/>
    <w:rsid w:val="00C34C2E"/>
    <w:rsid w:val="00C3518A"/>
    <w:rsid w:val="00C35768"/>
    <w:rsid w:val="00C35EE9"/>
    <w:rsid w:val="00C360F1"/>
    <w:rsid w:val="00C3634B"/>
    <w:rsid w:val="00C363ED"/>
    <w:rsid w:val="00C3651E"/>
    <w:rsid w:val="00C365AA"/>
    <w:rsid w:val="00C40609"/>
    <w:rsid w:val="00C410DC"/>
    <w:rsid w:val="00C43C7D"/>
    <w:rsid w:val="00C44CF5"/>
    <w:rsid w:val="00C44E33"/>
    <w:rsid w:val="00C44F27"/>
    <w:rsid w:val="00C456E6"/>
    <w:rsid w:val="00C4634F"/>
    <w:rsid w:val="00C4760E"/>
    <w:rsid w:val="00C5030F"/>
    <w:rsid w:val="00C52051"/>
    <w:rsid w:val="00C539D2"/>
    <w:rsid w:val="00C548F3"/>
    <w:rsid w:val="00C549A5"/>
    <w:rsid w:val="00C554A8"/>
    <w:rsid w:val="00C574A1"/>
    <w:rsid w:val="00C632CC"/>
    <w:rsid w:val="00C6560D"/>
    <w:rsid w:val="00C672C5"/>
    <w:rsid w:val="00C676BA"/>
    <w:rsid w:val="00C739B1"/>
    <w:rsid w:val="00C74B92"/>
    <w:rsid w:val="00C74CEB"/>
    <w:rsid w:val="00C75A11"/>
    <w:rsid w:val="00C85E29"/>
    <w:rsid w:val="00C86CFB"/>
    <w:rsid w:val="00C908F4"/>
    <w:rsid w:val="00C912C6"/>
    <w:rsid w:val="00C91593"/>
    <w:rsid w:val="00C9253D"/>
    <w:rsid w:val="00C93308"/>
    <w:rsid w:val="00C95F70"/>
    <w:rsid w:val="00C963E8"/>
    <w:rsid w:val="00C97D48"/>
    <w:rsid w:val="00CA345D"/>
    <w:rsid w:val="00CA466A"/>
    <w:rsid w:val="00CA50F8"/>
    <w:rsid w:val="00CA59ED"/>
    <w:rsid w:val="00CA6CA4"/>
    <w:rsid w:val="00CA6DF5"/>
    <w:rsid w:val="00CB050C"/>
    <w:rsid w:val="00CB0996"/>
    <w:rsid w:val="00CB279B"/>
    <w:rsid w:val="00CB3833"/>
    <w:rsid w:val="00CB4398"/>
    <w:rsid w:val="00CB574D"/>
    <w:rsid w:val="00CC44C2"/>
    <w:rsid w:val="00CC5BE9"/>
    <w:rsid w:val="00CD134B"/>
    <w:rsid w:val="00CD2E6F"/>
    <w:rsid w:val="00CD48C9"/>
    <w:rsid w:val="00CD5138"/>
    <w:rsid w:val="00CD7814"/>
    <w:rsid w:val="00CE435C"/>
    <w:rsid w:val="00CE4879"/>
    <w:rsid w:val="00CE5583"/>
    <w:rsid w:val="00CE61EE"/>
    <w:rsid w:val="00CE6C3C"/>
    <w:rsid w:val="00CE73ED"/>
    <w:rsid w:val="00CF322B"/>
    <w:rsid w:val="00CF466C"/>
    <w:rsid w:val="00CF5627"/>
    <w:rsid w:val="00CF60D9"/>
    <w:rsid w:val="00CF62B2"/>
    <w:rsid w:val="00CF6F81"/>
    <w:rsid w:val="00CF75A8"/>
    <w:rsid w:val="00D00525"/>
    <w:rsid w:val="00D00A84"/>
    <w:rsid w:val="00D05079"/>
    <w:rsid w:val="00D067BE"/>
    <w:rsid w:val="00D069A2"/>
    <w:rsid w:val="00D07440"/>
    <w:rsid w:val="00D12852"/>
    <w:rsid w:val="00D13587"/>
    <w:rsid w:val="00D135F5"/>
    <w:rsid w:val="00D16655"/>
    <w:rsid w:val="00D20A94"/>
    <w:rsid w:val="00D254BA"/>
    <w:rsid w:val="00D26A9B"/>
    <w:rsid w:val="00D301B5"/>
    <w:rsid w:val="00D322B6"/>
    <w:rsid w:val="00D3241E"/>
    <w:rsid w:val="00D3356C"/>
    <w:rsid w:val="00D3391C"/>
    <w:rsid w:val="00D345BF"/>
    <w:rsid w:val="00D375F0"/>
    <w:rsid w:val="00D402A0"/>
    <w:rsid w:val="00D402E1"/>
    <w:rsid w:val="00D40BB3"/>
    <w:rsid w:val="00D41FC3"/>
    <w:rsid w:val="00D437AE"/>
    <w:rsid w:val="00D43BAC"/>
    <w:rsid w:val="00D443C1"/>
    <w:rsid w:val="00D45E1B"/>
    <w:rsid w:val="00D47E3C"/>
    <w:rsid w:val="00D51694"/>
    <w:rsid w:val="00D55A47"/>
    <w:rsid w:val="00D56F0B"/>
    <w:rsid w:val="00D65240"/>
    <w:rsid w:val="00D7164E"/>
    <w:rsid w:val="00D718C3"/>
    <w:rsid w:val="00D725A2"/>
    <w:rsid w:val="00D73829"/>
    <w:rsid w:val="00D75B26"/>
    <w:rsid w:val="00D8129E"/>
    <w:rsid w:val="00D82079"/>
    <w:rsid w:val="00D8273A"/>
    <w:rsid w:val="00D841A4"/>
    <w:rsid w:val="00D8667E"/>
    <w:rsid w:val="00D91469"/>
    <w:rsid w:val="00D92924"/>
    <w:rsid w:val="00DA4FF8"/>
    <w:rsid w:val="00DA52DF"/>
    <w:rsid w:val="00DA5D4B"/>
    <w:rsid w:val="00DB0C99"/>
    <w:rsid w:val="00DB0F51"/>
    <w:rsid w:val="00DB23BA"/>
    <w:rsid w:val="00DB332D"/>
    <w:rsid w:val="00DC1532"/>
    <w:rsid w:val="00DC3240"/>
    <w:rsid w:val="00DC32F7"/>
    <w:rsid w:val="00DC48AC"/>
    <w:rsid w:val="00DC50EA"/>
    <w:rsid w:val="00DC76C9"/>
    <w:rsid w:val="00DD039E"/>
    <w:rsid w:val="00DD3B95"/>
    <w:rsid w:val="00DD4AFB"/>
    <w:rsid w:val="00DD5402"/>
    <w:rsid w:val="00DD569F"/>
    <w:rsid w:val="00DD6E0E"/>
    <w:rsid w:val="00DD73C9"/>
    <w:rsid w:val="00DE2C41"/>
    <w:rsid w:val="00DE33D0"/>
    <w:rsid w:val="00DE65CB"/>
    <w:rsid w:val="00DE69A1"/>
    <w:rsid w:val="00DE6D44"/>
    <w:rsid w:val="00DE780C"/>
    <w:rsid w:val="00DF0587"/>
    <w:rsid w:val="00DF27E3"/>
    <w:rsid w:val="00DF3102"/>
    <w:rsid w:val="00DF388C"/>
    <w:rsid w:val="00E00186"/>
    <w:rsid w:val="00E01887"/>
    <w:rsid w:val="00E01BDB"/>
    <w:rsid w:val="00E05FD5"/>
    <w:rsid w:val="00E06346"/>
    <w:rsid w:val="00E100F1"/>
    <w:rsid w:val="00E10582"/>
    <w:rsid w:val="00E10F43"/>
    <w:rsid w:val="00E11012"/>
    <w:rsid w:val="00E126A0"/>
    <w:rsid w:val="00E1274E"/>
    <w:rsid w:val="00E13118"/>
    <w:rsid w:val="00E13F55"/>
    <w:rsid w:val="00E17D09"/>
    <w:rsid w:val="00E22964"/>
    <w:rsid w:val="00E231D0"/>
    <w:rsid w:val="00E2392E"/>
    <w:rsid w:val="00E24236"/>
    <w:rsid w:val="00E2552B"/>
    <w:rsid w:val="00E25DDC"/>
    <w:rsid w:val="00E30583"/>
    <w:rsid w:val="00E308BF"/>
    <w:rsid w:val="00E33C5C"/>
    <w:rsid w:val="00E40E0A"/>
    <w:rsid w:val="00E4277D"/>
    <w:rsid w:val="00E43F19"/>
    <w:rsid w:val="00E508B8"/>
    <w:rsid w:val="00E52673"/>
    <w:rsid w:val="00E536BE"/>
    <w:rsid w:val="00E55D8E"/>
    <w:rsid w:val="00E57C65"/>
    <w:rsid w:val="00E603B8"/>
    <w:rsid w:val="00E66C3E"/>
    <w:rsid w:val="00E70CA4"/>
    <w:rsid w:val="00E7212A"/>
    <w:rsid w:val="00E76E25"/>
    <w:rsid w:val="00E77168"/>
    <w:rsid w:val="00E77264"/>
    <w:rsid w:val="00E82798"/>
    <w:rsid w:val="00E82F7B"/>
    <w:rsid w:val="00E85A82"/>
    <w:rsid w:val="00E90F78"/>
    <w:rsid w:val="00E95014"/>
    <w:rsid w:val="00E95CA4"/>
    <w:rsid w:val="00E964E9"/>
    <w:rsid w:val="00E964EC"/>
    <w:rsid w:val="00EA54BD"/>
    <w:rsid w:val="00EA7970"/>
    <w:rsid w:val="00EA79CC"/>
    <w:rsid w:val="00EB1AC8"/>
    <w:rsid w:val="00EB2342"/>
    <w:rsid w:val="00EB2B15"/>
    <w:rsid w:val="00EB3A5C"/>
    <w:rsid w:val="00EB6255"/>
    <w:rsid w:val="00EC5641"/>
    <w:rsid w:val="00EC7DEA"/>
    <w:rsid w:val="00ED05F2"/>
    <w:rsid w:val="00ED14B7"/>
    <w:rsid w:val="00ED1EFD"/>
    <w:rsid w:val="00ED4528"/>
    <w:rsid w:val="00ED4FF0"/>
    <w:rsid w:val="00ED5DF5"/>
    <w:rsid w:val="00ED695E"/>
    <w:rsid w:val="00EE0640"/>
    <w:rsid w:val="00EE1A53"/>
    <w:rsid w:val="00EE76F4"/>
    <w:rsid w:val="00EF06CA"/>
    <w:rsid w:val="00EF1357"/>
    <w:rsid w:val="00EF3870"/>
    <w:rsid w:val="00EF3F95"/>
    <w:rsid w:val="00F117CF"/>
    <w:rsid w:val="00F12B1E"/>
    <w:rsid w:val="00F1638B"/>
    <w:rsid w:val="00F202EF"/>
    <w:rsid w:val="00F2132C"/>
    <w:rsid w:val="00F21489"/>
    <w:rsid w:val="00F240EB"/>
    <w:rsid w:val="00F252A0"/>
    <w:rsid w:val="00F27C03"/>
    <w:rsid w:val="00F27D83"/>
    <w:rsid w:val="00F27E4C"/>
    <w:rsid w:val="00F32238"/>
    <w:rsid w:val="00F34295"/>
    <w:rsid w:val="00F35681"/>
    <w:rsid w:val="00F374CC"/>
    <w:rsid w:val="00F37C46"/>
    <w:rsid w:val="00F40870"/>
    <w:rsid w:val="00F41459"/>
    <w:rsid w:val="00F41667"/>
    <w:rsid w:val="00F43789"/>
    <w:rsid w:val="00F44A69"/>
    <w:rsid w:val="00F456C8"/>
    <w:rsid w:val="00F470D7"/>
    <w:rsid w:val="00F47E0B"/>
    <w:rsid w:val="00F51E0B"/>
    <w:rsid w:val="00F529EF"/>
    <w:rsid w:val="00F54604"/>
    <w:rsid w:val="00F54DBA"/>
    <w:rsid w:val="00F55D70"/>
    <w:rsid w:val="00F56EC8"/>
    <w:rsid w:val="00F5792F"/>
    <w:rsid w:val="00F60901"/>
    <w:rsid w:val="00F624C0"/>
    <w:rsid w:val="00F628D3"/>
    <w:rsid w:val="00F64CC8"/>
    <w:rsid w:val="00F65481"/>
    <w:rsid w:val="00F65BAF"/>
    <w:rsid w:val="00F66090"/>
    <w:rsid w:val="00F720E9"/>
    <w:rsid w:val="00F80998"/>
    <w:rsid w:val="00F818A7"/>
    <w:rsid w:val="00F83224"/>
    <w:rsid w:val="00F84F6D"/>
    <w:rsid w:val="00F85010"/>
    <w:rsid w:val="00F92D08"/>
    <w:rsid w:val="00F96695"/>
    <w:rsid w:val="00F978E0"/>
    <w:rsid w:val="00FA0EFC"/>
    <w:rsid w:val="00FA4574"/>
    <w:rsid w:val="00FA7230"/>
    <w:rsid w:val="00FA7C12"/>
    <w:rsid w:val="00FA7C4A"/>
    <w:rsid w:val="00FB160F"/>
    <w:rsid w:val="00FB1A1C"/>
    <w:rsid w:val="00FB652A"/>
    <w:rsid w:val="00FB783F"/>
    <w:rsid w:val="00FB7A2A"/>
    <w:rsid w:val="00FC0FBD"/>
    <w:rsid w:val="00FC2CA4"/>
    <w:rsid w:val="00FC31EE"/>
    <w:rsid w:val="00FC7204"/>
    <w:rsid w:val="00FC7488"/>
    <w:rsid w:val="00FD336E"/>
    <w:rsid w:val="00FD54AD"/>
    <w:rsid w:val="00FD574A"/>
    <w:rsid w:val="00FD7552"/>
    <w:rsid w:val="00FD7F79"/>
    <w:rsid w:val="00FE05C3"/>
    <w:rsid w:val="00FE3829"/>
    <w:rsid w:val="00FE5A2B"/>
    <w:rsid w:val="00FE5FBC"/>
    <w:rsid w:val="00FE68AF"/>
    <w:rsid w:val="00FE7228"/>
    <w:rsid w:val="00FF1E65"/>
    <w:rsid w:val="00FF2451"/>
    <w:rsid w:val="00FF306A"/>
    <w:rsid w:val="00FF3A2F"/>
    <w:rsid w:val="00FF5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lsdException w:name="heading 3" w:locked="1" w:semiHidden="0" w:unhideWhenUsed="0"/>
    <w:lsdException w:name="heading 4" w:locked="1" w:uiPriority="0"/>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footnote reference" w:locked="1" w:semiHidden="0" w:unhideWhenUsed="0"/>
    <w:lsdException w:name="Title" w:locked="1" w:semiHidden="0" w:uiPriority="0" w:unhideWhenUsed="0"/>
    <w:lsdException w:name="Default Paragraph Font" w:locked="1" w:semiHidden="0" w:uiPriority="0" w:unhideWhenUsed="0"/>
    <w:lsdException w:name="Body Text" w:locked="1" w:semiHidden="0" w:unhideWhenUsed="0"/>
    <w:lsdException w:name="Subtitle" w:locked="1" w:semiHidden="0" w:uiPriority="0" w:unhideWhenUsed="0"/>
    <w:lsdException w:name="Strong" w:locked="1" w:semiHidden="0" w:uiPriority="0" w:unhideWhenUsed="0"/>
    <w:lsdException w:name="Emphasis" w:locked="1" w:semiHidden="0" w:unhideWhenUsed="0" w:qFormat="1"/>
    <w:lsdException w:name="Table Grid" w:locked="1"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semiHidden="0" w:uiPriority="39" w:unhideWhenUsed="0"/>
  </w:latentStyles>
  <w:style w:type="paragraph" w:default="1" w:styleId="Normal">
    <w:name w:val="Normal"/>
    <w:qFormat/>
    <w:rsid w:val="00061989"/>
    <w:rPr>
      <w:rFonts w:ascii="Times New Roman" w:eastAsia="Times New Roman" w:hAnsi="Times New Roman"/>
      <w:sz w:val="24"/>
      <w:szCs w:val="20"/>
    </w:rPr>
  </w:style>
  <w:style w:type="paragraph" w:styleId="Heading1">
    <w:name w:val="heading 1"/>
    <w:basedOn w:val="Normal"/>
    <w:next w:val="Normal"/>
    <w:link w:val="Heading1Char"/>
    <w:uiPriority w:val="99"/>
    <w:qFormat/>
    <w:locked/>
    <w:rsid w:val="00637671"/>
    <w:pPr>
      <w:spacing w:after="240" w:line="276" w:lineRule="auto"/>
      <w:outlineLvl w:val="0"/>
    </w:pPr>
    <w:rPr>
      <w:rFonts w:ascii="Calibri" w:hAnsi="Calibri" w:cs="Arial"/>
      <w:b/>
      <w:sz w:val="28"/>
      <w:szCs w:val="22"/>
    </w:rPr>
  </w:style>
  <w:style w:type="paragraph" w:styleId="Heading2">
    <w:name w:val="heading 2"/>
    <w:basedOn w:val="Normal"/>
    <w:next w:val="Normal"/>
    <w:link w:val="Heading2Char"/>
    <w:uiPriority w:val="99"/>
    <w:locked/>
    <w:rsid w:val="009136B5"/>
    <w:pPr>
      <w:keepNext/>
      <w:keepLines/>
      <w:spacing w:before="40"/>
      <w:outlineLvl w:val="1"/>
    </w:pPr>
    <w:rPr>
      <w:rFonts w:ascii="Cambria" w:hAnsi="Cambria"/>
      <w:color w:val="365F91"/>
      <w:sz w:val="26"/>
      <w:szCs w:val="26"/>
    </w:rPr>
  </w:style>
  <w:style w:type="paragraph" w:styleId="Heading3">
    <w:name w:val="heading 3"/>
    <w:basedOn w:val="Normal"/>
    <w:next w:val="Normal"/>
    <w:link w:val="Heading3Char"/>
    <w:uiPriority w:val="99"/>
    <w:locked/>
    <w:rsid w:val="00DC48A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7671"/>
    <w:rPr>
      <w:rFonts w:eastAsia="Times New Roman" w:cs="Arial"/>
      <w:b/>
      <w:sz w:val="28"/>
    </w:rPr>
  </w:style>
  <w:style w:type="character" w:customStyle="1" w:styleId="Heading2Char">
    <w:name w:val="Heading 2 Char"/>
    <w:basedOn w:val="DefaultParagraphFont"/>
    <w:link w:val="Heading2"/>
    <w:uiPriority w:val="99"/>
    <w:locked/>
    <w:rsid w:val="009136B5"/>
    <w:rPr>
      <w:rFonts w:ascii="Cambria" w:hAnsi="Cambria" w:cs="Times New Roman"/>
      <w:color w:val="365F91"/>
      <w:sz w:val="26"/>
      <w:szCs w:val="26"/>
    </w:rPr>
  </w:style>
  <w:style w:type="character" w:customStyle="1" w:styleId="Heading3Char">
    <w:name w:val="Heading 3 Char"/>
    <w:basedOn w:val="DefaultParagraphFont"/>
    <w:link w:val="Heading3"/>
    <w:uiPriority w:val="99"/>
    <w:semiHidden/>
    <w:locked/>
    <w:rsid w:val="001E325C"/>
    <w:rPr>
      <w:rFonts w:ascii="Cambria" w:hAnsi="Cambria" w:cs="Times New Roman"/>
      <w:b/>
      <w:bCs/>
      <w:sz w:val="26"/>
      <w:szCs w:val="26"/>
    </w:rPr>
  </w:style>
  <w:style w:type="paragraph" w:styleId="BalloonText">
    <w:name w:val="Balloon Text"/>
    <w:basedOn w:val="Normal"/>
    <w:link w:val="BalloonTextChar"/>
    <w:uiPriority w:val="99"/>
    <w:semiHidden/>
    <w:rsid w:val="00A10B9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0B91"/>
    <w:rPr>
      <w:rFonts w:ascii="Tahoma" w:hAnsi="Tahoma" w:cs="Tahoma"/>
      <w:sz w:val="16"/>
      <w:szCs w:val="16"/>
    </w:rPr>
  </w:style>
  <w:style w:type="paragraph" w:customStyle="1" w:styleId="CommentText1">
    <w:name w:val="Comment Text1"/>
    <w:uiPriority w:val="99"/>
    <w:rsid w:val="00A10B91"/>
    <w:rPr>
      <w:rFonts w:ascii="Arial" w:hAnsi="Arial"/>
      <w:color w:val="000000"/>
      <w:sz w:val="20"/>
      <w:szCs w:val="20"/>
    </w:rPr>
  </w:style>
  <w:style w:type="paragraph" w:customStyle="1" w:styleId="Weld">
    <w:name w:val="Weld"/>
    <w:uiPriority w:val="99"/>
    <w:rsid w:val="00A10B91"/>
    <w:pPr>
      <w:jc w:val="center"/>
    </w:pPr>
    <w:rPr>
      <w:rFonts w:ascii="Arial Rounded MT Bold" w:hAnsi="Arial Rounded MT Bold"/>
      <w:color w:val="000000"/>
      <w:sz w:val="16"/>
      <w:szCs w:val="20"/>
    </w:rPr>
  </w:style>
  <w:style w:type="paragraph" w:styleId="PlainText">
    <w:name w:val="Plain Text"/>
    <w:basedOn w:val="Normal"/>
    <w:link w:val="PlainTextChar"/>
    <w:uiPriority w:val="99"/>
    <w:rsid w:val="00495FA7"/>
    <w:rPr>
      <w:rFonts w:ascii="Calibri" w:eastAsia="Calibri" w:hAnsi="Calibri"/>
      <w:sz w:val="22"/>
      <w:szCs w:val="21"/>
    </w:rPr>
  </w:style>
  <w:style w:type="character" w:customStyle="1" w:styleId="PlainTextChar">
    <w:name w:val="Plain Text Char"/>
    <w:basedOn w:val="DefaultParagraphFont"/>
    <w:link w:val="PlainText"/>
    <w:uiPriority w:val="99"/>
    <w:locked/>
    <w:rsid w:val="00495FA7"/>
    <w:rPr>
      <w:rFonts w:ascii="Calibri" w:hAnsi="Calibri" w:cs="Times New Roman"/>
      <w:sz w:val="21"/>
      <w:szCs w:val="21"/>
    </w:rPr>
  </w:style>
  <w:style w:type="paragraph" w:styleId="ListParagraph">
    <w:name w:val="List Paragraph"/>
    <w:basedOn w:val="Normal"/>
    <w:uiPriority w:val="99"/>
    <w:qFormat/>
    <w:rsid w:val="000B6E93"/>
    <w:pPr>
      <w:ind w:left="720"/>
      <w:contextualSpacing/>
    </w:pPr>
  </w:style>
  <w:style w:type="paragraph" w:styleId="Header">
    <w:name w:val="header"/>
    <w:basedOn w:val="Normal"/>
    <w:link w:val="HeaderChar"/>
    <w:uiPriority w:val="99"/>
    <w:rsid w:val="00743297"/>
    <w:pPr>
      <w:tabs>
        <w:tab w:val="center" w:pos="4680"/>
        <w:tab w:val="right" w:pos="9360"/>
      </w:tabs>
    </w:pPr>
  </w:style>
  <w:style w:type="character" w:customStyle="1" w:styleId="HeaderChar">
    <w:name w:val="Header Char"/>
    <w:basedOn w:val="DefaultParagraphFont"/>
    <w:link w:val="Header"/>
    <w:uiPriority w:val="99"/>
    <w:locked/>
    <w:rsid w:val="00743297"/>
    <w:rPr>
      <w:rFonts w:ascii="Times New Roman" w:hAnsi="Times New Roman" w:cs="Times New Roman"/>
      <w:sz w:val="20"/>
      <w:szCs w:val="20"/>
    </w:rPr>
  </w:style>
  <w:style w:type="paragraph" w:styleId="Footer">
    <w:name w:val="footer"/>
    <w:basedOn w:val="Normal"/>
    <w:link w:val="FooterChar"/>
    <w:uiPriority w:val="99"/>
    <w:rsid w:val="00743297"/>
    <w:pPr>
      <w:tabs>
        <w:tab w:val="center" w:pos="4680"/>
        <w:tab w:val="right" w:pos="9360"/>
      </w:tabs>
    </w:pPr>
  </w:style>
  <w:style w:type="character" w:customStyle="1" w:styleId="FooterChar">
    <w:name w:val="Footer Char"/>
    <w:basedOn w:val="DefaultParagraphFont"/>
    <w:link w:val="Footer"/>
    <w:uiPriority w:val="99"/>
    <w:locked/>
    <w:rsid w:val="00743297"/>
    <w:rPr>
      <w:rFonts w:ascii="Times New Roman" w:hAnsi="Times New Roman" w:cs="Times New Roman"/>
      <w:sz w:val="20"/>
      <w:szCs w:val="20"/>
    </w:rPr>
  </w:style>
  <w:style w:type="character" w:styleId="CommentReference">
    <w:name w:val="annotation reference"/>
    <w:basedOn w:val="DefaultParagraphFont"/>
    <w:uiPriority w:val="99"/>
    <w:semiHidden/>
    <w:rsid w:val="00D437AE"/>
    <w:rPr>
      <w:rFonts w:cs="Times New Roman"/>
      <w:sz w:val="16"/>
      <w:szCs w:val="16"/>
    </w:rPr>
  </w:style>
  <w:style w:type="paragraph" w:styleId="CommentText">
    <w:name w:val="annotation text"/>
    <w:basedOn w:val="Normal"/>
    <w:link w:val="CommentTextChar"/>
    <w:uiPriority w:val="99"/>
    <w:semiHidden/>
    <w:rsid w:val="00D437AE"/>
    <w:rPr>
      <w:sz w:val="20"/>
    </w:rPr>
  </w:style>
  <w:style w:type="character" w:customStyle="1" w:styleId="CommentTextChar">
    <w:name w:val="Comment Text Char"/>
    <w:basedOn w:val="DefaultParagraphFont"/>
    <w:link w:val="CommentText"/>
    <w:uiPriority w:val="99"/>
    <w:semiHidden/>
    <w:locked/>
    <w:rsid w:val="00D437A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D437AE"/>
    <w:rPr>
      <w:b/>
      <w:bCs/>
    </w:rPr>
  </w:style>
  <w:style w:type="character" w:customStyle="1" w:styleId="CommentSubjectChar">
    <w:name w:val="Comment Subject Char"/>
    <w:basedOn w:val="CommentTextChar"/>
    <w:link w:val="CommentSubject"/>
    <w:uiPriority w:val="99"/>
    <w:semiHidden/>
    <w:locked/>
    <w:rsid w:val="00D437AE"/>
    <w:rPr>
      <w:rFonts w:ascii="Times New Roman" w:hAnsi="Times New Roman" w:cs="Times New Roman"/>
      <w:b/>
      <w:bCs/>
      <w:sz w:val="20"/>
      <w:szCs w:val="20"/>
    </w:rPr>
  </w:style>
  <w:style w:type="paragraph" w:customStyle="1" w:styleId="FreeForm">
    <w:name w:val="Free Form"/>
    <w:uiPriority w:val="99"/>
    <w:rsid w:val="007966CE"/>
    <w:rPr>
      <w:rFonts w:ascii="Helvetica" w:eastAsia="Times New Roman" w:hAnsi="Helvetica"/>
      <w:color w:val="000000"/>
      <w:sz w:val="24"/>
      <w:szCs w:val="20"/>
    </w:rPr>
  </w:style>
  <w:style w:type="paragraph" w:customStyle="1" w:styleId="Body">
    <w:name w:val="Body"/>
    <w:uiPriority w:val="99"/>
    <w:rsid w:val="007966CE"/>
    <w:rPr>
      <w:rFonts w:ascii="Helvetica" w:eastAsia="Times New Roman" w:hAnsi="Helvetica"/>
      <w:color w:val="000000"/>
      <w:sz w:val="24"/>
      <w:szCs w:val="20"/>
    </w:rPr>
  </w:style>
  <w:style w:type="character" w:customStyle="1" w:styleId="CharChar3">
    <w:name w:val="Char Char3"/>
    <w:basedOn w:val="DefaultParagraphFont"/>
    <w:uiPriority w:val="99"/>
    <w:rsid w:val="007966CE"/>
    <w:rPr>
      <w:rFonts w:cs="Times New Roman"/>
    </w:rPr>
  </w:style>
  <w:style w:type="paragraph" w:styleId="NormalWeb">
    <w:name w:val="Normal (Web)"/>
    <w:basedOn w:val="Normal"/>
    <w:uiPriority w:val="99"/>
    <w:rsid w:val="007966CE"/>
    <w:pPr>
      <w:spacing w:after="240"/>
    </w:pPr>
    <w:rPr>
      <w:rFonts w:eastAsia="Calibri"/>
      <w:szCs w:val="24"/>
    </w:rPr>
  </w:style>
  <w:style w:type="paragraph" w:styleId="FootnoteText">
    <w:name w:val="footnote text"/>
    <w:basedOn w:val="Normal"/>
    <w:link w:val="FootnoteTextChar"/>
    <w:uiPriority w:val="99"/>
    <w:rsid w:val="00993AAB"/>
    <w:rPr>
      <w:rFonts w:ascii="Cambria" w:eastAsia="MS ??" w:hAnsi="Cambria"/>
      <w:szCs w:val="24"/>
    </w:rPr>
  </w:style>
  <w:style w:type="character" w:customStyle="1" w:styleId="FootnoteTextChar">
    <w:name w:val="Footnote Text Char"/>
    <w:basedOn w:val="DefaultParagraphFont"/>
    <w:link w:val="FootnoteText"/>
    <w:uiPriority w:val="99"/>
    <w:locked/>
    <w:rsid w:val="00993AAB"/>
    <w:rPr>
      <w:rFonts w:ascii="Cambria" w:eastAsia="MS ??" w:hAnsi="Cambria" w:cs="Times New Roman"/>
      <w:sz w:val="24"/>
      <w:szCs w:val="24"/>
      <w:lang w:val="en-US" w:eastAsia="en-US" w:bidi="ar-SA"/>
    </w:rPr>
  </w:style>
  <w:style w:type="character" w:styleId="FootnoteReference">
    <w:name w:val="footnote reference"/>
    <w:basedOn w:val="DefaultParagraphFont"/>
    <w:uiPriority w:val="99"/>
    <w:rsid w:val="005E2F2A"/>
    <w:rPr>
      <w:rFonts w:ascii="Calibri" w:hAnsi="Calibri" w:cs="Times New Roman"/>
      <w:sz w:val="22"/>
      <w:vertAlign w:val="superscript"/>
    </w:rPr>
  </w:style>
  <w:style w:type="table" w:styleId="TableGrid">
    <w:name w:val="Table Grid"/>
    <w:basedOn w:val="TableNormal"/>
    <w:uiPriority w:val="99"/>
    <w:locked/>
    <w:rsid w:val="0008251F"/>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uiPriority w:val="99"/>
    <w:rsid w:val="00A05972"/>
    <w:pPr>
      <w:spacing w:before="100" w:beforeAutospacing="1" w:after="100" w:afterAutospacing="1"/>
    </w:pPr>
    <w:rPr>
      <w:rFonts w:eastAsia="MS Mincho"/>
      <w:szCs w:val="24"/>
      <w:lang w:eastAsia="ja-JP"/>
    </w:rPr>
  </w:style>
  <w:style w:type="character" w:customStyle="1" w:styleId="apple-converted-space">
    <w:name w:val="apple-converted-space"/>
    <w:basedOn w:val="DefaultParagraphFont"/>
    <w:uiPriority w:val="99"/>
    <w:rsid w:val="00A05972"/>
    <w:rPr>
      <w:rFonts w:cs="Times New Roman"/>
    </w:rPr>
  </w:style>
  <w:style w:type="table" w:customStyle="1" w:styleId="TableGrid1">
    <w:name w:val="Table Grid1"/>
    <w:uiPriority w:val="99"/>
    <w:rsid w:val="002329E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99"/>
    <w:qFormat/>
    <w:locked/>
    <w:rsid w:val="003447AA"/>
  </w:style>
  <w:style w:type="paragraph" w:styleId="EndnoteText">
    <w:name w:val="endnote text"/>
    <w:basedOn w:val="Normal"/>
    <w:link w:val="EndnoteTextChar"/>
    <w:uiPriority w:val="99"/>
    <w:semiHidden/>
    <w:rsid w:val="001437DE"/>
    <w:rPr>
      <w:rFonts w:ascii="Calibri" w:eastAsia="Calibri" w:hAnsi="Calibri"/>
      <w:sz w:val="20"/>
    </w:rPr>
  </w:style>
  <w:style w:type="character" w:customStyle="1" w:styleId="EndnoteTextChar">
    <w:name w:val="Endnote Text Char"/>
    <w:basedOn w:val="DefaultParagraphFont"/>
    <w:link w:val="EndnoteText"/>
    <w:uiPriority w:val="99"/>
    <w:semiHidden/>
    <w:locked/>
    <w:rsid w:val="001437DE"/>
    <w:rPr>
      <w:rFonts w:ascii="Calibri" w:hAnsi="Calibri" w:cs="Times New Roman"/>
      <w:sz w:val="20"/>
      <w:szCs w:val="20"/>
    </w:rPr>
  </w:style>
  <w:style w:type="character" w:styleId="EndnoteReference">
    <w:name w:val="endnote reference"/>
    <w:basedOn w:val="DefaultParagraphFont"/>
    <w:uiPriority w:val="99"/>
    <w:semiHidden/>
    <w:rsid w:val="001437DE"/>
    <w:rPr>
      <w:rFonts w:cs="Times New Roman"/>
      <w:vertAlign w:val="superscript"/>
    </w:rPr>
  </w:style>
  <w:style w:type="paragraph" w:customStyle="1" w:styleId="xmsonormal">
    <w:name w:val="x_msonormal"/>
    <w:basedOn w:val="Normal"/>
    <w:uiPriority w:val="99"/>
    <w:rsid w:val="00717D67"/>
    <w:pPr>
      <w:spacing w:before="100" w:beforeAutospacing="1" w:after="100" w:afterAutospacing="1"/>
    </w:pPr>
    <w:rPr>
      <w:rFonts w:eastAsia="MS Mincho"/>
      <w:szCs w:val="24"/>
      <w:lang w:eastAsia="ja-JP"/>
    </w:rPr>
  </w:style>
  <w:style w:type="paragraph" w:styleId="BodyText">
    <w:name w:val="Body Text"/>
    <w:basedOn w:val="Normal"/>
    <w:link w:val="BodyTextChar"/>
    <w:uiPriority w:val="99"/>
    <w:rsid w:val="007A233E"/>
    <w:pPr>
      <w:spacing w:before="240"/>
      <w:ind w:firstLine="720"/>
    </w:pPr>
    <w:rPr>
      <w:rFonts w:ascii="Garamond" w:hAnsi="Garamond"/>
      <w:sz w:val="22"/>
    </w:rPr>
  </w:style>
  <w:style w:type="character" w:customStyle="1" w:styleId="BodyTextChar">
    <w:name w:val="Body Text Char"/>
    <w:basedOn w:val="DefaultParagraphFont"/>
    <w:link w:val="BodyText"/>
    <w:uiPriority w:val="99"/>
    <w:locked/>
    <w:rsid w:val="007A233E"/>
    <w:rPr>
      <w:rFonts w:ascii="Garamond" w:hAnsi="Garamond" w:cs="Times New Roman"/>
      <w:sz w:val="20"/>
      <w:szCs w:val="20"/>
    </w:rPr>
  </w:style>
  <w:style w:type="character" w:styleId="Hyperlink">
    <w:name w:val="Hyperlink"/>
    <w:basedOn w:val="DefaultParagraphFont"/>
    <w:uiPriority w:val="99"/>
    <w:rsid w:val="007A233E"/>
    <w:rPr>
      <w:rFonts w:cs="Times New Roman"/>
      <w:color w:val="0000FF"/>
      <w:u w:val="single"/>
    </w:rPr>
  </w:style>
  <w:style w:type="table" w:customStyle="1" w:styleId="PlainTable11">
    <w:name w:val="Plain Table 11"/>
    <w:uiPriority w:val="99"/>
    <w:rsid w:val="008659F5"/>
    <w:rPr>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LightList-Accent1">
    <w:name w:val="Light List Accent 1"/>
    <w:basedOn w:val="TableNormal"/>
    <w:uiPriority w:val="99"/>
    <w:rsid w:val="00F628D3"/>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PlainTable111">
    <w:name w:val="Plain Table 111"/>
    <w:uiPriority w:val="99"/>
    <w:rsid w:val="006523D5"/>
    <w:rPr>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LightShading-Accent1">
    <w:name w:val="Light Shading Accent 1"/>
    <w:basedOn w:val="TableNormal"/>
    <w:uiPriority w:val="99"/>
    <w:rsid w:val="00B41E47"/>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GridTable31">
    <w:name w:val="Grid Table 31"/>
    <w:uiPriority w:val="99"/>
    <w:rsid w:val="00182E27"/>
    <w:rPr>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paragraph" w:styleId="TOCHeading">
    <w:name w:val="TOC Heading"/>
    <w:basedOn w:val="Heading1"/>
    <w:next w:val="Normal"/>
    <w:uiPriority w:val="39"/>
    <w:rsid w:val="00681FEB"/>
    <w:pPr>
      <w:spacing w:before="480"/>
      <w:outlineLvl w:val="9"/>
    </w:pPr>
    <w:rPr>
      <w:b w:val="0"/>
      <w:bCs/>
      <w:szCs w:val="28"/>
      <w:lang w:eastAsia="ja-JP"/>
    </w:rPr>
  </w:style>
  <w:style w:type="paragraph" w:styleId="TOC1">
    <w:name w:val="toc 1"/>
    <w:basedOn w:val="Normal"/>
    <w:next w:val="Normal"/>
    <w:autoRedefine/>
    <w:uiPriority w:val="39"/>
    <w:locked/>
    <w:rsid w:val="00F65BAF"/>
    <w:pPr>
      <w:tabs>
        <w:tab w:val="right" w:leader="dot" w:pos="9350"/>
      </w:tabs>
      <w:spacing w:line="480" w:lineRule="auto"/>
    </w:pPr>
  </w:style>
  <w:style w:type="paragraph" w:styleId="TOC2">
    <w:name w:val="toc 2"/>
    <w:basedOn w:val="Normal"/>
    <w:next w:val="Normal"/>
    <w:autoRedefine/>
    <w:uiPriority w:val="99"/>
    <w:locked/>
    <w:rsid w:val="00681FEB"/>
    <w:pPr>
      <w:spacing w:after="100"/>
      <w:ind w:left="240"/>
    </w:pPr>
  </w:style>
  <w:style w:type="paragraph" w:customStyle="1" w:styleId="authors">
    <w:name w:val="authors"/>
    <w:basedOn w:val="Normal"/>
    <w:uiPriority w:val="99"/>
    <w:rsid w:val="002E20BE"/>
    <w:pPr>
      <w:spacing w:before="100" w:beforeAutospacing="1" w:after="100" w:afterAutospacing="1"/>
    </w:pPr>
    <w:rPr>
      <w:szCs w:val="24"/>
    </w:rPr>
  </w:style>
  <w:style w:type="character" w:customStyle="1" w:styleId="citation">
    <w:name w:val="citation"/>
    <w:basedOn w:val="DefaultParagraphFont"/>
    <w:uiPriority w:val="99"/>
    <w:rsid w:val="002E20BE"/>
    <w:rPr>
      <w:rFonts w:cs="Times New Roman"/>
    </w:rPr>
  </w:style>
  <w:style w:type="paragraph" w:styleId="Revision">
    <w:name w:val="Revision"/>
    <w:hidden/>
    <w:uiPriority w:val="99"/>
    <w:semiHidden/>
    <w:rsid w:val="000F3F92"/>
    <w:rPr>
      <w:rFonts w:ascii="Times New Roman" w:eastAsia="Times New Roman" w:hAnsi="Times New Roman"/>
      <w:sz w:val="24"/>
      <w:szCs w:val="20"/>
    </w:rPr>
  </w:style>
  <w:style w:type="character" w:customStyle="1" w:styleId="CharChar6">
    <w:name w:val="Char Char6"/>
    <w:basedOn w:val="DefaultParagraphFont"/>
    <w:uiPriority w:val="99"/>
    <w:rsid w:val="00DC48AC"/>
    <w:rPr>
      <w:rFonts w:cs="Times New Roman"/>
    </w:rPr>
  </w:style>
  <w:style w:type="paragraph" w:customStyle="1" w:styleId="pp-first">
    <w:name w:val="p p-first"/>
    <w:basedOn w:val="Normal"/>
    <w:uiPriority w:val="99"/>
    <w:rsid w:val="00DC48AC"/>
    <w:pPr>
      <w:spacing w:before="100" w:beforeAutospacing="1" w:after="100" w:afterAutospacing="1"/>
    </w:pPr>
    <w:rPr>
      <w:rFonts w:eastAsia="Calibri"/>
      <w:szCs w:val="24"/>
    </w:rPr>
  </w:style>
  <w:style w:type="paragraph" w:styleId="TOC3">
    <w:name w:val="toc 3"/>
    <w:basedOn w:val="Normal"/>
    <w:next w:val="Normal"/>
    <w:autoRedefine/>
    <w:uiPriority w:val="39"/>
    <w:locked/>
    <w:rsid w:val="00A962B7"/>
    <w:pPr>
      <w:spacing w:after="100"/>
      <w:ind w:left="480"/>
    </w:pPr>
  </w:style>
  <w:style w:type="paragraph" w:styleId="DocumentMap">
    <w:name w:val="Document Map"/>
    <w:basedOn w:val="Normal"/>
    <w:link w:val="DocumentMapChar"/>
    <w:uiPriority w:val="99"/>
    <w:semiHidden/>
    <w:unhideWhenUsed/>
    <w:rsid w:val="00EC5641"/>
    <w:rPr>
      <w:szCs w:val="24"/>
    </w:rPr>
  </w:style>
  <w:style w:type="character" w:customStyle="1" w:styleId="DocumentMapChar">
    <w:name w:val="Document Map Char"/>
    <w:basedOn w:val="DefaultParagraphFont"/>
    <w:link w:val="DocumentMap"/>
    <w:uiPriority w:val="99"/>
    <w:semiHidden/>
    <w:rsid w:val="00EC5641"/>
    <w:rPr>
      <w:rFonts w:ascii="Times New Roman" w:eastAsia="Times New Roman" w:hAnsi="Times New Roman"/>
      <w:sz w:val="24"/>
      <w:szCs w:val="24"/>
    </w:rPr>
  </w:style>
  <w:style w:type="paragraph" w:customStyle="1" w:styleId="PBody">
    <w:name w:val="PBody"/>
    <w:basedOn w:val="Normal"/>
    <w:autoRedefine/>
    <w:qFormat/>
    <w:rsid w:val="002D6E20"/>
    <w:pPr>
      <w:spacing w:after="240" w:line="276" w:lineRule="auto"/>
      <w:ind w:firstLine="720"/>
      <w:jc w:val="both"/>
    </w:pPr>
    <w:rPr>
      <w:rFonts w:ascii="Calibri" w:hAnsi="Calibri"/>
      <w:sz w:val="22"/>
      <w:szCs w:val="22"/>
      <w:shd w:val="clear" w:color="auto" w:fill="FFFFFF"/>
    </w:rPr>
  </w:style>
  <w:style w:type="paragraph" w:customStyle="1" w:styleId="Governor">
    <w:name w:val="Governor"/>
    <w:basedOn w:val="Normal"/>
    <w:rsid w:val="0021646B"/>
    <w:pPr>
      <w:framePr w:hSpace="187" w:wrap="notBeside" w:vAnchor="text" w:hAnchor="page" w:x="546" w:y="141"/>
      <w:spacing w:after="120"/>
      <w:jc w:val="center"/>
    </w:pPr>
    <w:rPr>
      <w:rFonts w:ascii="Arial Rounded MT Bold" w:hAnsi="Arial Rounded MT Bold"/>
      <w:sz w:val="14"/>
    </w:rPr>
  </w:style>
  <w:style w:type="paragraph" w:styleId="Quote">
    <w:name w:val="Quote"/>
    <w:basedOn w:val="PBody"/>
    <w:next w:val="Normal"/>
    <w:link w:val="QuoteChar"/>
    <w:uiPriority w:val="29"/>
    <w:rsid w:val="00C4760E"/>
    <w:rPr>
      <w:i/>
    </w:rPr>
  </w:style>
  <w:style w:type="character" w:customStyle="1" w:styleId="QuoteChar">
    <w:name w:val="Quote Char"/>
    <w:basedOn w:val="DefaultParagraphFont"/>
    <w:link w:val="Quote"/>
    <w:uiPriority w:val="29"/>
    <w:rsid w:val="00C4760E"/>
    <w:rPr>
      <w:rFonts w:eastAsia="Times New Roman"/>
      <w:i/>
    </w:rPr>
  </w:style>
  <w:style w:type="character" w:styleId="FollowedHyperlink">
    <w:name w:val="FollowedHyperlink"/>
    <w:basedOn w:val="DefaultParagraphFont"/>
    <w:uiPriority w:val="99"/>
    <w:semiHidden/>
    <w:unhideWhenUsed/>
    <w:rsid w:val="00073F58"/>
    <w:rPr>
      <w:color w:val="800080" w:themeColor="followedHyperlink"/>
      <w:u w:val="single"/>
    </w:rPr>
  </w:style>
  <w:style w:type="character" w:styleId="PageNumber">
    <w:name w:val="page number"/>
    <w:basedOn w:val="DefaultParagraphFont"/>
    <w:uiPriority w:val="99"/>
    <w:semiHidden/>
    <w:unhideWhenUsed/>
    <w:rsid w:val="00C85E29"/>
  </w:style>
  <w:style w:type="paragraph" w:customStyle="1" w:styleId="Headingp2">
    <w:name w:val="Heading p2"/>
    <w:basedOn w:val="PBody"/>
    <w:qFormat/>
    <w:rsid w:val="00991A4F"/>
    <w:pPr>
      <w:spacing w:after="120"/>
      <w:ind w:firstLine="0"/>
    </w:pPr>
    <w:rPr>
      <w:b/>
    </w:rPr>
  </w:style>
  <w:style w:type="paragraph" w:customStyle="1" w:styleId="Tableheader">
    <w:name w:val="Table header"/>
    <w:basedOn w:val="PlainText"/>
    <w:qFormat/>
    <w:rsid w:val="00242E4A"/>
    <w:pPr>
      <w:spacing w:before="120" w:after="120"/>
      <w:jc w:val="center"/>
    </w:pPr>
    <w:rPr>
      <w:b/>
    </w:rPr>
  </w:style>
  <w:style w:type="paragraph" w:customStyle="1" w:styleId="tabletext">
    <w:name w:val="table text"/>
    <w:basedOn w:val="Normal"/>
    <w:qFormat/>
    <w:rsid w:val="00242E4A"/>
    <w:pPr>
      <w:spacing w:before="120" w:after="120"/>
    </w:pPr>
    <w:rPr>
      <w:rFonts w:ascii="Calibri" w:hAnsi="Calibri"/>
      <w:b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lsdException w:name="heading 3" w:locked="1" w:semiHidden="0" w:unhideWhenUsed="0"/>
    <w:lsdException w:name="heading 4" w:locked="1" w:uiPriority="0"/>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footnote reference" w:locked="1" w:semiHidden="0" w:unhideWhenUsed="0"/>
    <w:lsdException w:name="Title" w:locked="1" w:semiHidden="0" w:uiPriority="0" w:unhideWhenUsed="0"/>
    <w:lsdException w:name="Default Paragraph Font" w:locked="1" w:semiHidden="0" w:uiPriority="0" w:unhideWhenUsed="0"/>
    <w:lsdException w:name="Body Text" w:locked="1" w:semiHidden="0" w:unhideWhenUsed="0"/>
    <w:lsdException w:name="Subtitle" w:locked="1" w:semiHidden="0" w:uiPriority="0" w:unhideWhenUsed="0"/>
    <w:lsdException w:name="Strong" w:locked="1" w:semiHidden="0" w:uiPriority="0" w:unhideWhenUsed="0"/>
    <w:lsdException w:name="Emphasis" w:locked="1" w:semiHidden="0" w:unhideWhenUsed="0" w:qFormat="1"/>
    <w:lsdException w:name="Table Grid" w:locked="1"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semiHidden="0" w:uiPriority="39" w:unhideWhenUsed="0"/>
  </w:latentStyles>
  <w:style w:type="paragraph" w:default="1" w:styleId="Normal">
    <w:name w:val="Normal"/>
    <w:qFormat/>
    <w:rsid w:val="00061989"/>
    <w:rPr>
      <w:rFonts w:ascii="Times New Roman" w:eastAsia="Times New Roman" w:hAnsi="Times New Roman"/>
      <w:sz w:val="24"/>
      <w:szCs w:val="20"/>
    </w:rPr>
  </w:style>
  <w:style w:type="paragraph" w:styleId="Heading1">
    <w:name w:val="heading 1"/>
    <w:basedOn w:val="Normal"/>
    <w:next w:val="Normal"/>
    <w:link w:val="Heading1Char"/>
    <w:uiPriority w:val="99"/>
    <w:qFormat/>
    <w:locked/>
    <w:rsid w:val="00637671"/>
    <w:pPr>
      <w:spacing w:after="240" w:line="276" w:lineRule="auto"/>
      <w:outlineLvl w:val="0"/>
    </w:pPr>
    <w:rPr>
      <w:rFonts w:ascii="Calibri" w:hAnsi="Calibri" w:cs="Arial"/>
      <w:b/>
      <w:sz w:val="28"/>
      <w:szCs w:val="22"/>
    </w:rPr>
  </w:style>
  <w:style w:type="paragraph" w:styleId="Heading2">
    <w:name w:val="heading 2"/>
    <w:basedOn w:val="Normal"/>
    <w:next w:val="Normal"/>
    <w:link w:val="Heading2Char"/>
    <w:uiPriority w:val="99"/>
    <w:locked/>
    <w:rsid w:val="009136B5"/>
    <w:pPr>
      <w:keepNext/>
      <w:keepLines/>
      <w:spacing w:before="40"/>
      <w:outlineLvl w:val="1"/>
    </w:pPr>
    <w:rPr>
      <w:rFonts w:ascii="Cambria" w:hAnsi="Cambria"/>
      <w:color w:val="365F91"/>
      <w:sz w:val="26"/>
      <w:szCs w:val="26"/>
    </w:rPr>
  </w:style>
  <w:style w:type="paragraph" w:styleId="Heading3">
    <w:name w:val="heading 3"/>
    <w:basedOn w:val="Normal"/>
    <w:next w:val="Normal"/>
    <w:link w:val="Heading3Char"/>
    <w:uiPriority w:val="99"/>
    <w:locked/>
    <w:rsid w:val="00DC48A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7671"/>
    <w:rPr>
      <w:rFonts w:eastAsia="Times New Roman" w:cs="Arial"/>
      <w:b/>
      <w:sz w:val="28"/>
    </w:rPr>
  </w:style>
  <w:style w:type="character" w:customStyle="1" w:styleId="Heading2Char">
    <w:name w:val="Heading 2 Char"/>
    <w:basedOn w:val="DefaultParagraphFont"/>
    <w:link w:val="Heading2"/>
    <w:uiPriority w:val="99"/>
    <w:locked/>
    <w:rsid w:val="009136B5"/>
    <w:rPr>
      <w:rFonts w:ascii="Cambria" w:hAnsi="Cambria" w:cs="Times New Roman"/>
      <w:color w:val="365F91"/>
      <w:sz w:val="26"/>
      <w:szCs w:val="26"/>
    </w:rPr>
  </w:style>
  <w:style w:type="character" w:customStyle="1" w:styleId="Heading3Char">
    <w:name w:val="Heading 3 Char"/>
    <w:basedOn w:val="DefaultParagraphFont"/>
    <w:link w:val="Heading3"/>
    <w:uiPriority w:val="99"/>
    <w:semiHidden/>
    <w:locked/>
    <w:rsid w:val="001E325C"/>
    <w:rPr>
      <w:rFonts w:ascii="Cambria" w:hAnsi="Cambria" w:cs="Times New Roman"/>
      <w:b/>
      <w:bCs/>
      <w:sz w:val="26"/>
      <w:szCs w:val="26"/>
    </w:rPr>
  </w:style>
  <w:style w:type="paragraph" w:styleId="BalloonText">
    <w:name w:val="Balloon Text"/>
    <w:basedOn w:val="Normal"/>
    <w:link w:val="BalloonTextChar"/>
    <w:uiPriority w:val="99"/>
    <w:semiHidden/>
    <w:rsid w:val="00A10B9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0B91"/>
    <w:rPr>
      <w:rFonts w:ascii="Tahoma" w:hAnsi="Tahoma" w:cs="Tahoma"/>
      <w:sz w:val="16"/>
      <w:szCs w:val="16"/>
    </w:rPr>
  </w:style>
  <w:style w:type="paragraph" w:customStyle="1" w:styleId="CommentText1">
    <w:name w:val="Comment Text1"/>
    <w:uiPriority w:val="99"/>
    <w:rsid w:val="00A10B91"/>
    <w:rPr>
      <w:rFonts w:ascii="Arial" w:hAnsi="Arial"/>
      <w:color w:val="000000"/>
      <w:sz w:val="20"/>
      <w:szCs w:val="20"/>
    </w:rPr>
  </w:style>
  <w:style w:type="paragraph" w:customStyle="1" w:styleId="Weld">
    <w:name w:val="Weld"/>
    <w:uiPriority w:val="99"/>
    <w:rsid w:val="00A10B91"/>
    <w:pPr>
      <w:jc w:val="center"/>
    </w:pPr>
    <w:rPr>
      <w:rFonts w:ascii="Arial Rounded MT Bold" w:hAnsi="Arial Rounded MT Bold"/>
      <w:color w:val="000000"/>
      <w:sz w:val="16"/>
      <w:szCs w:val="20"/>
    </w:rPr>
  </w:style>
  <w:style w:type="paragraph" w:styleId="PlainText">
    <w:name w:val="Plain Text"/>
    <w:basedOn w:val="Normal"/>
    <w:link w:val="PlainTextChar"/>
    <w:uiPriority w:val="99"/>
    <w:rsid w:val="00495FA7"/>
    <w:rPr>
      <w:rFonts w:ascii="Calibri" w:eastAsia="Calibri" w:hAnsi="Calibri"/>
      <w:sz w:val="22"/>
      <w:szCs w:val="21"/>
    </w:rPr>
  </w:style>
  <w:style w:type="character" w:customStyle="1" w:styleId="PlainTextChar">
    <w:name w:val="Plain Text Char"/>
    <w:basedOn w:val="DefaultParagraphFont"/>
    <w:link w:val="PlainText"/>
    <w:uiPriority w:val="99"/>
    <w:locked/>
    <w:rsid w:val="00495FA7"/>
    <w:rPr>
      <w:rFonts w:ascii="Calibri" w:hAnsi="Calibri" w:cs="Times New Roman"/>
      <w:sz w:val="21"/>
      <w:szCs w:val="21"/>
    </w:rPr>
  </w:style>
  <w:style w:type="paragraph" w:styleId="ListParagraph">
    <w:name w:val="List Paragraph"/>
    <w:basedOn w:val="Normal"/>
    <w:uiPriority w:val="99"/>
    <w:qFormat/>
    <w:rsid w:val="000B6E93"/>
    <w:pPr>
      <w:ind w:left="720"/>
      <w:contextualSpacing/>
    </w:pPr>
  </w:style>
  <w:style w:type="paragraph" w:styleId="Header">
    <w:name w:val="header"/>
    <w:basedOn w:val="Normal"/>
    <w:link w:val="HeaderChar"/>
    <w:uiPriority w:val="99"/>
    <w:rsid w:val="00743297"/>
    <w:pPr>
      <w:tabs>
        <w:tab w:val="center" w:pos="4680"/>
        <w:tab w:val="right" w:pos="9360"/>
      </w:tabs>
    </w:pPr>
  </w:style>
  <w:style w:type="character" w:customStyle="1" w:styleId="HeaderChar">
    <w:name w:val="Header Char"/>
    <w:basedOn w:val="DefaultParagraphFont"/>
    <w:link w:val="Header"/>
    <w:uiPriority w:val="99"/>
    <w:locked/>
    <w:rsid w:val="00743297"/>
    <w:rPr>
      <w:rFonts w:ascii="Times New Roman" w:hAnsi="Times New Roman" w:cs="Times New Roman"/>
      <w:sz w:val="20"/>
      <w:szCs w:val="20"/>
    </w:rPr>
  </w:style>
  <w:style w:type="paragraph" w:styleId="Footer">
    <w:name w:val="footer"/>
    <w:basedOn w:val="Normal"/>
    <w:link w:val="FooterChar"/>
    <w:uiPriority w:val="99"/>
    <w:rsid w:val="00743297"/>
    <w:pPr>
      <w:tabs>
        <w:tab w:val="center" w:pos="4680"/>
        <w:tab w:val="right" w:pos="9360"/>
      </w:tabs>
    </w:pPr>
  </w:style>
  <w:style w:type="character" w:customStyle="1" w:styleId="FooterChar">
    <w:name w:val="Footer Char"/>
    <w:basedOn w:val="DefaultParagraphFont"/>
    <w:link w:val="Footer"/>
    <w:uiPriority w:val="99"/>
    <w:locked/>
    <w:rsid w:val="00743297"/>
    <w:rPr>
      <w:rFonts w:ascii="Times New Roman" w:hAnsi="Times New Roman" w:cs="Times New Roman"/>
      <w:sz w:val="20"/>
      <w:szCs w:val="20"/>
    </w:rPr>
  </w:style>
  <w:style w:type="character" w:styleId="CommentReference">
    <w:name w:val="annotation reference"/>
    <w:basedOn w:val="DefaultParagraphFont"/>
    <w:uiPriority w:val="99"/>
    <w:semiHidden/>
    <w:rsid w:val="00D437AE"/>
    <w:rPr>
      <w:rFonts w:cs="Times New Roman"/>
      <w:sz w:val="16"/>
      <w:szCs w:val="16"/>
    </w:rPr>
  </w:style>
  <w:style w:type="paragraph" w:styleId="CommentText">
    <w:name w:val="annotation text"/>
    <w:basedOn w:val="Normal"/>
    <w:link w:val="CommentTextChar"/>
    <w:uiPriority w:val="99"/>
    <w:semiHidden/>
    <w:rsid w:val="00D437AE"/>
    <w:rPr>
      <w:sz w:val="20"/>
    </w:rPr>
  </w:style>
  <w:style w:type="character" w:customStyle="1" w:styleId="CommentTextChar">
    <w:name w:val="Comment Text Char"/>
    <w:basedOn w:val="DefaultParagraphFont"/>
    <w:link w:val="CommentText"/>
    <w:uiPriority w:val="99"/>
    <w:semiHidden/>
    <w:locked/>
    <w:rsid w:val="00D437A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D437AE"/>
    <w:rPr>
      <w:b/>
      <w:bCs/>
    </w:rPr>
  </w:style>
  <w:style w:type="character" w:customStyle="1" w:styleId="CommentSubjectChar">
    <w:name w:val="Comment Subject Char"/>
    <w:basedOn w:val="CommentTextChar"/>
    <w:link w:val="CommentSubject"/>
    <w:uiPriority w:val="99"/>
    <w:semiHidden/>
    <w:locked/>
    <w:rsid w:val="00D437AE"/>
    <w:rPr>
      <w:rFonts w:ascii="Times New Roman" w:hAnsi="Times New Roman" w:cs="Times New Roman"/>
      <w:b/>
      <w:bCs/>
      <w:sz w:val="20"/>
      <w:szCs w:val="20"/>
    </w:rPr>
  </w:style>
  <w:style w:type="paragraph" w:customStyle="1" w:styleId="FreeForm">
    <w:name w:val="Free Form"/>
    <w:uiPriority w:val="99"/>
    <w:rsid w:val="007966CE"/>
    <w:rPr>
      <w:rFonts w:ascii="Helvetica" w:eastAsia="Times New Roman" w:hAnsi="Helvetica"/>
      <w:color w:val="000000"/>
      <w:sz w:val="24"/>
      <w:szCs w:val="20"/>
    </w:rPr>
  </w:style>
  <w:style w:type="paragraph" w:customStyle="1" w:styleId="Body">
    <w:name w:val="Body"/>
    <w:uiPriority w:val="99"/>
    <w:rsid w:val="007966CE"/>
    <w:rPr>
      <w:rFonts w:ascii="Helvetica" w:eastAsia="Times New Roman" w:hAnsi="Helvetica"/>
      <w:color w:val="000000"/>
      <w:sz w:val="24"/>
      <w:szCs w:val="20"/>
    </w:rPr>
  </w:style>
  <w:style w:type="character" w:customStyle="1" w:styleId="CharChar3">
    <w:name w:val="Char Char3"/>
    <w:basedOn w:val="DefaultParagraphFont"/>
    <w:uiPriority w:val="99"/>
    <w:rsid w:val="007966CE"/>
    <w:rPr>
      <w:rFonts w:cs="Times New Roman"/>
    </w:rPr>
  </w:style>
  <w:style w:type="paragraph" w:styleId="NormalWeb">
    <w:name w:val="Normal (Web)"/>
    <w:basedOn w:val="Normal"/>
    <w:uiPriority w:val="99"/>
    <w:rsid w:val="007966CE"/>
    <w:pPr>
      <w:spacing w:after="240"/>
    </w:pPr>
    <w:rPr>
      <w:rFonts w:eastAsia="Calibri"/>
      <w:szCs w:val="24"/>
    </w:rPr>
  </w:style>
  <w:style w:type="paragraph" w:styleId="FootnoteText">
    <w:name w:val="footnote text"/>
    <w:basedOn w:val="Normal"/>
    <w:link w:val="FootnoteTextChar"/>
    <w:uiPriority w:val="99"/>
    <w:rsid w:val="00993AAB"/>
    <w:rPr>
      <w:rFonts w:ascii="Cambria" w:eastAsia="MS ??" w:hAnsi="Cambria"/>
      <w:szCs w:val="24"/>
    </w:rPr>
  </w:style>
  <w:style w:type="character" w:customStyle="1" w:styleId="FootnoteTextChar">
    <w:name w:val="Footnote Text Char"/>
    <w:basedOn w:val="DefaultParagraphFont"/>
    <w:link w:val="FootnoteText"/>
    <w:uiPriority w:val="99"/>
    <w:locked/>
    <w:rsid w:val="00993AAB"/>
    <w:rPr>
      <w:rFonts w:ascii="Cambria" w:eastAsia="MS ??" w:hAnsi="Cambria" w:cs="Times New Roman"/>
      <w:sz w:val="24"/>
      <w:szCs w:val="24"/>
      <w:lang w:val="en-US" w:eastAsia="en-US" w:bidi="ar-SA"/>
    </w:rPr>
  </w:style>
  <w:style w:type="character" w:styleId="FootnoteReference">
    <w:name w:val="footnote reference"/>
    <w:basedOn w:val="DefaultParagraphFont"/>
    <w:uiPriority w:val="99"/>
    <w:rsid w:val="005E2F2A"/>
    <w:rPr>
      <w:rFonts w:ascii="Calibri" w:hAnsi="Calibri" w:cs="Times New Roman"/>
      <w:sz w:val="22"/>
      <w:vertAlign w:val="superscript"/>
    </w:rPr>
  </w:style>
  <w:style w:type="table" w:styleId="TableGrid">
    <w:name w:val="Table Grid"/>
    <w:basedOn w:val="TableNormal"/>
    <w:uiPriority w:val="99"/>
    <w:locked/>
    <w:rsid w:val="0008251F"/>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uiPriority w:val="99"/>
    <w:rsid w:val="00A05972"/>
    <w:pPr>
      <w:spacing w:before="100" w:beforeAutospacing="1" w:after="100" w:afterAutospacing="1"/>
    </w:pPr>
    <w:rPr>
      <w:rFonts w:eastAsia="MS Mincho"/>
      <w:szCs w:val="24"/>
      <w:lang w:eastAsia="ja-JP"/>
    </w:rPr>
  </w:style>
  <w:style w:type="character" w:customStyle="1" w:styleId="apple-converted-space">
    <w:name w:val="apple-converted-space"/>
    <w:basedOn w:val="DefaultParagraphFont"/>
    <w:uiPriority w:val="99"/>
    <w:rsid w:val="00A05972"/>
    <w:rPr>
      <w:rFonts w:cs="Times New Roman"/>
    </w:rPr>
  </w:style>
  <w:style w:type="table" w:customStyle="1" w:styleId="TableGrid1">
    <w:name w:val="Table Grid1"/>
    <w:uiPriority w:val="99"/>
    <w:rsid w:val="002329E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99"/>
    <w:qFormat/>
    <w:locked/>
    <w:rsid w:val="003447AA"/>
  </w:style>
  <w:style w:type="paragraph" w:styleId="EndnoteText">
    <w:name w:val="endnote text"/>
    <w:basedOn w:val="Normal"/>
    <w:link w:val="EndnoteTextChar"/>
    <w:uiPriority w:val="99"/>
    <w:semiHidden/>
    <w:rsid w:val="001437DE"/>
    <w:rPr>
      <w:rFonts w:ascii="Calibri" w:eastAsia="Calibri" w:hAnsi="Calibri"/>
      <w:sz w:val="20"/>
    </w:rPr>
  </w:style>
  <w:style w:type="character" w:customStyle="1" w:styleId="EndnoteTextChar">
    <w:name w:val="Endnote Text Char"/>
    <w:basedOn w:val="DefaultParagraphFont"/>
    <w:link w:val="EndnoteText"/>
    <w:uiPriority w:val="99"/>
    <w:semiHidden/>
    <w:locked/>
    <w:rsid w:val="001437DE"/>
    <w:rPr>
      <w:rFonts w:ascii="Calibri" w:hAnsi="Calibri" w:cs="Times New Roman"/>
      <w:sz w:val="20"/>
      <w:szCs w:val="20"/>
    </w:rPr>
  </w:style>
  <w:style w:type="character" w:styleId="EndnoteReference">
    <w:name w:val="endnote reference"/>
    <w:basedOn w:val="DefaultParagraphFont"/>
    <w:uiPriority w:val="99"/>
    <w:semiHidden/>
    <w:rsid w:val="001437DE"/>
    <w:rPr>
      <w:rFonts w:cs="Times New Roman"/>
      <w:vertAlign w:val="superscript"/>
    </w:rPr>
  </w:style>
  <w:style w:type="paragraph" w:customStyle="1" w:styleId="xmsonormal">
    <w:name w:val="x_msonormal"/>
    <w:basedOn w:val="Normal"/>
    <w:uiPriority w:val="99"/>
    <w:rsid w:val="00717D67"/>
    <w:pPr>
      <w:spacing w:before="100" w:beforeAutospacing="1" w:after="100" w:afterAutospacing="1"/>
    </w:pPr>
    <w:rPr>
      <w:rFonts w:eastAsia="MS Mincho"/>
      <w:szCs w:val="24"/>
      <w:lang w:eastAsia="ja-JP"/>
    </w:rPr>
  </w:style>
  <w:style w:type="paragraph" w:styleId="BodyText">
    <w:name w:val="Body Text"/>
    <w:basedOn w:val="Normal"/>
    <w:link w:val="BodyTextChar"/>
    <w:uiPriority w:val="99"/>
    <w:rsid w:val="007A233E"/>
    <w:pPr>
      <w:spacing w:before="240"/>
      <w:ind w:firstLine="720"/>
    </w:pPr>
    <w:rPr>
      <w:rFonts w:ascii="Garamond" w:hAnsi="Garamond"/>
      <w:sz w:val="22"/>
    </w:rPr>
  </w:style>
  <w:style w:type="character" w:customStyle="1" w:styleId="BodyTextChar">
    <w:name w:val="Body Text Char"/>
    <w:basedOn w:val="DefaultParagraphFont"/>
    <w:link w:val="BodyText"/>
    <w:uiPriority w:val="99"/>
    <w:locked/>
    <w:rsid w:val="007A233E"/>
    <w:rPr>
      <w:rFonts w:ascii="Garamond" w:hAnsi="Garamond" w:cs="Times New Roman"/>
      <w:sz w:val="20"/>
      <w:szCs w:val="20"/>
    </w:rPr>
  </w:style>
  <w:style w:type="character" w:styleId="Hyperlink">
    <w:name w:val="Hyperlink"/>
    <w:basedOn w:val="DefaultParagraphFont"/>
    <w:uiPriority w:val="99"/>
    <w:rsid w:val="007A233E"/>
    <w:rPr>
      <w:rFonts w:cs="Times New Roman"/>
      <w:color w:val="0000FF"/>
      <w:u w:val="single"/>
    </w:rPr>
  </w:style>
  <w:style w:type="table" w:customStyle="1" w:styleId="PlainTable11">
    <w:name w:val="Plain Table 11"/>
    <w:uiPriority w:val="99"/>
    <w:rsid w:val="008659F5"/>
    <w:rPr>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LightList-Accent1">
    <w:name w:val="Light List Accent 1"/>
    <w:basedOn w:val="TableNormal"/>
    <w:uiPriority w:val="99"/>
    <w:rsid w:val="00F628D3"/>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PlainTable111">
    <w:name w:val="Plain Table 111"/>
    <w:uiPriority w:val="99"/>
    <w:rsid w:val="006523D5"/>
    <w:rPr>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LightShading-Accent1">
    <w:name w:val="Light Shading Accent 1"/>
    <w:basedOn w:val="TableNormal"/>
    <w:uiPriority w:val="99"/>
    <w:rsid w:val="00B41E47"/>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GridTable31">
    <w:name w:val="Grid Table 31"/>
    <w:uiPriority w:val="99"/>
    <w:rsid w:val="00182E27"/>
    <w:rPr>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paragraph" w:styleId="TOCHeading">
    <w:name w:val="TOC Heading"/>
    <w:basedOn w:val="Heading1"/>
    <w:next w:val="Normal"/>
    <w:uiPriority w:val="39"/>
    <w:rsid w:val="00681FEB"/>
    <w:pPr>
      <w:spacing w:before="480"/>
      <w:outlineLvl w:val="9"/>
    </w:pPr>
    <w:rPr>
      <w:b w:val="0"/>
      <w:bCs/>
      <w:szCs w:val="28"/>
      <w:lang w:eastAsia="ja-JP"/>
    </w:rPr>
  </w:style>
  <w:style w:type="paragraph" w:styleId="TOC1">
    <w:name w:val="toc 1"/>
    <w:basedOn w:val="Normal"/>
    <w:next w:val="Normal"/>
    <w:autoRedefine/>
    <w:uiPriority w:val="39"/>
    <w:locked/>
    <w:rsid w:val="00F65BAF"/>
    <w:pPr>
      <w:tabs>
        <w:tab w:val="right" w:leader="dot" w:pos="9350"/>
      </w:tabs>
      <w:spacing w:line="480" w:lineRule="auto"/>
    </w:pPr>
  </w:style>
  <w:style w:type="paragraph" w:styleId="TOC2">
    <w:name w:val="toc 2"/>
    <w:basedOn w:val="Normal"/>
    <w:next w:val="Normal"/>
    <w:autoRedefine/>
    <w:uiPriority w:val="99"/>
    <w:locked/>
    <w:rsid w:val="00681FEB"/>
    <w:pPr>
      <w:spacing w:after="100"/>
      <w:ind w:left="240"/>
    </w:pPr>
  </w:style>
  <w:style w:type="paragraph" w:customStyle="1" w:styleId="authors">
    <w:name w:val="authors"/>
    <w:basedOn w:val="Normal"/>
    <w:uiPriority w:val="99"/>
    <w:rsid w:val="002E20BE"/>
    <w:pPr>
      <w:spacing w:before="100" w:beforeAutospacing="1" w:after="100" w:afterAutospacing="1"/>
    </w:pPr>
    <w:rPr>
      <w:szCs w:val="24"/>
    </w:rPr>
  </w:style>
  <w:style w:type="character" w:customStyle="1" w:styleId="citation">
    <w:name w:val="citation"/>
    <w:basedOn w:val="DefaultParagraphFont"/>
    <w:uiPriority w:val="99"/>
    <w:rsid w:val="002E20BE"/>
    <w:rPr>
      <w:rFonts w:cs="Times New Roman"/>
    </w:rPr>
  </w:style>
  <w:style w:type="paragraph" w:styleId="Revision">
    <w:name w:val="Revision"/>
    <w:hidden/>
    <w:uiPriority w:val="99"/>
    <w:semiHidden/>
    <w:rsid w:val="000F3F92"/>
    <w:rPr>
      <w:rFonts w:ascii="Times New Roman" w:eastAsia="Times New Roman" w:hAnsi="Times New Roman"/>
      <w:sz w:val="24"/>
      <w:szCs w:val="20"/>
    </w:rPr>
  </w:style>
  <w:style w:type="character" w:customStyle="1" w:styleId="CharChar6">
    <w:name w:val="Char Char6"/>
    <w:basedOn w:val="DefaultParagraphFont"/>
    <w:uiPriority w:val="99"/>
    <w:rsid w:val="00DC48AC"/>
    <w:rPr>
      <w:rFonts w:cs="Times New Roman"/>
    </w:rPr>
  </w:style>
  <w:style w:type="paragraph" w:customStyle="1" w:styleId="pp-first">
    <w:name w:val="p p-first"/>
    <w:basedOn w:val="Normal"/>
    <w:uiPriority w:val="99"/>
    <w:rsid w:val="00DC48AC"/>
    <w:pPr>
      <w:spacing w:before="100" w:beforeAutospacing="1" w:after="100" w:afterAutospacing="1"/>
    </w:pPr>
    <w:rPr>
      <w:rFonts w:eastAsia="Calibri"/>
      <w:szCs w:val="24"/>
    </w:rPr>
  </w:style>
  <w:style w:type="paragraph" w:styleId="TOC3">
    <w:name w:val="toc 3"/>
    <w:basedOn w:val="Normal"/>
    <w:next w:val="Normal"/>
    <w:autoRedefine/>
    <w:uiPriority w:val="39"/>
    <w:locked/>
    <w:rsid w:val="00A962B7"/>
    <w:pPr>
      <w:spacing w:after="100"/>
      <w:ind w:left="480"/>
    </w:pPr>
  </w:style>
  <w:style w:type="paragraph" w:styleId="DocumentMap">
    <w:name w:val="Document Map"/>
    <w:basedOn w:val="Normal"/>
    <w:link w:val="DocumentMapChar"/>
    <w:uiPriority w:val="99"/>
    <w:semiHidden/>
    <w:unhideWhenUsed/>
    <w:rsid w:val="00EC5641"/>
    <w:rPr>
      <w:szCs w:val="24"/>
    </w:rPr>
  </w:style>
  <w:style w:type="character" w:customStyle="1" w:styleId="DocumentMapChar">
    <w:name w:val="Document Map Char"/>
    <w:basedOn w:val="DefaultParagraphFont"/>
    <w:link w:val="DocumentMap"/>
    <w:uiPriority w:val="99"/>
    <w:semiHidden/>
    <w:rsid w:val="00EC5641"/>
    <w:rPr>
      <w:rFonts w:ascii="Times New Roman" w:eastAsia="Times New Roman" w:hAnsi="Times New Roman"/>
      <w:sz w:val="24"/>
      <w:szCs w:val="24"/>
    </w:rPr>
  </w:style>
  <w:style w:type="paragraph" w:customStyle="1" w:styleId="PBody">
    <w:name w:val="PBody"/>
    <w:basedOn w:val="Normal"/>
    <w:autoRedefine/>
    <w:qFormat/>
    <w:rsid w:val="002D6E20"/>
    <w:pPr>
      <w:spacing w:after="240" w:line="276" w:lineRule="auto"/>
      <w:ind w:firstLine="720"/>
      <w:jc w:val="both"/>
    </w:pPr>
    <w:rPr>
      <w:rFonts w:ascii="Calibri" w:hAnsi="Calibri"/>
      <w:sz w:val="22"/>
      <w:szCs w:val="22"/>
      <w:shd w:val="clear" w:color="auto" w:fill="FFFFFF"/>
    </w:rPr>
  </w:style>
  <w:style w:type="paragraph" w:customStyle="1" w:styleId="Governor">
    <w:name w:val="Governor"/>
    <w:basedOn w:val="Normal"/>
    <w:rsid w:val="0021646B"/>
    <w:pPr>
      <w:framePr w:hSpace="187" w:wrap="notBeside" w:vAnchor="text" w:hAnchor="page" w:x="546" w:y="141"/>
      <w:spacing w:after="120"/>
      <w:jc w:val="center"/>
    </w:pPr>
    <w:rPr>
      <w:rFonts w:ascii="Arial Rounded MT Bold" w:hAnsi="Arial Rounded MT Bold"/>
      <w:sz w:val="14"/>
    </w:rPr>
  </w:style>
  <w:style w:type="paragraph" w:styleId="Quote">
    <w:name w:val="Quote"/>
    <w:basedOn w:val="PBody"/>
    <w:next w:val="Normal"/>
    <w:link w:val="QuoteChar"/>
    <w:uiPriority w:val="29"/>
    <w:rsid w:val="00C4760E"/>
    <w:rPr>
      <w:i/>
    </w:rPr>
  </w:style>
  <w:style w:type="character" w:customStyle="1" w:styleId="QuoteChar">
    <w:name w:val="Quote Char"/>
    <w:basedOn w:val="DefaultParagraphFont"/>
    <w:link w:val="Quote"/>
    <w:uiPriority w:val="29"/>
    <w:rsid w:val="00C4760E"/>
    <w:rPr>
      <w:rFonts w:eastAsia="Times New Roman"/>
      <w:i/>
    </w:rPr>
  </w:style>
  <w:style w:type="character" w:styleId="FollowedHyperlink">
    <w:name w:val="FollowedHyperlink"/>
    <w:basedOn w:val="DefaultParagraphFont"/>
    <w:uiPriority w:val="99"/>
    <w:semiHidden/>
    <w:unhideWhenUsed/>
    <w:rsid w:val="00073F58"/>
    <w:rPr>
      <w:color w:val="800080" w:themeColor="followedHyperlink"/>
      <w:u w:val="single"/>
    </w:rPr>
  </w:style>
  <w:style w:type="character" w:styleId="PageNumber">
    <w:name w:val="page number"/>
    <w:basedOn w:val="DefaultParagraphFont"/>
    <w:uiPriority w:val="99"/>
    <w:semiHidden/>
    <w:unhideWhenUsed/>
    <w:rsid w:val="00C85E29"/>
  </w:style>
  <w:style w:type="paragraph" w:customStyle="1" w:styleId="Headingp2">
    <w:name w:val="Heading p2"/>
    <w:basedOn w:val="PBody"/>
    <w:qFormat/>
    <w:rsid w:val="00991A4F"/>
    <w:pPr>
      <w:spacing w:after="120"/>
      <w:ind w:firstLine="0"/>
    </w:pPr>
    <w:rPr>
      <w:b/>
    </w:rPr>
  </w:style>
  <w:style w:type="paragraph" w:customStyle="1" w:styleId="Tableheader">
    <w:name w:val="Table header"/>
    <w:basedOn w:val="PlainText"/>
    <w:qFormat/>
    <w:rsid w:val="00242E4A"/>
    <w:pPr>
      <w:spacing w:before="120" w:after="120"/>
      <w:jc w:val="center"/>
    </w:pPr>
    <w:rPr>
      <w:b/>
    </w:rPr>
  </w:style>
  <w:style w:type="paragraph" w:customStyle="1" w:styleId="tabletext">
    <w:name w:val="table text"/>
    <w:basedOn w:val="Normal"/>
    <w:qFormat/>
    <w:rsid w:val="00242E4A"/>
    <w:pPr>
      <w:spacing w:before="120" w:after="120"/>
    </w:pPr>
    <w:rPr>
      <w:rFonts w:ascii="Calibri" w:hAnsi="Calibri"/>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9775">
      <w:bodyDiv w:val="1"/>
      <w:marLeft w:val="0"/>
      <w:marRight w:val="0"/>
      <w:marTop w:val="0"/>
      <w:marBottom w:val="0"/>
      <w:divBdr>
        <w:top w:val="none" w:sz="0" w:space="0" w:color="auto"/>
        <w:left w:val="none" w:sz="0" w:space="0" w:color="auto"/>
        <w:bottom w:val="none" w:sz="0" w:space="0" w:color="auto"/>
        <w:right w:val="none" w:sz="0" w:space="0" w:color="auto"/>
      </w:divBdr>
    </w:div>
    <w:div w:id="313729006">
      <w:bodyDiv w:val="1"/>
      <w:marLeft w:val="0"/>
      <w:marRight w:val="0"/>
      <w:marTop w:val="0"/>
      <w:marBottom w:val="0"/>
      <w:divBdr>
        <w:top w:val="none" w:sz="0" w:space="0" w:color="auto"/>
        <w:left w:val="none" w:sz="0" w:space="0" w:color="auto"/>
        <w:bottom w:val="none" w:sz="0" w:space="0" w:color="auto"/>
        <w:right w:val="none" w:sz="0" w:space="0" w:color="auto"/>
      </w:divBdr>
    </w:div>
    <w:div w:id="776485941">
      <w:marLeft w:val="0"/>
      <w:marRight w:val="0"/>
      <w:marTop w:val="0"/>
      <w:marBottom w:val="0"/>
      <w:divBdr>
        <w:top w:val="none" w:sz="0" w:space="0" w:color="auto"/>
        <w:left w:val="none" w:sz="0" w:space="0" w:color="auto"/>
        <w:bottom w:val="none" w:sz="0" w:space="0" w:color="auto"/>
        <w:right w:val="none" w:sz="0" w:space="0" w:color="auto"/>
      </w:divBdr>
    </w:div>
    <w:div w:id="776485942">
      <w:marLeft w:val="0"/>
      <w:marRight w:val="0"/>
      <w:marTop w:val="0"/>
      <w:marBottom w:val="0"/>
      <w:divBdr>
        <w:top w:val="none" w:sz="0" w:space="0" w:color="auto"/>
        <w:left w:val="none" w:sz="0" w:space="0" w:color="auto"/>
        <w:bottom w:val="none" w:sz="0" w:space="0" w:color="auto"/>
        <w:right w:val="none" w:sz="0" w:space="0" w:color="auto"/>
      </w:divBdr>
    </w:div>
    <w:div w:id="776485943">
      <w:marLeft w:val="0"/>
      <w:marRight w:val="0"/>
      <w:marTop w:val="0"/>
      <w:marBottom w:val="0"/>
      <w:divBdr>
        <w:top w:val="none" w:sz="0" w:space="0" w:color="auto"/>
        <w:left w:val="none" w:sz="0" w:space="0" w:color="auto"/>
        <w:bottom w:val="none" w:sz="0" w:space="0" w:color="auto"/>
        <w:right w:val="none" w:sz="0" w:space="0" w:color="auto"/>
      </w:divBdr>
    </w:div>
    <w:div w:id="776485944">
      <w:marLeft w:val="0"/>
      <w:marRight w:val="0"/>
      <w:marTop w:val="0"/>
      <w:marBottom w:val="0"/>
      <w:divBdr>
        <w:top w:val="none" w:sz="0" w:space="0" w:color="auto"/>
        <w:left w:val="none" w:sz="0" w:space="0" w:color="auto"/>
        <w:bottom w:val="none" w:sz="0" w:space="0" w:color="auto"/>
        <w:right w:val="none" w:sz="0" w:space="0" w:color="auto"/>
      </w:divBdr>
    </w:div>
    <w:div w:id="776485945">
      <w:marLeft w:val="0"/>
      <w:marRight w:val="0"/>
      <w:marTop w:val="0"/>
      <w:marBottom w:val="0"/>
      <w:divBdr>
        <w:top w:val="none" w:sz="0" w:space="0" w:color="auto"/>
        <w:left w:val="none" w:sz="0" w:space="0" w:color="auto"/>
        <w:bottom w:val="none" w:sz="0" w:space="0" w:color="auto"/>
        <w:right w:val="none" w:sz="0" w:space="0" w:color="auto"/>
      </w:divBdr>
    </w:div>
    <w:div w:id="776485946">
      <w:marLeft w:val="0"/>
      <w:marRight w:val="0"/>
      <w:marTop w:val="0"/>
      <w:marBottom w:val="0"/>
      <w:divBdr>
        <w:top w:val="none" w:sz="0" w:space="0" w:color="auto"/>
        <w:left w:val="none" w:sz="0" w:space="0" w:color="auto"/>
        <w:bottom w:val="none" w:sz="0" w:space="0" w:color="auto"/>
        <w:right w:val="none" w:sz="0" w:space="0" w:color="auto"/>
      </w:divBdr>
    </w:div>
    <w:div w:id="776485947">
      <w:marLeft w:val="0"/>
      <w:marRight w:val="0"/>
      <w:marTop w:val="0"/>
      <w:marBottom w:val="0"/>
      <w:divBdr>
        <w:top w:val="none" w:sz="0" w:space="0" w:color="auto"/>
        <w:left w:val="none" w:sz="0" w:space="0" w:color="auto"/>
        <w:bottom w:val="none" w:sz="0" w:space="0" w:color="auto"/>
        <w:right w:val="none" w:sz="0" w:space="0" w:color="auto"/>
      </w:divBdr>
    </w:div>
    <w:div w:id="776485948">
      <w:marLeft w:val="0"/>
      <w:marRight w:val="0"/>
      <w:marTop w:val="0"/>
      <w:marBottom w:val="0"/>
      <w:divBdr>
        <w:top w:val="none" w:sz="0" w:space="0" w:color="auto"/>
        <w:left w:val="none" w:sz="0" w:space="0" w:color="auto"/>
        <w:bottom w:val="none" w:sz="0" w:space="0" w:color="auto"/>
        <w:right w:val="none" w:sz="0" w:space="0" w:color="auto"/>
      </w:divBdr>
    </w:div>
    <w:div w:id="776485949">
      <w:marLeft w:val="0"/>
      <w:marRight w:val="0"/>
      <w:marTop w:val="0"/>
      <w:marBottom w:val="0"/>
      <w:divBdr>
        <w:top w:val="none" w:sz="0" w:space="0" w:color="auto"/>
        <w:left w:val="none" w:sz="0" w:space="0" w:color="auto"/>
        <w:bottom w:val="none" w:sz="0" w:space="0" w:color="auto"/>
        <w:right w:val="none" w:sz="0" w:space="0" w:color="auto"/>
      </w:divBdr>
    </w:div>
    <w:div w:id="776485950">
      <w:marLeft w:val="0"/>
      <w:marRight w:val="0"/>
      <w:marTop w:val="0"/>
      <w:marBottom w:val="0"/>
      <w:divBdr>
        <w:top w:val="none" w:sz="0" w:space="0" w:color="auto"/>
        <w:left w:val="none" w:sz="0" w:space="0" w:color="auto"/>
        <w:bottom w:val="none" w:sz="0" w:space="0" w:color="auto"/>
        <w:right w:val="none" w:sz="0" w:space="0" w:color="auto"/>
      </w:divBdr>
    </w:div>
    <w:div w:id="776485951">
      <w:marLeft w:val="0"/>
      <w:marRight w:val="0"/>
      <w:marTop w:val="0"/>
      <w:marBottom w:val="0"/>
      <w:divBdr>
        <w:top w:val="none" w:sz="0" w:space="0" w:color="auto"/>
        <w:left w:val="none" w:sz="0" w:space="0" w:color="auto"/>
        <w:bottom w:val="none" w:sz="0" w:space="0" w:color="auto"/>
        <w:right w:val="none" w:sz="0" w:space="0" w:color="auto"/>
      </w:divBdr>
    </w:div>
    <w:div w:id="776485952">
      <w:marLeft w:val="0"/>
      <w:marRight w:val="0"/>
      <w:marTop w:val="0"/>
      <w:marBottom w:val="0"/>
      <w:divBdr>
        <w:top w:val="none" w:sz="0" w:space="0" w:color="auto"/>
        <w:left w:val="none" w:sz="0" w:space="0" w:color="auto"/>
        <w:bottom w:val="none" w:sz="0" w:space="0" w:color="auto"/>
        <w:right w:val="none" w:sz="0" w:space="0" w:color="auto"/>
      </w:divBdr>
    </w:div>
    <w:div w:id="776485953">
      <w:marLeft w:val="0"/>
      <w:marRight w:val="0"/>
      <w:marTop w:val="0"/>
      <w:marBottom w:val="0"/>
      <w:divBdr>
        <w:top w:val="none" w:sz="0" w:space="0" w:color="auto"/>
        <w:left w:val="none" w:sz="0" w:space="0" w:color="auto"/>
        <w:bottom w:val="none" w:sz="0" w:space="0" w:color="auto"/>
        <w:right w:val="none" w:sz="0" w:space="0" w:color="auto"/>
      </w:divBdr>
    </w:div>
    <w:div w:id="776485954">
      <w:marLeft w:val="0"/>
      <w:marRight w:val="0"/>
      <w:marTop w:val="0"/>
      <w:marBottom w:val="0"/>
      <w:divBdr>
        <w:top w:val="none" w:sz="0" w:space="0" w:color="auto"/>
        <w:left w:val="none" w:sz="0" w:space="0" w:color="auto"/>
        <w:bottom w:val="none" w:sz="0" w:space="0" w:color="auto"/>
        <w:right w:val="none" w:sz="0" w:space="0" w:color="auto"/>
      </w:divBdr>
    </w:div>
    <w:div w:id="776485955">
      <w:marLeft w:val="0"/>
      <w:marRight w:val="0"/>
      <w:marTop w:val="0"/>
      <w:marBottom w:val="0"/>
      <w:divBdr>
        <w:top w:val="none" w:sz="0" w:space="0" w:color="auto"/>
        <w:left w:val="none" w:sz="0" w:space="0" w:color="auto"/>
        <w:bottom w:val="none" w:sz="0" w:space="0" w:color="auto"/>
        <w:right w:val="none" w:sz="0" w:space="0" w:color="auto"/>
      </w:divBdr>
    </w:div>
    <w:div w:id="776485956">
      <w:marLeft w:val="0"/>
      <w:marRight w:val="0"/>
      <w:marTop w:val="0"/>
      <w:marBottom w:val="0"/>
      <w:divBdr>
        <w:top w:val="none" w:sz="0" w:space="0" w:color="auto"/>
        <w:left w:val="none" w:sz="0" w:space="0" w:color="auto"/>
        <w:bottom w:val="none" w:sz="0" w:space="0" w:color="auto"/>
        <w:right w:val="none" w:sz="0" w:space="0" w:color="auto"/>
      </w:divBdr>
    </w:div>
    <w:div w:id="776485957">
      <w:marLeft w:val="0"/>
      <w:marRight w:val="0"/>
      <w:marTop w:val="0"/>
      <w:marBottom w:val="0"/>
      <w:divBdr>
        <w:top w:val="none" w:sz="0" w:space="0" w:color="auto"/>
        <w:left w:val="none" w:sz="0" w:space="0" w:color="auto"/>
        <w:bottom w:val="none" w:sz="0" w:space="0" w:color="auto"/>
        <w:right w:val="none" w:sz="0" w:space="0" w:color="auto"/>
      </w:divBdr>
    </w:div>
    <w:div w:id="776485958">
      <w:marLeft w:val="0"/>
      <w:marRight w:val="0"/>
      <w:marTop w:val="0"/>
      <w:marBottom w:val="0"/>
      <w:divBdr>
        <w:top w:val="none" w:sz="0" w:space="0" w:color="auto"/>
        <w:left w:val="none" w:sz="0" w:space="0" w:color="auto"/>
        <w:bottom w:val="none" w:sz="0" w:space="0" w:color="auto"/>
        <w:right w:val="none" w:sz="0" w:space="0" w:color="auto"/>
      </w:divBdr>
    </w:div>
    <w:div w:id="776485959">
      <w:marLeft w:val="0"/>
      <w:marRight w:val="0"/>
      <w:marTop w:val="0"/>
      <w:marBottom w:val="0"/>
      <w:divBdr>
        <w:top w:val="none" w:sz="0" w:space="0" w:color="auto"/>
        <w:left w:val="none" w:sz="0" w:space="0" w:color="auto"/>
        <w:bottom w:val="none" w:sz="0" w:space="0" w:color="auto"/>
        <w:right w:val="none" w:sz="0" w:space="0" w:color="auto"/>
      </w:divBdr>
    </w:div>
    <w:div w:id="776485960">
      <w:marLeft w:val="0"/>
      <w:marRight w:val="0"/>
      <w:marTop w:val="0"/>
      <w:marBottom w:val="0"/>
      <w:divBdr>
        <w:top w:val="none" w:sz="0" w:space="0" w:color="auto"/>
        <w:left w:val="none" w:sz="0" w:space="0" w:color="auto"/>
        <w:bottom w:val="none" w:sz="0" w:space="0" w:color="auto"/>
        <w:right w:val="none" w:sz="0" w:space="0" w:color="auto"/>
      </w:divBdr>
    </w:div>
    <w:div w:id="776485961">
      <w:marLeft w:val="0"/>
      <w:marRight w:val="0"/>
      <w:marTop w:val="0"/>
      <w:marBottom w:val="0"/>
      <w:divBdr>
        <w:top w:val="none" w:sz="0" w:space="0" w:color="auto"/>
        <w:left w:val="none" w:sz="0" w:space="0" w:color="auto"/>
        <w:bottom w:val="none" w:sz="0" w:space="0" w:color="auto"/>
        <w:right w:val="none" w:sz="0" w:space="0" w:color="auto"/>
      </w:divBdr>
    </w:div>
    <w:div w:id="776485962">
      <w:marLeft w:val="0"/>
      <w:marRight w:val="0"/>
      <w:marTop w:val="0"/>
      <w:marBottom w:val="0"/>
      <w:divBdr>
        <w:top w:val="none" w:sz="0" w:space="0" w:color="auto"/>
        <w:left w:val="none" w:sz="0" w:space="0" w:color="auto"/>
        <w:bottom w:val="none" w:sz="0" w:space="0" w:color="auto"/>
        <w:right w:val="none" w:sz="0" w:space="0" w:color="auto"/>
      </w:divBdr>
    </w:div>
    <w:div w:id="776485963">
      <w:marLeft w:val="0"/>
      <w:marRight w:val="0"/>
      <w:marTop w:val="0"/>
      <w:marBottom w:val="0"/>
      <w:divBdr>
        <w:top w:val="none" w:sz="0" w:space="0" w:color="auto"/>
        <w:left w:val="none" w:sz="0" w:space="0" w:color="auto"/>
        <w:bottom w:val="none" w:sz="0" w:space="0" w:color="auto"/>
        <w:right w:val="none" w:sz="0" w:space="0" w:color="auto"/>
      </w:divBdr>
    </w:div>
    <w:div w:id="776485964">
      <w:marLeft w:val="0"/>
      <w:marRight w:val="0"/>
      <w:marTop w:val="0"/>
      <w:marBottom w:val="0"/>
      <w:divBdr>
        <w:top w:val="none" w:sz="0" w:space="0" w:color="auto"/>
        <w:left w:val="none" w:sz="0" w:space="0" w:color="auto"/>
        <w:bottom w:val="none" w:sz="0" w:space="0" w:color="auto"/>
        <w:right w:val="none" w:sz="0" w:space="0" w:color="auto"/>
      </w:divBdr>
    </w:div>
    <w:div w:id="797652447">
      <w:bodyDiv w:val="1"/>
      <w:marLeft w:val="0"/>
      <w:marRight w:val="0"/>
      <w:marTop w:val="0"/>
      <w:marBottom w:val="0"/>
      <w:divBdr>
        <w:top w:val="none" w:sz="0" w:space="0" w:color="auto"/>
        <w:left w:val="none" w:sz="0" w:space="0" w:color="auto"/>
        <w:bottom w:val="none" w:sz="0" w:space="0" w:color="auto"/>
        <w:right w:val="none" w:sz="0" w:space="0" w:color="auto"/>
      </w:divBdr>
    </w:div>
    <w:div w:id="1018116243">
      <w:bodyDiv w:val="1"/>
      <w:marLeft w:val="0"/>
      <w:marRight w:val="0"/>
      <w:marTop w:val="0"/>
      <w:marBottom w:val="0"/>
      <w:divBdr>
        <w:top w:val="none" w:sz="0" w:space="0" w:color="auto"/>
        <w:left w:val="none" w:sz="0" w:space="0" w:color="auto"/>
        <w:bottom w:val="none" w:sz="0" w:space="0" w:color="auto"/>
        <w:right w:val="none" w:sz="0" w:space="0" w:color="auto"/>
      </w:divBdr>
    </w:div>
    <w:div w:id="1035884572">
      <w:bodyDiv w:val="1"/>
      <w:marLeft w:val="0"/>
      <w:marRight w:val="0"/>
      <w:marTop w:val="0"/>
      <w:marBottom w:val="0"/>
      <w:divBdr>
        <w:top w:val="none" w:sz="0" w:space="0" w:color="auto"/>
        <w:left w:val="none" w:sz="0" w:space="0" w:color="auto"/>
        <w:bottom w:val="none" w:sz="0" w:space="0" w:color="auto"/>
        <w:right w:val="none" w:sz="0" w:space="0" w:color="auto"/>
      </w:divBdr>
    </w:div>
    <w:div w:id="1409108466">
      <w:bodyDiv w:val="1"/>
      <w:marLeft w:val="0"/>
      <w:marRight w:val="0"/>
      <w:marTop w:val="0"/>
      <w:marBottom w:val="0"/>
      <w:divBdr>
        <w:top w:val="none" w:sz="0" w:space="0" w:color="auto"/>
        <w:left w:val="none" w:sz="0" w:space="0" w:color="auto"/>
        <w:bottom w:val="none" w:sz="0" w:space="0" w:color="auto"/>
        <w:right w:val="none" w:sz="0" w:space="0" w:color="auto"/>
      </w:divBdr>
    </w:div>
    <w:div w:id="1615012724">
      <w:bodyDiv w:val="1"/>
      <w:marLeft w:val="0"/>
      <w:marRight w:val="0"/>
      <w:marTop w:val="0"/>
      <w:marBottom w:val="0"/>
      <w:divBdr>
        <w:top w:val="none" w:sz="0" w:space="0" w:color="auto"/>
        <w:left w:val="none" w:sz="0" w:space="0" w:color="auto"/>
        <w:bottom w:val="none" w:sz="0" w:space="0" w:color="auto"/>
        <w:right w:val="none" w:sz="0" w:space="0" w:color="auto"/>
      </w:divBdr>
    </w:div>
    <w:div w:id="195697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image" Target="media/image2.jpeg"/>
  <Relationship Id="rId15" Type="http://schemas.openxmlformats.org/officeDocument/2006/relationships/image" Target="media/image3.jpeg"/>
  <Relationship Id="rId16" Type="http://schemas.openxmlformats.org/officeDocument/2006/relationships/image" Target="media/image4.jpeg"/>
  <Relationship Id="rId17" Type="http://schemas.openxmlformats.org/officeDocument/2006/relationships/header" Target="header2.xml"/>
  <Relationship Id="rId18" Type="http://schemas.openxmlformats.org/officeDocument/2006/relationships/header" Target="header3.xml"/>
  <Relationship Id="rId19" Type="http://schemas.openxmlformats.org/officeDocument/2006/relationships/header" Target="header4.xml"/>
  <Relationship Id="rId2" Type="http://schemas.openxmlformats.org/officeDocument/2006/relationships/numbering" Target="numbering.xml"/>
  <Relationship Id="rId20" Type="http://schemas.openxmlformats.org/officeDocument/2006/relationships/footer" Target="footer4.xml"/>
  <Relationship Id="rId21" Type="http://schemas.openxmlformats.org/officeDocument/2006/relationships/footer" Target="footer5.xml"/>
  <Relationship Id="rId22" Type="http://schemas.openxmlformats.org/officeDocument/2006/relationships/image" Target="media/image5.png"/>
  <Relationship Id="rId23" Type="http://schemas.openxmlformats.org/officeDocument/2006/relationships/image" Target="media/image6.png"/>
  <Relationship Id="rId24" Type="http://schemas.openxmlformats.org/officeDocument/2006/relationships/image" Target="media/image7.emf"/>
  <Relationship Id="rId25" Type="http://schemas.openxmlformats.org/officeDocument/2006/relationships/chart" Target="charts/chart1.xml"/>
  <Relationship Id="rId26" Type="http://schemas.openxmlformats.org/officeDocument/2006/relationships/chart" Target="charts/chart2.xml"/>
  <Relationship Id="rId27" Type="http://schemas.openxmlformats.org/officeDocument/2006/relationships/chart" Target="charts/chart3.xml"/>
  <Relationship Id="rId28" Type="http://schemas.openxmlformats.org/officeDocument/2006/relationships/image" Target="media/image8.png"/>
  <Relationship Id="rId29" Type="http://schemas.openxmlformats.org/officeDocument/2006/relationships/chart" Target="charts/chart4.xml"/>
  <Relationship Id="rId3" Type="http://schemas.openxmlformats.org/officeDocument/2006/relationships/styles" Target="styles.xml"/>
  <Relationship Id="rId30" Type="http://schemas.openxmlformats.org/officeDocument/2006/relationships/chart" Target="charts/chart5.xml"/>
  <Relationship Id="rId31" Type="http://schemas.openxmlformats.org/officeDocument/2006/relationships/chart" Target="charts/chart6.xml"/>
  <Relationship Id="rId32" Type="http://schemas.openxmlformats.org/officeDocument/2006/relationships/chart" Target="charts/chart7.xml"/>
  <Relationship Id="rId33" Type="http://schemas.openxmlformats.org/officeDocument/2006/relationships/chart" Target="charts/chart8.xml"/>
  <Relationship Id="rId34" Type="http://schemas.openxmlformats.org/officeDocument/2006/relationships/chart" Target="charts/chart9.xml"/>
  <Relationship Id="rId35" Type="http://schemas.openxmlformats.org/officeDocument/2006/relationships/chart" Target="charts/chart10.xml"/>
  <Relationship Id="rId36" Type="http://schemas.openxmlformats.org/officeDocument/2006/relationships/image" Target="media/image9.png"/>
  <Relationship Id="rId37" Type="http://schemas.openxmlformats.org/officeDocument/2006/relationships/image" Target="media/image10.jpeg"/>
  <Relationship Id="rId38" Type="http://schemas.openxmlformats.org/officeDocument/2006/relationships/image" Target="media/image11.jpeg"/>
  <Relationship Id="rId39" Type="http://schemas.openxmlformats.org/officeDocument/2006/relationships/header" Target="header5.xml"/>
  <Relationship Id="rId4" Type="http://schemas.microsoft.com/office/2007/relationships/stylesWithEffects" Target="stylesWithEffects.xml"/>
  <Relationship Id="rId40" Type="http://schemas.openxmlformats.org/officeDocument/2006/relationships/header" Target="header6.xml"/>
  <Relationship Id="rId41" Type="http://schemas.openxmlformats.org/officeDocument/2006/relationships/footer" Target="footer6.xml"/>
  <Relationship Id="rId42" Type="http://schemas.openxmlformats.org/officeDocument/2006/relationships/footer" Target="footer7.xml"/>
  <Relationship Id="rId43" Type="http://schemas.openxmlformats.org/officeDocument/2006/relationships/header" Target="header7.xml"/>
  <Relationship Id="rId44" Type="http://schemas.openxmlformats.org/officeDocument/2006/relationships/footer" Target="footer8.xml"/>
  <Relationship Id="rId45" Type="http://schemas.openxmlformats.org/officeDocument/2006/relationships/fontTable" Target="fontTable.xml"/>
  <Relationship Id="rId46" Type="http://schemas.openxmlformats.org/officeDocument/2006/relationships/theme" Target="theme/theme1.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footnotes.xml.rels><?xml version="1.0" encoding="UTF-8"?>

<Relationships xmlns="http://schemas.openxmlformats.org/package/2006/relationships">
  <Relationship Id="rId1" Type="http://schemas.openxmlformats.org/officeDocument/2006/relationships/hyperlink" TargetMode="External" Target="http://www.mass.gov/eohhs/docs/dph/quality/drugcontrol/county-level-pmp/data-brief-overdose-deaths-may-2016.pdf"/>
  <Relationship Id="rId10" Type="http://schemas.openxmlformats.org/officeDocument/2006/relationships/hyperlink" TargetMode="External" Target="https://mail.bmc.org/owa/redir.aspx?SURL=i-E_Du3RPFP7sVqW5d-5CnNtpY1Q2_xItPNWOZRaBuXUZXr5n5PTCGgAdAB0AHAAcwA6AC8ALwB3AHcAdwAuAGQAZQBhAC4AZwBvAHYALwBkAGkAdgBpAHMAaQBvAG4AcwAvAGgAcQAvADIAMAAxADYALwBoAHEAMAA2ADEAMAAxADYALgBzAGgAdABtAGwA&amp;URL=https%3a%2f%2fwww.dea.gov%2fdivisions%2fhq%2f2016%2fhq061016.shtml"/>
  <Relationship Id="rId11" Type="http://schemas.openxmlformats.org/officeDocument/2006/relationships/hyperlink" TargetMode="External" Target="https://mail.bmc.org/owa/redir.aspx?SURL=yl9R56-WFHUIKuS2aRHwTNR8zz8P04WvHtdHxHeevUjUZXr5n5PTCGgAdAB0AHAAOgAvAC8AdwB3AHcALgBjAGQAYwAuAGcAbwB2AC8AZAByAHUAZwBvAHYAZQByAGQAbwBzAGUALwBvAHAAaQBvAGkAZABzAC8AZgBlAG4AdABhAG4AeQBsAC4AaAB0AG0AbAA.&amp;URL=http%3a%2f%2fwww.cdc.gov%2fdrugoverdose%2fopioids%2ffentanyl.html"/>
  <Relationship Id="rId12" Type="http://schemas.openxmlformats.org/officeDocument/2006/relationships/hyperlink" TargetMode="External" Target="http://www.cdc.gov/mmwr/preview/mmwrhtml/mm6450a3.htm"/>
  <Relationship Id="rId13" Type="http://schemas.openxmlformats.org/officeDocument/2006/relationships/hyperlink" TargetMode="External" Target="http://emergency.cdc.gov/han/han00384.asp"/>
  <Relationship Id="rId14" Type="http://schemas.openxmlformats.org/officeDocument/2006/relationships/hyperlink" TargetMode="External" Target="http://www.mass.gov/eohhs/docs/dph/quality/drugcontrol/county-level-pmp/data-brief-overdose-deaths-may-2016.pdf"/>
  <Relationship Id="rId15" Type="http://schemas.openxmlformats.org/officeDocument/2006/relationships/hyperlink" TargetMode="External" Target="http://www.clinchem.org/content/47/11/1980.long"/>
  <Relationship Id="rId16" Type="http://schemas.openxmlformats.org/officeDocument/2006/relationships/hyperlink" TargetMode="External" Target="https://mail.bmc.org/owa/redir.aspx?SURL=i-E_Du3RPFP7sVqW5d-5CnNtpY1Q2_xItPNWOZRaBuXUZXr5n5PTCGgAdAB0AHAAcwA6AC8ALwB3AHcAdwAuAGQAZQBhAC4AZwBvAHYALwBkAGkAdgBpAHMAaQBvAG4AcwAvAGgAcQAvADIAMAAxADYALwBoAHEAMAA2ADEAMAAxADYALgBzAGgAdABtAGwA&amp;URL=https%3a%2f%2fwww.dea.gov%2fdivisions%2fhq%2f2016%2fhq061016.shtml"/>
  <Relationship Id="rId17" Type="http://schemas.openxmlformats.org/officeDocument/2006/relationships/hyperlink" TargetMode="External" Target="https://mail.bmc.org/owa/redir.aspx?SURL=yl9R56-WFHUIKuS2aRHwTNR8zz8P04WvHtdHxHeevUjUZXr5n5PTCGgAdAB0AHAAOgAvAC8AdwB3AHcALgBjAGQAYwAuAGcAbwB2AC8AZAByAHUAZwBvAHYAZQByAGQAbwBzAGUALwBvAHAAaQBvAGkAZABzAC8AZgBlAG4AdABhAG4AeQBsAC4AaAB0AG0AbAA.&amp;URL=http%3a%2f%2fwww.cdc.gov%2fdrugoverdose%2fopioids%2ffentanyl.html"/>
  <Relationship Id="rId18" Type="http://schemas.openxmlformats.org/officeDocument/2006/relationships/hyperlink" TargetMode="External" Target="http://www.mentalhealthamerica.net/positions/federal-role"/>
  <Relationship Id="rId19" Type="http://schemas.openxmlformats.org/officeDocument/2006/relationships/hyperlink" TargetMode="External" Target="http://www.samhsa.gov/data/sites/default/files/NSDUH-DR-FRR3-2014/NSDUH-DR-FRR3-2014/NSDUH-DR-FRR3-2014.htm"/>
  <Relationship Id="rId2" Type="http://schemas.openxmlformats.org/officeDocument/2006/relationships/hyperlink" TargetMode="External" Target="http://wonder.cdc.gov/mcd-icd10.html"/>
  <Relationship Id="rId20" Type="http://schemas.openxmlformats.org/officeDocument/2006/relationships/hyperlink" TargetMode="External" Target="http://helpline-online.com/"/>
  <Relationship Id="rId21" Type="http://schemas.openxmlformats.org/officeDocument/2006/relationships/hyperlink" TargetMode="External" Target="http://www.nejm.org/toc/nejm/356/2/"/>
  <Relationship Id="rId22" Type="http://schemas.openxmlformats.org/officeDocument/2006/relationships/hyperlink" TargetMode="External" Target="http://www.nejm.org/doi/full/10.1056/nejmsa064115"/>
  <Relationship Id="rId23" Type="http://schemas.openxmlformats.org/officeDocument/2006/relationships/hyperlink" TargetMode="External" Target="http://proxychi.baremetal.com/csdp.org/research/dudsfp04.pdf"/>
  <Relationship Id="rId24" Type="http://schemas.openxmlformats.org/officeDocument/2006/relationships/hyperlink" TargetMode="External" Target="https://www.drugabuse.gov/publications/principles-drug-abuse-treatment-criminal-justice-populations/introduction"/>
  <Relationship Id="rId25" Type="http://schemas.openxmlformats.org/officeDocument/2006/relationships/hyperlink" TargetMode="External" Target="http://www.mass.gov/eohhs/gov/departments/dph/programs/admin/dmoa/vitals/"/>
  <Relationship Id="rId26" Type="http://schemas.openxmlformats.org/officeDocument/2006/relationships/hyperlink" TargetMode="External" Target="http://www.mass.gov/eohhs/gov/departments/dph/programs/admin/dmoa/vitals/vitals-information-partnership-vip.html"/>
  <Relationship Id="rId27" Type="http://schemas.openxmlformats.org/officeDocument/2006/relationships/hyperlink" TargetMode="External" Target="http://www.mass.gov/eohhs/gov/departments/dph/programs/substance-abuse/"/>
  <Relationship Id="rId28" Type="http://schemas.openxmlformats.org/officeDocument/2006/relationships/hyperlink" TargetMode="External" Target="http://www.mass.gov/eohhs/gov/departments/dph/programs/hcq/drug-control/PDMP/"/>
  <Relationship Id="rId29" Type="http://schemas.openxmlformats.org/officeDocument/2006/relationships/hyperlink" TargetMode="External" Target="http://www.mass.gov/dph/oems/matris"/>
  <Relationship Id="rId3" Type="http://schemas.openxmlformats.org/officeDocument/2006/relationships/hyperlink" TargetMode="External" Target="https://www.nlm.nih.gov/medlineplus/magazine/issues/spring07/articles/spring07pg14-17.html"/>
  <Relationship Id="rId30" Type="http://schemas.openxmlformats.org/officeDocument/2006/relationships/hyperlink" TargetMode="External" Target="http://www.mass.gov/eohhs/gov/departments/dph/programs/admin/dmoa/vitals/"/>
  <Relationship Id="rId31" Type="http://schemas.openxmlformats.org/officeDocument/2006/relationships/hyperlink" TargetMode="External" Target="http://www.mass.gov/eohhs/gov/departments/dph/programs/admin/dmoa/vitals/vitals-information-partnership-vip.html"/>
  <Relationship Id="rId32" Type="http://schemas.openxmlformats.org/officeDocument/2006/relationships/hyperlink" TargetMode="External" Target="http://www.mass.gov/eohhs/gov/departments/dph/programs/admin/dmoa/cancer-registry/"/>
  <Relationship Id="rId33" Type="http://schemas.openxmlformats.org/officeDocument/2006/relationships/hyperlink" TargetMode="External" Target="http://www.mass.gov/eopss/agencies/ocme/"/>
  <Relationship Id="rId34" Type="http://schemas.openxmlformats.org/officeDocument/2006/relationships/hyperlink" TargetMode="External" Target="http://www.chiamass.gov/case-mix-data/"/>
  <Relationship Id="rId35" Type="http://schemas.openxmlformats.org/officeDocument/2006/relationships/hyperlink" TargetMode="External" Target="http://www.chiamass.gov/ma-apcd/"/>
  <Relationship Id="rId36" Type="http://schemas.openxmlformats.org/officeDocument/2006/relationships/hyperlink" TargetMode="External" Target="http://www.mass.gov/eopss/agencies/doc/"/>
  <Relationship Id="rId4" Type="http://schemas.openxmlformats.org/officeDocument/2006/relationships/hyperlink" TargetMode="External" Target="http://www.dea.gov/resource-center/DIR-017-13%20NDTA%20Summary%20final.pdf"/>
  <Relationship Id="rId5" Type="http://schemas.openxmlformats.org/officeDocument/2006/relationships/hyperlink" TargetMode="External" Target="https://www.bostonglobe.com/metro/2016/03/27/massachusetts-hospital-visits-for-opioid-abuse-soar/GGRehpwvyhY5OEea1bWO2J/story.htm"/>
  <Relationship Id="rId6" Type="http://schemas.openxmlformats.org/officeDocument/2006/relationships/hyperlink" TargetMode="External" Target="http://www.bchumanservices.net/library/2016/04/Health-Policy-Commission-3-23-16-Opioid-Prelim.-Data-Presentation.pdf"/>
  <Relationship Id="rId7" Type="http://schemas.openxmlformats.org/officeDocument/2006/relationships/hyperlink" TargetMode="External" Target="http://www.mass.gov/eohhs/gov/departments/dph/stop-addiction/current-statistics.html"/>
  <Relationship Id="rId8" Type="http://schemas.openxmlformats.org/officeDocument/2006/relationships/hyperlink" TargetMode="External" Target="http://wonder.cdc.gov/mcd-icd10.html"/>
  <Relationship Id="rId9" Type="http://schemas.openxmlformats.org/officeDocument/2006/relationships/hyperlink" TargetMode="External" Target="http://www.mass.gov/eohhs/docs/dph/quality/drugcontrol/county-level-pmp/data-brief-overdose-deaths-may-2016.pdf"/>
</Relationships>

</file>

<file path=word/charts/_rels/chart1.xml.rels><?xml version="1.0" encoding="UTF-8"?>

<Relationships xmlns="http://schemas.openxmlformats.org/package/2006/relationships">
  <Relationship Id="rId1" Type="http://schemas.openxmlformats.org/officeDocument/2006/relationships/themeOverride" Target="../theme/themeOverride1.xml"/>
  <Relationship Id="rId2" Type="http://schemas.openxmlformats.org/officeDocument/2006/relationships/package" Target="../embeddings/Microsoft_Excel_Worksheet1.xlsx"/>
</Relationships>

</file>

<file path=word/charts/_rels/chart10.xml.rels><?xml version="1.0" encoding="UTF-8"?>

<Relationships xmlns="http://schemas.openxmlformats.org/package/2006/relationships">
  <Relationship Id="rId1" Type="http://schemas.openxmlformats.org/officeDocument/2006/relationships/themeOverride" Target="../theme/themeOverride8.xml"/>
  <Relationship Id="rId2" Type="http://schemas.openxmlformats.org/officeDocument/2006/relationships/package" Target="../embeddings/Microsoft_Excel_Worksheet9.xlsx"/>
</Relationships>

</file>

<file path=word/charts/_rels/chart2.xml.rels><?xml version="1.0" encoding="UTF-8"?>

<Relationships xmlns="http://schemas.openxmlformats.org/package/2006/relationships">
  <Relationship Id="rId1" Type="http://schemas.openxmlformats.org/officeDocument/2006/relationships/themeOverride" Target="../theme/themeOverride2.xml"/>
  <Relationship Id="rId2" Type="http://schemas.openxmlformats.org/officeDocument/2006/relationships/package" Target="../embeddings/Microsoft_Excel_Worksheet2.xlsx"/>
</Relationships>

</file>

<file path=word/charts/_rels/chart3.xml.rels><?xml version="1.0" encoding="UTF-8"?>

<Relationships xmlns="http://schemas.openxmlformats.org/package/2006/relationships">
  <Relationship Id="rId1" Type="http://schemas.openxmlformats.org/officeDocument/2006/relationships/package" Target="../embeddings/Microsoft_Excel_Worksheet3.xlsx"/>
</Relationships>

</file>

<file path=word/charts/_rels/chart4.xml.rels><?xml version="1.0" encoding="UTF-8"?>

<Relationships xmlns="http://schemas.openxmlformats.org/package/2006/relationships">
  <Relationship Id="rId1" Type="http://schemas.openxmlformats.org/officeDocument/2006/relationships/themeOverride" Target="../theme/themeOverride3.xml"/>
  <Relationship Id="rId2" Type="http://schemas.openxmlformats.org/officeDocument/2006/relationships/package" Target="../embeddings/Microsoft_Excel_Worksheet4.xlsx"/>
</Relationships>

</file>

<file path=word/charts/_rels/chart5.xml.rels><?xml version="1.0" encoding="UTF-8"?>

<Relationships xmlns="http://schemas.openxmlformats.org/package/2006/relationships">
  <Relationship Id="rId1" Type="http://schemas.openxmlformats.org/officeDocument/2006/relationships/themeOverride" Target="../theme/themeOverride4.xml"/>
  <Relationship Id="rId2" Type="http://schemas.openxmlformats.org/officeDocument/2006/relationships/package" Target="../embeddings/Microsoft_Excel_Worksheet5.xlsx"/>
</Relationships>

</file>

<file path=word/charts/_rels/chart6.xml.rels><?xml version="1.0" encoding="UTF-8"?>

<Relationships xmlns="http://schemas.openxmlformats.org/package/2006/relationships">
  <Relationship Id="rId1" Type="http://schemas.openxmlformats.org/officeDocument/2006/relationships/themeOverride" Target="../theme/themeOverride5.xml"/>
  <Relationship Id="rId2" Type="http://schemas.openxmlformats.org/officeDocument/2006/relationships/package" Target="../embeddings/Microsoft_Excel_Worksheet6.xlsx"/>
</Relationships>

</file>

<file path=word/charts/_rels/chart7.xml.rels><?xml version="1.0" encoding="UTF-8"?>

<Relationships xmlns="http://schemas.openxmlformats.org/package/2006/relationships">
  <Relationship Id="rId1" Type="http://schemas.openxmlformats.org/officeDocument/2006/relationships/oleObject" TargetMode="External" Target="file:///C:/Users/pshaffer/AppData/Local/Microsoft/Windows/Temporary%20Internet%20Files/Content.Outlook/LNV02F5X/NSDUH%20chart.xls"/>
  <Relationship Id="rId2" Type="http://schemas.openxmlformats.org/officeDocument/2006/relationships/chartUserShapes" Target="../drawings/drawing1.xml"/>
</Relationships>

</file>

<file path=word/charts/_rels/chart8.xml.rels><?xml version="1.0" encoding="UTF-8"?>

<Relationships xmlns="http://schemas.openxmlformats.org/package/2006/relationships">
  <Relationship Id="rId1" Type="http://schemas.openxmlformats.org/officeDocument/2006/relationships/themeOverride" Target="../theme/themeOverride6.xml"/>
  <Relationship Id="rId2" Type="http://schemas.openxmlformats.org/officeDocument/2006/relationships/package" Target="../embeddings/Microsoft_Excel_Worksheet7.xlsx"/>
</Relationships>

</file>

<file path=word/charts/_rels/chart9.xml.rels><?xml version="1.0" encoding="UTF-8"?>

<Relationships xmlns="http://schemas.openxmlformats.org/package/2006/relationships">
  <Relationship Id="rId1" Type="http://schemas.openxmlformats.org/officeDocument/2006/relationships/themeOverride" Target="../theme/themeOverride7.xml"/>
  <Relationship Id="rId2" Type="http://schemas.openxmlformats.org/officeDocument/2006/relationships/package" Target="../embeddings/Microsoft_Excel_Worksheet8.xlsx"/>
  <Relationship Id="rId3" Type="http://schemas.openxmlformats.org/officeDocument/2006/relationships/chartUserShapes" Target="../drawings/drawing2.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en-US" sz="1200"/>
              <a:t>Figure KEY1.1: Percent of Deaths (2013-2014) with Specific</a:t>
            </a:r>
            <a:r>
              <a:rPr lang="en-US" sz="1200" baseline="0"/>
              <a:t> Drugs Present in Toxicology Results &amp; the Relative Contribution of Prescriptions for the  Drugs (2011-2014)</a:t>
            </a: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en-US" sz="1600">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en-US" sz="1400"/>
          </a:p>
        </c:rich>
      </c:tx>
      <c:overlay val="0"/>
      <c:spPr>
        <a:noFill/>
        <a:ln w="25400">
          <a:noFill/>
        </a:ln>
      </c:spPr>
    </c:title>
    <c:autoTitleDeleted val="0"/>
    <c:plotArea>
      <c:layout>
        <c:manualLayout>
          <c:layoutTarget val="inner"/>
          <c:xMode val="edge"/>
          <c:yMode val="edge"/>
          <c:x val="6.5218593237975395E-2"/>
          <c:y val="0.30556555430571197"/>
          <c:w val="0.91308515429654102"/>
          <c:h val="0.373908886389201"/>
        </c:manualLayout>
      </c:layout>
      <c:barChart>
        <c:barDir val="col"/>
        <c:grouping val="stacked"/>
        <c:varyColors val="0"/>
        <c:ser>
          <c:idx val="0"/>
          <c:order val="0"/>
          <c:tx>
            <c:strRef>
              <c:f>Sheet1!$B$1</c:f>
              <c:strCache>
                <c:ptCount val="1"/>
                <c:pt idx="0">
                  <c:v>Specific Drug Present in PDMP</c:v>
                </c:pt>
              </c:strCache>
            </c:strRef>
          </c:tx>
          <c:invertIfNegative val="0"/>
          <c:cat>
            <c:strRef>
              <c:f>Sheet1!$A$2:$A$9</c:f>
              <c:strCache>
                <c:ptCount val="8"/>
                <c:pt idx="0">
                  <c:v>Morphine</c:v>
                </c:pt>
                <c:pt idx="1">
                  <c:v>Heroin</c:v>
                </c:pt>
                <c:pt idx="2">
                  <c:v>Fentanyl</c:v>
                </c:pt>
                <c:pt idx="3">
                  <c:v>Prescription Opioids</c:v>
                </c:pt>
                <c:pt idx="4">
                  <c:v>Methadone</c:v>
                </c:pt>
                <c:pt idx="5">
                  <c:v>Buprenorphine</c:v>
                </c:pt>
                <c:pt idx="6">
                  <c:v>Benzodiazepine</c:v>
                </c:pt>
                <c:pt idx="7">
                  <c:v>Cocaine</c:v>
                </c:pt>
              </c:strCache>
            </c:strRef>
          </c:cat>
          <c:val>
            <c:numRef>
              <c:f>Sheet1!$B$2:$B$9</c:f>
              <c:numCache>
                <c:formatCode>0%</c:formatCode>
                <c:ptCount val="8"/>
                <c:pt idx="0">
                  <c:v>0.02</c:v>
                </c:pt>
                <c:pt idx="1">
                  <c:v>0</c:v>
                </c:pt>
                <c:pt idx="2">
                  <c:v>0.01</c:v>
                </c:pt>
                <c:pt idx="3">
                  <c:v>0.17</c:v>
                </c:pt>
                <c:pt idx="4">
                  <c:v>0.02</c:v>
                </c:pt>
                <c:pt idx="5">
                  <c:v>0.04</c:v>
                </c:pt>
                <c:pt idx="6">
                  <c:v>0.25</c:v>
                </c:pt>
                <c:pt idx="7">
                  <c:v>0</c:v>
                </c:pt>
              </c:numCache>
            </c:numRef>
          </c:val>
        </c:ser>
        <c:ser>
          <c:idx val="1"/>
          <c:order val="1"/>
          <c:tx>
            <c:strRef>
              <c:f>Sheet1!$C$1</c:f>
              <c:strCache>
                <c:ptCount val="1"/>
                <c:pt idx="0">
                  <c:v>Specific Drug NOT Present in PDMP</c:v>
                </c:pt>
              </c:strCache>
            </c:strRef>
          </c:tx>
          <c:invertIfNegative val="0"/>
          <c:cat>
            <c:strRef>
              <c:f>Sheet1!$A$2:$A$9</c:f>
              <c:strCache>
                <c:ptCount val="8"/>
                <c:pt idx="0">
                  <c:v>Morphine</c:v>
                </c:pt>
                <c:pt idx="1">
                  <c:v>Heroin</c:v>
                </c:pt>
                <c:pt idx="2">
                  <c:v>Fentanyl</c:v>
                </c:pt>
                <c:pt idx="3">
                  <c:v>Prescription Opioids</c:v>
                </c:pt>
                <c:pt idx="4">
                  <c:v>Methadone</c:v>
                </c:pt>
                <c:pt idx="5">
                  <c:v>Buprenorphine</c:v>
                </c:pt>
                <c:pt idx="6">
                  <c:v>Benzodiazepine</c:v>
                </c:pt>
                <c:pt idx="7">
                  <c:v>Cocaine</c:v>
                </c:pt>
              </c:strCache>
            </c:strRef>
          </c:cat>
          <c:val>
            <c:numRef>
              <c:f>Sheet1!$C$2:$C$9</c:f>
              <c:numCache>
                <c:formatCode>0%</c:formatCode>
                <c:ptCount val="8"/>
                <c:pt idx="0">
                  <c:v>0.44</c:v>
                </c:pt>
                <c:pt idx="1">
                  <c:v>0.42</c:v>
                </c:pt>
                <c:pt idx="2">
                  <c:v>0.31</c:v>
                </c:pt>
                <c:pt idx="3">
                  <c:v>0.05</c:v>
                </c:pt>
                <c:pt idx="4">
                  <c:v>0.06</c:v>
                </c:pt>
                <c:pt idx="5">
                  <c:v>0.03</c:v>
                </c:pt>
                <c:pt idx="6">
                  <c:v>0.33</c:v>
                </c:pt>
                <c:pt idx="7">
                  <c:v>0.3</c:v>
                </c:pt>
              </c:numCache>
            </c:numRef>
          </c:val>
        </c:ser>
        <c:dLbls>
          <c:showLegendKey val="0"/>
          <c:showVal val="0"/>
          <c:showCatName val="0"/>
          <c:showSerName val="0"/>
          <c:showPercent val="0"/>
          <c:showBubbleSize val="0"/>
        </c:dLbls>
        <c:gapWidth val="75"/>
        <c:overlap val="100"/>
        <c:axId val="125130240"/>
        <c:axId val="125131776"/>
      </c:barChart>
      <c:catAx>
        <c:axId val="125130240"/>
        <c:scaling>
          <c:orientation val="minMax"/>
        </c:scaling>
        <c:delete val="0"/>
        <c:axPos val="b"/>
        <c:numFmt formatCode="General" sourceLinked="0"/>
        <c:majorTickMark val="none"/>
        <c:minorTickMark val="none"/>
        <c:tickLblPos val="nextTo"/>
        <c:crossAx val="125131776"/>
        <c:crosses val="autoZero"/>
        <c:auto val="1"/>
        <c:lblAlgn val="ctr"/>
        <c:lblOffset val="100"/>
        <c:noMultiLvlLbl val="0"/>
      </c:catAx>
      <c:valAx>
        <c:axId val="125131776"/>
        <c:scaling>
          <c:orientation val="minMax"/>
        </c:scaling>
        <c:delete val="0"/>
        <c:axPos val="l"/>
        <c:majorGridlines/>
        <c:numFmt formatCode="0%" sourceLinked="1"/>
        <c:majorTickMark val="none"/>
        <c:minorTickMark val="none"/>
        <c:tickLblPos val="nextTo"/>
        <c:crossAx val="125130240"/>
        <c:crosses val="autoZero"/>
        <c:crossBetween val="between"/>
      </c:valAx>
    </c:plotArea>
    <c:legend>
      <c:legendPos val="b"/>
      <c:layout>
        <c:manualLayout>
          <c:xMode val="edge"/>
          <c:yMode val="edge"/>
          <c:x val="0.13202082638693"/>
          <c:y val="0.95362703079836497"/>
          <c:w val="0.74001179819949203"/>
          <c:h val="4.0299345493205803E-2"/>
        </c:manualLayout>
      </c:layout>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a:pPr>
            <a:r>
              <a:rPr lang="en-US" sz="1200"/>
              <a:t>Figure C.7: Confirmed Opioid-Related Overdose Deaths (2013-2014) &amp; Addiction Treatment in BSAS System (2011-2014)</a:t>
            </a:r>
          </a:p>
        </c:rich>
      </c:tx>
      <c:overlay val="0"/>
      <c:spPr>
        <a:noFill/>
        <a:ln w="25400">
          <a:noFill/>
        </a:ln>
      </c:spPr>
    </c:title>
    <c:autoTitleDeleted val="0"/>
    <c:plotArea>
      <c:layout>
        <c:manualLayout>
          <c:layoutTarget val="inner"/>
          <c:xMode val="edge"/>
          <c:yMode val="edge"/>
          <c:x val="0.34232817332193299"/>
          <c:y val="0.17110476695503099"/>
          <c:w val="0.30909915575369901"/>
          <c:h val="0.74656603711536795"/>
        </c:manualLayout>
      </c:layout>
      <c:pieChart>
        <c:varyColors val="1"/>
        <c:ser>
          <c:idx val="0"/>
          <c:order val="0"/>
          <c:tx>
            <c:strRef>
              <c:f>Sheet1!$B$1</c:f>
              <c:strCache>
                <c:ptCount val="1"/>
                <c:pt idx="0">
                  <c:v>Opioid-related overdose deaths and addiction treatment history</c:v>
                </c:pt>
              </c:strCache>
            </c:strRef>
          </c:tx>
          <c:explosion val="1"/>
          <c:dPt>
            <c:idx val="0"/>
            <c:bubble3D val="0"/>
            <c:explosion val="2"/>
          </c:dPt>
          <c:dPt>
            <c:idx val="1"/>
            <c:bubble3D val="0"/>
          </c:dPt>
          <c:dLbls>
            <c:dLbl>
              <c:idx val="0"/>
              <c:tx>
                <c:rich>
                  <a:bodyPr/>
                  <a:lstStyle/>
                  <a:p>
                    <a:pPr>
                      <a:defRPr/>
                    </a:pPr>
                    <a:r>
                      <a:rPr lang="en-US"/>
                      <a:t>Treatment </a:t>
                    </a:r>
                  </a:p>
                  <a:p>
                    <a:pPr>
                      <a:defRPr/>
                    </a:pPr>
                    <a:r>
                      <a:rPr lang="en-US"/>
                      <a:t>n = 1026</a:t>
                    </a:r>
                  </a:p>
                  <a:p>
                    <a:pPr>
                      <a:defRPr/>
                    </a:pPr>
                    <a:r>
                      <a:rPr lang="en-US"/>
                      <a:t> (47%)</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1"/>
              <c:layout>
                <c:manualLayout>
                  <c:x val="0.15256873111602501"/>
                  <c:y val="-3.6050732008849597E-2"/>
                </c:manualLayout>
              </c:layout>
              <c:tx>
                <c:rich>
                  <a:bodyPr/>
                  <a:lstStyle/>
                  <a:p>
                    <a:pPr>
                      <a:defRPr/>
                    </a:pPr>
                    <a:r>
                      <a:rPr lang="en-US"/>
                      <a:t>No Treatment </a:t>
                    </a:r>
                  </a:p>
                  <a:p>
                    <a:pPr>
                      <a:defRPr/>
                    </a:pPr>
                    <a:r>
                      <a:rPr lang="en-US"/>
                      <a:t>n = 1165</a:t>
                    </a:r>
                  </a:p>
                  <a:p>
                    <a:pPr>
                      <a:defRPr/>
                    </a:pPr>
                    <a:r>
                      <a:rPr lang="en-US"/>
                      <a:t> (53%)</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1"/>
            <c:showSerName val="0"/>
            <c:showPercent val="1"/>
            <c:showBubbleSize val="0"/>
            <c:showLeaderLines val="1"/>
            <c:extLst>
              <c:ext xmlns:c15="http://schemas.microsoft.com/office/drawing/2012/chart" uri="{CE6537A1-D6FC-4f65-9D91-7224C49458BB}"/>
            </c:extLst>
          </c:dLbls>
          <c:cat>
            <c:strRef>
              <c:f>Sheet1!$A$2:$A$3</c:f>
              <c:strCache>
                <c:ptCount val="2"/>
                <c:pt idx="0">
                  <c:v>Addiction treatment history</c:v>
                </c:pt>
                <c:pt idx="1">
                  <c:v>Unknown addiction treatment history</c:v>
                </c:pt>
              </c:strCache>
            </c:strRef>
          </c:cat>
          <c:val>
            <c:numRef>
              <c:f>Sheet1!$B$2:$B$3</c:f>
              <c:numCache>
                <c:formatCode>General</c:formatCode>
                <c:ptCount val="2"/>
                <c:pt idx="0">
                  <c:v>1026</c:v>
                </c:pt>
                <c:pt idx="1">
                  <c:v>1165</c:v>
                </c:pt>
              </c:numCache>
            </c:numRef>
          </c:val>
        </c:ser>
        <c:dLbls>
          <c:showLegendKey val="0"/>
          <c:showVal val="0"/>
          <c:showCatName val="1"/>
          <c:showSerName val="0"/>
          <c:showPercent val="1"/>
          <c:showBubbleSize val="0"/>
          <c:showLeaderLines val="1"/>
        </c:dLbls>
        <c:firstSliceAng val="0"/>
      </c:pieChart>
      <c:spPr>
        <a:noFill/>
        <a:ln w="25400">
          <a:noFill/>
        </a:ln>
      </c:spPr>
    </c:plotArea>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887" b="1" i="0" u="none" strike="noStrike" kern="1200" baseline="0">
                <a:solidFill>
                  <a:sysClr val="windowText" lastClr="000000"/>
                </a:solidFill>
                <a:latin typeface="+mn-lt"/>
                <a:ea typeface="+mn-ea"/>
                <a:cs typeface="+mn-cs"/>
              </a:defRPr>
            </a:pPr>
            <a:r>
              <a:rPr lang="en-US" sz="1200" b="1" i="0" baseline="0">
                <a:effectLst/>
              </a:rPr>
              <a:t>KEY1.2: Percent of Deaths (2013-2014) with Specific Prescription Opioids</a:t>
            </a:r>
          </a:p>
          <a:p>
            <a:pPr marL="0" marR="0" indent="0" algn="ctr" defTabSz="914400" rtl="0" eaLnBrk="1" fontAlgn="auto" latinLnBrk="0" hangingPunct="1">
              <a:lnSpc>
                <a:spcPct val="100000"/>
              </a:lnSpc>
              <a:spcBef>
                <a:spcPts val="0"/>
              </a:spcBef>
              <a:spcAft>
                <a:spcPts val="0"/>
              </a:spcAft>
              <a:buClrTx/>
              <a:buSzTx/>
              <a:buFontTx/>
              <a:buNone/>
              <a:tabLst/>
              <a:defRPr sz="887" b="1" i="0" u="none" strike="noStrike" kern="1200" baseline="0">
                <a:solidFill>
                  <a:sysClr val="windowText" lastClr="000000"/>
                </a:solidFill>
                <a:latin typeface="+mn-lt"/>
                <a:ea typeface="+mn-ea"/>
                <a:cs typeface="+mn-cs"/>
              </a:defRPr>
            </a:pPr>
            <a:r>
              <a:rPr lang="en-US" sz="1200" b="1" i="0" baseline="0">
                <a:effectLst/>
              </a:rPr>
              <a:t> Present in Toxicology Results &amp; the Relative Contribution of Prescriptions for the  Drugs (2011-2014)</a:t>
            </a:r>
            <a:endParaRPr lang="en-US" sz="1000">
              <a:effectLst/>
            </a:endParaRPr>
          </a:p>
          <a:p>
            <a:pPr marL="0" marR="0" indent="0" algn="ctr" defTabSz="914400" rtl="0" eaLnBrk="1" fontAlgn="auto" latinLnBrk="0" hangingPunct="1">
              <a:lnSpc>
                <a:spcPct val="100000"/>
              </a:lnSpc>
              <a:spcBef>
                <a:spcPts val="0"/>
              </a:spcBef>
              <a:spcAft>
                <a:spcPts val="0"/>
              </a:spcAft>
              <a:buClrTx/>
              <a:buSzTx/>
              <a:buFontTx/>
              <a:buNone/>
              <a:tabLst/>
              <a:defRPr sz="887" b="1" i="0" u="none" strike="noStrike" kern="1200" baseline="0">
                <a:solidFill>
                  <a:sysClr val="windowText" lastClr="000000"/>
                </a:solidFill>
                <a:latin typeface="+mn-lt"/>
                <a:ea typeface="+mn-ea"/>
                <a:cs typeface="+mn-cs"/>
              </a:defRPr>
            </a:pPr>
            <a:endParaRPr lang="en-US" sz="1400"/>
          </a:p>
        </c:rich>
      </c:tx>
      <c:overlay val="0"/>
      <c:spPr>
        <a:noFill/>
        <a:ln w="20216">
          <a:noFill/>
        </a:ln>
      </c:spPr>
    </c:title>
    <c:autoTitleDeleted val="0"/>
    <c:plotArea>
      <c:layout>
        <c:manualLayout>
          <c:layoutTarget val="inner"/>
          <c:xMode val="edge"/>
          <c:yMode val="edge"/>
          <c:x val="6.5218593237975395E-2"/>
          <c:y val="0.30556555430571197"/>
          <c:w val="0.91308515429654102"/>
          <c:h val="0.373908886389201"/>
        </c:manualLayout>
      </c:layout>
      <c:barChart>
        <c:barDir val="col"/>
        <c:grouping val="stacked"/>
        <c:varyColors val="0"/>
        <c:ser>
          <c:idx val="0"/>
          <c:order val="0"/>
          <c:tx>
            <c:strRef>
              <c:f>Sheet1!$B$1</c:f>
              <c:strCache>
                <c:ptCount val="1"/>
                <c:pt idx="0">
                  <c:v>Specific Drug Present in PDMP</c:v>
                </c:pt>
              </c:strCache>
            </c:strRef>
          </c:tx>
          <c:invertIfNegative val="0"/>
          <c:cat>
            <c:strRef>
              <c:f>Sheet1!$A$2:$A$6</c:f>
              <c:strCache>
                <c:ptCount val="5"/>
                <c:pt idx="0">
                  <c:v>Hyrdrocodone</c:v>
                </c:pt>
                <c:pt idx="1">
                  <c:v>Hydromorphone</c:v>
                </c:pt>
                <c:pt idx="2">
                  <c:v>Oxycodone</c:v>
                </c:pt>
                <c:pt idx="3">
                  <c:v>Oxymorphone</c:v>
                </c:pt>
                <c:pt idx="4">
                  <c:v>Tramadol</c:v>
                </c:pt>
              </c:strCache>
            </c:strRef>
          </c:cat>
          <c:val>
            <c:numRef>
              <c:f>Sheet1!$B$2:$B$6</c:f>
              <c:numCache>
                <c:formatCode>0%</c:formatCode>
                <c:ptCount val="5"/>
                <c:pt idx="0">
                  <c:v>1.2999999999999999E-2</c:v>
                </c:pt>
                <c:pt idx="1">
                  <c:v>6.4999999999999997E-3</c:v>
                </c:pt>
                <c:pt idx="2">
                  <c:v>0.107</c:v>
                </c:pt>
                <c:pt idx="3">
                  <c:v>0</c:v>
                </c:pt>
                <c:pt idx="4">
                  <c:v>1.6E-2</c:v>
                </c:pt>
              </c:numCache>
            </c:numRef>
          </c:val>
        </c:ser>
        <c:ser>
          <c:idx val="1"/>
          <c:order val="1"/>
          <c:tx>
            <c:strRef>
              <c:f>Sheet1!$C$1</c:f>
              <c:strCache>
                <c:ptCount val="1"/>
                <c:pt idx="0">
                  <c:v>Specific Drug NOT Present in PDMP</c:v>
                </c:pt>
              </c:strCache>
            </c:strRef>
          </c:tx>
          <c:invertIfNegative val="0"/>
          <c:cat>
            <c:strRef>
              <c:f>Sheet1!$A$2:$A$6</c:f>
              <c:strCache>
                <c:ptCount val="5"/>
                <c:pt idx="0">
                  <c:v>Hyrdrocodone</c:v>
                </c:pt>
                <c:pt idx="1">
                  <c:v>Hydromorphone</c:v>
                </c:pt>
                <c:pt idx="2">
                  <c:v>Oxycodone</c:v>
                </c:pt>
                <c:pt idx="3">
                  <c:v>Oxymorphone</c:v>
                </c:pt>
                <c:pt idx="4">
                  <c:v>Tramadol</c:v>
                </c:pt>
              </c:strCache>
            </c:strRef>
          </c:cat>
          <c:val>
            <c:numRef>
              <c:f>Sheet1!$C$2:$C$6</c:f>
              <c:numCache>
                <c:formatCode>0%</c:formatCode>
                <c:ptCount val="5"/>
                <c:pt idx="0">
                  <c:v>1.2999999999999999E-2</c:v>
                </c:pt>
                <c:pt idx="1">
                  <c:v>2.5999999999999999E-2</c:v>
                </c:pt>
                <c:pt idx="2">
                  <c:v>3.9E-2</c:v>
                </c:pt>
                <c:pt idx="3">
                  <c:v>4.9000000000000002E-2</c:v>
                </c:pt>
                <c:pt idx="4">
                  <c:v>8.9999999999999993E-3</c:v>
                </c:pt>
              </c:numCache>
            </c:numRef>
          </c:val>
        </c:ser>
        <c:dLbls>
          <c:showLegendKey val="0"/>
          <c:showVal val="0"/>
          <c:showCatName val="0"/>
          <c:showSerName val="0"/>
          <c:showPercent val="0"/>
          <c:showBubbleSize val="0"/>
        </c:dLbls>
        <c:gapWidth val="75"/>
        <c:overlap val="100"/>
        <c:axId val="100258176"/>
        <c:axId val="100259712"/>
      </c:barChart>
      <c:catAx>
        <c:axId val="100258176"/>
        <c:scaling>
          <c:orientation val="minMax"/>
        </c:scaling>
        <c:delete val="0"/>
        <c:axPos val="b"/>
        <c:numFmt formatCode="General" sourceLinked="0"/>
        <c:majorTickMark val="none"/>
        <c:minorTickMark val="none"/>
        <c:tickLblPos val="nextTo"/>
        <c:crossAx val="100259712"/>
        <c:crosses val="autoZero"/>
        <c:auto val="1"/>
        <c:lblAlgn val="ctr"/>
        <c:lblOffset val="100"/>
        <c:noMultiLvlLbl val="0"/>
      </c:catAx>
      <c:valAx>
        <c:axId val="100259712"/>
        <c:scaling>
          <c:orientation val="minMax"/>
        </c:scaling>
        <c:delete val="0"/>
        <c:axPos val="l"/>
        <c:majorGridlines/>
        <c:numFmt formatCode="0%" sourceLinked="1"/>
        <c:majorTickMark val="none"/>
        <c:minorTickMark val="none"/>
        <c:tickLblPos val="nextTo"/>
        <c:crossAx val="100258176"/>
        <c:crosses val="autoZero"/>
        <c:crossBetween val="between"/>
      </c:valAx>
    </c:plotArea>
    <c:legend>
      <c:legendPos val="b"/>
      <c:layout>
        <c:manualLayout>
          <c:xMode val="edge"/>
          <c:yMode val="edge"/>
          <c:x val="0.124584717607973"/>
          <c:y val="0.887459807073955"/>
          <c:w val="0.75581395348837199"/>
          <c:h val="3.8585209003215402E-2"/>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lgn="ctr">
              <a:defRPr/>
            </a:pPr>
            <a:r>
              <a:rPr lang="en-US" sz="1200"/>
              <a:t>Figure KEY1.3: Fatal Opioid-Related Overdoses (</a:t>
            </a:r>
            <a:r>
              <a:rPr lang="en-US" sz="1200" b="1" i="0" u="none" strike="noStrike" baseline="0">
                <a:effectLst/>
              </a:rPr>
              <a:t>2013-2014)</a:t>
            </a:r>
            <a:endParaRPr lang="en-US" sz="1200"/>
          </a:p>
          <a:p>
            <a:pPr algn="ctr">
              <a:defRPr/>
            </a:pPr>
            <a:r>
              <a:rPr lang="en-US" sz="1200"/>
              <a:t>Mutually Exclusive Toxicology Categories</a:t>
            </a:r>
            <a:r>
              <a:rPr lang="en-US" sz="1200" baseline="0"/>
              <a:t> </a:t>
            </a:r>
            <a:r>
              <a:rPr lang="en-US" sz="1200"/>
              <a:t>(n=1657)</a:t>
            </a:r>
          </a:p>
        </c:rich>
      </c:tx>
      <c:layout>
        <c:manualLayout>
          <c:xMode val="edge"/>
          <c:yMode val="edge"/>
          <c:x val="0.18496810822412105"/>
          <c:y val="1.8395033340997929E-2"/>
        </c:manualLayout>
      </c:layout>
      <c:overlay val="0"/>
    </c:title>
    <c:autoTitleDeleted val="0"/>
    <c:plotArea>
      <c:layout/>
      <c:pieChart>
        <c:varyColors val="1"/>
        <c:ser>
          <c:idx val="0"/>
          <c:order val="0"/>
          <c:tx>
            <c:strRef>
              <c:f>Sheet1!$B$1</c:f>
              <c:strCache>
                <c:ptCount val="1"/>
                <c:pt idx="0">
                  <c:v>Fatal opioid-related overdoses: 2013-2014 Mutually exclusive toxicology categories (n=1657)</c:v>
                </c:pt>
              </c:strCache>
            </c:strRef>
          </c:tx>
          <c:dPt>
            <c:idx val="0"/>
            <c:bubble3D val="0"/>
          </c:dPt>
          <c:dPt>
            <c:idx val="1"/>
            <c:bubble3D val="0"/>
          </c:dPt>
          <c:dPt>
            <c:idx val="2"/>
            <c:bubble3D val="0"/>
          </c:dPt>
          <c:dPt>
            <c:idx val="3"/>
            <c:bubble3D val="0"/>
          </c:dPt>
          <c:dLbls>
            <c:dLbl>
              <c:idx val="0"/>
              <c:layout>
                <c:manualLayout>
                  <c:x val="-7.5914834538357318E-2"/>
                  <c:y val="-0.16657125694766095"/>
                </c:manualLayout>
              </c:layout>
              <c:spPr>
                <a:noFill/>
                <a:ln>
                  <a:noFill/>
                </a:ln>
                <a:effectLst/>
              </c:spPr>
              <c:txPr>
                <a:bodyPr/>
                <a:lstStyle/>
                <a:p>
                  <a:pPr>
                    <a:defRPr baseline="0">
                      <a:solidFill>
                        <a:schemeClr val="bg1"/>
                      </a:solidFill>
                    </a:defRPr>
                  </a:pPr>
                  <a:endParaRPr lang="en-US"/>
                </a:p>
              </c:txPr>
              <c:showLegendKey val="0"/>
              <c:showVal val="0"/>
              <c:showCatName val="0"/>
              <c:showSerName val="0"/>
              <c:showPercent val="1"/>
              <c:showBubbleSize val="0"/>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Fentanyl and/or Heroin</c:v>
                </c:pt>
                <c:pt idx="1">
                  <c:v>Methadone</c:v>
                </c:pt>
                <c:pt idx="2">
                  <c:v>Prescription Opioids</c:v>
                </c:pt>
                <c:pt idx="3">
                  <c:v>Buprenorphine</c:v>
                </c:pt>
              </c:strCache>
            </c:strRef>
          </c:cat>
          <c:val>
            <c:numRef>
              <c:f>Sheet1!$B$2:$B$5</c:f>
              <c:numCache>
                <c:formatCode>General</c:formatCode>
                <c:ptCount val="4"/>
                <c:pt idx="0">
                  <c:v>1404</c:v>
                </c:pt>
                <c:pt idx="1">
                  <c:v>84</c:v>
                </c:pt>
                <c:pt idx="2">
                  <c:v>154</c:v>
                </c:pt>
                <c:pt idx="3">
                  <c:v>15</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lgn="ctr">
              <a:defRPr/>
            </a:pPr>
            <a:r>
              <a:rPr lang="en-US" sz="1200"/>
              <a:t>Figure</a:t>
            </a:r>
            <a:r>
              <a:rPr lang="en-US" sz="1200" baseline="0"/>
              <a:t> KEY3.1: </a:t>
            </a:r>
            <a:r>
              <a:rPr lang="en-US" sz="1200"/>
              <a:t>Fatal Opioid-Related Overdoses (2013-2014)</a:t>
            </a:r>
            <a:r>
              <a:rPr lang="en-US" sz="1200" baseline="0"/>
              <a:t> </a:t>
            </a:r>
            <a:r>
              <a:rPr lang="en-US" sz="1200"/>
              <a:t>by Number of Opioid Prescribers (2011-2014):</a:t>
            </a:r>
            <a:r>
              <a:rPr lang="en-US" sz="1200" baseline="0"/>
              <a:t> </a:t>
            </a:r>
            <a:r>
              <a:rPr lang="en-US" sz="1200"/>
              <a:t>Male</a:t>
            </a:r>
          </a:p>
        </c:rich>
      </c:tx>
      <c:layout>
        <c:manualLayout>
          <c:xMode val="edge"/>
          <c:yMode val="edge"/>
          <c:x val="0.147250508898358"/>
          <c:y val="2.7681539807524101E-2"/>
        </c:manualLayout>
      </c:layout>
      <c:overlay val="0"/>
      <c:spPr>
        <a:noFill/>
        <a:ln w="25399">
          <a:noFill/>
        </a:ln>
      </c:spPr>
    </c:title>
    <c:autoTitleDeleted val="0"/>
    <c:plotArea>
      <c:layout/>
      <c:pieChart>
        <c:varyColors val="1"/>
        <c:ser>
          <c:idx val="0"/>
          <c:order val="0"/>
          <c:tx>
            <c:strRef>
              <c:f>Sheet1!$B$1</c:f>
              <c:strCache>
                <c:ptCount val="1"/>
                <c:pt idx="0">
                  <c:v>Fatal opioid-related overdoses: 2013-2014 Mutually exclusive toxicology categories (n=1657)</c:v>
                </c:pt>
              </c:strCache>
            </c:strRef>
          </c:tx>
          <c:dPt>
            <c:idx val="0"/>
            <c:bubble3D val="0"/>
          </c:dPt>
          <c:dPt>
            <c:idx val="1"/>
            <c:bubble3D val="0"/>
          </c:dPt>
          <c:dPt>
            <c:idx val="2"/>
            <c:bubble3D val="0"/>
          </c:dPt>
          <c:dLbls>
            <c:spPr>
              <a:noFill/>
              <a:ln w="25399">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0 Prescribers</c:v>
                </c:pt>
                <c:pt idx="1">
                  <c:v>1-2 Prescribers</c:v>
                </c:pt>
                <c:pt idx="2">
                  <c:v>3+ Prescribers</c:v>
                </c:pt>
              </c:strCache>
            </c:strRef>
          </c:cat>
          <c:val>
            <c:numRef>
              <c:f>Sheet1!$B$2:$B$4</c:f>
              <c:numCache>
                <c:formatCode>General</c:formatCode>
                <c:ptCount val="3"/>
                <c:pt idx="0">
                  <c:v>328</c:v>
                </c:pt>
                <c:pt idx="1">
                  <c:v>675</c:v>
                </c:pt>
                <c:pt idx="2">
                  <c:v>531</c:v>
                </c:pt>
              </c:numCache>
            </c:numRef>
          </c:val>
        </c:ser>
        <c:dLbls>
          <c:showLegendKey val="0"/>
          <c:showVal val="0"/>
          <c:showCatName val="0"/>
          <c:showSerName val="0"/>
          <c:showPercent val="1"/>
          <c:showBubbleSize val="0"/>
          <c:showLeaderLines val="1"/>
        </c:dLbls>
        <c:firstSliceAng val="0"/>
      </c:pieChart>
      <c:spPr>
        <a:noFill/>
        <a:ln w="25399">
          <a:noFill/>
        </a:ln>
      </c:spPr>
    </c:plotArea>
    <c:legend>
      <c:legendPos val="t"/>
      <c:overlay val="0"/>
    </c:legend>
    <c:plotVisOnly val="1"/>
    <c:dispBlanksAs val="zero"/>
    <c:showDLblsOverMax val="0"/>
  </c:chart>
  <c:spPr>
    <a:ln>
      <a:solidFill>
        <a:schemeClr val="tx1"/>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lgn="ctr">
              <a:defRPr/>
            </a:pPr>
            <a:r>
              <a:rPr lang="en-US" sz="1200" b="1" i="0" baseline="0">
                <a:effectLst/>
              </a:rPr>
              <a:t>Figure KEY3.2: Fatal Opioid-Related Overdoses (2013-2014) by Number of Opioid Prescribers (2011-2014): Female</a:t>
            </a:r>
            <a:endParaRPr lang="en-US" sz="1200">
              <a:effectLst/>
            </a:endParaRPr>
          </a:p>
          <a:p>
            <a:pPr algn="ctr">
              <a:defRPr/>
            </a:pPr>
            <a:endParaRPr lang="en-US" sz="1400">
              <a:effectLst/>
            </a:endParaRPr>
          </a:p>
        </c:rich>
      </c:tx>
      <c:layout>
        <c:manualLayout>
          <c:xMode val="edge"/>
          <c:yMode val="edge"/>
          <c:x val="0.13720266584324001"/>
          <c:y val="2.5641132606768501E-2"/>
        </c:manualLayout>
      </c:layout>
      <c:overlay val="0"/>
      <c:spPr>
        <a:noFill/>
        <a:ln w="25399">
          <a:noFill/>
        </a:ln>
      </c:spPr>
    </c:title>
    <c:autoTitleDeleted val="0"/>
    <c:plotArea>
      <c:layout/>
      <c:pieChart>
        <c:varyColors val="1"/>
        <c:ser>
          <c:idx val="0"/>
          <c:order val="0"/>
          <c:tx>
            <c:strRef>
              <c:f>Sheet1!$B$1</c:f>
              <c:strCache>
                <c:ptCount val="1"/>
                <c:pt idx="0">
                  <c:v>Fatal opioid-related overdoses: 2013-2014 Mutually exclusive toxicology categories (n=1657)</c:v>
                </c:pt>
              </c:strCache>
            </c:strRef>
          </c:tx>
          <c:dPt>
            <c:idx val="0"/>
            <c:bubble3D val="0"/>
          </c:dPt>
          <c:dPt>
            <c:idx val="1"/>
            <c:bubble3D val="0"/>
          </c:dPt>
          <c:dPt>
            <c:idx val="2"/>
            <c:bubble3D val="0"/>
          </c:dPt>
          <c:dLbls>
            <c:spPr>
              <a:noFill/>
              <a:ln w="25399">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0 Prescribers</c:v>
                </c:pt>
                <c:pt idx="1">
                  <c:v>1-2 Prescribers</c:v>
                </c:pt>
                <c:pt idx="2">
                  <c:v>3+ Prescribers</c:v>
                </c:pt>
              </c:strCache>
            </c:strRef>
          </c:cat>
          <c:val>
            <c:numRef>
              <c:f>Sheet1!$B$2:$B$4</c:f>
              <c:numCache>
                <c:formatCode>General</c:formatCode>
                <c:ptCount val="3"/>
                <c:pt idx="0">
                  <c:v>61</c:v>
                </c:pt>
                <c:pt idx="1">
                  <c:v>196</c:v>
                </c:pt>
                <c:pt idx="2">
                  <c:v>401</c:v>
                </c:pt>
              </c:numCache>
            </c:numRef>
          </c:val>
        </c:ser>
        <c:dLbls>
          <c:showLegendKey val="0"/>
          <c:showVal val="0"/>
          <c:showCatName val="0"/>
          <c:showSerName val="0"/>
          <c:showPercent val="1"/>
          <c:showBubbleSize val="0"/>
          <c:showLeaderLines val="1"/>
        </c:dLbls>
        <c:firstSliceAng val="0"/>
      </c:pieChart>
      <c:spPr>
        <a:noFill/>
        <a:ln w="25399">
          <a:noFill/>
        </a:ln>
      </c:spPr>
    </c:plotArea>
    <c:legend>
      <c:legendPos val="t"/>
      <c:layout>
        <c:manualLayout>
          <c:xMode val="edge"/>
          <c:yMode val="edge"/>
          <c:x val="0.103767690803355"/>
          <c:y val="0.26422137630147202"/>
          <c:w val="0.79246461839328897"/>
          <c:h val="8.3427369592046094E-2"/>
        </c:manualLayout>
      </c:layout>
      <c:overlay val="0"/>
    </c:legend>
    <c:plotVisOnly val="1"/>
    <c:dispBlanksAs val="zero"/>
    <c:showDLblsOverMax val="0"/>
  </c:chart>
  <c:spPr>
    <a:ln>
      <a:solidFill>
        <a:schemeClr val="tx1"/>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887" b="1" i="0" u="none" strike="noStrike" kern="1200" baseline="0">
                <a:solidFill>
                  <a:sysClr val="windowText" lastClr="000000"/>
                </a:solidFill>
                <a:latin typeface="+mn-lt"/>
                <a:ea typeface="+mn-ea"/>
                <a:cs typeface="+mn-cs"/>
              </a:defRPr>
            </a:pPr>
            <a:r>
              <a:rPr lang="en-US" sz="1200" b="1" i="0" baseline="0">
                <a:effectLst/>
              </a:rPr>
              <a:t>Figure KEY4.1: Opioid Deaths by person-years, inmates since being released from a state Correctional facility  (2013-2014)</a:t>
            </a:r>
            <a:endParaRPr lang="en-US" sz="1200">
              <a:effectLst/>
            </a:endParaRPr>
          </a:p>
          <a:p>
            <a:pPr marL="0" marR="0" indent="0" algn="ctr" defTabSz="914400" rtl="0" eaLnBrk="1" fontAlgn="auto" latinLnBrk="0" hangingPunct="1">
              <a:lnSpc>
                <a:spcPct val="100000"/>
              </a:lnSpc>
              <a:spcBef>
                <a:spcPts val="0"/>
              </a:spcBef>
              <a:spcAft>
                <a:spcPts val="0"/>
              </a:spcAft>
              <a:buClrTx/>
              <a:buSzTx/>
              <a:buFontTx/>
              <a:buNone/>
              <a:tabLst/>
              <a:defRPr sz="887" b="1" i="0" u="none" strike="noStrike" kern="1200" baseline="0">
                <a:solidFill>
                  <a:sysClr val="windowText" lastClr="000000"/>
                </a:solidFill>
                <a:latin typeface="+mn-lt"/>
                <a:ea typeface="+mn-ea"/>
                <a:cs typeface="+mn-cs"/>
              </a:defRPr>
            </a:pPr>
            <a:endParaRPr lang="en-US" sz="1400"/>
          </a:p>
        </c:rich>
      </c:tx>
      <c:overlay val="0"/>
      <c:spPr>
        <a:noFill/>
        <a:ln w="20216">
          <a:noFill/>
        </a:ln>
      </c:spPr>
    </c:title>
    <c:autoTitleDeleted val="0"/>
    <c:plotArea>
      <c:layout>
        <c:manualLayout>
          <c:layoutTarget val="inner"/>
          <c:xMode val="edge"/>
          <c:yMode val="edge"/>
          <c:x val="0.12847518555763501"/>
          <c:y val="0.21003066205509399"/>
          <c:w val="0.84980089436447304"/>
          <c:h val="0.66480507967247804"/>
        </c:manualLayout>
      </c:layout>
      <c:barChart>
        <c:barDir val="col"/>
        <c:grouping val="stacked"/>
        <c:varyColors val="0"/>
        <c:ser>
          <c:idx val="0"/>
          <c:order val="0"/>
          <c:tx>
            <c:strRef>
              <c:f>Sheet1!$B$1</c:f>
              <c:strCache>
                <c:ptCount val="1"/>
                <c:pt idx="0">
                  <c:v>Column2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Under 1 month</c:v>
                </c:pt>
                <c:pt idx="1">
                  <c:v>1-3 months</c:v>
                </c:pt>
                <c:pt idx="2">
                  <c:v>3-6 months</c:v>
                </c:pt>
                <c:pt idx="3">
                  <c:v>6-12 months</c:v>
                </c:pt>
                <c:pt idx="4">
                  <c:v>12-24 months</c:v>
                </c:pt>
              </c:strCache>
            </c:strRef>
          </c:cat>
          <c:val>
            <c:numRef>
              <c:f>Sheet1!$B$2:$B$6</c:f>
              <c:numCache>
                <c:formatCode>0.0</c:formatCode>
                <c:ptCount val="5"/>
                <c:pt idx="0">
                  <c:v>437.84802784222722</c:v>
                </c:pt>
                <c:pt idx="1">
                  <c:v>193.14042303172741</c:v>
                </c:pt>
                <c:pt idx="2">
                  <c:v>148.4573223303363</c:v>
                </c:pt>
                <c:pt idx="3">
                  <c:v>115.47300583657589</c:v>
                </c:pt>
                <c:pt idx="4">
                  <c:v>69.581623681125507</c:v>
                </c:pt>
              </c:numCache>
            </c:numRef>
          </c:val>
        </c:ser>
        <c:dLbls>
          <c:showLegendKey val="0"/>
          <c:showVal val="0"/>
          <c:showCatName val="0"/>
          <c:showSerName val="0"/>
          <c:showPercent val="0"/>
          <c:showBubbleSize val="0"/>
        </c:dLbls>
        <c:gapWidth val="75"/>
        <c:overlap val="100"/>
        <c:axId val="126989056"/>
        <c:axId val="126990592"/>
      </c:barChart>
      <c:catAx>
        <c:axId val="126989056"/>
        <c:scaling>
          <c:orientation val="minMax"/>
        </c:scaling>
        <c:delete val="0"/>
        <c:axPos val="b"/>
        <c:numFmt formatCode="General" sourceLinked="0"/>
        <c:majorTickMark val="none"/>
        <c:minorTickMark val="none"/>
        <c:tickLblPos val="nextTo"/>
        <c:crossAx val="126990592"/>
        <c:crosses val="autoZero"/>
        <c:auto val="1"/>
        <c:lblAlgn val="ctr"/>
        <c:lblOffset val="100"/>
        <c:noMultiLvlLbl val="0"/>
      </c:catAx>
      <c:valAx>
        <c:axId val="126990592"/>
        <c:scaling>
          <c:orientation val="minMax"/>
        </c:scaling>
        <c:delete val="0"/>
        <c:axPos val="l"/>
        <c:majorGridlines/>
        <c:title>
          <c:tx>
            <c:rich>
              <a:bodyPr rot="-5400000" vert="horz"/>
              <a:lstStyle/>
              <a:p>
                <a:pPr>
                  <a:defRPr/>
                </a:pPr>
                <a:r>
                  <a:rPr lang="en-US"/>
                  <a:t>Deaths per 1000 person-years</a:t>
                </a:r>
              </a:p>
            </c:rich>
          </c:tx>
          <c:layout>
            <c:manualLayout>
              <c:xMode val="edge"/>
              <c:yMode val="edge"/>
              <c:x val="1.45835534878926E-2"/>
              <c:y val="0.26812741053816103"/>
            </c:manualLayout>
          </c:layout>
          <c:overlay val="0"/>
        </c:title>
        <c:numFmt formatCode="0" sourceLinked="0"/>
        <c:majorTickMark val="none"/>
        <c:minorTickMark val="none"/>
        <c:tickLblPos val="nextTo"/>
        <c:crossAx val="126989056"/>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a:pPr>
            <a:r>
              <a:rPr lang="en-US" sz="1200"/>
              <a:t>Figure A5: Perceived Need for Substance Use Treatment among People Aged 12 or Older Who Needed Substance Use Treatment But Did Not Receive Substance Use Treatment in the Past Year</a:t>
            </a:r>
            <a:r>
              <a:rPr lang="en-US" sz="1200" baseline="0"/>
              <a:t> (</a:t>
            </a:r>
            <a:r>
              <a:rPr lang="en-US" sz="1200"/>
              <a:t>2014)</a:t>
            </a:r>
          </a:p>
        </c:rich>
      </c:tx>
      <c:overlay val="0"/>
    </c:title>
    <c:autoTitleDeleted val="0"/>
    <c:plotArea>
      <c:layout/>
      <c:pieChart>
        <c:varyColors val="1"/>
        <c:ser>
          <c:idx val="0"/>
          <c:order val="0"/>
          <c:dPt>
            <c:idx val="0"/>
            <c:bubble3D val="0"/>
          </c:dPt>
          <c:dPt>
            <c:idx val="1"/>
            <c:bubble3D val="0"/>
          </c:dPt>
          <c:dPt>
            <c:idx val="2"/>
            <c:bubble3D val="0"/>
          </c:dPt>
          <c:dLbls>
            <c:dLbl>
              <c:idx val="0"/>
              <c:layout>
                <c:manualLayout>
                  <c:x val="0.13090319592403901"/>
                  <c:y val="-8.0943112448022599E-3"/>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Sheet1!$A$3:$A$5</c:f>
              <c:strCache>
                <c:ptCount val="3"/>
                <c:pt idx="0">
                  <c:v>Did Not Feel They needed Treatment</c:v>
                </c:pt>
                <c:pt idx="1">
                  <c:v>Felt They Needed Treatment and Did Make an Effort</c:v>
                </c:pt>
                <c:pt idx="2">
                  <c:v>Felt They Needed Treatment and Did Not Make an Effort</c:v>
                </c:pt>
              </c:strCache>
            </c:strRef>
          </c:cat>
          <c:val>
            <c:numRef>
              <c:f>Sheet1!$B$3:$B$5</c:f>
              <c:numCache>
                <c:formatCode>0.00%</c:formatCode>
                <c:ptCount val="3"/>
                <c:pt idx="0">
                  <c:v>0.96</c:v>
                </c:pt>
                <c:pt idx="1">
                  <c:v>1.2E-2</c:v>
                </c:pt>
                <c:pt idx="2">
                  <c:v>2.9000000000000001E-2</c:v>
                </c:pt>
              </c:numCache>
            </c:numRef>
          </c:val>
        </c:ser>
        <c:dLbls>
          <c:showLegendKey val="0"/>
          <c:showVal val="0"/>
          <c:showCatName val="0"/>
          <c:showSerName val="0"/>
          <c:showPercent val="0"/>
          <c:showBubbleSize val="0"/>
          <c:showLeaderLines val="1"/>
        </c:dLbls>
        <c:firstSliceAng val="96"/>
      </c:pieChart>
    </c:plotArea>
    <c:legend>
      <c:legendPos val="r"/>
      <c:layout>
        <c:manualLayout>
          <c:xMode val="edge"/>
          <c:yMode val="edge"/>
          <c:x val="0.66135522495489196"/>
          <c:y val="0.37500048698326199"/>
          <c:w val="0.32470151104713102"/>
          <c:h val="0.44946866879554098"/>
        </c:manualLayout>
      </c:layout>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en-US" sz="1200"/>
              <a:t>Figure C.4: Time to Death for Released Inmates</a:t>
            </a:r>
            <a:r>
              <a:rPr lang="en-US" sz="1200" baseline="0"/>
              <a:t> (2013-2014)</a:t>
            </a:r>
            <a:endParaRPr lang="en-US" sz="1200">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en-US" sz="1400"/>
          </a:p>
        </c:rich>
      </c:tx>
      <c:layout>
        <c:manualLayout>
          <c:xMode val="edge"/>
          <c:yMode val="edge"/>
          <c:x val="0.19293518357053749"/>
          <c:y val="1.8079096045197741E-2"/>
        </c:manualLayout>
      </c:layout>
      <c:overlay val="0"/>
      <c:spPr>
        <a:noFill/>
        <a:ln w="25401">
          <a:noFill/>
        </a:ln>
      </c:spPr>
    </c:title>
    <c:autoTitleDeleted val="0"/>
    <c:plotArea>
      <c:layout>
        <c:manualLayout>
          <c:layoutTarget val="inner"/>
          <c:xMode val="edge"/>
          <c:yMode val="edge"/>
          <c:x val="6.5218593237975395E-2"/>
          <c:y val="0.16983701887563499"/>
          <c:w val="0.91308515429654102"/>
          <c:h val="0.51024849411809203"/>
        </c:manualLayout>
      </c:layout>
      <c:barChart>
        <c:barDir val="col"/>
        <c:grouping val="stacked"/>
        <c:varyColors val="0"/>
        <c:ser>
          <c:idx val="0"/>
          <c:order val="0"/>
          <c:tx>
            <c:strRef>
              <c:f>Sheet1!$B$1</c:f>
              <c:strCache>
                <c:ptCount val="1"/>
                <c:pt idx="0">
                  <c:v>Opioid Deaths</c:v>
                </c:pt>
              </c:strCache>
            </c:strRef>
          </c:tx>
          <c:invertIfNegative val="0"/>
          <c:dLbls>
            <c:spPr>
              <a:noFill/>
              <a:ln w="25401">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a month</c:v>
                </c:pt>
                <c:pt idx="1">
                  <c:v>31-91 days</c:v>
                </c:pt>
                <c:pt idx="2">
                  <c:v>91-181 days</c:v>
                </c:pt>
                <c:pt idx="3">
                  <c:v>more than 6 month</c:v>
                </c:pt>
              </c:strCache>
            </c:strRef>
          </c:cat>
          <c:val>
            <c:numRef>
              <c:f>Sheet1!$B$2:$B$5</c:f>
              <c:numCache>
                <c:formatCode>0.0%</c:formatCode>
                <c:ptCount val="4"/>
                <c:pt idx="0">
                  <c:v>0.25600000000000001</c:v>
                </c:pt>
                <c:pt idx="1">
                  <c:v>0.14899999999999999</c:v>
                </c:pt>
                <c:pt idx="2">
                  <c:v>0.27300000000000002</c:v>
                </c:pt>
                <c:pt idx="3">
                  <c:v>0.32200000000000001</c:v>
                </c:pt>
              </c:numCache>
            </c:numRef>
          </c:val>
        </c:ser>
        <c:ser>
          <c:idx val="1"/>
          <c:order val="1"/>
          <c:tx>
            <c:strRef>
              <c:f>Sheet1!$C$1</c:f>
              <c:strCache>
                <c:ptCount val="1"/>
                <c:pt idx="0">
                  <c:v>Other Deaths</c:v>
                </c:pt>
              </c:strCache>
            </c:strRef>
          </c:tx>
          <c:invertIfNegative val="0"/>
          <c:dLbls>
            <c:dLbl>
              <c:idx val="0"/>
              <c:spPr>
                <a:noFill/>
                <a:ln w="25401">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spPr>
                <a:noFill/>
                <a:ln w="25401">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spPr>
                <a:noFill/>
                <a:ln w="25401">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spPr>
                <a:noFill/>
                <a:ln w="25401">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Sheet1!$A$2:$A$5</c:f>
              <c:strCache>
                <c:ptCount val="4"/>
                <c:pt idx="0">
                  <c:v>less than a month</c:v>
                </c:pt>
                <c:pt idx="1">
                  <c:v>31-91 days</c:v>
                </c:pt>
                <c:pt idx="2">
                  <c:v>91-181 days</c:v>
                </c:pt>
                <c:pt idx="3">
                  <c:v>more than 6 month</c:v>
                </c:pt>
              </c:strCache>
            </c:strRef>
          </c:cat>
          <c:val>
            <c:numRef>
              <c:f>Sheet1!$C$2:$C$5</c:f>
              <c:numCache>
                <c:formatCode>0.0%</c:formatCode>
                <c:ptCount val="4"/>
                <c:pt idx="0">
                  <c:v>0.33100000000000002</c:v>
                </c:pt>
                <c:pt idx="1">
                  <c:v>0.14499999999999999</c:v>
                </c:pt>
                <c:pt idx="2">
                  <c:v>0.157</c:v>
                </c:pt>
                <c:pt idx="3">
                  <c:v>0.36699999999999999</c:v>
                </c:pt>
              </c:numCache>
            </c:numRef>
          </c:val>
        </c:ser>
        <c:dLbls>
          <c:showLegendKey val="0"/>
          <c:showVal val="0"/>
          <c:showCatName val="0"/>
          <c:showSerName val="0"/>
          <c:showPercent val="0"/>
          <c:showBubbleSize val="0"/>
        </c:dLbls>
        <c:gapWidth val="75"/>
        <c:overlap val="100"/>
        <c:axId val="127906944"/>
        <c:axId val="127908480"/>
      </c:barChart>
      <c:catAx>
        <c:axId val="127906944"/>
        <c:scaling>
          <c:orientation val="minMax"/>
        </c:scaling>
        <c:delete val="0"/>
        <c:axPos val="b"/>
        <c:numFmt formatCode="General" sourceLinked="0"/>
        <c:majorTickMark val="none"/>
        <c:minorTickMark val="none"/>
        <c:tickLblPos val="nextTo"/>
        <c:crossAx val="127908480"/>
        <c:crosses val="autoZero"/>
        <c:auto val="1"/>
        <c:lblAlgn val="ctr"/>
        <c:lblOffset val="100"/>
        <c:noMultiLvlLbl val="0"/>
      </c:catAx>
      <c:valAx>
        <c:axId val="127908480"/>
        <c:scaling>
          <c:orientation val="minMax"/>
        </c:scaling>
        <c:delete val="0"/>
        <c:axPos val="l"/>
        <c:majorGridlines/>
        <c:numFmt formatCode="0%" sourceLinked="0"/>
        <c:majorTickMark val="none"/>
        <c:minorTickMark val="none"/>
        <c:tickLblPos val="nextTo"/>
        <c:crossAx val="127906944"/>
        <c:crosses val="autoZero"/>
        <c:crossBetween val="between"/>
      </c:valAx>
    </c:plotArea>
    <c:legend>
      <c:legendPos val="b"/>
      <c:layout>
        <c:manualLayout>
          <c:xMode val="edge"/>
          <c:yMode val="edge"/>
          <c:x val="0.138431010455941"/>
          <c:y val="0.81488225943588"/>
          <c:w val="0.74001179819949203"/>
          <c:h val="4.0299434401685701E-2"/>
        </c:manualLayout>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a:pPr>
            <a:r>
              <a:rPr lang="en-US" sz="1200"/>
              <a:t>Figure C.6: BSAS Addiction Treatment </a:t>
            </a:r>
            <a:r>
              <a:rPr lang="en-US" sz="1200" b="1" i="0" u="none" strike="noStrike" baseline="0">
                <a:effectLst/>
              </a:rPr>
              <a:t>(2011-2014) </a:t>
            </a:r>
            <a:r>
              <a:rPr lang="en-US" sz="1200"/>
              <a:t>Clients and Deaths</a:t>
            </a:r>
            <a:r>
              <a:rPr lang="en-US" sz="1200" baseline="0"/>
              <a:t> (2013-2014)</a:t>
            </a:r>
            <a:endParaRPr lang="en-US" sz="1200"/>
          </a:p>
        </c:rich>
      </c:tx>
      <c:overlay val="0"/>
      <c:spPr>
        <a:noFill/>
        <a:ln w="25400">
          <a:noFill/>
        </a:ln>
      </c:spPr>
    </c:title>
    <c:autoTitleDeleted val="0"/>
    <c:plotArea>
      <c:layout>
        <c:manualLayout>
          <c:layoutTarget val="inner"/>
          <c:xMode val="edge"/>
          <c:yMode val="edge"/>
          <c:x val="1.9933780700641401E-2"/>
          <c:y val="0.145290779624769"/>
          <c:w val="0.89526976504039202"/>
          <c:h val="0.75606195926898001"/>
        </c:manualLayout>
      </c:layout>
      <c:ofPieChart>
        <c:ofPieType val="bar"/>
        <c:varyColors val="1"/>
        <c:ser>
          <c:idx val="0"/>
          <c:order val="0"/>
          <c:tx>
            <c:strRef>
              <c:f>Sheet1!$B$1</c:f>
              <c:strCache>
                <c:ptCount val="1"/>
                <c:pt idx="0">
                  <c:v>Treatment Clients</c:v>
                </c:pt>
              </c:strCache>
            </c:strRef>
          </c:tx>
          <c:explosion val="15"/>
          <c:dPt>
            <c:idx val="0"/>
            <c:bubble3D val="0"/>
            <c:explosion val="39"/>
          </c:dPt>
          <c:dPt>
            <c:idx val="1"/>
            <c:bubble3D val="0"/>
          </c:dPt>
          <c:dPt>
            <c:idx val="2"/>
            <c:bubble3D val="0"/>
          </c:dPt>
          <c:dPt>
            <c:idx val="3"/>
            <c:bubble3D val="0"/>
          </c:dPt>
          <c:dPt>
            <c:idx val="4"/>
            <c:bubble3D val="0"/>
          </c:dPt>
          <c:dLbls>
            <c:dLbl>
              <c:idx val="0"/>
              <c:tx>
                <c:rich>
                  <a:bodyPr/>
                  <a:lstStyle/>
                  <a:p>
                    <a:pPr>
                      <a:defRPr>
                        <a:solidFill>
                          <a:schemeClr val="bg1"/>
                        </a:solidFill>
                      </a:defRPr>
                    </a:pPr>
                    <a:r>
                      <a:rPr lang="en-US">
                        <a:solidFill>
                          <a:schemeClr val="bg1"/>
                        </a:solidFill>
                      </a:rPr>
                      <a:t>Other Clients
146,519
98%</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2"/>
              <c:layout>
                <c:manualLayout>
                  <c:x val="0"/>
                  <c:y val="-1.41843971631206E-2"/>
                </c:manualLayout>
              </c:layout>
              <c:tx>
                <c:rich>
                  <a:bodyPr/>
                  <a:lstStyle/>
                  <a:p>
                    <a:pPr>
                      <a:defRPr/>
                    </a:pPr>
                    <a:r>
                      <a:rPr lang="en-US"/>
                      <a:t>Clients who died of chronic or other cause
1,806
</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3"/>
              <c:layout>
                <c:manualLayout>
                  <c:x val="2.2061081750378302E-3"/>
                  <c:y val="7.4005216205942706E-2"/>
                </c:manualLayout>
              </c:layout>
              <c:tx>
                <c:rich>
                  <a:bodyPr/>
                  <a:lstStyle/>
                  <a:p>
                    <a:pPr>
                      <a:defRPr/>
                    </a:pPr>
                    <a:r>
                      <a:rPr lang="en-US"/>
                      <a:t>Clients who died of opioid-related overdose 
1,026
</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4"/>
              <c:layout>
                <c:manualLayout>
                  <c:x val="-0.110704752639511"/>
                  <c:y val="-0.24061512951024699"/>
                </c:manualLayout>
              </c:layout>
              <c:tx>
                <c:rich>
                  <a:bodyPr/>
                  <a:lstStyle/>
                  <a:p>
                    <a:pPr>
                      <a:defRPr/>
                    </a:pPr>
                    <a:r>
                      <a:rPr lang="en-US" sz="900"/>
                      <a:t>Clients who died</a:t>
                    </a:r>
                    <a:r>
                      <a:rPr lang="en-US" sz="900" baseline="0"/>
                      <a:t> </a:t>
                    </a:r>
                    <a:r>
                      <a:rPr lang="en-US" sz="900"/>
                      <a:t>
2%</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Lst>
            </c:dLbl>
            <c:spPr>
              <a:noFill/>
              <a:ln w="25400">
                <a:noFill/>
              </a:ln>
            </c:spPr>
            <c:dLblPos val="bestFit"/>
            <c:showLegendKey val="0"/>
            <c:showVal val="0"/>
            <c:showCatName val="1"/>
            <c:showSerName val="0"/>
            <c:showPercent val="1"/>
            <c:showBubbleSize val="0"/>
            <c:showLeaderLines val="1"/>
            <c:extLst>
              <c:ext xmlns:c15="http://schemas.microsoft.com/office/drawing/2012/chart" uri="{CE6537A1-D6FC-4f65-9D91-7224C49458BB}"/>
            </c:extLst>
          </c:dLbls>
          <c:cat>
            <c:strRef>
              <c:f>Sheet1!$A$2:$A$5</c:f>
              <c:strCache>
                <c:ptCount val="4"/>
                <c:pt idx="0">
                  <c:v>Other Clients</c:v>
                </c:pt>
                <c:pt idx="2">
                  <c:v>Clients who died of chronic or other cause</c:v>
                </c:pt>
                <c:pt idx="3">
                  <c:v>Clients who died of opioid-related overdose deaths</c:v>
                </c:pt>
              </c:strCache>
            </c:strRef>
          </c:cat>
          <c:val>
            <c:numRef>
              <c:f>Sheet1!$B$2:$B$5</c:f>
              <c:numCache>
                <c:formatCode>General</c:formatCode>
                <c:ptCount val="4"/>
                <c:pt idx="0">
                  <c:v>146519</c:v>
                </c:pt>
                <c:pt idx="2">
                  <c:v>1806</c:v>
                </c:pt>
                <c:pt idx="3">
                  <c:v>1026</c:v>
                </c:pt>
              </c:numCache>
            </c:numRef>
          </c:val>
        </c:ser>
        <c:dLbls>
          <c:showLegendKey val="0"/>
          <c:showVal val="0"/>
          <c:showCatName val="1"/>
          <c:showSerName val="0"/>
          <c:showPercent val="1"/>
          <c:showBubbleSize val="0"/>
          <c:showLeaderLines val="1"/>
        </c:dLbls>
        <c:gapWidth val="100"/>
        <c:secondPieSize val="75"/>
        <c:serLines/>
      </c:ofPieChart>
      <c:spPr>
        <a:noFill/>
        <a:ln w="25400">
          <a:noFill/>
        </a:ln>
      </c:spPr>
    </c:plotArea>
    <c:plotVisOnly val="1"/>
    <c:dispBlanksAs val="zero"/>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0.12341</cdr:x>
      <cdr:y>0.90746</cdr:y>
    </cdr:from>
    <cdr:to>
      <cdr:x>0.7768</cdr:x>
      <cdr:y>0.98538</cdr:y>
    </cdr:to>
    <cdr:sp macro="" textlink="">
      <cdr:nvSpPr>
        <cdr:cNvPr id="2" name="TextBox 1"/>
        <cdr:cNvSpPr txBox="1"/>
      </cdr:nvSpPr>
      <cdr:spPr>
        <a:xfrm xmlns:a="http://schemas.openxmlformats.org/drawingml/2006/main">
          <a:off x="559215" y="3153169"/>
          <a:ext cx="2960745" cy="2707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19.9 million</a:t>
          </a:r>
          <a:r>
            <a:rPr lang="en-US" sz="1100" baseline="0"/>
            <a:t> needing but not receiving </a:t>
          </a:r>
          <a:r>
            <a:rPr lang="en-US" sz="1100" baseline="0">
              <a:solidFill>
                <a:sysClr val="windowText" lastClr="000000"/>
              </a:solidFill>
            </a:rPr>
            <a:t>tr</a:t>
          </a:r>
          <a:r>
            <a:rPr lang="en-US" sz="1100" baseline="0"/>
            <a:t>eatment</a:t>
          </a:r>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0.23106</cdr:x>
      <cdr:y>0.88787</cdr:y>
    </cdr:from>
    <cdr:to>
      <cdr:x>0.75926</cdr:x>
      <cdr:y>0.99948</cdr:y>
    </cdr:to>
    <cdr:sp macro="" textlink="">
      <cdr:nvSpPr>
        <cdr:cNvPr id="2" name="Text Box 2"/>
        <cdr:cNvSpPr txBox="1">
          <a:spLocks xmlns:a="http://schemas.openxmlformats.org/drawingml/2006/main" noChangeArrowheads="1"/>
        </cdr:cNvSpPr>
      </cdr:nvSpPr>
      <cdr:spPr bwMode="auto">
        <a:xfrm xmlns:a="http://schemas.openxmlformats.org/drawingml/2006/main">
          <a:off x="1362159" y="2148065"/>
          <a:ext cx="3113919" cy="27001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US"/>
            <a:t>Total</a:t>
          </a:r>
          <a:r>
            <a:rPr lang="en-US" baseline="0"/>
            <a:t> BSAS clients N = 149,351</a:t>
          </a:r>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C7506-6EBB-41D4-9CCB-E449F6B64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27576</Words>
  <Characters>157185</Characters>
  <Application>Microsoft Office Word</Application>
  <DocSecurity>8</DocSecurity>
  <Lines>1309</Lines>
  <Paragraphs>368</Paragraphs>
  <ScaleCrop>false</ScaleCrop>
  <HeadingPairs>
    <vt:vector size="2" baseType="variant">
      <vt:variant>
        <vt:lpstr>Title</vt:lpstr>
      </vt:variant>
      <vt:variant>
        <vt:i4>1</vt:i4>
      </vt:variant>
    </vt:vector>
  </HeadingPairs>
  <TitlesOfParts>
    <vt:vector size="1" baseType="lpstr">
      <vt:lpstr>An Assessment of Opioid-Related Deaths in Massachusetts (2013 – 2014)</vt:lpstr>
    </vt:vector>
  </TitlesOfParts>
  <Company>EOHHS</Company>
  <LinksUpToDate>false</LinksUpToDate>
  <CharactersWithSpaces>184393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2016-09-28T21:04:00Z</dcterms:created>
  <dc:creator>Mangan, Thomas (DPH)</dc:creator>
  <lastModifiedBy/>
  <lastPrinted>2016-09-14T20:29:00Z</lastPrinted>
  <dcterms:modified xsi:type="dcterms:W3CDTF">2016-09-28T21:04:00Z</dcterms:modified>
  <revision>2</revision>
  <dc:title>An Assessment of Opioid-Related Deaths in Massachusetts (2013 – 2014)</dc:title>
</coreProperties>
</file>