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E837A" w14:textId="77777777" w:rsidR="003912CC" w:rsidRDefault="003912CC" w:rsidP="003912CC">
      <w:pPr>
        <w:rPr>
          <w:color w:val="000000"/>
        </w:rPr>
      </w:pPr>
    </w:p>
    <w:p w14:paraId="3A36C0A7" w14:textId="77777777" w:rsidR="003912CC" w:rsidRDefault="003912CC" w:rsidP="003912CC">
      <w:pPr>
        <w:jc w:val="both"/>
        <w:rPr>
          <w:color w:val="000000"/>
        </w:rPr>
      </w:pPr>
    </w:p>
    <w:p w14:paraId="61899EA2" w14:textId="77777777" w:rsidR="003912CC" w:rsidRDefault="003912CC" w:rsidP="003912CC">
      <w:pPr>
        <w:jc w:val="both"/>
        <w:rPr>
          <w:color w:val="000000"/>
        </w:rPr>
      </w:pPr>
    </w:p>
    <w:p w14:paraId="77979021" w14:textId="77777777" w:rsidR="003912CC" w:rsidRDefault="003912CC" w:rsidP="003912CC">
      <w:pPr>
        <w:jc w:val="both"/>
        <w:rPr>
          <w:color w:val="000000"/>
        </w:rPr>
      </w:pPr>
    </w:p>
    <w:p w14:paraId="0C8135AE" w14:textId="77777777" w:rsidR="003912CC" w:rsidRDefault="003912CC" w:rsidP="003912CC">
      <w:pPr>
        <w:tabs>
          <w:tab w:val="center" w:pos="4680"/>
        </w:tabs>
        <w:jc w:val="both"/>
        <w:rPr>
          <w:b/>
          <w:bCs/>
          <w:color w:val="000000"/>
          <w:sz w:val="36"/>
          <w:szCs w:val="36"/>
        </w:rPr>
      </w:pPr>
      <w:r>
        <w:rPr>
          <w:color w:val="000000"/>
          <w:sz w:val="36"/>
          <w:szCs w:val="36"/>
        </w:rPr>
        <w:tab/>
      </w:r>
      <w:r>
        <w:rPr>
          <w:b/>
          <w:bCs/>
          <w:color w:val="000000"/>
          <w:sz w:val="36"/>
          <w:szCs w:val="36"/>
        </w:rPr>
        <w:t>PUBLIC DISCLOSURE</w:t>
      </w:r>
    </w:p>
    <w:p w14:paraId="53F51912" w14:textId="77777777" w:rsidR="003912CC" w:rsidRDefault="003912CC" w:rsidP="003912CC">
      <w:pPr>
        <w:jc w:val="both"/>
        <w:rPr>
          <w:color w:val="000000"/>
        </w:rPr>
      </w:pPr>
    </w:p>
    <w:p w14:paraId="7CCF9E9A" w14:textId="77777777" w:rsidR="003912CC" w:rsidRDefault="003912CC" w:rsidP="003912CC">
      <w:pPr>
        <w:jc w:val="both"/>
        <w:rPr>
          <w:color w:val="000000"/>
        </w:rPr>
      </w:pPr>
    </w:p>
    <w:p w14:paraId="44047CB2" w14:textId="77777777" w:rsidR="003912CC" w:rsidRDefault="003912CC" w:rsidP="003912CC">
      <w:pPr>
        <w:jc w:val="both"/>
        <w:rPr>
          <w:color w:val="000000"/>
        </w:rPr>
      </w:pPr>
    </w:p>
    <w:p w14:paraId="7B309127" w14:textId="77777777" w:rsidR="003912CC" w:rsidRDefault="003912CC" w:rsidP="003912CC">
      <w:pPr>
        <w:jc w:val="both"/>
        <w:rPr>
          <w:color w:val="000000"/>
        </w:rPr>
      </w:pPr>
    </w:p>
    <w:p w14:paraId="113D72DE" w14:textId="2F16D564" w:rsidR="003912CC" w:rsidRDefault="003912CC" w:rsidP="003912CC">
      <w:pPr>
        <w:tabs>
          <w:tab w:val="center" w:pos="4680"/>
        </w:tabs>
        <w:jc w:val="both"/>
        <w:rPr>
          <w:color w:val="000000"/>
        </w:rPr>
      </w:pPr>
      <w:r>
        <w:rPr>
          <w:color w:val="000000"/>
          <w:sz w:val="36"/>
          <w:szCs w:val="36"/>
        </w:rPr>
        <w:tab/>
      </w:r>
      <w:r w:rsidR="002A6FAB">
        <w:rPr>
          <w:color w:val="000000"/>
        </w:rPr>
        <w:t>January 11, 2021</w:t>
      </w:r>
    </w:p>
    <w:p w14:paraId="7D6C5F20" w14:textId="77777777" w:rsidR="003912CC" w:rsidRDefault="003912CC" w:rsidP="003912CC">
      <w:pPr>
        <w:jc w:val="both"/>
        <w:rPr>
          <w:color w:val="000000"/>
        </w:rPr>
      </w:pPr>
    </w:p>
    <w:p w14:paraId="418A3C78" w14:textId="77777777" w:rsidR="003912CC" w:rsidRDefault="003912CC" w:rsidP="003912CC">
      <w:pPr>
        <w:jc w:val="both"/>
        <w:rPr>
          <w:color w:val="000000"/>
        </w:rPr>
      </w:pPr>
    </w:p>
    <w:p w14:paraId="6F3EAC85" w14:textId="77777777" w:rsidR="003912CC" w:rsidRDefault="003912CC" w:rsidP="003912CC">
      <w:pPr>
        <w:jc w:val="both"/>
        <w:rPr>
          <w:color w:val="000000"/>
        </w:rPr>
      </w:pPr>
    </w:p>
    <w:p w14:paraId="526D5DDB" w14:textId="77777777" w:rsidR="003912CC" w:rsidRDefault="003912CC" w:rsidP="003912CC">
      <w:pPr>
        <w:jc w:val="both"/>
        <w:rPr>
          <w:color w:val="000000"/>
        </w:rPr>
      </w:pPr>
    </w:p>
    <w:p w14:paraId="48B677FE" w14:textId="77777777" w:rsidR="003912CC" w:rsidRDefault="003912CC" w:rsidP="003912CC">
      <w:pPr>
        <w:tabs>
          <w:tab w:val="center" w:pos="4680"/>
        </w:tabs>
        <w:jc w:val="both"/>
        <w:rPr>
          <w:b/>
          <w:bCs/>
          <w:color w:val="000000"/>
          <w:sz w:val="36"/>
          <w:szCs w:val="36"/>
        </w:rPr>
      </w:pPr>
      <w:r>
        <w:rPr>
          <w:color w:val="000000"/>
        </w:rPr>
        <w:tab/>
      </w:r>
      <w:r>
        <w:rPr>
          <w:b/>
          <w:bCs/>
          <w:color w:val="000000"/>
          <w:sz w:val="36"/>
          <w:szCs w:val="36"/>
        </w:rPr>
        <w:t>COMMUNITY REINVESTMENT ACT</w:t>
      </w:r>
    </w:p>
    <w:p w14:paraId="1B263885" w14:textId="77777777" w:rsidR="003912CC" w:rsidRDefault="003912CC" w:rsidP="003912CC">
      <w:pPr>
        <w:tabs>
          <w:tab w:val="center" w:pos="4680"/>
        </w:tabs>
        <w:jc w:val="both"/>
        <w:rPr>
          <w:color w:val="000000"/>
          <w:sz w:val="36"/>
          <w:szCs w:val="36"/>
        </w:rPr>
      </w:pPr>
      <w:r>
        <w:rPr>
          <w:b/>
          <w:bCs/>
          <w:color w:val="000000"/>
          <w:sz w:val="36"/>
          <w:szCs w:val="36"/>
        </w:rPr>
        <w:tab/>
        <w:t>PERFORMANCE EVALUATION</w:t>
      </w:r>
    </w:p>
    <w:p w14:paraId="245319B7" w14:textId="77777777" w:rsidR="003912CC" w:rsidRDefault="003912CC" w:rsidP="003912CC">
      <w:pPr>
        <w:rPr>
          <w:color w:val="000000"/>
        </w:rPr>
      </w:pPr>
    </w:p>
    <w:p w14:paraId="230E3B54" w14:textId="77777777" w:rsidR="003912CC" w:rsidRDefault="003912CC" w:rsidP="003912CC">
      <w:pPr>
        <w:tabs>
          <w:tab w:val="center" w:pos="4680"/>
        </w:tabs>
        <w:rPr>
          <w:color w:val="000000"/>
        </w:rPr>
      </w:pPr>
    </w:p>
    <w:p w14:paraId="7406C1AE" w14:textId="77777777" w:rsidR="003912CC" w:rsidRDefault="003912CC" w:rsidP="003912CC">
      <w:pPr>
        <w:rPr>
          <w:color w:val="000000"/>
        </w:rPr>
      </w:pPr>
    </w:p>
    <w:p w14:paraId="42412AF2" w14:textId="2E0D500A" w:rsidR="003912CC" w:rsidRPr="00AB3CB4" w:rsidRDefault="003912CC" w:rsidP="003912CC">
      <w:pPr>
        <w:tabs>
          <w:tab w:val="center" w:pos="4680"/>
        </w:tabs>
        <w:jc w:val="both"/>
        <w:rPr>
          <w:color w:val="000000"/>
        </w:rPr>
      </w:pPr>
      <w:r>
        <w:rPr>
          <w:b/>
          <w:bCs/>
          <w:color w:val="000000"/>
        </w:rPr>
        <w:tab/>
      </w:r>
      <w:r w:rsidR="002A6FAB">
        <w:rPr>
          <w:color w:val="000000"/>
        </w:rPr>
        <w:t>Leominster</w:t>
      </w:r>
      <w:r w:rsidR="00AB3CB4" w:rsidRPr="00AB3CB4">
        <w:rPr>
          <w:color w:val="000000"/>
        </w:rPr>
        <w:t xml:space="preserve"> </w:t>
      </w:r>
      <w:r w:rsidR="0017641A" w:rsidRPr="00AB3CB4">
        <w:rPr>
          <w:color w:val="000000"/>
        </w:rPr>
        <w:t>Credit Union</w:t>
      </w:r>
    </w:p>
    <w:p w14:paraId="59194DC5" w14:textId="56494D2B" w:rsidR="003912CC" w:rsidRPr="00AB3CB4" w:rsidRDefault="0017641A" w:rsidP="003912CC">
      <w:pPr>
        <w:tabs>
          <w:tab w:val="center" w:pos="4680"/>
        </w:tabs>
        <w:jc w:val="both"/>
        <w:rPr>
          <w:color w:val="000000"/>
        </w:rPr>
      </w:pPr>
      <w:r w:rsidRPr="00AB3CB4">
        <w:rPr>
          <w:color w:val="000000"/>
        </w:rPr>
        <w:tab/>
        <w:t xml:space="preserve">Certificate Number: </w:t>
      </w:r>
      <w:r w:rsidR="002A6FAB">
        <w:rPr>
          <w:color w:val="000000"/>
        </w:rPr>
        <w:t>66699</w:t>
      </w:r>
    </w:p>
    <w:p w14:paraId="3AC95FD3" w14:textId="710299D3" w:rsidR="003912CC" w:rsidRPr="00AB3CB4" w:rsidRDefault="00AB3CB4" w:rsidP="003912CC">
      <w:pPr>
        <w:tabs>
          <w:tab w:val="center" w:pos="4680"/>
        </w:tabs>
        <w:jc w:val="both"/>
        <w:rPr>
          <w:color w:val="000000"/>
        </w:rPr>
      </w:pPr>
      <w:r w:rsidRPr="00AB3CB4">
        <w:rPr>
          <w:color w:val="000000"/>
        </w:rPr>
        <w:tab/>
      </w:r>
      <w:r w:rsidR="002A6FAB">
        <w:rPr>
          <w:color w:val="000000"/>
        </w:rPr>
        <w:t>20 Adams St</w:t>
      </w:r>
    </w:p>
    <w:p w14:paraId="5A6DF2A6" w14:textId="07566D3E" w:rsidR="003912CC" w:rsidRDefault="00AB3CB4" w:rsidP="003912CC">
      <w:pPr>
        <w:tabs>
          <w:tab w:val="center" w:pos="4680"/>
        </w:tabs>
        <w:jc w:val="both"/>
      </w:pPr>
      <w:r w:rsidRPr="00AB3CB4">
        <w:rPr>
          <w:color w:val="000000"/>
        </w:rPr>
        <w:tab/>
      </w:r>
      <w:r w:rsidR="002A6FAB">
        <w:rPr>
          <w:color w:val="000000"/>
        </w:rPr>
        <w:t>Leominster</w:t>
      </w:r>
      <w:r w:rsidR="003912CC" w:rsidRPr="00AB3CB4">
        <w:rPr>
          <w:color w:val="000000"/>
        </w:rPr>
        <w:t xml:space="preserve">, </w:t>
      </w:r>
      <w:r w:rsidRPr="00AB3CB4">
        <w:rPr>
          <w:color w:val="000000"/>
        </w:rPr>
        <w:t>Massachusetts 01</w:t>
      </w:r>
      <w:r w:rsidR="002A6FAB">
        <w:rPr>
          <w:color w:val="000000"/>
        </w:rPr>
        <w:t>453</w:t>
      </w:r>
    </w:p>
    <w:p w14:paraId="4702B1B5" w14:textId="77777777" w:rsidR="003912CC" w:rsidRDefault="003912CC" w:rsidP="003912CC">
      <w:pPr>
        <w:tabs>
          <w:tab w:val="center" w:pos="4680"/>
        </w:tabs>
        <w:rPr>
          <w:color w:val="000000"/>
        </w:rPr>
      </w:pPr>
    </w:p>
    <w:p w14:paraId="4D6839B4" w14:textId="77777777" w:rsidR="003912CC" w:rsidRDefault="003912CC" w:rsidP="003912CC">
      <w:pPr>
        <w:tabs>
          <w:tab w:val="center" w:pos="4680"/>
        </w:tabs>
        <w:rPr>
          <w:color w:val="000000"/>
        </w:rPr>
      </w:pPr>
    </w:p>
    <w:p w14:paraId="327A9D23" w14:textId="77777777" w:rsidR="003912CC" w:rsidRDefault="003912CC" w:rsidP="003912CC">
      <w:pPr>
        <w:tabs>
          <w:tab w:val="center" w:pos="4680"/>
        </w:tabs>
        <w:rPr>
          <w:color w:val="000000"/>
        </w:rPr>
      </w:pPr>
    </w:p>
    <w:tbl>
      <w:tblPr>
        <w:tblpPr w:leftFromText="180" w:rightFromText="180" w:vertAnchor="text" w:horzAnchor="page" w:tblpX="4333" w:tblpY="116"/>
        <w:tblW w:w="0" w:type="dxa"/>
        <w:tblLayout w:type="fixed"/>
        <w:tblLook w:val="01E0" w:firstRow="1" w:lastRow="1" w:firstColumn="1" w:lastColumn="1" w:noHBand="0" w:noVBand="0"/>
      </w:tblPr>
      <w:tblGrid>
        <w:gridCol w:w="3733"/>
        <w:gridCol w:w="3734"/>
      </w:tblGrid>
      <w:tr w:rsidR="003912CC" w14:paraId="31CC6553" w14:textId="77777777" w:rsidTr="003912CC">
        <w:trPr>
          <w:cantSplit/>
          <w:trHeight w:val="269"/>
        </w:trPr>
        <w:tc>
          <w:tcPr>
            <w:tcW w:w="3733" w:type="dxa"/>
            <w:hideMark/>
          </w:tcPr>
          <w:p w14:paraId="24EB0D07" w14:textId="77777777" w:rsidR="003912CC" w:rsidRDefault="003912CC">
            <w:pPr>
              <w:tabs>
                <w:tab w:val="left" w:pos="360"/>
                <w:tab w:val="left" w:pos="840"/>
                <w:tab w:val="left" w:pos="6720"/>
              </w:tabs>
              <w:suppressAutoHyphens/>
              <w:jc w:val="center"/>
              <w:rPr>
                <w:spacing w:val="-3"/>
              </w:rPr>
            </w:pPr>
            <w:r>
              <w:rPr>
                <w:spacing w:val="-3"/>
              </w:rPr>
              <w:t>Division of Banks</w:t>
            </w:r>
          </w:p>
        </w:tc>
        <w:tc>
          <w:tcPr>
            <w:tcW w:w="3734" w:type="dxa"/>
          </w:tcPr>
          <w:p w14:paraId="685F79B1" w14:textId="77777777" w:rsidR="003912CC" w:rsidRDefault="003912CC">
            <w:pPr>
              <w:tabs>
                <w:tab w:val="left" w:pos="360"/>
                <w:tab w:val="left" w:pos="840"/>
                <w:tab w:val="left" w:pos="6720"/>
              </w:tabs>
              <w:suppressAutoHyphens/>
              <w:jc w:val="center"/>
              <w:rPr>
                <w:spacing w:val="-3"/>
              </w:rPr>
            </w:pPr>
          </w:p>
        </w:tc>
      </w:tr>
      <w:tr w:rsidR="003912CC" w14:paraId="16BEB11B" w14:textId="77777777" w:rsidTr="003912CC">
        <w:trPr>
          <w:cantSplit/>
          <w:trHeight w:val="284"/>
        </w:trPr>
        <w:tc>
          <w:tcPr>
            <w:tcW w:w="3733" w:type="dxa"/>
            <w:hideMark/>
          </w:tcPr>
          <w:p w14:paraId="0957FBD2" w14:textId="77777777" w:rsidR="003912CC" w:rsidRDefault="003912CC">
            <w:pPr>
              <w:tabs>
                <w:tab w:val="left" w:pos="360"/>
                <w:tab w:val="left" w:pos="840"/>
                <w:tab w:val="left" w:pos="6720"/>
              </w:tabs>
              <w:suppressAutoHyphens/>
              <w:jc w:val="center"/>
              <w:rPr>
                <w:spacing w:val="-3"/>
              </w:rPr>
            </w:pPr>
            <w:r>
              <w:rPr>
                <w:spacing w:val="-3"/>
              </w:rPr>
              <w:t>1000 Washington Street, 10</w:t>
            </w:r>
            <w:r>
              <w:rPr>
                <w:spacing w:val="-3"/>
                <w:vertAlign w:val="superscript"/>
              </w:rPr>
              <w:t>th</w:t>
            </w:r>
            <w:r>
              <w:rPr>
                <w:spacing w:val="-3"/>
              </w:rPr>
              <w:t xml:space="preserve"> Floor</w:t>
            </w:r>
          </w:p>
        </w:tc>
        <w:tc>
          <w:tcPr>
            <w:tcW w:w="3734" w:type="dxa"/>
          </w:tcPr>
          <w:p w14:paraId="0F645287" w14:textId="77777777" w:rsidR="003912CC" w:rsidRDefault="003912CC">
            <w:pPr>
              <w:tabs>
                <w:tab w:val="left" w:pos="360"/>
                <w:tab w:val="left" w:pos="840"/>
                <w:tab w:val="left" w:pos="6720"/>
              </w:tabs>
              <w:suppressAutoHyphens/>
              <w:jc w:val="center"/>
              <w:rPr>
                <w:spacing w:val="-3"/>
              </w:rPr>
            </w:pPr>
          </w:p>
        </w:tc>
      </w:tr>
      <w:tr w:rsidR="003912CC" w14:paraId="532ABA20" w14:textId="77777777" w:rsidTr="003912CC">
        <w:trPr>
          <w:cantSplit/>
          <w:trHeight w:val="269"/>
        </w:trPr>
        <w:tc>
          <w:tcPr>
            <w:tcW w:w="3733" w:type="dxa"/>
            <w:hideMark/>
          </w:tcPr>
          <w:p w14:paraId="2C9D04CB" w14:textId="77777777" w:rsidR="003912CC" w:rsidRDefault="003912CC">
            <w:pPr>
              <w:tabs>
                <w:tab w:val="left" w:pos="360"/>
                <w:tab w:val="left" w:pos="840"/>
                <w:tab w:val="left" w:pos="6720"/>
              </w:tabs>
              <w:suppressAutoHyphens/>
              <w:jc w:val="center"/>
              <w:rPr>
                <w:spacing w:val="-3"/>
              </w:rPr>
            </w:pPr>
            <w:r>
              <w:rPr>
                <w:spacing w:val="-3"/>
              </w:rPr>
              <w:t>Boston, Massachusetts 02118</w:t>
            </w:r>
          </w:p>
        </w:tc>
        <w:tc>
          <w:tcPr>
            <w:tcW w:w="3734" w:type="dxa"/>
          </w:tcPr>
          <w:p w14:paraId="1ECDAB20" w14:textId="77777777" w:rsidR="003912CC" w:rsidRDefault="003912CC">
            <w:pPr>
              <w:tabs>
                <w:tab w:val="left" w:pos="360"/>
                <w:tab w:val="left" w:pos="840"/>
                <w:tab w:val="left" w:pos="6720"/>
              </w:tabs>
              <w:suppressAutoHyphens/>
              <w:jc w:val="center"/>
              <w:rPr>
                <w:spacing w:val="-3"/>
              </w:rPr>
            </w:pPr>
          </w:p>
        </w:tc>
      </w:tr>
    </w:tbl>
    <w:p w14:paraId="29332CC0" w14:textId="77777777" w:rsidR="003912CC" w:rsidRDefault="003912CC" w:rsidP="003912CC">
      <w:pPr>
        <w:rPr>
          <w:color w:val="000000"/>
        </w:rPr>
      </w:pPr>
    </w:p>
    <w:p w14:paraId="2B489466" w14:textId="77777777" w:rsidR="003912CC" w:rsidRDefault="003912CC" w:rsidP="003912CC">
      <w:pPr>
        <w:tabs>
          <w:tab w:val="left" w:pos="-1440"/>
        </w:tabs>
        <w:ind w:left="1440" w:hanging="1440"/>
        <w:jc w:val="center"/>
        <w:rPr>
          <w:color w:val="000000"/>
        </w:rPr>
      </w:pPr>
    </w:p>
    <w:p w14:paraId="1A71CDF2" w14:textId="77777777" w:rsidR="003912CC" w:rsidRDefault="003912CC" w:rsidP="003912CC">
      <w:pPr>
        <w:tabs>
          <w:tab w:val="left" w:pos="-1440"/>
        </w:tabs>
        <w:ind w:left="1440" w:hanging="1440"/>
        <w:rPr>
          <w:color w:val="000000"/>
        </w:rPr>
      </w:pPr>
    </w:p>
    <w:p w14:paraId="1AF67BEE" w14:textId="77777777" w:rsidR="003912CC" w:rsidRDefault="003912CC" w:rsidP="003912CC">
      <w:pPr>
        <w:tabs>
          <w:tab w:val="left" w:pos="-1440"/>
        </w:tabs>
        <w:ind w:left="1440" w:hanging="1440"/>
        <w:rPr>
          <w:color w:val="000000"/>
        </w:rPr>
      </w:pPr>
    </w:p>
    <w:p w14:paraId="7CFD2A15" w14:textId="77777777" w:rsidR="003912CC" w:rsidRDefault="003912CC" w:rsidP="003912CC">
      <w:pPr>
        <w:tabs>
          <w:tab w:val="left" w:pos="-1440"/>
        </w:tabs>
        <w:ind w:left="1440" w:hanging="1440"/>
        <w:rPr>
          <w:color w:val="000000"/>
        </w:rPr>
      </w:pPr>
    </w:p>
    <w:p w14:paraId="1744528E" w14:textId="77777777" w:rsidR="003912CC" w:rsidRDefault="003912CC" w:rsidP="003912CC">
      <w:pPr>
        <w:tabs>
          <w:tab w:val="left" w:pos="-1440"/>
        </w:tabs>
        <w:ind w:left="1440" w:hanging="1440"/>
        <w:rPr>
          <w:color w:val="000000"/>
        </w:rPr>
      </w:pPr>
    </w:p>
    <w:p w14:paraId="331FCCDB" w14:textId="77777777" w:rsidR="003912CC" w:rsidRDefault="003912CC" w:rsidP="003912CC">
      <w:pPr>
        <w:jc w:val="both"/>
        <w:rPr>
          <w:color w:val="000000"/>
        </w:rPr>
      </w:pPr>
      <w:r>
        <w:rPr>
          <w:color w:val="000000"/>
        </w:rPr>
        <w:t>This document is an evaluation of this institution’s record of meeting the credit needs of its entire community, including low- and moderate-income neighborhoods, consistent with safe and sound operation of the institution</w:t>
      </w:r>
      <w:proofErr w:type="gramStart"/>
      <w:r>
        <w:rPr>
          <w:color w:val="000000"/>
        </w:rPr>
        <w:t>.</w:t>
      </w:r>
      <w:r>
        <w:rPr>
          <w:i/>
          <w:iCs/>
          <w:color w:val="000000"/>
        </w:rPr>
        <w:t xml:space="preserve">  </w:t>
      </w:r>
      <w:proofErr w:type="gramEnd"/>
      <w:r>
        <w:rPr>
          <w:color w:val="000000"/>
        </w:rPr>
        <w:t>This evaluation is not, nor should it be construed as, an assessment of the financial condition of this institution</w:t>
      </w:r>
      <w:proofErr w:type="gramStart"/>
      <w:r>
        <w:rPr>
          <w:color w:val="000000"/>
        </w:rPr>
        <w:t xml:space="preserve">.  </w:t>
      </w:r>
      <w:proofErr w:type="gramEnd"/>
      <w:r>
        <w:rPr>
          <w:color w:val="000000"/>
        </w:rPr>
        <w:t>The rating assigned to this institution does not represent an analysis, conclusion, or opinion of the Division of Banks concerning the safety and soundness of this financial institution.</w:t>
      </w:r>
    </w:p>
    <w:p w14:paraId="6602BB08" w14:textId="77777777" w:rsidR="003912CC" w:rsidRDefault="003912CC" w:rsidP="003912CC">
      <w:pPr>
        <w:jc w:val="both"/>
        <w:rPr>
          <w:color w:val="000000"/>
          <w:highlight w:val="yellow"/>
        </w:rPr>
      </w:pPr>
    </w:p>
    <w:p w14:paraId="11CE1B12" w14:textId="77777777" w:rsidR="003912CC" w:rsidRDefault="003912CC" w:rsidP="003912CC">
      <w:pPr>
        <w:jc w:val="both"/>
        <w:rPr>
          <w:color w:val="000000"/>
          <w:highlight w:val="yellow"/>
        </w:rPr>
      </w:pPr>
    </w:p>
    <w:p w14:paraId="2AF12A01" w14:textId="77777777" w:rsidR="003912CC" w:rsidRDefault="003912CC" w:rsidP="003912CC">
      <w:pPr>
        <w:jc w:val="both"/>
        <w:rPr>
          <w:color w:val="000000"/>
          <w:highlight w:val="yellow"/>
        </w:rPr>
      </w:pPr>
    </w:p>
    <w:p w14:paraId="00E51F24" w14:textId="77777777" w:rsidR="003912CC" w:rsidRDefault="003912CC" w:rsidP="003912CC">
      <w:pPr>
        <w:tabs>
          <w:tab w:val="left" w:pos="-1440"/>
        </w:tabs>
        <w:jc w:val="center"/>
        <w:rPr>
          <w:b/>
          <w:bCs/>
          <w:sz w:val="28"/>
          <w:szCs w:val="28"/>
          <w:highlight w:val="yellow"/>
        </w:rPr>
      </w:pPr>
    </w:p>
    <w:p w14:paraId="70E85316" w14:textId="77777777" w:rsidR="003912CC" w:rsidRDefault="003912CC" w:rsidP="003912CC">
      <w:pPr>
        <w:tabs>
          <w:tab w:val="left" w:pos="-1440"/>
        </w:tabs>
        <w:jc w:val="center"/>
        <w:rPr>
          <w:b/>
          <w:bCs/>
          <w:sz w:val="28"/>
          <w:szCs w:val="28"/>
          <w:highlight w:val="yellow"/>
        </w:rPr>
      </w:pPr>
    </w:p>
    <w:p w14:paraId="1BC856E0" w14:textId="77777777" w:rsidR="007A53A5" w:rsidRDefault="007A53A5">
      <w:pPr>
        <w:spacing w:after="160" w:line="259" w:lineRule="auto"/>
        <w:rPr>
          <w:b/>
          <w:bCs/>
          <w:sz w:val="28"/>
          <w:szCs w:val="28"/>
          <w:highlight w:val="yellow"/>
        </w:rPr>
      </w:pPr>
      <w:r>
        <w:rPr>
          <w:b/>
          <w:bCs/>
          <w:sz w:val="28"/>
          <w:szCs w:val="28"/>
          <w:highlight w:val="yellow"/>
        </w:rPr>
        <w:br w:type="page"/>
      </w:r>
    </w:p>
    <w:p w14:paraId="6FB99355" w14:textId="77777777" w:rsidR="003912CC" w:rsidRDefault="003912CC" w:rsidP="003912CC">
      <w:pPr>
        <w:tabs>
          <w:tab w:val="left" w:pos="-1440"/>
        </w:tabs>
        <w:jc w:val="center"/>
        <w:rPr>
          <w:b/>
          <w:bCs/>
          <w:sz w:val="28"/>
          <w:szCs w:val="28"/>
          <w:highlight w:val="yellow"/>
        </w:rPr>
      </w:pPr>
    </w:p>
    <w:p w14:paraId="3D561A6A" w14:textId="77777777" w:rsidR="003912CC" w:rsidRDefault="003912CC" w:rsidP="003912CC">
      <w:pPr>
        <w:tabs>
          <w:tab w:val="left" w:pos="-1440"/>
        </w:tabs>
        <w:jc w:val="center"/>
        <w:rPr>
          <w:b/>
          <w:bCs/>
          <w:sz w:val="28"/>
          <w:szCs w:val="28"/>
        </w:rPr>
      </w:pPr>
      <w:r>
        <w:rPr>
          <w:b/>
          <w:bCs/>
          <w:sz w:val="28"/>
          <w:szCs w:val="28"/>
        </w:rPr>
        <w:t>TABLE OF CONTENTS</w:t>
      </w:r>
    </w:p>
    <w:p w14:paraId="2B403C23" w14:textId="77777777" w:rsidR="003912CC" w:rsidRDefault="0090338F" w:rsidP="0090338F">
      <w:pPr>
        <w:tabs>
          <w:tab w:val="left" w:pos="-1440"/>
          <w:tab w:val="left" w:pos="5893"/>
        </w:tabs>
        <w:rPr>
          <w:b/>
          <w:bCs/>
          <w:sz w:val="28"/>
          <w:szCs w:val="28"/>
        </w:rPr>
      </w:pPr>
      <w:r>
        <w:rPr>
          <w:b/>
          <w:bCs/>
          <w:sz w:val="28"/>
          <w:szCs w:val="28"/>
        </w:rPr>
        <w:tab/>
      </w:r>
    </w:p>
    <w:p w14:paraId="5A4FC635" w14:textId="77777777" w:rsidR="003912CC" w:rsidRDefault="003912CC" w:rsidP="003912CC">
      <w:pPr>
        <w:tabs>
          <w:tab w:val="left" w:pos="-1440"/>
        </w:tabs>
        <w:jc w:val="center"/>
        <w:rPr>
          <w:b/>
          <w:bCs/>
          <w:sz w:val="28"/>
          <w:szCs w:val="28"/>
        </w:rPr>
      </w:pPr>
    </w:p>
    <w:p w14:paraId="4173C1A3" w14:textId="6576E39D" w:rsidR="003912CC" w:rsidRPr="00095926" w:rsidRDefault="001A4D21" w:rsidP="003912CC">
      <w:pPr>
        <w:tabs>
          <w:tab w:val="left" w:pos="-1440"/>
          <w:tab w:val="left" w:pos="-720"/>
          <w:tab w:val="left" w:pos="0"/>
          <w:tab w:val="left" w:pos="720"/>
          <w:tab w:val="right" w:leader="dot" w:pos="9360"/>
        </w:tabs>
      </w:pPr>
      <w:r>
        <w:t>Institution Rating</w:t>
      </w:r>
      <w:r>
        <w:tab/>
        <w:t>3</w:t>
      </w:r>
    </w:p>
    <w:p w14:paraId="10D850A7" w14:textId="77777777" w:rsidR="003912CC" w:rsidRPr="00095926" w:rsidRDefault="003912CC" w:rsidP="003912CC">
      <w:pPr>
        <w:tabs>
          <w:tab w:val="left" w:pos="-1440"/>
          <w:tab w:val="left" w:pos="-720"/>
          <w:tab w:val="left" w:pos="0"/>
          <w:tab w:val="left" w:pos="720"/>
          <w:tab w:val="right" w:leader="dot" w:pos="9360"/>
        </w:tabs>
      </w:pPr>
    </w:p>
    <w:p w14:paraId="559AC041" w14:textId="071F4B78" w:rsidR="003912CC" w:rsidRPr="00095926" w:rsidRDefault="003912CC" w:rsidP="003912CC">
      <w:pPr>
        <w:tabs>
          <w:tab w:val="left" w:pos="-1440"/>
          <w:tab w:val="left" w:pos="-720"/>
          <w:tab w:val="left" w:pos="0"/>
          <w:tab w:val="left" w:pos="720"/>
          <w:tab w:val="right" w:leader="dot" w:pos="9360"/>
        </w:tabs>
      </w:pPr>
      <w:r w:rsidRPr="00095926">
        <w:t>Scope of Evaluation</w:t>
      </w:r>
      <w:r w:rsidRPr="00095926">
        <w:tab/>
      </w:r>
      <w:r w:rsidR="001A4D21">
        <w:t>4</w:t>
      </w:r>
    </w:p>
    <w:p w14:paraId="2CCE5030" w14:textId="77777777" w:rsidR="003912CC" w:rsidRPr="00095926" w:rsidRDefault="003912CC" w:rsidP="003912CC">
      <w:pPr>
        <w:tabs>
          <w:tab w:val="left" w:pos="-1440"/>
          <w:tab w:val="left" w:pos="-720"/>
          <w:tab w:val="left" w:pos="0"/>
          <w:tab w:val="left" w:pos="720"/>
          <w:tab w:val="right" w:leader="dot" w:pos="9360"/>
        </w:tabs>
      </w:pPr>
    </w:p>
    <w:p w14:paraId="01E6FB5C" w14:textId="372086BC" w:rsidR="003912CC" w:rsidRPr="00095926" w:rsidRDefault="001A4D21" w:rsidP="003912CC">
      <w:pPr>
        <w:tabs>
          <w:tab w:val="left" w:pos="-1440"/>
          <w:tab w:val="left" w:pos="-720"/>
          <w:tab w:val="left" w:pos="0"/>
          <w:tab w:val="left" w:pos="720"/>
          <w:tab w:val="right" w:leader="dot" w:pos="9360"/>
        </w:tabs>
      </w:pPr>
      <w:r>
        <w:t>Description of Institution</w:t>
      </w:r>
      <w:r>
        <w:tab/>
        <w:t>5</w:t>
      </w:r>
    </w:p>
    <w:p w14:paraId="1545BB90" w14:textId="77777777" w:rsidR="003912CC" w:rsidRPr="00095926" w:rsidRDefault="003912CC" w:rsidP="003912CC">
      <w:pPr>
        <w:tabs>
          <w:tab w:val="left" w:pos="-1440"/>
          <w:tab w:val="left" w:pos="-720"/>
          <w:tab w:val="left" w:pos="0"/>
          <w:tab w:val="left" w:pos="720"/>
          <w:tab w:val="right" w:leader="dot" w:pos="9360"/>
        </w:tabs>
      </w:pPr>
    </w:p>
    <w:p w14:paraId="2F392D33" w14:textId="5FD2A015" w:rsidR="003912CC" w:rsidRPr="00095926" w:rsidRDefault="001A4D21" w:rsidP="003912CC">
      <w:pPr>
        <w:tabs>
          <w:tab w:val="left" w:pos="-1440"/>
          <w:tab w:val="left" w:pos="-720"/>
          <w:tab w:val="left" w:pos="0"/>
          <w:tab w:val="left" w:pos="720"/>
          <w:tab w:val="right" w:leader="dot" w:pos="9360"/>
        </w:tabs>
      </w:pPr>
      <w:r>
        <w:t>Description of Assessment Area</w:t>
      </w:r>
      <w:r>
        <w:tab/>
        <w:t>7</w:t>
      </w:r>
    </w:p>
    <w:p w14:paraId="3F87DC9D" w14:textId="77777777" w:rsidR="003912CC" w:rsidRPr="00095926" w:rsidRDefault="003912CC" w:rsidP="003912CC">
      <w:pPr>
        <w:tabs>
          <w:tab w:val="left" w:pos="-1440"/>
          <w:tab w:val="left" w:pos="-720"/>
          <w:tab w:val="left" w:pos="0"/>
          <w:tab w:val="left" w:pos="720"/>
          <w:tab w:val="right" w:leader="dot" w:pos="9360"/>
        </w:tabs>
      </w:pPr>
    </w:p>
    <w:p w14:paraId="5A2739C4" w14:textId="17A8C08E" w:rsidR="003912CC" w:rsidRPr="00095926" w:rsidRDefault="003912CC" w:rsidP="003912CC">
      <w:pPr>
        <w:tabs>
          <w:tab w:val="left" w:pos="-1440"/>
          <w:tab w:val="left" w:pos="-720"/>
          <w:tab w:val="left" w:pos="0"/>
          <w:tab w:val="left" w:pos="720"/>
          <w:tab w:val="right" w:leader="dot" w:pos="9360"/>
        </w:tabs>
      </w:pPr>
      <w:r w:rsidRPr="00095926">
        <w:t>Concl</w:t>
      </w:r>
      <w:r w:rsidR="00095926" w:rsidRPr="00095926">
        <w:t>usions on Performance Criteria</w:t>
      </w:r>
      <w:r w:rsidR="00095926" w:rsidRPr="00095926">
        <w:tab/>
      </w:r>
      <w:r w:rsidR="000812C0">
        <w:t>10</w:t>
      </w:r>
    </w:p>
    <w:p w14:paraId="2DE00007" w14:textId="77777777" w:rsidR="003912CC" w:rsidRPr="00095926" w:rsidRDefault="003912CC" w:rsidP="003912CC">
      <w:pPr>
        <w:tabs>
          <w:tab w:val="left" w:pos="-1440"/>
          <w:tab w:val="left" w:pos="-720"/>
          <w:tab w:val="left" w:pos="0"/>
          <w:tab w:val="left" w:pos="720"/>
          <w:tab w:val="right" w:leader="dot" w:pos="9360"/>
        </w:tabs>
      </w:pPr>
    </w:p>
    <w:p w14:paraId="056DCEA2" w14:textId="3FEFBE6F" w:rsidR="007A53A5" w:rsidRDefault="003912CC" w:rsidP="003912CC">
      <w:pPr>
        <w:tabs>
          <w:tab w:val="left" w:pos="-1440"/>
          <w:tab w:val="left" w:pos="-720"/>
          <w:tab w:val="left" w:pos="0"/>
          <w:tab w:val="left" w:pos="720"/>
          <w:tab w:val="right" w:leader="dot" w:pos="9360"/>
        </w:tabs>
      </w:pPr>
      <w:r w:rsidRPr="00095926">
        <w:t>Glossary</w:t>
      </w:r>
      <w:r w:rsidRPr="00095926">
        <w:tab/>
      </w:r>
      <w:r w:rsidR="000812C0">
        <w:t>24</w:t>
      </w:r>
    </w:p>
    <w:p w14:paraId="609CD845" w14:textId="77777777" w:rsidR="007A53A5" w:rsidRDefault="007A53A5">
      <w:pPr>
        <w:spacing w:after="160" w:line="259" w:lineRule="auto"/>
      </w:pPr>
      <w:r>
        <w:br w:type="page"/>
      </w:r>
    </w:p>
    <w:p w14:paraId="7C21AA7A" w14:textId="77777777" w:rsidR="001D6063" w:rsidRDefault="001D6063" w:rsidP="003912CC">
      <w:pPr>
        <w:tabs>
          <w:tab w:val="left" w:pos="1260"/>
        </w:tabs>
        <w:jc w:val="center"/>
        <w:rPr>
          <w:b/>
          <w:bCs/>
          <w:iCs/>
          <w:sz w:val="28"/>
          <w:szCs w:val="28"/>
        </w:rPr>
        <w:sectPr w:rsidR="001D6063" w:rsidSect="001D6063">
          <w:footerReference w:type="default" r:id="rId8"/>
          <w:pgSz w:w="12240" w:h="15840"/>
          <w:pgMar w:top="1440" w:right="1440" w:bottom="1440" w:left="1440" w:header="720" w:footer="720" w:gutter="0"/>
          <w:pgNumType w:start="1"/>
          <w:cols w:space="720"/>
        </w:sectPr>
      </w:pPr>
    </w:p>
    <w:p w14:paraId="3295FB3D" w14:textId="77777777" w:rsidR="003912CC" w:rsidRDefault="003912CC" w:rsidP="003912CC">
      <w:pPr>
        <w:tabs>
          <w:tab w:val="left" w:pos="1260"/>
        </w:tabs>
        <w:jc w:val="center"/>
        <w:rPr>
          <w:b/>
          <w:bCs/>
          <w:iCs/>
          <w:sz w:val="28"/>
          <w:szCs w:val="28"/>
        </w:rPr>
      </w:pPr>
    </w:p>
    <w:p w14:paraId="3ED422CF" w14:textId="77777777" w:rsidR="003912CC" w:rsidRPr="003B772E" w:rsidRDefault="003912CC" w:rsidP="003912CC">
      <w:pPr>
        <w:tabs>
          <w:tab w:val="left" w:pos="1260"/>
        </w:tabs>
        <w:jc w:val="center"/>
        <w:rPr>
          <w:b/>
          <w:bCs/>
          <w:iCs/>
          <w:sz w:val="28"/>
          <w:szCs w:val="28"/>
        </w:rPr>
      </w:pPr>
      <w:r w:rsidRPr="003B772E">
        <w:rPr>
          <w:b/>
          <w:bCs/>
          <w:iCs/>
          <w:sz w:val="28"/>
          <w:szCs w:val="28"/>
        </w:rPr>
        <w:t>INSTITUTION RATING</w:t>
      </w:r>
    </w:p>
    <w:p w14:paraId="6B483C42" w14:textId="77777777" w:rsidR="003912CC" w:rsidRPr="003B772E" w:rsidRDefault="003912CC" w:rsidP="003912CC">
      <w:pPr>
        <w:pStyle w:val="Default"/>
        <w:rPr>
          <w:b/>
          <w:bCs/>
          <w:color w:val="auto"/>
        </w:rPr>
      </w:pPr>
    </w:p>
    <w:p w14:paraId="4D3CA0BE" w14:textId="35A29337" w:rsidR="003912CC" w:rsidRPr="00AB3CB4" w:rsidRDefault="003912CC" w:rsidP="00250940">
      <w:pPr>
        <w:pStyle w:val="Default"/>
        <w:jc w:val="both"/>
        <w:rPr>
          <w:color w:val="auto"/>
        </w:rPr>
      </w:pPr>
      <w:r w:rsidRPr="00AB3CB4">
        <w:rPr>
          <w:color w:val="auto"/>
        </w:rPr>
        <w:t xml:space="preserve">This document is an evaluation of the CRA performance of </w:t>
      </w:r>
      <w:r w:rsidR="002A6FAB">
        <w:rPr>
          <w:b/>
          <w:bCs/>
          <w:color w:val="auto"/>
        </w:rPr>
        <w:t>Leominster</w:t>
      </w:r>
      <w:r w:rsidR="00AB3CB4" w:rsidRPr="00AB3CB4">
        <w:rPr>
          <w:b/>
          <w:bCs/>
          <w:color w:val="auto"/>
        </w:rPr>
        <w:t xml:space="preserve"> </w:t>
      </w:r>
      <w:r w:rsidR="00BB1B65" w:rsidRPr="00AB3CB4">
        <w:rPr>
          <w:b/>
          <w:bCs/>
          <w:color w:val="auto"/>
        </w:rPr>
        <w:t>Credit Union (credit u</w:t>
      </w:r>
      <w:r w:rsidR="00A23934">
        <w:rPr>
          <w:b/>
          <w:bCs/>
          <w:color w:val="auto"/>
        </w:rPr>
        <w:t xml:space="preserve">nion) </w:t>
      </w:r>
      <w:r w:rsidRPr="00AB3CB4">
        <w:rPr>
          <w:color w:val="auto"/>
        </w:rPr>
        <w:t xml:space="preserve">prepared by the Division, the institution’s supervisory agency as of </w:t>
      </w:r>
      <w:r w:rsidR="002A6FAB">
        <w:rPr>
          <w:b/>
          <w:bCs/>
          <w:color w:val="auto"/>
        </w:rPr>
        <w:t>January 11</w:t>
      </w:r>
      <w:r w:rsidR="00AB3CB4" w:rsidRPr="00AB3CB4">
        <w:rPr>
          <w:b/>
          <w:bCs/>
          <w:color w:val="auto"/>
        </w:rPr>
        <w:t>, 2020</w:t>
      </w:r>
      <w:r w:rsidRPr="00AB3CB4">
        <w:rPr>
          <w:color w:val="auto"/>
        </w:rPr>
        <w:t xml:space="preserve">. The Division rates the CRA performance of an institution consistent with the provisions set forth in Massachusetts Regulation 209 </w:t>
      </w:r>
      <w:proofErr w:type="spellStart"/>
      <w:r w:rsidRPr="00AB3CB4">
        <w:rPr>
          <w:color w:val="auto"/>
        </w:rPr>
        <w:t>CMR</w:t>
      </w:r>
      <w:proofErr w:type="spellEnd"/>
      <w:r w:rsidRPr="00AB3CB4">
        <w:rPr>
          <w:color w:val="auto"/>
        </w:rPr>
        <w:t xml:space="preserve"> 46.00. </w:t>
      </w:r>
    </w:p>
    <w:p w14:paraId="29EF811A" w14:textId="77777777" w:rsidR="003912CC" w:rsidRPr="00DB2D7B" w:rsidRDefault="003912CC" w:rsidP="00250940">
      <w:pPr>
        <w:pStyle w:val="Default"/>
        <w:jc w:val="both"/>
        <w:rPr>
          <w:b/>
          <w:bCs/>
          <w:color w:val="auto"/>
        </w:rPr>
      </w:pPr>
    </w:p>
    <w:p w14:paraId="64388162" w14:textId="28CD492B" w:rsidR="00C12DF3" w:rsidRPr="00F001BB" w:rsidRDefault="003912CC" w:rsidP="00250940">
      <w:pPr>
        <w:pStyle w:val="Default"/>
        <w:jc w:val="both"/>
      </w:pPr>
      <w:proofErr w:type="gramStart"/>
      <w:r w:rsidRPr="00F001BB">
        <w:rPr>
          <w:b/>
          <w:bCs/>
        </w:rPr>
        <w:t>INSTITUTION'S</w:t>
      </w:r>
      <w:proofErr w:type="gramEnd"/>
      <w:r w:rsidRPr="00F001BB">
        <w:rPr>
          <w:b/>
          <w:bCs/>
        </w:rPr>
        <w:t xml:space="preserve"> CRA RATING: </w:t>
      </w:r>
      <w:r w:rsidR="002F39DE" w:rsidRPr="00F001BB">
        <w:t>Leominster Credit Union</w:t>
      </w:r>
      <w:r w:rsidRPr="00F001BB">
        <w:t xml:space="preserve"> is rated </w:t>
      </w:r>
      <w:r w:rsidRPr="00F001BB">
        <w:rPr>
          <w:b/>
          <w:bCs/>
        </w:rPr>
        <w:t xml:space="preserve">"Satisfactory." </w:t>
      </w:r>
      <w:r w:rsidRPr="00F001BB">
        <w:t xml:space="preserve">An institution in this group has a </w:t>
      </w:r>
      <w:r w:rsidR="00E51D94" w:rsidRPr="00F001BB">
        <w:t>satisfactory</w:t>
      </w:r>
      <w:r w:rsidRPr="00F001BB">
        <w:t xml:space="preserve"> record of helping to meet the credit needs of its assessment area, including low- and moderate-income neighborhoods, in a manner consistent with its resources and cap</w:t>
      </w:r>
      <w:r w:rsidR="00B80514" w:rsidRPr="00F001BB">
        <w:t>abilities</w:t>
      </w:r>
      <w:r w:rsidR="00917242" w:rsidRPr="00F001BB">
        <w:t>.</w:t>
      </w:r>
    </w:p>
    <w:p w14:paraId="66C87C9E" w14:textId="77777777" w:rsidR="00917242" w:rsidRPr="00F001BB" w:rsidRDefault="00917242" w:rsidP="00250940">
      <w:pPr>
        <w:pStyle w:val="Default"/>
        <w:jc w:val="both"/>
      </w:pPr>
    </w:p>
    <w:p w14:paraId="3461A871" w14:textId="77777777" w:rsidR="00C12DF3" w:rsidRPr="00F001BB" w:rsidRDefault="00C12DF3" w:rsidP="00250940">
      <w:pPr>
        <w:pStyle w:val="Default"/>
        <w:jc w:val="both"/>
      </w:pPr>
      <w:r w:rsidRPr="00F001BB">
        <w:t>Examiners did not identify any evidence of discriminatory or other illegal credit practices</w:t>
      </w:r>
      <w:proofErr w:type="gramStart"/>
      <w:r w:rsidRPr="00F001BB">
        <w:t xml:space="preserve">.  </w:t>
      </w:r>
      <w:proofErr w:type="gramEnd"/>
      <w:r w:rsidRPr="00F001BB">
        <w:t xml:space="preserve">The following points summarize the credit union’s Lending Test and Community Development Test performance. </w:t>
      </w:r>
    </w:p>
    <w:p w14:paraId="2187D83C" w14:textId="77777777" w:rsidR="00C12DF3" w:rsidRPr="00F001BB" w:rsidRDefault="00C12DF3" w:rsidP="00250940">
      <w:pPr>
        <w:pStyle w:val="Default"/>
        <w:jc w:val="both"/>
      </w:pPr>
    </w:p>
    <w:p w14:paraId="737F3FD3" w14:textId="23930BD0" w:rsidR="00C12DF3" w:rsidRPr="00F001BB" w:rsidRDefault="00C12DF3" w:rsidP="00250940">
      <w:pPr>
        <w:pStyle w:val="Default"/>
        <w:jc w:val="both"/>
        <w:rPr>
          <w:b/>
        </w:rPr>
      </w:pPr>
      <w:r w:rsidRPr="00F001BB">
        <w:rPr>
          <w:b/>
        </w:rPr>
        <w:t xml:space="preserve">The Lending Test </w:t>
      </w:r>
      <w:proofErr w:type="gramStart"/>
      <w:r w:rsidRPr="00F001BB">
        <w:rPr>
          <w:b/>
        </w:rPr>
        <w:t>is rated</w:t>
      </w:r>
      <w:proofErr w:type="gramEnd"/>
      <w:r w:rsidRPr="00F001BB">
        <w:rPr>
          <w:b/>
        </w:rPr>
        <w:t xml:space="preserve"> </w:t>
      </w:r>
      <w:r w:rsidRPr="00F001BB">
        <w:rPr>
          <w:b/>
          <w:u w:val="single"/>
        </w:rPr>
        <w:t>Satisfactory</w:t>
      </w:r>
      <w:r w:rsidRPr="00F001BB">
        <w:rPr>
          <w:b/>
        </w:rPr>
        <w:t xml:space="preserve">. </w:t>
      </w:r>
    </w:p>
    <w:p w14:paraId="73C06D2C" w14:textId="77777777" w:rsidR="00C12DF3" w:rsidRPr="00F001BB" w:rsidRDefault="00C12DF3" w:rsidP="00250940">
      <w:pPr>
        <w:pStyle w:val="Default"/>
        <w:spacing w:after="47"/>
        <w:jc w:val="both"/>
        <w:rPr>
          <w:b/>
          <w:u w:val="single"/>
        </w:rPr>
      </w:pPr>
    </w:p>
    <w:p w14:paraId="38292400" w14:textId="247DA9EB" w:rsidR="003912CC" w:rsidRPr="00F001BB" w:rsidRDefault="001A4D21" w:rsidP="00250940">
      <w:pPr>
        <w:pStyle w:val="Default"/>
        <w:numPr>
          <w:ilvl w:val="0"/>
          <w:numId w:val="2"/>
        </w:numPr>
        <w:spacing w:after="47"/>
        <w:jc w:val="both"/>
      </w:pPr>
      <w:r w:rsidRPr="00F001BB">
        <w:t>Leominster</w:t>
      </w:r>
      <w:r w:rsidR="00AB3CB4" w:rsidRPr="00F001BB">
        <w:t xml:space="preserve"> </w:t>
      </w:r>
      <w:r w:rsidR="003912CC" w:rsidRPr="00F001BB">
        <w:t>Credit Union’s ave</w:t>
      </w:r>
      <w:r w:rsidR="003B772E" w:rsidRPr="00F001BB">
        <w:t>ra</w:t>
      </w:r>
      <w:r w:rsidR="00C12DF3" w:rsidRPr="00F001BB">
        <w:t xml:space="preserve">ge net loan-to-share ratio </w:t>
      </w:r>
      <w:r w:rsidR="003912CC" w:rsidRPr="00F001BB">
        <w:t>is</w:t>
      </w:r>
      <w:r w:rsidR="00917242" w:rsidRPr="00F001BB">
        <w:t xml:space="preserve"> </w:t>
      </w:r>
      <w:r w:rsidRPr="00F001BB">
        <w:t>more than reasonable</w:t>
      </w:r>
      <w:r w:rsidR="003912CC" w:rsidRPr="00F001BB">
        <w:t xml:space="preserve"> given the institution’s size, financial condition, and credit needs of its assessment area. </w:t>
      </w:r>
    </w:p>
    <w:p w14:paraId="1D56E6F3" w14:textId="162D7475" w:rsidR="003912CC" w:rsidRPr="00F001BB" w:rsidRDefault="00C12DF3" w:rsidP="00250940">
      <w:pPr>
        <w:pStyle w:val="Default"/>
        <w:numPr>
          <w:ilvl w:val="0"/>
          <w:numId w:val="2"/>
        </w:numPr>
        <w:spacing w:after="47"/>
        <w:jc w:val="both"/>
      </w:pPr>
      <w:r w:rsidRPr="00F001BB">
        <w:t xml:space="preserve">A </w:t>
      </w:r>
      <w:r w:rsidR="00E51D94" w:rsidRPr="00F001BB">
        <w:t>majority</w:t>
      </w:r>
      <w:r w:rsidR="00BB1B65" w:rsidRPr="00F001BB">
        <w:t xml:space="preserve"> of the credit u</w:t>
      </w:r>
      <w:r w:rsidR="00917242" w:rsidRPr="00F001BB">
        <w:t xml:space="preserve">nion’s </w:t>
      </w:r>
      <w:r w:rsidR="003912CC" w:rsidRPr="00F001BB">
        <w:t xml:space="preserve">loans are inside the assessment area. </w:t>
      </w:r>
    </w:p>
    <w:p w14:paraId="29E6AEAD" w14:textId="77777777" w:rsidR="003912CC" w:rsidRPr="00F001BB" w:rsidRDefault="003912CC" w:rsidP="00250940">
      <w:pPr>
        <w:pStyle w:val="Default"/>
        <w:numPr>
          <w:ilvl w:val="0"/>
          <w:numId w:val="2"/>
        </w:numPr>
        <w:spacing w:after="47"/>
        <w:jc w:val="both"/>
      </w:pPr>
      <w:r w:rsidRPr="00F001BB">
        <w:t xml:space="preserve">The geographic distribution of loans reflects </w:t>
      </w:r>
      <w:r w:rsidR="00907467" w:rsidRPr="00F001BB">
        <w:t>reasonable</w:t>
      </w:r>
      <w:r w:rsidRPr="00F001BB">
        <w:t xml:space="preserve"> dispersion throughout the assessment area. </w:t>
      </w:r>
    </w:p>
    <w:p w14:paraId="11C7F7BF" w14:textId="451D4ED4" w:rsidR="003912CC" w:rsidRPr="00F001BB" w:rsidRDefault="003912CC" w:rsidP="00250940">
      <w:pPr>
        <w:pStyle w:val="Default"/>
        <w:numPr>
          <w:ilvl w:val="0"/>
          <w:numId w:val="2"/>
        </w:numPr>
        <w:spacing w:after="47"/>
        <w:jc w:val="both"/>
      </w:pPr>
      <w:r w:rsidRPr="00F001BB">
        <w:t>The distribution of borrowers reflects, given the demogr</w:t>
      </w:r>
      <w:r w:rsidR="00CF48CF" w:rsidRPr="00F001BB">
        <w:t>aph</w:t>
      </w:r>
      <w:r w:rsidR="00C12DF3" w:rsidRPr="00F001BB">
        <w:t xml:space="preserve">ics of the assessment area, </w:t>
      </w:r>
      <w:r w:rsidR="001A4D21" w:rsidRPr="00F001BB">
        <w:t xml:space="preserve">good </w:t>
      </w:r>
      <w:r w:rsidRPr="00F001BB">
        <w:t xml:space="preserve">penetration among individuals of different income levels (including low- and moderate-income). </w:t>
      </w:r>
    </w:p>
    <w:p w14:paraId="7A909646" w14:textId="4B61E98E" w:rsidR="00416B86" w:rsidRPr="00F001BB" w:rsidRDefault="00BB1B65" w:rsidP="00250940">
      <w:pPr>
        <w:pStyle w:val="Default"/>
        <w:numPr>
          <w:ilvl w:val="0"/>
          <w:numId w:val="2"/>
        </w:numPr>
        <w:jc w:val="both"/>
      </w:pPr>
      <w:r w:rsidRPr="00F001BB">
        <w:t>The c</w:t>
      </w:r>
      <w:r w:rsidR="003912CC" w:rsidRPr="00F001BB">
        <w:t xml:space="preserve">redit </w:t>
      </w:r>
      <w:r w:rsidRPr="00F001BB">
        <w:t>u</w:t>
      </w:r>
      <w:r w:rsidR="003912CC" w:rsidRPr="00F001BB">
        <w:t>nion has not received any CRA-related complaints since the last CRA evaluation.</w:t>
      </w:r>
    </w:p>
    <w:p w14:paraId="17E1FDA8" w14:textId="77777777" w:rsidR="00C12DF3" w:rsidRPr="00F001BB" w:rsidRDefault="003912CC" w:rsidP="00250940">
      <w:pPr>
        <w:pStyle w:val="Default"/>
        <w:ind w:left="720"/>
        <w:jc w:val="both"/>
      </w:pPr>
      <w:r w:rsidRPr="00F001BB">
        <w:t xml:space="preserve"> </w:t>
      </w:r>
    </w:p>
    <w:p w14:paraId="53CCE42E" w14:textId="77777777" w:rsidR="00C12DF3" w:rsidRPr="00F001BB" w:rsidRDefault="00C12DF3" w:rsidP="00250940">
      <w:pPr>
        <w:pStyle w:val="Default"/>
        <w:jc w:val="both"/>
        <w:rPr>
          <w:b/>
          <w:u w:val="single"/>
        </w:rPr>
      </w:pPr>
      <w:r w:rsidRPr="00F001BB">
        <w:rPr>
          <w:b/>
        </w:rPr>
        <w:t xml:space="preserve">The Community Development Test </w:t>
      </w:r>
      <w:proofErr w:type="gramStart"/>
      <w:r w:rsidRPr="00F001BB">
        <w:rPr>
          <w:b/>
        </w:rPr>
        <w:t>is rated</w:t>
      </w:r>
      <w:proofErr w:type="gramEnd"/>
      <w:r w:rsidRPr="00F001BB">
        <w:rPr>
          <w:b/>
        </w:rPr>
        <w:t xml:space="preserve"> </w:t>
      </w:r>
      <w:r w:rsidR="002F109F" w:rsidRPr="00F001BB">
        <w:rPr>
          <w:b/>
          <w:u w:val="single"/>
        </w:rPr>
        <w:t>High Satisfactory.</w:t>
      </w:r>
    </w:p>
    <w:p w14:paraId="765AA3DB" w14:textId="77777777" w:rsidR="00536AEF" w:rsidRPr="00F001BB" w:rsidRDefault="00536AEF" w:rsidP="00250940">
      <w:pPr>
        <w:pStyle w:val="Default"/>
        <w:jc w:val="both"/>
        <w:rPr>
          <w:b/>
          <w:u w:val="single"/>
        </w:rPr>
      </w:pPr>
    </w:p>
    <w:p w14:paraId="0E4CFF06" w14:textId="629A7C2F" w:rsidR="003912CC" w:rsidRPr="00F001BB" w:rsidRDefault="002F109F" w:rsidP="00250940">
      <w:pPr>
        <w:pStyle w:val="Default"/>
        <w:numPr>
          <w:ilvl w:val="0"/>
          <w:numId w:val="13"/>
        </w:numPr>
        <w:jc w:val="both"/>
        <w:rPr>
          <w:color w:val="auto"/>
          <w:sz w:val="28"/>
          <w:szCs w:val="28"/>
        </w:rPr>
      </w:pPr>
      <w:r w:rsidRPr="00F001BB">
        <w:t xml:space="preserve">The </w:t>
      </w:r>
      <w:r w:rsidR="00C35732">
        <w:t>c</w:t>
      </w:r>
      <w:r w:rsidRPr="00F001BB">
        <w:t xml:space="preserve">redit </w:t>
      </w:r>
      <w:r w:rsidR="00C35732">
        <w:t>u</w:t>
      </w:r>
      <w:r w:rsidRPr="00F001BB">
        <w:t xml:space="preserve">nion demonstrated good responsiveness to the community development needs of its assessment area through community development </w:t>
      </w:r>
      <w:r w:rsidR="00D74B25" w:rsidRPr="00F001BB">
        <w:t>services</w:t>
      </w:r>
      <w:r w:rsidRPr="00F001BB">
        <w:t>, qualified investments, an</w:t>
      </w:r>
      <w:r w:rsidR="00D74B25" w:rsidRPr="00F001BB">
        <w:t>d community development loans</w:t>
      </w:r>
      <w:proofErr w:type="gramStart"/>
      <w:r w:rsidRPr="00F001BB">
        <w:t xml:space="preserve">.  </w:t>
      </w:r>
      <w:proofErr w:type="gramEnd"/>
      <w:r w:rsidRPr="00F001BB">
        <w:t xml:space="preserve">Examiners considered the institution’s capacity, and the need and availability of such opportunities throughout the assessment area. </w:t>
      </w:r>
    </w:p>
    <w:p w14:paraId="3AE04366" w14:textId="77777777" w:rsidR="003912CC" w:rsidRPr="00CA7001" w:rsidRDefault="003912CC" w:rsidP="00250940">
      <w:pPr>
        <w:tabs>
          <w:tab w:val="left" w:pos="720"/>
          <w:tab w:val="left" w:pos="1440"/>
          <w:tab w:val="left" w:pos="2160"/>
          <w:tab w:val="left" w:pos="2880"/>
          <w:tab w:val="left" w:pos="3600"/>
          <w:tab w:val="left" w:pos="5328"/>
          <w:tab w:val="left" w:pos="11520"/>
        </w:tabs>
        <w:jc w:val="both"/>
        <w:rPr>
          <w:b/>
          <w:bCs/>
          <w:spacing w:val="-3"/>
          <w:sz w:val="28"/>
          <w:szCs w:val="28"/>
        </w:rPr>
      </w:pPr>
    </w:p>
    <w:p w14:paraId="48867F10" w14:textId="77777777" w:rsidR="00F91D31" w:rsidRPr="00CA7001" w:rsidRDefault="00F91D31" w:rsidP="00250940">
      <w:pPr>
        <w:tabs>
          <w:tab w:val="left" w:pos="720"/>
          <w:tab w:val="left" w:pos="1440"/>
          <w:tab w:val="left" w:pos="2160"/>
          <w:tab w:val="left" w:pos="2880"/>
          <w:tab w:val="left" w:pos="3600"/>
          <w:tab w:val="left" w:pos="5328"/>
          <w:tab w:val="left" w:pos="11520"/>
        </w:tabs>
        <w:jc w:val="both"/>
        <w:rPr>
          <w:b/>
          <w:bCs/>
          <w:spacing w:val="-3"/>
          <w:sz w:val="28"/>
          <w:szCs w:val="28"/>
        </w:rPr>
      </w:pPr>
    </w:p>
    <w:p w14:paraId="6AC56EF0" w14:textId="77777777" w:rsidR="00F91D31" w:rsidRPr="00AC55EF" w:rsidRDefault="00F91D31" w:rsidP="00250940">
      <w:pPr>
        <w:tabs>
          <w:tab w:val="left" w:pos="720"/>
          <w:tab w:val="left" w:pos="1440"/>
          <w:tab w:val="left" w:pos="2160"/>
          <w:tab w:val="left" w:pos="2880"/>
          <w:tab w:val="left" w:pos="3600"/>
          <w:tab w:val="left" w:pos="5328"/>
          <w:tab w:val="left" w:pos="11520"/>
        </w:tabs>
        <w:jc w:val="both"/>
        <w:rPr>
          <w:b/>
          <w:bCs/>
          <w:spacing w:val="-3"/>
          <w:sz w:val="28"/>
          <w:szCs w:val="28"/>
          <w:highlight w:val="yellow"/>
        </w:rPr>
      </w:pPr>
    </w:p>
    <w:p w14:paraId="333DDD22" w14:textId="77777777" w:rsidR="00F91D31" w:rsidRPr="00AC55EF" w:rsidRDefault="00F91D31" w:rsidP="00250940">
      <w:pPr>
        <w:tabs>
          <w:tab w:val="left" w:pos="720"/>
          <w:tab w:val="left" w:pos="1440"/>
          <w:tab w:val="left" w:pos="2160"/>
          <w:tab w:val="left" w:pos="2880"/>
          <w:tab w:val="left" w:pos="3600"/>
          <w:tab w:val="left" w:pos="5328"/>
          <w:tab w:val="left" w:pos="11520"/>
        </w:tabs>
        <w:jc w:val="both"/>
        <w:rPr>
          <w:b/>
          <w:bCs/>
          <w:spacing w:val="-3"/>
          <w:sz w:val="28"/>
          <w:szCs w:val="28"/>
          <w:highlight w:val="yellow"/>
        </w:rPr>
      </w:pPr>
    </w:p>
    <w:p w14:paraId="67592336" w14:textId="77777777" w:rsidR="00F91D31" w:rsidRPr="00AC55EF" w:rsidRDefault="00F91D31" w:rsidP="00250940">
      <w:pPr>
        <w:tabs>
          <w:tab w:val="left" w:pos="720"/>
          <w:tab w:val="left" w:pos="1440"/>
          <w:tab w:val="left" w:pos="2160"/>
          <w:tab w:val="left" w:pos="2880"/>
          <w:tab w:val="left" w:pos="3600"/>
          <w:tab w:val="left" w:pos="5328"/>
          <w:tab w:val="left" w:pos="11520"/>
        </w:tabs>
        <w:jc w:val="both"/>
        <w:rPr>
          <w:b/>
          <w:bCs/>
          <w:spacing w:val="-3"/>
          <w:sz w:val="28"/>
          <w:szCs w:val="28"/>
          <w:highlight w:val="yellow"/>
        </w:rPr>
      </w:pPr>
    </w:p>
    <w:p w14:paraId="61A8C1DB" w14:textId="77777777" w:rsidR="00F91D31" w:rsidRPr="00AC55EF" w:rsidRDefault="00F91D31" w:rsidP="00250940">
      <w:pPr>
        <w:tabs>
          <w:tab w:val="left" w:pos="720"/>
          <w:tab w:val="left" w:pos="1440"/>
          <w:tab w:val="left" w:pos="2160"/>
          <w:tab w:val="left" w:pos="2880"/>
          <w:tab w:val="left" w:pos="3600"/>
          <w:tab w:val="left" w:pos="5328"/>
          <w:tab w:val="left" w:pos="11520"/>
        </w:tabs>
        <w:jc w:val="both"/>
        <w:rPr>
          <w:b/>
          <w:bCs/>
          <w:spacing w:val="-3"/>
          <w:sz w:val="28"/>
          <w:szCs w:val="28"/>
          <w:highlight w:val="yellow"/>
        </w:rPr>
      </w:pPr>
    </w:p>
    <w:p w14:paraId="2221D656" w14:textId="77777777" w:rsidR="00F91D31" w:rsidRPr="00AC55EF" w:rsidRDefault="00F91D31" w:rsidP="003912CC">
      <w:pPr>
        <w:tabs>
          <w:tab w:val="left" w:pos="720"/>
          <w:tab w:val="left" w:pos="1440"/>
          <w:tab w:val="left" w:pos="2160"/>
          <w:tab w:val="left" w:pos="2880"/>
          <w:tab w:val="left" w:pos="3600"/>
          <w:tab w:val="left" w:pos="5328"/>
          <w:tab w:val="left" w:pos="11520"/>
        </w:tabs>
        <w:jc w:val="center"/>
        <w:rPr>
          <w:b/>
          <w:bCs/>
          <w:spacing w:val="-3"/>
          <w:sz w:val="28"/>
          <w:szCs w:val="28"/>
          <w:highlight w:val="yellow"/>
        </w:rPr>
      </w:pPr>
    </w:p>
    <w:p w14:paraId="349122A0" w14:textId="77777777" w:rsidR="003912CC" w:rsidRPr="001202D8" w:rsidRDefault="003912CC" w:rsidP="00CA7001">
      <w:pPr>
        <w:tabs>
          <w:tab w:val="left" w:pos="720"/>
          <w:tab w:val="left" w:pos="1440"/>
          <w:tab w:val="left" w:pos="2160"/>
          <w:tab w:val="left" w:pos="2880"/>
          <w:tab w:val="left" w:pos="3600"/>
          <w:tab w:val="left" w:pos="5328"/>
          <w:tab w:val="left" w:pos="11520"/>
        </w:tabs>
        <w:jc w:val="center"/>
        <w:rPr>
          <w:b/>
          <w:bCs/>
          <w:spacing w:val="-3"/>
          <w:sz w:val="28"/>
          <w:szCs w:val="28"/>
        </w:rPr>
      </w:pPr>
      <w:r w:rsidRPr="001202D8">
        <w:rPr>
          <w:b/>
          <w:bCs/>
          <w:spacing w:val="-3"/>
          <w:sz w:val="28"/>
          <w:szCs w:val="28"/>
        </w:rPr>
        <w:lastRenderedPageBreak/>
        <w:t>SCOPE OF EVALUATION</w:t>
      </w:r>
    </w:p>
    <w:p w14:paraId="3EEA1B4F" w14:textId="77777777" w:rsidR="003912CC" w:rsidRPr="001202D8" w:rsidRDefault="003912CC" w:rsidP="003912CC">
      <w:pPr>
        <w:pStyle w:val="Heading1"/>
        <w:jc w:val="left"/>
        <w:rPr>
          <w:rFonts w:ascii="Times New Roman" w:hAnsi="Times New Roman"/>
        </w:rPr>
      </w:pPr>
    </w:p>
    <w:p w14:paraId="36266E9B" w14:textId="77777777" w:rsidR="003912CC" w:rsidRPr="001202D8" w:rsidRDefault="003912CC" w:rsidP="00250940">
      <w:pPr>
        <w:tabs>
          <w:tab w:val="left" w:pos="1260"/>
        </w:tabs>
        <w:jc w:val="both"/>
        <w:rPr>
          <w:b/>
          <w:bCs/>
          <w:iCs/>
          <w:u w:val="single"/>
        </w:rPr>
      </w:pPr>
      <w:r w:rsidRPr="001202D8">
        <w:rPr>
          <w:b/>
          <w:bCs/>
          <w:iCs/>
          <w:u w:val="single"/>
        </w:rPr>
        <w:t>General Information</w:t>
      </w:r>
    </w:p>
    <w:p w14:paraId="7B6E0007" w14:textId="77777777" w:rsidR="003912CC" w:rsidRPr="001202D8" w:rsidRDefault="003912CC" w:rsidP="00250940">
      <w:pPr>
        <w:pStyle w:val="Default"/>
        <w:jc w:val="both"/>
        <w:rPr>
          <w:sz w:val="23"/>
          <w:szCs w:val="23"/>
        </w:rPr>
      </w:pPr>
    </w:p>
    <w:p w14:paraId="460416EF" w14:textId="77777777" w:rsidR="003912CC" w:rsidRPr="001202D8" w:rsidRDefault="003912CC" w:rsidP="00250940">
      <w:pPr>
        <w:pStyle w:val="Default"/>
        <w:jc w:val="both"/>
      </w:pPr>
      <w:r w:rsidRPr="001202D8">
        <w:rPr>
          <w:sz w:val="23"/>
          <w:szCs w:val="23"/>
        </w:rPr>
        <w:t xml:space="preserve"> </w:t>
      </w:r>
      <w:r w:rsidRPr="001202D8">
        <w:t>The Community Reinvestment Act (CRA) requires the Massachusetts Division of Banks (“Division”) to use their authority when examining financial institutions subject to their supervision, to assess the institution's record of meeting the needs of its entire assessment area, including low- and moderate-income neighborhoods, consistent with safe and sound operation of the institution</w:t>
      </w:r>
      <w:proofErr w:type="gramStart"/>
      <w:r w:rsidRPr="001202D8">
        <w:t xml:space="preserve">.  </w:t>
      </w:r>
      <w:proofErr w:type="gramEnd"/>
      <w:r w:rsidRPr="001202D8">
        <w:t xml:space="preserve">Upon conclusion of such examination, the </w:t>
      </w:r>
      <w:r w:rsidR="00B72637" w:rsidRPr="001202D8">
        <w:t xml:space="preserve">Division must prepare a written </w:t>
      </w:r>
      <w:r w:rsidRPr="001202D8">
        <w:t xml:space="preserve">evaluation of the institution's record of meeting the credit needs of its membership. </w:t>
      </w:r>
    </w:p>
    <w:p w14:paraId="25F0BB8C" w14:textId="77777777" w:rsidR="003912CC" w:rsidRPr="001202D8" w:rsidRDefault="003912CC" w:rsidP="00250940">
      <w:pPr>
        <w:pStyle w:val="Default"/>
        <w:jc w:val="both"/>
      </w:pPr>
    </w:p>
    <w:p w14:paraId="1F57B2D8" w14:textId="2A9A7274" w:rsidR="003912CC" w:rsidRPr="001202D8" w:rsidRDefault="003912CC" w:rsidP="00250940">
      <w:pPr>
        <w:pStyle w:val="Default"/>
        <w:jc w:val="both"/>
      </w:pPr>
      <w:r w:rsidRPr="001202D8">
        <w:rPr>
          <w:bCs/>
          <w:iCs/>
        </w:rPr>
        <w:t>This eval</w:t>
      </w:r>
      <w:r w:rsidR="001202D8" w:rsidRPr="001202D8">
        <w:rPr>
          <w:bCs/>
          <w:iCs/>
        </w:rPr>
        <w:t>uation covers the period from</w:t>
      </w:r>
      <w:r w:rsidR="00A1575F" w:rsidRPr="001202D8">
        <w:rPr>
          <w:bCs/>
          <w:iCs/>
        </w:rPr>
        <w:t xml:space="preserve"> January 1</w:t>
      </w:r>
      <w:r w:rsidR="002A6FAB">
        <w:rPr>
          <w:bCs/>
          <w:iCs/>
        </w:rPr>
        <w:t>9, 2016</w:t>
      </w:r>
      <w:r w:rsidRPr="001202D8">
        <w:rPr>
          <w:bCs/>
          <w:iCs/>
        </w:rPr>
        <w:t>, to the c</w:t>
      </w:r>
      <w:r w:rsidR="00725281" w:rsidRPr="001202D8">
        <w:rPr>
          <w:bCs/>
          <w:iCs/>
        </w:rPr>
        <w:t xml:space="preserve">urrent evaluation dated </w:t>
      </w:r>
      <w:r w:rsidR="002A6FAB">
        <w:rPr>
          <w:bCs/>
          <w:iCs/>
        </w:rPr>
        <w:t>January 11</w:t>
      </w:r>
      <w:r w:rsidRPr="001202D8">
        <w:rPr>
          <w:bCs/>
          <w:iCs/>
        </w:rPr>
        <w:t>, 20</w:t>
      </w:r>
      <w:r w:rsidR="002A6FAB">
        <w:rPr>
          <w:bCs/>
          <w:iCs/>
        </w:rPr>
        <w:t>21</w:t>
      </w:r>
      <w:proofErr w:type="gramStart"/>
      <w:r w:rsidR="001202D8" w:rsidRPr="001202D8">
        <w:rPr>
          <w:bCs/>
          <w:iCs/>
        </w:rPr>
        <w:t xml:space="preserve">.  </w:t>
      </w:r>
      <w:proofErr w:type="gramEnd"/>
      <w:r w:rsidR="001202D8" w:rsidRPr="001202D8">
        <w:rPr>
          <w:bCs/>
          <w:iCs/>
        </w:rPr>
        <w:t xml:space="preserve">Examiners used the Interagency Intermediate Small Institution (ISI) Examination Procedures to evaluate </w:t>
      </w:r>
      <w:r w:rsidR="002A6FAB">
        <w:rPr>
          <w:bCs/>
          <w:iCs/>
        </w:rPr>
        <w:t>Leominster</w:t>
      </w:r>
      <w:r w:rsidR="001202D8" w:rsidRPr="001202D8">
        <w:rPr>
          <w:bCs/>
          <w:iCs/>
        </w:rPr>
        <w:t xml:space="preserve"> Credit Union’s performance</w:t>
      </w:r>
      <w:proofErr w:type="gramStart"/>
      <w:r w:rsidR="001202D8" w:rsidRPr="001202D8">
        <w:rPr>
          <w:bCs/>
          <w:iCs/>
        </w:rPr>
        <w:t xml:space="preserve">.  </w:t>
      </w:r>
      <w:proofErr w:type="gramEnd"/>
      <w:r w:rsidR="001202D8" w:rsidRPr="001202D8">
        <w:rPr>
          <w:bCs/>
          <w:iCs/>
        </w:rPr>
        <w:t>These procedures include two tests: the Lending Test and the Community Development Test.</w:t>
      </w:r>
    </w:p>
    <w:p w14:paraId="0274B8CD" w14:textId="77777777" w:rsidR="003912CC" w:rsidRPr="001202D8" w:rsidRDefault="003912CC" w:rsidP="00250940">
      <w:pPr>
        <w:tabs>
          <w:tab w:val="left" w:pos="1260"/>
        </w:tabs>
        <w:jc w:val="both"/>
        <w:rPr>
          <w:b/>
          <w:bCs/>
          <w:iCs/>
          <w:u w:val="single"/>
        </w:rPr>
      </w:pPr>
    </w:p>
    <w:p w14:paraId="52E24A04" w14:textId="40DB5439" w:rsidR="003912CC" w:rsidRPr="001202D8" w:rsidRDefault="003912CC" w:rsidP="00250940">
      <w:pPr>
        <w:pStyle w:val="Default"/>
        <w:jc w:val="both"/>
      </w:pPr>
      <w:r w:rsidRPr="001202D8">
        <w:rPr>
          <w:bCs/>
          <w:iCs/>
        </w:rPr>
        <w:t>The evaluation references demographic and economic information from the 2015 American Community Survey (ACS)</w:t>
      </w:r>
      <w:r w:rsidR="001202D8" w:rsidRPr="001202D8">
        <w:rPr>
          <w:bCs/>
          <w:iCs/>
        </w:rPr>
        <w:t xml:space="preserve"> and the U.S. Bureau of Labor Statistics (BLS)</w:t>
      </w:r>
      <w:proofErr w:type="gramStart"/>
      <w:r w:rsidRPr="001202D8">
        <w:rPr>
          <w:bCs/>
          <w:iCs/>
        </w:rPr>
        <w:t xml:space="preserve">. </w:t>
      </w:r>
      <w:r w:rsidRPr="001202D8">
        <w:t xml:space="preserve"> </w:t>
      </w:r>
      <w:proofErr w:type="gramEnd"/>
      <w:r w:rsidRPr="001202D8">
        <w:t>Credit Union</w:t>
      </w:r>
      <w:r w:rsidRPr="001202D8">
        <w:rPr>
          <w:bCs/>
          <w:iCs/>
        </w:rPr>
        <w:t xml:space="preserve"> f</w:t>
      </w:r>
      <w:r w:rsidR="001202D8" w:rsidRPr="001202D8">
        <w:rPr>
          <w:bCs/>
          <w:iCs/>
        </w:rPr>
        <w:t>inan</w:t>
      </w:r>
      <w:r w:rsidR="002A6FAB">
        <w:rPr>
          <w:bCs/>
          <w:iCs/>
        </w:rPr>
        <w:t xml:space="preserve">cial data reflects the </w:t>
      </w:r>
      <w:proofErr w:type="gramStart"/>
      <w:r w:rsidR="002A6FAB">
        <w:rPr>
          <w:bCs/>
          <w:iCs/>
        </w:rPr>
        <w:t>September</w:t>
      </w:r>
      <w:r w:rsidR="00725281" w:rsidRPr="001202D8">
        <w:rPr>
          <w:bCs/>
          <w:iCs/>
        </w:rPr>
        <w:t>,</w:t>
      </w:r>
      <w:proofErr w:type="gramEnd"/>
      <w:r w:rsidR="00725281" w:rsidRPr="001202D8">
        <w:rPr>
          <w:bCs/>
          <w:iCs/>
        </w:rPr>
        <w:t xml:space="preserve"> </w:t>
      </w:r>
      <w:r w:rsidR="002A6FAB">
        <w:rPr>
          <w:bCs/>
          <w:iCs/>
        </w:rPr>
        <w:t>30 2020</w:t>
      </w:r>
      <w:r w:rsidR="00684A72">
        <w:rPr>
          <w:bCs/>
          <w:iCs/>
        </w:rPr>
        <w:t xml:space="preserve"> </w:t>
      </w:r>
      <w:r w:rsidRPr="001202D8">
        <w:rPr>
          <w:bCs/>
          <w:iCs/>
        </w:rPr>
        <w:t>Call Report.</w:t>
      </w:r>
    </w:p>
    <w:p w14:paraId="4B3AE5D0" w14:textId="77777777" w:rsidR="003912CC" w:rsidRPr="00AC55EF" w:rsidRDefault="003912CC" w:rsidP="00250940">
      <w:pPr>
        <w:autoSpaceDE w:val="0"/>
        <w:autoSpaceDN w:val="0"/>
        <w:adjustRightInd w:val="0"/>
        <w:jc w:val="both"/>
        <w:rPr>
          <w:b/>
          <w:bCs/>
          <w:color w:val="000000"/>
          <w:highlight w:val="yellow"/>
          <w:u w:val="single"/>
        </w:rPr>
      </w:pPr>
    </w:p>
    <w:p w14:paraId="2D8F4012" w14:textId="77777777" w:rsidR="003912CC" w:rsidRPr="00E34AA2" w:rsidRDefault="003912CC" w:rsidP="00250940">
      <w:pPr>
        <w:autoSpaceDE w:val="0"/>
        <w:autoSpaceDN w:val="0"/>
        <w:adjustRightInd w:val="0"/>
        <w:jc w:val="both"/>
        <w:rPr>
          <w:b/>
          <w:bCs/>
          <w:color w:val="000000"/>
          <w:u w:val="single"/>
        </w:rPr>
      </w:pPr>
      <w:r w:rsidRPr="00E34AA2">
        <w:rPr>
          <w:b/>
          <w:bCs/>
          <w:color w:val="000000"/>
          <w:u w:val="single"/>
        </w:rPr>
        <w:t xml:space="preserve">Loan Products Reviewed </w:t>
      </w:r>
    </w:p>
    <w:p w14:paraId="6B99AE68" w14:textId="77777777" w:rsidR="003912CC" w:rsidRPr="00AC55EF" w:rsidRDefault="003912CC" w:rsidP="00250940">
      <w:pPr>
        <w:autoSpaceDE w:val="0"/>
        <w:autoSpaceDN w:val="0"/>
        <w:adjustRightInd w:val="0"/>
        <w:jc w:val="both"/>
        <w:rPr>
          <w:color w:val="000000"/>
          <w:sz w:val="23"/>
          <w:szCs w:val="23"/>
          <w:highlight w:val="yellow"/>
          <w:u w:val="single"/>
        </w:rPr>
      </w:pPr>
    </w:p>
    <w:p w14:paraId="01C4AAA5" w14:textId="515D1CAA" w:rsidR="00D37DE9" w:rsidRDefault="00BB1B65" w:rsidP="00250940">
      <w:pPr>
        <w:autoSpaceDE w:val="0"/>
        <w:autoSpaceDN w:val="0"/>
        <w:adjustRightInd w:val="0"/>
        <w:jc w:val="both"/>
        <w:rPr>
          <w:color w:val="000000"/>
        </w:rPr>
      </w:pPr>
      <w:r w:rsidRPr="00E34AA2">
        <w:rPr>
          <w:color w:val="000000"/>
        </w:rPr>
        <w:t>Examiners determined that the c</w:t>
      </w:r>
      <w:r w:rsidR="003912CC" w:rsidRPr="00E34AA2">
        <w:rPr>
          <w:color w:val="000000"/>
        </w:rPr>
        <w:t xml:space="preserve">redit </w:t>
      </w:r>
      <w:r w:rsidRPr="00E34AA2">
        <w:rPr>
          <w:color w:val="000000"/>
        </w:rPr>
        <w:t>u</w:t>
      </w:r>
      <w:r w:rsidR="003912CC" w:rsidRPr="00E34AA2">
        <w:rPr>
          <w:color w:val="000000"/>
        </w:rPr>
        <w:t>nion’s major product line is home mortgage loans</w:t>
      </w:r>
      <w:r w:rsidR="002A6FAB">
        <w:rPr>
          <w:color w:val="000000"/>
        </w:rPr>
        <w:t>, and the secondary product are used and new auto loans</w:t>
      </w:r>
      <w:proofErr w:type="gramStart"/>
      <w:r w:rsidR="003912CC" w:rsidRPr="00E34AA2">
        <w:rPr>
          <w:color w:val="000000"/>
        </w:rPr>
        <w:t xml:space="preserve">.  </w:t>
      </w:r>
      <w:proofErr w:type="gramEnd"/>
      <w:r w:rsidRPr="00E34AA2">
        <w:rPr>
          <w:color w:val="000000"/>
        </w:rPr>
        <w:t>This conclusion considered the c</w:t>
      </w:r>
      <w:r w:rsidR="003912CC" w:rsidRPr="00E34AA2">
        <w:rPr>
          <w:color w:val="000000"/>
        </w:rPr>
        <w:t xml:space="preserve">redit </w:t>
      </w:r>
      <w:r w:rsidRPr="00E34AA2">
        <w:rPr>
          <w:color w:val="000000"/>
        </w:rPr>
        <w:t>u</w:t>
      </w:r>
      <w:r w:rsidR="003912CC" w:rsidRPr="00E34AA2">
        <w:rPr>
          <w:color w:val="000000"/>
        </w:rPr>
        <w:t>nion’s business strategy and the number and dollar volume of loans originated during the evaluation period.</w:t>
      </w:r>
      <w:r w:rsidR="002A6FAB">
        <w:rPr>
          <w:color w:val="000000"/>
        </w:rPr>
        <w:t xml:space="preserve"> Home mortgage data </w:t>
      </w:r>
      <w:proofErr w:type="gramStart"/>
      <w:r w:rsidR="002A6FAB">
        <w:rPr>
          <w:color w:val="000000"/>
        </w:rPr>
        <w:t>was weighted</w:t>
      </w:r>
      <w:proofErr w:type="gramEnd"/>
      <w:r w:rsidR="002A6FAB">
        <w:rPr>
          <w:color w:val="000000"/>
        </w:rPr>
        <w:t xml:space="preserve"> more heavily than sampled consumer lending data.</w:t>
      </w:r>
    </w:p>
    <w:p w14:paraId="70D32DEA" w14:textId="77777777" w:rsidR="00E34AA2" w:rsidRPr="00E34AA2" w:rsidRDefault="00E34AA2" w:rsidP="00250940">
      <w:pPr>
        <w:autoSpaceDE w:val="0"/>
        <w:autoSpaceDN w:val="0"/>
        <w:adjustRightInd w:val="0"/>
        <w:jc w:val="both"/>
        <w:rPr>
          <w:color w:val="000000"/>
        </w:rPr>
      </w:pPr>
    </w:p>
    <w:p w14:paraId="70957021" w14:textId="4D0C97AD" w:rsidR="003912CC" w:rsidRDefault="003912CC" w:rsidP="00250940">
      <w:pPr>
        <w:autoSpaceDE w:val="0"/>
        <w:autoSpaceDN w:val="0"/>
        <w:adjustRightInd w:val="0"/>
        <w:jc w:val="both"/>
        <w:rPr>
          <w:color w:val="000000"/>
        </w:rPr>
      </w:pPr>
      <w:r w:rsidRPr="00E34AA2">
        <w:t>Home mortgage lending data analyzed included ful</w:t>
      </w:r>
      <w:r w:rsidR="002A6FAB">
        <w:t>l-year data from January 1, 2018 through December 31, 2019</w:t>
      </w:r>
      <w:proofErr w:type="gramStart"/>
      <w:r w:rsidRPr="00E34AA2">
        <w:t xml:space="preserve">.  </w:t>
      </w:r>
      <w:proofErr w:type="gramEnd"/>
      <w:r w:rsidRPr="00E34AA2">
        <w:t>Information related to home mortgage lending was derived from the Loan Application Regi</w:t>
      </w:r>
      <w:r w:rsidR="00BB1B65" w:rsidRPr="00E34AA2">
        <w:t>sters (</w:t>
      </w:r>
      <w:proofErr w:type="spellStart"/>
      <w:r w:rsidR="00BB1B65" w:rsidRPr="00E34AA2">
        <w:t>LARs</w:t>
      </w:r>
      <w:proofErr w:type="spellEnd"/>
      <w:r w:rsidR="00BB1B65" w:rsidRPr="00E34AA2">
        <w:t>) maintained by the c</w:t>
      </w:r>
      <w:r w:rsidRPr="00E34AA2">
        <w:t xml:space="preserve">redit </w:t>
      </w:r>
      <w:r w:rsidR="00BB1B65" w:rsidRPr="00E34AA2">
        <w:t>u</w:t>
      </w:r>
      <w:r w:rsidRPr="00E34AA2">
        <w:t>nion, pursuant to HMDA</w:t>
      </w:r>
      <w:proofErr w:type="gramStart"/>
      <w:r w:rsidRPr="00E34AA2">
        <w:t xml:space="preserve">.  </w:t>
      </w:r>
      <w:proofErr w:type="gramEnd"/>
      <w:r w:rsidR="002A6FAB">
        <w:rPr>
          <w:color w:val="000000"/>
        </w:rPr>
        <w:t xml:space="preserve">The HMDA data </w:t>
      </w:r>
      <w:proofErr w:type="gramStart"/>
      <w:r w:rsidR="002A6FAB">
        <w:rPr>
          <w:color w:val="000000"/>
        </w:rPr>
        <w:t>was compared</w:t>
      </w:r>
      <w:proofErr w:type="gramEnd"/>
      <w:r w:rsidR="002A6FAB">
        <w:rPr>
          <w:color w:val="000000"/>
        </w:rPr>
        <w:t xml:space="preserve"> to aggregate lender data inside of the assessment area as well as pertinent demographics.</w:t>
      </w:r>
    </w:p>
    <w:p w14:paraId="02FB2E1C" w14:textId="160F3B1A" w:rsidR="002A6FAB" w:rsidRDefault="002A6FAB" w:rsidP="00250940">
      <w:pPr>
        <w:autoSpaceDE w:val="0"/>
        <w:autoSpaceDN w:val="0"/>
        <w:adjustRightInd w:val="0"/>
        <w:jc w:val="both"/>
        <w:rPr>
          <w:color w:val="000000"/>
        </w:rPr>
      </w:pPr>
    </w:p>
    <w:p w14:paraId="615B0B84" w14:textId="3CA06465" w:rsidR="002A6FAB" w:rsidRDefault="002A6FAB" w:rsidP="00250940">
      <w:pPr>
        <w:autoSpaceDE w:val="0"/>
        <w:autoSpaceDN w:val="0"/>
        <w:adjustRightInd w:val="0"/>
        <w:jc w:val="both"/>
        <w:rPr>
          <w:color w:val="000000"/>
        </w:rPr>
      </w:pPr>
      <w:r>
        <w:rPr>
          <w:color w:val="000000"/>
        </w:rPr>
        <w:t>Consumer loan data included sampled used and new auto loan data in 2018 and 2019. The data provides trends in comparison to area demographics.</w:t>
      </w:r>
    </w:p>
    <w:p w14:paraId="5D9F5D22" w14:textId="6FDEB2E8" w:rsidR="002A6FAB" w:rsidRPr="00E34AA2" w:rsidRDefault="002A6FAB" w:rsidP="00250940">
      <w:pPr>
        <w:autoSpaceDE w:val="0"/>
        <w:autoSpaceDN w:val="0"/>
        <w:adjustRightInd w:val="0"/>
        <w:jc w:val="both"/>
        <w:rPr>
          <w:color w:val="000000"/>
        </w:rPr>
      </w:pPr>
    </w:p>
    <w:p w14:paraId="5155CA75" w14:textId="3067BB94" w:rsidR="00391469" w:rsidRPr="00E34AA2" w:rsidRDefault="00391469" w:rsidP="00250940">
      <w:pPr>
        <w:autoSpaceDE w:val="0"/>
        <w:autoSpaceDN w:val="0"/>
        <w:adjustRightInd w:val="0"/>
        <w:jc w:val="both"/>
        <w:rPr>
          <w:b/>
          <w:bCs/>
          <w:color w:val="000000"/>
          <w:u w:val="single"/>
        </w:rPr>
      </w:pPr>
      <w:r>
        <w:rPr>
          <w:b/>
          <w:bCs/>
          <w:color w:val="000000"/>
          <w:u w:val="single"/>
        </w:rPr>
        <w:t>Community Development Activity</w:t>
      </w:r>
      <w:r w:rsidRPr="00E34AA2">
        <w:rPr>
          <w:b/>
          <w:bCs/>
          <w:color w:val="000000"/>
          <w:u w:val="single"/>
        </w:rPr>
        <w:t xml:space="preserve"> Reviewed </w:t>
      </w:r>
    </w:p>
    <w:p w14:paraId="07DB84DF" w14:textId="7537D500" w:rsidR="00C80BEE" w:rsidRDefault="00C80BEE" w:rsidP="00250940">
      <w:pPr>
        <w:pStyle w:val="QuickFormat1"/>
        <w:jc w:val="both"/>
        <w:rPr>
          <w:b w:val="0"/>
          <w:sz w:val="24"/>
          <w:szCs w:val="24"/>
          <w:lang w:val="en-US" w:eastAsia="en-US"/>
        </w:rPr>
      </w:pPr>
    </w:p>
    <w:p w14:paraId="79F3653F" w14:textId="67127963" w:rsidR="00391469" w:rsidRDefault="00391469" w:rsidP="00250940">
      <w:pPr>
        <w:pStyle w:val="QuickFormat1"/>
        <w:jc w:val="both"/>
        <w:rPr>
          <w:b w:val="0"/>
          <w:sz w:val="24"/>
          <w:szCs w:val="24"/>
          <w:lang w:val="en-US" w:eastAsia="en-US"/>
        </w:rPr>
      </w:pPr>
      <w:r w:rsidRPr="00391469">
        <w:rPr>
          <w:b w:val="0"/>
          <w:sz w:val="24"/>
          <w:szCs w:val="24"/>
          <w:lang w:val="en-US" w:eastAsia="en-US"/>
        </w:rPr>
        <w:t xml:space="preserve">For the Community Development Test, </w:t>
      </w:r>
      <w:r w:rsidR="00C35732">
        <w:rPr>
          <w:b w:val="0"/>
          <w:sz w:val="24"/>
          <w:szCs w:val="24"/>
          <w:lang w:val="en-US" w:eastAsia="en-US"/>
        </w:rPr>
        <w:t>c</w:t>
      </w:r>
      <w:r w:rsidRPr="00391469">
        <w:rPr>
          <w:b w:val="0"/>
          <w:sz w:val="24"/>
          <w:szCs w:val="24"/>
          <w:lang w:val="en-US" w:eastAsia="en-US"/>
        </w:rPr>
        <w:t xml:space="preserve">redit </w:t>
      </w:r>
      <w:r w:rsidR="00C35732">
        <w:rPr>
          <w:b w:val="0"/>
          <w:sz w:val="24"/>
          <w:szCs w:val="24"/>
          <w:lang w:val="en-US" w:eastAsia="en-US"/>
        </w:rPr>
        <w:t>u</w:t>
      </w:r>
      <w:r w:rsidRPr="00391469">
        <w:rPr>
          <w:b w:val="0"/>
          <w:sz w:val="24"/>
          <w:szCs w:val="24"/>
          <w:lang w:val="en-US" w:eastAsia="en-US"/>
        </w:rPr>
        <w:t>nion management provided data on qualified</w:t>
      </w:r>
      <w:r>
        <w:rPr>
          <w:b w:val="0"/>
          <w:sz w:val="24"/>
          <w:szCs w:val="24"/>
          <w:lang w:val="en-US" w:eastAsia="en-US"/>
        </w:rPr>
        <w:t xml:space="preserve"> </w:t>
      </w:r>
      <w:r w:rsidRPr="00391469">
        <w:rPr>
          <w:b w:val="0"/>
          <w:sz w:val="24"/>
          <w:szCs w:val="24"/>
          <w:lang w:val="en-US" w:eastAsia="en-US"/>
        </w:rPr>
        <w:t>community development loans, qualified investments, and community development services since</w:t>
      </w:r>
      <w:r>
        <w:rPr>
          <w:b w:val="0"/>
          <w:sz w:val="24"/>
          <w:szCs w:val="24"/>
          <w:lang w:val="en-US" w:eastAsia="en-US"/>
        </w:rPr>
        <w:t xml:space="preserve"> </w:t>
      </w:r>
      <w:r w:rsidRPr="00391469">
        <w:rPr>
          <w:b w:val="0"/>
          <w:sz w:val="24"/>
          <w:szCs w:val="24"/>
          <w:lang w:val="en-US" w:eastAsia="en-US"/>
        </w:rPr>
        <w:t xml:space="preserve">the prior CRA evaluation </w:t>
      </w:r>
      <w:r>
        <w:rPr>
          <w:b w:val="0"/>
          <w:sz w:val="24"/>
          <w:szCs w:val="24"/>
          <w:lang w:val="en-US" w:eastAsia="en-US"/>
        </w:rPr>
        <w:t>dated January 19, 2016</w:t>
      </w:r>
      <w:r w:rsidR="00C35732">
        <w:rPr>
          <w:b w:val="0"/>
          <w:sz w:val="24"/>
          <w:szCs w:val="24"/>
          <w:lang w:val="en-US" w:eastAsia="en-US"/>
        </w:rPr>
        <w:t>.</w:t>
      </w:r>
    </w:p>
    <w:p w14:paraId="0B851D48" w14:textId="77777777" w:rsidR="00C80BEE" w:rsidRPr="003C612E" w:rsidRDefault="00C80BEE" w:rsidP="00250940">
      <w:pPr>
        <w:pStyle w:val="QuickFormat1"/>
        <w:jc w:val="both"/>
        <w:rPr>
          <w:color w:val="auto"/>
          <w:sz w:val="24"/>
          <w:szCs w:val="24"/>
        </w:rPr>
      </w:pPr>
    </w:p>
    <w:p w14:paraId="5D775C90" w14:textId="48737239" w:rsidR="00416B86" w:rsidRDefault="00416B86" w:rsidP="00250940">
      <w:pPr>
        <w:pStyle w:val="QuickFormat1"/>
        <w:jc w:val="both"/>
        <w:rPr>
          <w:color w:val="auto"/>
          <w:sz w:val="28"/>
          <w:szCs w:val="28"/>
          <w:lang w:val="en-US"/>
        </w:rPr>
      </w:pPr>
    </w:p>
    <w:p w14:paraId="3067F4FD" w14:textId="77777777" w:rsidR="00597B81" w:rsidRDefault="00597B81" w:rsidP="009D0E57">
      <w:pPr>
        <w:pStyle w:val="QuickFormat1"/>
        <w:rPr>
          <w:color w:val="auto"/>
          <w:sz w:val="28"/>
          <w:szCs w:val="28"/>
        </w:rPr>
      </w:pPr>
    </w:p>
    <w:p w14:paraId="04853E5B" w14:textId="77777777" w:rsidR="00597B81" w:rsidRDefault="00597B81">
      <w:pPr>
        <w:spacing w:after="160" w:line="259" w:lineRule="auto"/>
        <w:rPr>
          <w:rFonts w:eastAsiaTheme="minorHAnsi"/>
          <w:b/>
          <w:sz w:val="28"/>
          <w:szCs w:val="28"/>
          <w:lang w:val="x-none" w:eastAsia="x-none"/>
        </w:rPr>
      </w:pPr>
      <w:r>
        <w:rPr>
          <w:sz w:val="28"/>
          <w:szCs w:val="28"/>
        </w:rPr>
        <w:br w:type="page"/>
      </w:r>
    </w:p>
    <w:p w14:paraId="23B88ABA" w14:textId="0A83FCC8" w:rsidR="009D0E57" w:rsidRPr="00E80C4E" w:rsidRDefault="009D0E57" w:rsidP="009D0E57">
      <w:pPr>
        <w:pStyle w:val="QuickFormat1"/>
        <w:rPr>
          <w:b w:val="0"/>
          <w:bCs/>
          <w:color w:val="auto"/>
          <w:sz w:val="24"/>
          <w:szCs w:val="24"/>
        </w:rPr>
      </w:pPr>
      <w:r w:rsidRPr="00E80C4E">
        <w:rPr>
          <w:color w:val="auto"/>
          <w:sz w:val="28"/>
          <w:szCs w:val="28"/>
        </w:rPr>
        <w:lastRenderedPageBreak/>
        <w:t>DESCRIPTION OF INSTITUTION</w:t>
      </w:r>
    </w:p>
    <w:p w14:paraId="79AEC707" w14:textId="77777777" w:rsidR="009D0E57" w:rsidRPr="00E80C4E" w:rsidRDefault="009D0E57" w:rsidP="009D0E57"/>
    <w:p w14:paraId="41163FFE" w14:textId="77777777" w:rsidR="009D0E57" w:rsidRPr="00E80C4E" w:rsidRDefault="009D0E57" w:rsidP="00250940">
      <w:pPr>
        <w:jc w:val="both"/>
        <w:rPr>
          <w:b/>
          <w:bCs/>
          <w:iCs/>
          <w:u w:val="single"/>
        </w:rPr>
      </w:pPr>
      <w:r w:rsidRPr="00E80C4E">
        <w:rPr>
          <w:b/>
          <w:bCs/>
          <w:iCs/>
          <w:u w:val="single"/>
        </w:rPr>
        <w:t>Background</w:t>
      </w:r>
    </w:p>
    <w:p w14:paraId="0DA1D535" w14:textId="77777777" w:rsidR="009D0E57" w:rsidRPr="00E80C4E" w:rsidRDefault="009D0E57" w:rsidP="00250940">
      <w:pPr>
        <w:jc w:val="both"/>
        <w:rPr>
          <w:b/>
          <w:bCs/>
          <w:iCs/>
          <w:u w:val="single"/>
        </w:rPr>
      </w:pPr>
    </w:p>
    <w:p w14:paraId="147D153E" w14:textId="77777777" w:rsidR="009D0E57" w:rsidRPr="008E22E3" w:rsidRDefault="009D0E57" w:rsidP="00250940">
      <w:pPr>
        <w:spacing w:after="160"/>
        <w:jc w:val="both"/>
        <w:rPr>
          <w:rFonts w:eastAsiaTheme="minorHAnsi"/>
        </w:rPr>
      </w:pPr>
      <w:r w:rsidRPr="00E80C4E">
        <w:rPr>
          <w:rFonts w:eastAsiaTheme="minorHAnsi"/>
        </w:rPr>
        <w:t>Leominster Credit Union is a member-owned, not-for-profit cooperative institution originally chartered by the Commonwealth of Massachusetts in 1954</w:t>
      </w:r>
      <w:proofErr w:type="gramStart"/>
      <w:r w:rsidRPr="0073659F">
        <w:rPr>
          <w:rFonts w:eastAsiaTheme="minorHAnsi"/>
        </w:rPr>
        <w:t xml:space="preserve">.  </w:t>
      </w:r>
      <w:proofErr w:type="gramEnd"/>
      <w:r w:rsidRPr="0073659F">
        <w:rPr>
          <w:rFonts w:eastAsiaTheme="minorHAnsi"/>
        </w:rPr>
        <w:t xml:space="preserve">Membership is </w:t>
      </w:r>
      <w:r>
        <w:rPr>
          <w:rFonts w:eastAsiaTheme="minorHAnsi"/>
        </w:rPr>
        <w:t>limited to those persons living, working, or having business</w:t>
      </w:r>
      <w:r w:rsidRPr="0073659F">
        <w:rPr>
          <w:rFonts w:eastAsiaTheme="minorHAnsi"/>
        </w:rPr>
        <w:t xml:space="preserve"> within Worcester, Middlesex, Franklin, Hampden, Hampshire and Norfolk Counties</w:t>
      </w:r>
      <w:proofErr w:type="gramStart"/>
      <w:r w:rsidRPr="0073659F">
        <w:rPr>
          <w:rFonts w:eastAsiaTheme="minorHAnsi"/>
        </w:rPr>
        <w:t xml:space="preserve">.  </w:t>
      </w:r>
      <w:proofErr w:type="gramEnd"/>
      <w:r w:rsidRPr="0073659F">
        <w:rPr>
          <w:rFonts w:eastAsiaTheme="minorHAnsi"/>
        </w:rPr>
        <w:t xml:space="preserve">The credit union has 47,175 </w:t>
      </w:r>
      <w:r w:rsidRPr="008E22E3">
        <w:rPr>
          <w:rFonts w:eastAsiaTheme="minorHAnsi"/>
        </w:rPr>
        <w:t xml:space="preserve">members as of September 30, 2020. </w:t>
      </w:r>
    </w:p>
    <w:p w14:paraId="1DA4ADD6" w14:textId="5452F2F9" w:rsidR="009D0E57" w:rsidRPr="008E22E3" w:rsidRDefault="009D0E57" w:rsidP="00250940">
      <w:pPr>
        <w:spacing w:after="160"/>
        <w:jc w:val="both"/>
        <w:rPr>
          <w:rFonts w:eastAsiaTheme="minorHAnsi"/>
        </w:rPr>
      </w:pPr>
      <w:r w:rsidRPr="008E22E3">
        <w:rPr>
          <w:rFonts w:eastAsiaTheme="minorHAnsi"/>
        </w:rPr>
        <w:t xml:space="preserve">Leominster Credit Union received a </w:t>
      </w:r>
      <w:r w:rsidR="00C002EF">
        <w:rPr>
          <w:rFonts w:eastAsiaTheme="minorHAnsi"/>
        </w:rPr>
        <w:t>“</w:t>
      </w:r>
      <w:r w:rsidRPr="008E22E3">
        <w:rPr>
          <w:rFonts w:eastAsiaTheme="minorHAnsi"/>
        </w:rPr>
        <w:t>Satisfactory</w:t>
      </w:r>
      <w:r w:rsidR="00C002EF">
        <w:rPr>
          <w:rFonts w:eastAsiaTheme="minorHAnsi"/>
        </w:rPr>
        <w:t>”</w:t>
      </w:r>
      <w:r w:rsidRPr="008E22E3">
        <w:rPr>
          <w:rFonts w:eastAsiaTheme="minorHAnsi"/>
        </w:rPr>
        <w:t xml:space="preserve"> rating from the Massachusetts Division of Banks during its prior evaluation using the Intermediate Small Institution Examination Procedures. </w:t>
      </w:r>
    </w:p>
    <w:p w14:paraId="10EE4A3A" w14:textId="77777777" w:rsidR="009D0E57" w:rsidRPr="008E22E3" w:rsidRDefault="009D0E57" w:rsidP="00250940">
      <w:pPr>
        <w:pStyle w:val="QuickFormat1"/>
        <w:jc w:val="both"/>
        <w:rPr>
          <w:iCs/>
          <w:color w:val="auto"/>
          <w:sz w:val="24"/>
          <w:szCs w:val="24"/>
          <w:u w:val="single"/>
        </w:rPr>
      </w:pPr>
      <w:r w:rsidRPr="008E22E3">
        <w:rPr>
          <w:iCs/>
          <w:color w:val="auto"/>
          <w:sz w:val="24"/>
          <w:szCs w:val="24"/>
          <w:u w:val="single"/>
        </w:rPr>
        <w:t>Operations</w:t>
      </w:r>
    </w:p>
    <w:p w14:paraId="20A25EC0" w14:textId="77777777" w:rsidR="009D0E57" w:rsidRPr="00063691" w:rsidRDefault="009D0E57" w:rsidP="00250940">
      <w:pPr>
        <w:pStyle w:val="QuickFormat1"/>
        <w:jc w:val="both"/>
        <w:rPr>
          <w:iCs/>
          <w:color w:val="auto"/>
          <w:sz w:val="24"/>
          <w:szCs w:val="24"/>
          <w:u w:val="single"/>
        </w:rPr>
      </w:pPr>
    </w:p>
    <w:p w14:paraId="1019B0C3" w14:textId="4AC7B42A" w:rsidR="009D0E57" w:rsidRPr="0075101F" w:rsidRDefault="009D0E57" w:rsidP="00250940">
      <w:pPr>
        <w:tabs>
          <w:tab w:val="left" w:pos="916"/>
        </w:tabs>
        <w:jc w:val="both"/>
      </w:pPr>
      <w:r>
        <w:t>The credit union operates 9 branches (7 full-service and 2 limited-service), including its main office at 20 Adams Street, Leominster, MA located in a middle-income census tract</w:t>
      </w:r>
      <w:proofErr w:type="gramStart"/>
      <w:r>
        <w:t xml:space="preserve">.  </w:t>
      </w:r>
      <w:proofErr w:type="gramEnd"/>
      <w:r>
        <w:t>Other b</w:t>
      </w:r>
      <w:r w:rsidRPr="00097B13">
        <w:t xml:space="preserve">ranches </w:t>
      </w:r>
      <w:r>
        <w:t xml:space="preserve">are </w:t>
      </w:r>
      <w:r w:rsidRPr="00097B13">
        <w:t>located in Clinton (2), Holden (2), Leominster (2), Sterling, and Worcester (2)</w:t>
      </w:r>
      <w:proofErr w:type="gramStart"/>
      <w:r w:rsidRPr="00097B13">
        <w:t xml:space="preserve">.  </w:t>
      </w:r>
      <w:proofErr w:type="gramEnd"/>
      <w:r w:rsidRPr="00097B13">
        <w:t>The credit union operates one branch in a low-income census tract (Worcester), five in middle-income census tracts (Clinton, Leominster, Worcester) and three in upper-income census tracts (Holden and Sterling)</w:t>
      </w:r>
      <w:proofErr w:type="gramStart"/>
      <w:r w:rsidRPr="00097B13">
        <w:t>.</w:t>
      </w:r>
      <w:r>
        <w:t xml:space="preserve">  </w:t>
      </w:r>
      <w:proofErr w:type="gramEnd"/>
      <w:r>
        <w:t xml:space="preserve">Of </w:t>
      </w:r>
      <w:r w:rsidRPr="005E1839">
        <w:t>the nine branches</w:t>
      </w:r>
      <w:r>
        <w:t xml:space="preserve">, two limited-service high school branches (Clinton and Holden) operate within school hours and service is limited to </w:t>
      </w:r>
      <w:r w:rsidRPr="0075101F">
        <w:t>students, faculty and staff</w:t>
      </w:r>
      <w:proofErr w:type="gramStart"/>
      <w:r w:rsidRPr="0075101F">
        <w:t xml:space="preserve">.  </w:t>
      </w:r>
      <w:proofErr w:type="gramEnd"/>
      <w:r>
        <w:t>T</w:t>
      </w:r>
      <w:r w:rsidRPr="0075101F">
        <w:t>he credi</w:t>
      </w:r>
      <w:r>
        <w:t>t union did not open nor close</w:t>
      </w:r>
      <w:r w:rsidRPr="0075101F">
        <w:t xml:space="preserve"> any branches during the </w:t>
      </w:r>
      <w:r>
        <w:t>review</w:t>
      </w:r>
      <w:r w:rsidRPr="0075101F">
        <w:t xml:space="preserve"> period.</w:t>
      </w:r>
    </w:p>
    <w:p w14:paraId="449EE77B" w14:textId="77777777" w:rsidR="009D0E57" w:rsidRPr="0075101F" w:rsidRDefault="009D0E57" w:rsidP="00250940">
      <w:pPr>
        <w:tabs>
          <w:tab w:val="left" w:pos="916"/>
        </w:tabs>
        <w:jc w:val="both"/>
      </w:pPr>
    </w:p>
    <w:p w14:paraId="1F232DD5" w14:textId="77777777" w:rsidR="009D0E57" w:rsidRPr="006D4117" w:rsidRDefault="009D0E57" w:rsidP="00250940">
      <w:pPr>
        <w:tabs>
          <w:tab w:val="left" w:pos="916"/>
        </w:tabs>
        <w:jc w:val="both"/>
      </w:pPr>
      <w:r w:rsidRPr="00846367">
        <w:t>The credit union offers both personal and business accounts to members</w:t>
      </w:r>
      <w:proofErr w:type="gramStart"/>
      <w:r w:rsidRPr="00846367">
        <w:t xml:space="preserve">. </w:t>
      </w:r>
      <w:r>
        <w:t xml:space="preserve"> </w:t>
      </w:r>
      <w:proofErr w:type="gramEnd"/>
      <w:r w:rsidRPr="00846367">
        <w:t xml:space="preserve">Members can open checking accounts, savings accounts, Certificates of Deposits, Individual Retirement Accounts, and </w:t>
      </w:r>
      <w:proofErr w:type="spellStart"/>
      <w:r w:rsidRPr="00846367">
        <w:t>LCU</w:t>
      </w:r>
      <w:proofErr w:type="spellEnd"/>
      <w:r w:rsidRPr="00846367">
        <w:t xml:space="preserve"> debit card as well as Business Checking </w:t>
      </w:r>
      <w:r w:rsidRPr="004E5464">
        <w:t>accounts</w:t>
      </w:r>
      <w:proofErr w:type="gramStart"/>
      <w:r w:rsidRPr="004E5464">
        <w:t xml:space="preserve">.  </w:t>
      </w:r>
      <w:proofErr w:type="gramEnd"/>
      <w:r w:rsidRPr="006D4117">
        <w:t>Services that are o</w:t>
      </w:r>
      <w:r>
        <w:t xml:space="preserve">ffered include </w:t>
      </w:r>
      <w:r w:rsidRPr="006D4117">
        <w:t xml:space="preserve">Online Banking with </w:t>
      </w:r>
      <w:proofErr w:type="spellStart"/>
      <w:r w:rsidRPr="006D4117">
        <w:t>Popmoney</w:t>
      </w:r>
      <w:proofErr w:type="spellEnd"/>
      <w:r w:rsidRPr="006D4117">
        <w:t xml:space="preserve"> and Mobile</w:t>
      </w:r>
      <w:r w:rsidRPr="004E5464">
        <w:t xml:space="preserve"> Banking with </w:t>
      </w:r>
      <w:r>
        <w:t>Bill Pay, Apple Pay, Elan Pay Credit Card,</w:t>
      </w:r>
      <w:r w:rsidRPr="004E5464">
        <w:t xml:space="preserve"> and Mobile Deposit</w:t>
      </w:r>
      <w:proofErr w:type="gramStart"/>
      <w:r w:rsidRPr="004E5464">
        <w:t xml:space="preserve">.  </w:t>
      </w:r>
      <w:proofErr w:type="gramEnd"/>
      <w:r w:rsidRPr="004E5464">
        <w:t xml:space="preserve">In addition to deposit accounts, credit union members can apply for mortgage loans, home equity loans and </w:t>
      </w:r>
      <w:r w:rsidRPr="00846367">
        <w:t xml:space="preserve">lines of </w:t>
      </w:r>
      <w:r w:rsidRPr="004E5464">
        <w:t xml:space="preserve">credit, </w:t>
      </w:r>
      <w:r>
        <w:t>personal</w:t>
      </w:r>
      <w:r w:rsidRPr="004E5464">
        <w:t xml:space="preserve"> </w:t>
      </w:r>
      <w:r w:rsidRPr="006D4117">
        <w:t xml:space="preserve">and student loans, new and used auto loans, personal care financing, </w:t>
      </w:r>
      <w:r>
        <w:t xml:space="preserve">and </w:t>
      </w:r>
      <w:proofErr w:type="spellStart"/>
      <w:r>
        <w:t>LCU</w:t>
      </w:r>
      <w:proofErr w:type="spellEnd"/>
      <w:r>
        <w:t xml:space="preserve"> credit card</w:t>
      </w:r>
      <w:proofErr w:type="gramStart"/>
      <w:r w:rsidRPr="006D4117">
        <w:t xml:space="preserve">.  </w:t>
      </w:r>
      <w:r>
        <w:t>Also</w:t>
      </w:r>
      <w:proofErr w:type="gramEnd"/>
      <w:r>
        <w:t>, b</w:t>
      </w:r>
      <w:r w:rsidRPr="006D4117">
        <w:t xml:space="preserve">usiness lending </w:t>
      </w:r>
      <w:r>
        <w:t>offers</w:t>
      </w:r>
      <w:r w:rsidRPr="006D4117">
        <w:t xml:space="preserve"> commercial real estate loans and business lines of credit. </w:t>
      </w:r>
    </w:p>
    <w:p w14:paraId="23A1F72F" w14:textId="77777777" w:rsidR="009D0E57" w:rsidRPr="006D4117" w:rsidRDefault="009D0E57" w:rsidP="00250940">
      <w:pPr>
        <w:tabs>
          <w:tab w:val="left" w:pos="916"/>
        </w:tabs>
        <w:jc w:val="both"/>
        <w:rPr>
          <w:highlight w:val="yellow"/>
        </w:rPr>
      </w:pPr>
    </w:p>
    <w:p w14:paraId="17947F66" w14:textId="77777777" w:rsidR="009D0E57" w:rsidRPr="005E6AE9" w:rsidRDefault="009D0E57" w:rsidP="00250940">
      <w:pPr>
        <w:tabs>
          <w:tab w:val="left" w:pos="916"/>
        </w:tabs>
        <w:jc w:val="both"/>
      </w:pPr>
      <w:r w:rsidRPr="006D4117">
        <w:t xml:space="preserve">The credit union is part of the SUM, </w:t>
      </w:r>
      <w:proofErr w:type="spellStart"/>
      <w:r w:rsidRPr="006D4117">
        <w:t>NYCE</w:t>
      </w:r>
      <w:proofErr w:type="spellEnd"/>
      <w:r w:rsidRPr="006D4117">
        <w:t xml:space="preserve"> and </w:t>
      </w:r>
      <w:proofErr w:type="spellStart"/>
      <w:r w:rsidRPr="006D4117">
        <w:t>MoneyPass</w:t>
      </w:r>
      <w:proofErr w:type="spellEnd"/>
      <w:r w:rsidRPr="006D4117">
        <w:t xml:space="preserve"> </w:t>
      </w:r>
      <w:r w:rsidRPr="005E6AE9">
        <w:t xml:space="preserve">ATM networks, which allow members to perform ATM transactions, surcharge-free, at over 30,000 participating ATMs.  </w:t>
      </w:r>
    </w:p>
    <w:p w14:paraId="36E81DCF" w14:textId="77777777" w:rsidR="009D0E57" w:rsidRPr="005E6AE9" w:rsidRDefault="009D0E57" w:rsidP="00250940">
      <w:pPr>
        <w:pStyle w:val="QuickFormat1"/>
        <w:jc w:val="both"/>
        <w:rPr>
          <w:iCs/>
          <w:color w:val="auto"/>
          <w:sz w:val="24"/>
          <w:szCs w:val="24"/>
          <w:highlight w:val="yellow"/>
          <w:u w:val="single"/>
        </w:rPr>
      </w:pPr>
    </w:p>
    <w:p w14:paraId="01CC590F" w14:textId="77777777" w:rsidR="009D0E57" w:rsidRPr="005E6AE9" w:rsidRDefault="009D0E57" w:rsidP="00250940">
      <w:pPr>
        <w:pStyle w:val="QuickFormat1"/>
        <w:jc w:val="both"/>
        <w:rPr>
          <w:iCs/>
          <w:color w:val="auto"/>
          <w:sz w:val="24"/>
          <w:szCs w:val="24"/>
          <w:highlight w:val="yellow"/>
          <w:u w:val="single"/>
          <w:lang w:val="en-US"/>
        </w:rPr>
      </w:pPr>
    </w:p>
    <w:p w14:paraId="1781332C" w14:textId="77777777" w:rsidR="009D0E57" w:rsidRPr="00A03CE4" w:rsidRDefault="009D0E57" w:rsidP="00250940">
      <w:pPr>
        <w:pStyle w:val="QuickFormat1"/>
        <w:jc w:val="both"/>
        <w:rPr>
          <w:iCs/>
          <w:color w:val="auto"/>
          <w:sz w:val="24"/>
          <w:szCs w:val="24"/>
          <w:u w:val="single"/>
          <w:lang w:val="en-US"/>
        </w:rPr>
      </w:pPr>
      <w:r w:rsidRPr="00A03CE4">
        <w:rPr>
          <w:iCs/>
          <w:color w:val="auto"/>
          <w:sz w:val="24"/>
          <w:szCs w:val="24"/>
          <w:u w:val="single"/>
        </w:rPr>
        <w:t>Ability and Capacity</w:t>
      </w:r>
    </w:p>
    <w:p w14:paraId="5294E498" w14:textId="77777777" w:rsidR="009D0E57" w:rsidRPr="00A03CE4" w:rsidRDefault="009D0E57" w:rsidP="00250940">
      <w:pPr>
        <w:pStyle w:val="QuickFormat1"/>
        <w:jc w:val="both"/>
        <w:rPr>
          <w:iCs/>
          <w:color w:val="auto"/>
          <w:sz w:val="24"/>
          <w:szCs w:val="24"/>
          <w:u w:val="single"/>
          <w:lang w:val="en-US"/>
        </w:rPr>
      </w:pPr>
    </w:p>
    <w:p w14:paraId="3512823F" w14:textId="5BE31F23" w:rsidR="009D0E57" w:rsidRDefault="009D0E57" w:rsidP="00250940">
      <w:pPr>
        <w:tabs>
          <w:tab w:val="left" w:pos="916"/>
        </w:tabs>
        <w:jc w:val="both"/>
      </w:pPr>
      <w:r w:rsidRPr="00A03CE4">
        <w:t>As of September 30, 2020, the credit union had total assets of approximately $758.4 million, total shares and deposits of approximately $620.0 million, and total loans of approximately $540.7 million</w:t>
      </w:r>
      <w:proofErr w:type="gramStart"/>
      <w:r w:rsidRPr="00A03CE4">
        <w:t xml:space="preserve">.  </w:t>
      </w:r>
      <w:proofErr w:type="gramEnd"/>
      <w:r w:rsidRPr="00A03CE4">
        <w:t>The credit union is primarily a residential mortgage lender by dollar volume</w:t>
      </w:r>
      <w:proofErr w:type="gramStart"/>
      <w:r w:rsidRPr="00A03CE4">
        <w:t xml:space="preserve">.  </w:t>
      </w:r>
      <w:proofErr w:type="gramEnd"/>
      <w:r w:rsidRPr="00A03CE4">
        <w:t>Loans secured by first liens and junior liens on 1-4 family residen</w:t>
      </w:r>
      <w:r w:rsidR="00C002EF">
        <w:t>tial properties account for 52.1</w:t>
      </w:r>
      <w:r w:rsidRPr="00A03CE4">
        <w:t xml:space="preserve">         percent of total loans</w:t>
      </w:r>
      <w:proofErr w:type="gramStart"/>
      <w:r w:rsidRPr="00A03CE4">
        <w:t xml:space="preserve">.  </w:t>
      </w:r>
      <w:proofErr w:type="gramEnd"/>
      <w:r w:rsidRPr="00A03CE4">
        <w:t>Additionally, automobile loans represented the second largest portion of the loan portfolio at 28.5 percent.</w:t>
      </w:r>
      <w:r>
        <w:t xml:space="preserve">  </w:t>
      </w:r>
    </w:p>
    <w:p w14:paraId="221B7B5D" w14:textId="695CF4A5" w:rsidR="009D0E57" w:rsidRDefault="009D0E57" w:rsidP="00250940">
      <w:pPr>
        <w:tabs>
          <w:tab w:val="left" w:pos="916"/>
        </w:tabs>
        <w:jc w:val="both"/>
      </w:pPr>
    </w:p>
    <w:p w14:paraId="2E224C63" w14:textId="3D8AD445" w:rsidR="00597B81" w:rsidRDefault="00597B81" w:rsidP="00250940">
      <w:pPr>
        <w:tabs>
          <w:tab w:val="left" w:pos="916"/>
        </w:tabs>
        <w:jc w:val="both"/>
      </w:pPr>
    </w:p>
    <w:p w14:paraId="11FE30B6" w14:textId="77777777" w:rsidR="00597B81" w:rsidRDefault="00597B81" w:rsidP="00250940">
      <w:pPr>
        <w:tabs>
          <w:tab w:val="left" w:pos="916"/>
        </w:tabs>
        <w:jc w:val="both"/>
      </w:pPr>
    </w:p>
    <w:p w14:paraId="13585569" w14:textId="77777777" w:rsidR="009D0E57" w:rsidRPr="00A03CE4" w:rsidRDefault="009D0E57" w:rsidP="00250940">
      <w:pPr>
        <w:tabs>
          <w:tab w:val="left" w:pos="916"/>
        </w:tabs>
        <w:jc w:val="both"/>
      </w:pPr>
      <w:r w:rsidRPr="00A03CE4">
        <w:lastRenderedPageBreak/>
        <w:t>The following table illustrates the distribution of the credit union’s loan portfolio.</w:t>
      </w:r>
    </w:p>
    <w:p w14:paraId="3ED16095" w14:textId="77777777" w:rsidR="009D0E57" w:rsidRPr="00A03CE4" w:rsidRDefault="009D0E57" w:rsidP="009D0E57">
      <w:pPr>
        <w:pStyle w:val="QuickFormat1"/>
        <w:jc w:val="left"/>
        <w:rPr>
          <w:b w:val="0"/>
          <w:bCs/>
          <w:color w:val="auto"/>
          <w:spacing w:val="-4"/>
          <w:sz w:val="24"/>
          <w:szCs w:val="24"/>
          <w:highlight w:val="yellow"/>
          <w:lang w:val="en-US"/>
        </w:rPr>
      </w:pPr>
    </w:p>
    <w:tbl>
      <w:tblPr>
        <w:tblpPr w:leftFromText="180" w:rightFromText="180" w:vertAnchor="text" w:horzAnchor="margin" w:tblpY="-40"/>
        <w:tblW w:w="9397" w:type="dxa"/>
        <w:tblBorders>
          <w:top w:val="single" w:sz="4" w:space="0" w:color="auto"/>
          <w:left w:val="single" w:sz="4" w:space="0" w:color="auto"/>
          <w:bottom w:val="single" w:sz="4" w:space="0" w:color="auto"/>
          <w:right w:val="single" w:sz="4" w:space="0" w:color="auto"/>
          <w:insideH w:val="single" w:sz="8" w:space="0" w:color="auto"/>
          <w:insideV w:val="single" w:sz="4" w:space="0" w:color="auto"/>
        </w:tblBorders>
        <w:tblLayout w:type="fixed"/>
        <w:tblLook w:val="0000" w:firstRow="0" w:lastRow="0" w:firstColumn="0" w:lastColumn="0" w:noHBand="0" w:noVBand="0"/>
        <w:tblDescription w:val="Table X - Loan Portfolio Distribution as of XX/XX/XX"/>
      </w:tblPr>
      <w:tblGrid>
        <w:gridCol w:w="6587"/>
        <w:gridCol w:w="1642"/>
        <w:gridCol w:w="1168"/>
      </w:tblGrid>
      <w:tr w:rsidR="009D0E57" w:rsidRPr="00A03CE4" w14:paraId="32E9576D" w14:textId="77777777" w:rsidTr="00250940">
        <w:trPr>
          <w:trHeight w:hRule="exact" w:val="363"/>
          <w:tblHeader/>
        </w:trPr>
        <w:tc>
          <w:tcPr>
            <w:tcW w:w="9397" w:type="dxa"/>
            <w:gridSpan w:val="3"/>
            <w:tcBorders>
              <w:top w:val="single" w:sz="4" w:space="0" w:color="auto"/>
              <w:bottom w:val="single" w:sz="8" w:space="0" w:color="auto"/>
            </w:tcBorders>
            <w:shd w:val="clear" w:color="auto" w:fill="auto"/>
            <w:vAlign w:val="center"/>
          </w:tcPr>
          <w:p w14:paraId="0172F9E4" w14:textId="77777777" w:rsidR="009D0E57" w:rsidRPr="00A03CE4" w:rsidRDefault="009D0E57" w:rsidP="009D0E57">
            <w:pPr>
              <w:spacing w:after="160" w:line="259" w:lineRule="auto"/>
              <w:jc w:val="center"/>
              <w:rPr>
                <w:rFonts w:eastAsiaTheme="minorHAnsi"/>
                <w:b/>
                <w:sz w:val="20"/>
                <w:szCs w:val="20"/>
              </w:rPr>
            </w:pPr>
            <w:r w:rsidRPr="00A03CE4">
              <w:rPr>
                <w:rFonts w:eastAsiaTheme="minorHAnsi"/>
                <w:sz w:val="20"/>
                <w:szCs w:val="20"/>
              </w:rPr>
              <w:br w:type="page"/>
            </w:r>
            <w:r w:rsidRPr="00A03CE4">
              <w:rPr>
                <w:rFonts w:eastAsiaTheme="minorHAnsi"/>
                <w:sz w:val="20"/>
                <w:szCs w:val="20"/>
              </w:rPr>
              <w:br w:type="page"/>
            </w:r>
            <w:r w:rsidRPr="00A03CE4">
              <w:rPr>
                <w:rFonts w:eastAsiaTheme="minorHAnsi"/>
                <w:sz w:val="20"/>
                <w:szCs w:val="20"/>
              </w:rPr>
              <w:br w:type="page"/>
            </w:r>
            <w:r w:rsidRPr="00A03CE4">
              <w:rPr>
                <w:rFonts w:eastAsiaTheme="minorHAnsi"/>
                <w:b/>
                <w:sz w:val="20"/>
                <w:szCs w:val="20"/>
              </w:rPr>
              <w:br w:type="page"/>
              <w:t>Loan Portfolio Distribution as of 9/30/2020</w:t>
            </w:r>
          </w:p>
        </w:tc>
      </w:tr>
      <w:tr w:rsidR="009D0E57" w:rsidRPr="00B86CFE" w14:paraId="7DDB071A" w14:textId="77777777" w:rsidTr="00250940">
        <w:trPr>
          <w:trHeight w:hRule="exact" w:val="291"/>
        </w:trPr>
        <w:tc>
          <w:tcPr>
            <w:tcW w:w="6587" w:type="dxa"/>
            <w:tcBorders>
              <w:top w:val="single" w:sz="8" w:space="0" w:color="auto"/>
            </w:tcBorders>
            <w:vAlign w:val="center"/>
          </w:tcPr>
          <w:p w14:paraId="3CCBC1E6" w14:textId="77777777" w:rsidR="009D0E57" w:rsidRPr="00B86CFE" w:rsidRDefault="009D0E57" w:rsidP="009D0E57">
            <w:pPr>
              <w:spacing w:after="160" w:line="259" w:lineRule="auto"/>
              <w:rPr>
                <w:rFonts w:eastAsiaTheme="minorHAnsi"/>
                <w:b/>
                <w:sz w:val="20"/>
                <w:szCs w:val="22"/>
              </w:rPr>
            </w:pPr>
            <w:r w:rsidRPr="00B86CFE">
              <w:rPr>
                <w:rFonts w:eastAsiaTheme="minorHAnsi"/>
                <w:b/>
                <w:sz w:val="20"/>
                <w:szCs w:val="22"/>
              </w:rPr>
              <w:t>Loan Category</w:t>
            </w:r>
          </w:p>
        </w:tc>
        <w:tc>
          <w:tcPr>
            <w:tcW w:w="1642" w:type="dxa"/>
            <w:tcBorders>
              <w:top w:val="single" w:sz="8" w:space="0" w:color="auto"/>
            </w:tcBorders>
            <w:vAlign w:val="center"/>
          </w:tcPr>
          <w:p w14:paraId="6FDA569A" w14:textId="77777777" w:rsidR="009D0E57" w:rsidRPr="00B86CFE" w:rsidRDefault="009D0E57" w:rsidP="009D0E57">
            <w:pPr>
              <w:spacing w:after="160" w:line="259" w:lineRule="auto"/>
              <w:jc w:val="center"/>
              <w:rPr>
                <w:rFonts w:eastAsiaTheme="minorHAnsi"/>
                <w:b/>
                <w:sz w:val="20"/>
                <w:szCs w:val="22"/>
              </w:rPr>
            </w:pPr>
            <w:r w:rsidRPr="00B86CFE">
              <w:rPr>
                <w:rFonts w:eastAsiaTheme="minorHAnsi"/>
                <w:b/>
                <w:sz w:val="20"/>
                <w:szCs w:val="22"/>
              </w:rPr>
              <w:t>$</w:t>
            </w:r>
          </w:p>
        </w:tc>
        <w:tc>
          <w:tcPr>
            <w:tcW w:w="1167" w:type="dxa"/>
            <w:tcBorders>
              <w:top w:val="single" w:sz="8" w:space="0" w:color="auto"/>
            </w:tcBorders>
            <w:vAlign w:val="center"/>
          </w:tcPr>
          <w:p w14:paraId="26394363" w14:textId="77777777" w:rsidR="009D0E57" w:rsidRPr="00B86CFE" w:rsidRDefault="009D0E57" w:rsidP="009D0E57">
            <w:pPr>
              <w:spacing w:after="160" w:line="259" w:lineRule="auto"/>
              <w:jc w:val="center"/>
              <w:rPr>
                <w:rFonts w:eastAsiaTheme="minorHAnsi"/>
                <w:b/>
                <w:sz w:val="20"/>
                <w:szCs w:val="22"/>
              </w:rPr>
            </w:pPr>
            <w:r w:rsidRPr="00B86CFE">
              <w:rPr>
                <w:rFonts w:eastAsiaTheme="minorHAnsi"/>
                <w:b/>
                <w:sz w:val="20"/>
                <w:szCs w:val="22"/>
              </w:rPr>
              <w:t xml:space="preserve"> %</w:t>
            </w:r>
          </w:p>
        </w:tc>
      </w:tr>
      <w:tr w:rsidR="009D0E57" w:rsidRPr="00B86CFE" w14:paraId="505635BF" w14:textId="77777777" w:rsidTr="00250940">
        <w:trPr>
          <w:trHeight w:hRule="exact" w:val="291"/>
        </w:trPr>
        <w:tc>
          <w:tcPr>
            <w:tcW w:w="6587" w:type="dxa"/>
            <w:vAlign w:val="center"/>
          </w:tcPr>
          <w:p w14:paraId="56AC5DFD"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Non-Federally Guaranteed Student Loans</w:t>
            </w:r>
          </w:p>
          <w:p w14:paraId="2D9EA254" w14:textId="77777777" w:rsidR="009D0E57" w:rsidRPr="00B86CFE" w:rsidRDefault="009D0E57" w:rsidP="009D0E57">
            <w:pPr>
              <w:spacing w:after="160" w:line="259" w:lineRule="auto"/>
              <w:rPr>
                <w:rFonts w:eastAsiaTheme="minorHAnsi"/>
                <w:sz w:val="20"/>
                <w:szCs w:val="22"/>
              </w:rPr>
            </w:pPr>
          </w:p>
        </w:tc>
        <w:tc>
          <w:tcPr>
            <w:tcW w:w="1642" w:type="dxa"/>
            <w:vAlign w:val="center"/>
          </w:tcPr>
          <w:p w14:paraId="39C64E2D"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4,606,168</w:t>
            </w:r>
          </w:p>
        </w:tc>
        <w:tc>
          <w:tcPr>
            <w:tcW w:w="1167" w:type="dxa"/>
            <w:vAlign w:val="center"/>
          </w:tcPr>
          <w:p w14:paraId="07B1F023"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0.9</w:t>
            </w:r>
          </w:p>
        </w:tc>
      </w:tr>
      <w:tr w:rsidR="009D0E57" w:rsidRPr="00B86CFE" w14:paraId="17038303" w14:textId="77777777" w:rsidTr="00250940">
        <w:trPr>
          <w:trHeight w:hRule="exact" w:val="291"/>
        </w:trPr>
        <w:tc>
          <w:tcPr>
            <w:tcW w:w="6587" w:type="dxa"/>
            <w:vAlign w:val="center"/>
          </w:tcPr>
          <w:p w14:paraId="1658C1B9"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All Other Unsecured Loan/Lines of Credit</w:t>
            </w:r>
          </w:p>
        </w:tc>
        <w:tc>
          <w:tcPr>
            <w:tcW w:w="1642" w:type="dxa"/>
            <w:vAlign w:val="center"/>
          </w:tcPr>
          <w:p w14:paraId="660C87CF"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18,092,331</w:t>
            </w:r>
          </w:p>
        </w:tc>
        <w:tc>
          <w:tcPr>
            <w:tcW w:w="1167" w:type="dxa"/>
            <w:vAlign w:val="center"/>
          </w:tcPr>
          <w:p w14:paraId="09C2F37C"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3.3</w:t>
            </w:r>
          </w:p>
        </w:tc>
      </w:tr>
      <w:tr w:rsidR="009D0E57" w:rsidRPr="00B86CFE" w14:paraId="49D4A637" w14:textId="77777777" w:rsidTr="00250940">
        <w:trPr>
          <w:trHeight w:hRule="exact" w:val="291"/>
        </w:trPr>
        <w:tc>
          <w:tcPr>
            <w:tcW w:w="6587" w:type="dxa"/>
            <w:vAlign w:val="center"/>
          </w:tcPr>
          <w:p w14:paraId="7CC5CEF2"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New Vehicle Loans</w:t>
            </w:r>
          </w:p>
        </w:tc>
        <w:tc>
          <w:tcPr>
            <w:tcW w:w="1642" w:type="dxa"/>
            <w:vAlign w:val="center"/>
          </w:tcPr>
          <w:p w14:paraId="4BA11758"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25,445,008</w:t>
            </w:r>
          </w:p>
        </w:tc>
        <w:tc>
          <w:tcPr>
            <w:tcW w:w="1167" w:type="dxa"/>
            <w:vAlign w:val="center"/>
          </w:tcPr>
          <w:p w14:paraId="7E096780"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4.7</w:t>
            </w:r>
          </w:p>
        </w:tc>
      </w:tr>
      <w:tr w:rsidR="009D0E57" w:rsidRPr="00B86CFE" w14:paraId="3AC8156C" w14:textId="77777777" w:rsidTr="00250940">
        <w:trPr>
          <w:trHeight w:hRule="exact" w:val="291"/>
        </w:trPr>
        <w:tc>
          <w:tcPr>
            <w:tcW w:w="6587" w:type="dxa"/>
            <w:vAlign w:val="center"/>
          </w:tcPr>
          <w:p w14:paraId="7DF96A9D"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Used Vehicle Loans</w:t>
            </w:r>
          </w:p>
        </w:tc>
        <w:tc>
          <w:tcPr>
            <w:tcW w:w="1642" w:type="dxa"/>
            <w:vAlign w:val="center"/>
          </w:tcPr>
          <w:p w14:paraId="647BF2AF"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128,711,977</w:t>
            </w:r>
          </w:p>
        </w:tc>
        <w:tc>
          <w:tcPr>
            <w:tcW w:w="1167" w:type="dxa"/>
            <w:vAlign w:val="center"/>
          </w:tcPr>
          <w:p w14:paraId="021A01EA"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23.8</w:t>
            </w:r>
          </w:p>
        </w:tc>
      </w:tr>
      <w:tr w:rsidR="009D0E57" w:rsidRPr="00B86CFE" w14:paraId="43FA12F5" w14:textId="77777777" w:rsidTr="00250940">
        <w:trPr>
          <w:trHeight w:hRule="exact" w:val="291"/>
        </w:trPr>
        <w:tc>
          <w:tcPr>
            <w:tcW w:w="6587" w:type="dxa"/>
            <w:vAlign w:val="center"/>
          </w:tcPr>
          <w:p w14:paraId="28EA988B"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Secured Non-Real Estate Loans/Lines of Credit</w:t>
            </w:r>
          </w:p>
        </w:tc>
        <w:tc>
          <w:tcPr>
            <w:tcW w:w="1642" w:type="dxa"/>
            <w:vAlign w:val="center"/>
          </w:tcPr>
          <w:p w14:paraId="4AEAE1D7"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65,535,140</w:t>
            </w:r>
          </w:p>
        </w:tc>
        <w:tc>
          <w:tcPr>
            <w:tcW w:w="1167" w:type="dxa"/>
            <w:vAlign w:val="center"/>
          </w:tcPr>
          <w:p w14:paraId="2FE6CAAD"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11.8</w:t>
            </w:r>
          </w:p>
        </w:tc>
      </w:tr>
      <w:tr w:rsidR="009D0E57" w:rsidRPr="00B86CFE" w14:paraId="31BD3D40" w14:textId="77777777" w:rsidTr="00250940">
        <w:trPr>
          <w:trHeight w:hRule="exact" w:val="291"/>
        </w:trPr>
        <w:tc>
          <w:tcPr>
            <w:tcW w:w="6587" w:type="dxa"/>
            <w:vAlign w:val="center"/>
          </w:tcPr>
          <w:p w14:paraId="6BB61F1D"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Total Loans/Lines of Credit Secured by 1</w:t>
            </w:r>
            <w:r w:rsidRPr="00B86CFE">
              <w:rPr>
                <w:rFonts w:eastAsiaTheme="minorHAnsi"/>
                <w:sz w:val="20"/>
                <w:szCs w:val="22"/>
                <w:vertAlign w:val="superscript"/>
              </w:rPr>
              <w:t>st</w:t>
            </w:r>
            <w:r w:rsidRPr="00B86CFE">
              <w:rPr>
                <w:rFonts w:eastAsiaTheme="minorHAnsi"/>
                <w:sz w:val="20"/>
                <w:szCs w:val="22"/>
              </w:rPr>
              <w:t xml:space="preserve"> Lien 1-4 Family Residential Properties</w:t>
            </w:r>
          </w:p>
        </w:tc>
        <w:tc>
          <w:tcPr>
            <w:tcW w:w="1642" w:type="dxa"/>
            <w:vAlign w:val="center"/>
          </w:tcPr>
          <w:p w14:paraId="44D47AC5"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202,828,483</w:t>
            </w:r>
          </w:p>
        </w:tc>
        <w:tc>
          <w:tcPr>
            <w:tcW w:w="1167" w:type="dxa"/>
            <w:vAlign w:val="center"/>
          </w:tcPr>
          <w:p w14:paraId="2676AC50"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37.5</w:t>
            </w:r>
          </w:p>
        </w:tc>
      </w:tr>
      <w:tr w:rsidR="009D0E57" w:rsidRPr="00B86CFE" w14:paraId="650CCCA5" w14:textId="77777777" w:rsidTr="00250940">
        <w:trPr>
          <w:trHeight w:hRule="exact" w:val="547"/>
        </w:trPr>
        <w:tc>
          <w:tcPr>
            <w:tcW w:w="6587" w:type="dxa"/>
            <w:vAlign w:val="center"/>
          </w:tcPr>
          <w:p w14:paraId="43E37EF7"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Total Loans/Lines of Credit Secured by Junior Lien 1-4 Family Residential Properties</w:t>
            </w:r>
          </w:p>
        </w:tc>
        <w:tc>
          <w:tcPr>
            <w:tcW w:w="1642" w:type="dxa"/>
            <w:vAlign w:val="center"/>
          </w:tcPr>
          <w:p w14:paraId="098AA4D9"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78,841,441</w:t>
            </w:r>
          </w:p>
        </w:tc>
        <w:tc>
          <w:tcPr>
            <w:tcW w:w="1167" w:type="dxa"/>
            <w:vAlign w:val="center"/>
          </w:tcPr>
          <w:p w14:paraId="26E2C784"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14.6</w:t>
            </w:r>
          </w:p>
        </w:tc>
      </w:tr>
      <w:tr w:rsidR="009D0E57" w:rsidRPr="00B86CFE" w14:paraId="3E7E6421" w14:textId="77777777" w:rsidTr="00250940">
        <w:trPr>
          <w:trHeight w:hRule="exact" w:val="291"/>
        </w:trPr>
        <w:tc>
          <w:tcPr>
            <w:tcW w:w="6587" w:type="dxa"/>
            <w:vAlign w:val="center"/>
          </w:tcPr>
          <w:p w14:paraId="3713D0E6"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Commercial Loans/Lines of Credit Real Estate Secured</w:t>
            </w:r>
          </w:p>
        </w:tc>
        <w:tc>
          <w:tcPr>
            <w:tcW w:w="1642" w:type="dxa"/>
            <w:vAlign w:val="center"/>
          </w:tcPr>
          <w:p w14:paraId="0E41E42B"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14,418,024</w:t>
            </w:r>
          </w:p>
        </w:tc>
        <w:tc>
          <w:tcPr>
            <w:tcW w:w="1167" w:type="dxa"/>
            <w:vAlign w:val="center"/>
          </w:tcPr>
          <w:p w14:paraId="10DB0C95"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2.7</w:t>
            </w:r>
          </w:p>
        </w:tc>
      </w:tr>
      <w:tr w:rsidR="009D0E57" w:rsidRPr="00B86CFE" w14:paraId="76DCE0D2" w14:textId="77777777" w:rsidTr="00250940">
        <w:trPr>
          <w:trHeight w:hRule="exact" w:val="291"/>
        </w:trPr>
        <w:tc>
          <w:tcPr>
            <w:tcW w:w="6587" w:type="dxa"/>
            <w:vAlign w:val="center"/>
          </w:tcPr>
          <w:p w14:paraId="11D42214" w14:textId="77777777" w:rsidR="009D0E57" w:rsidRPr="00B86CFE" w:rsidRDefault="009D0E57" w:rsidP="009D0E57">
            <w:pPr>
              <w:spacing w:after="160" w:line="259" w:lineRule="auto"/>
              <w:rPr>
                <w:rFonts w:eastAsiaTheme="minorHAnsi"/>
                <w:sz w:val="20"/>
                <w:szCs w:val="22"/>
              </w:rPr>
            </w:pPr>
            <w:r w:rsidRPr="00B86CFE">
              <w:rPr>
                <w:rFonts w:eastAsiaTheme="minorHAnsi"/>
                <w:sz w:val="20"/>
                <w:szCs w:val="22"/>
              </w:rPr>
              <w:t>Commercial Loans/Lines of Credit Not Real Estate Secured</w:t>
            </w:r>
          </w:p>
        </w:tc>
        <w:tc>
          <w:tcPr>
            <w:tcW w:w="1642" w:type="dxa"/>
            <w:vAlign w:val="center"/>
          </w:tcPr>
          <w:p w14:paraId="122C15D0"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4,232,944</w:t>
            </w:r>
          </w:p>
        </w:tc>
        <w:tc>
          <w:tcPr>
            <w:tcW w:w="1167" w:type="dxa"/>
            <w:vAlign w:val="center"/>
          </w:tcPr>
          <w:p w14:paraId="404D770C" w14:textId="77777777" w:rsidR="009D0E57" w:rsidRPr="00B86CFE" w:rsidRDefault="009D0E57" w:rsidP="009D0E57">
            <w:pPr>
              <w:spacing w:after="160" w:line="259" w:lineRule="auto"/>
              <w:jc w:val="center"/>
              <w:rPr>
                <w:rFonts w:eastAsiaTheme="minorHAnsi"/>
                <w:sz w:val="20"/>
                <w:szCs w:val="22"/>
              </w:rPr>
            </w:pPr>
            <w:r w:rsidRPr="00B86CFE">
              <w:rPr>
                <w:rFonts w:eastAsiaTheme="minorHAnsi"/>
                <w:sz w:val="20"/>
                <w:szCs w:val="22"/>
              </w:rPr>
              <w:t>0.8</w:t>
            </w:r>
          </w:p>
        </w:tc>
      </w:tr>
      <w:tr w:rsidR="009D0E57" w:rsidRPr="00B86CFE" w14:paraId="5E45E361" w14:textId="77777777" w:rsidTr="00250940">
        <w:trPr>
          <w:trHeight w:hRule="exact" w:val="291"/>
        </w:trPr>
        <w:tc>
          <w:tcPr>
            <w:tcW w:w="6587" w:type="dxa"/>
            <w:vAlign w:val="center"/>
          </w:tcPr>
          <w:p w14:paraId="12A9D3D9" w14:textId="77777777" w:rsidR="009D0E57" w:rsidRPr="00B86CFE" w:rsidRDefault="009D0E57" w:rsidP="009D0E57">
            <w:pPr>
              <w:spacing w:after="160" w:line="259" w:lineRule="auto"/>
              <w:rPr>
                <w:rFonts w:eastAsiaTheme="minorHAnsi"/>
                <w:b/>
                <w:sz w:val="20"/>
                <w:szCs w:val="22"/>
              </w:rPr>
            </w:pPr>
            <w:r w:rsidRPr="00B86CFE">
              <w:rPr>
                <w:rFonts w:eastAsiaTheme="minorHAnsi"/>
                <w:b/>
                <w:sz w:val="20"/>
                <w:szCs w:val="22"/>
              </w:rPr>
              <w:t>Total Loans</w:t>
            </w:r>
          </w:p>
        </w:tc>
        <w:tc>
          <w:tcPr>
            <w:tcW w:w="1642" w:type="dxa"/>
            <w:vAlign w:val="center"/>
          </w:tcPr>
          <w:p w14:paraId="1830F38B" w14:textId="77777777" w:rsidR="009D0E57" w:rsidRPr="00B86CFE" w:rsidRDefault="009D0E57" w:rsidP="009D0E57">
            <w:pPr>
              <w:spacing w:after="160" w:line="259" w:lineRule="auto"/>
              <w:jc w:val="center"/>
              <w:rPr>
                <w:rFonts w:eastAsiaTheme="minorHAnsi"/>
                <w:b/>
                <w:sz w:val="20"/>
                <w:szCs w:val="22"/>
              </w:rPr>
            </w:pPr>
            <w:r w:rsidRPr="00B86CFE">
              <w:rPr>
                <w:rFonts w:eastAsiaTheme="minorHAnsi"/>
                <w:b/>
                <w:sz w:val="20"/>
                <w:szCs w:val="22"/>
              </w:rPr>
              <w:t>540,711,516</w:t>
            </w:r>
          </w:p>
        </w:tc>
        <w:tc>
          <w:tcPr>
            <w:tcW w:w="1167" w:type="dxa"/>
            <w:vAlign w:val="center"/>
          </w:tcPr>
          <w:p w14:paraId="28FBC874" w14:textId="77777777" w:rsidR="009D0E57" w:rsidRPr="00B86CFE" w:rsidRDefault="009D0E57" w:rsidP="009D0E57">
            <w:pPr>
              <w:spacing w:after="160" w:line="259" w:lineRule="auto"/>
              <w:jc w:val="center"/>
              <w:rPr>
                <w:rFonts w:eastAsiaTheme="minorHAnsi"/>
                <w:b/>
                <w:sz w:val="20"/>
                <w:szCs w:val="22"/>
              </w:rPr>
            </w:pPr>
            <w:r w:rsidRPr="00B86CFE">
              <w:rPr>
                <w:rFonts w:eastAsiaTheme="minorHAnsi"/>
                <w:b/>
                <w:sz w:val="20"/>
                <w:szCs w:val="22"/>
              </w:rPr>
              <w:t>100.0</w:t>
            </w:r>
          </w:p>
        </w:tc>
      </w:tr>
      <w:tr w:rsidR="009D0E57" w:rsidRPr="00B86CFE" w14:paraId="592545E1" w14:textId="77777777" w:rsidTr="00250940">
        <w:trPr>
          <w:trHeight w:hRule="exact" w:val="291"/>
        </w:trPr>
        <w:tc>
          <w:tcPr>
            <w:tcW w:w="9397" w:type="dxa"/>
            <w:gridSpan w:val="3"/>
            <w:vAlign w:val="center"/>
          </w:tcPr>
          <w:p w14:paraId="3A30E6E4" w14:textId="77777777" w:rsidR="009D0E57" w:rsidRPr="00B86CFE" w:rsidRDefault="009D0E57" w:rsidP="009D0E57">
            <w:pPr>
              <w:spacing w:after="160" w:line="259" w:lineRule="auto"/>
              <w:rPr>
                <w:rFonts w:eastAsiaTheme="minorHAnsi"/>
                <w:i/>
                <w:sz w:val="16"/>
                <w:szCs w:val="16"/>
              </w:rPr>
            </w:pPr>
            <w:r w:rsidRPr="00B86CFE">
              <w:rPr>
                <w:rFonts w:eastAsiaTheme="minorHAnsi"/>
                <w:i/>
                <w:sz w:val="16"/>
                <w:szCs w:val="16"/>
              </w:rPr>
              <w:t>Source: Reports of Income and Condition</w:t>
            </w:r>
          </w:p>
          <w:p w14:paraId="01168CD4" w14:textId="77777777" w:rsidR="009D0E57" w:rsidRPr="00B86CFE" w:rsidRDefault="009D0E57" w:rsidP="009D0E57">
            <w:pPr>
              <w:spacing w:after="160" w:line="259" w:lineRule="auto"/>
              <w:jc w:val="center"/>
              <w:rPr>
                <w:rFonts w:eastAsiaTheme="minorHAnsi"/>
                <w:sz w:val="20"/>
                <w:szCs w:val="22"/>
              </w:rPr>
            </w:pPr>
          </w:p>
        </w:tc>
      </w:tr>
    </w:tbl>
    <w:p w14:paraId="05F6B0AB" w14:textId="77777777" w:rsidR="009D0E57" w:rsidRPr="00B86CFE" w:rsidRDefault="009D0E57" w:rsidP="009D0E57">
      <w:pPr>
        <w:pStyle w:val="QuickFormat1"/>
        <w:jc w:val="left"/>
        <w:rPr>
          <w:b w:val="0"/>
          <w:bCs/>
          <w:color w:val="auto"/>
          <w:spacing w:val="-4"/>
          <w:sz w:val="24"/>
          <w:szCs w:val="24"/>
          <w:highlight w:val="yellow"/>
          <w:lang w:val="en-US"/>
        </w:rPr>
      </w:pPr>
    </w:p>
    <w:p w14:paraId="485B06BC" w14:textId="789220BE" w:rsidR="009D0E57" w:rsidRPr="00B86CFE" w:rsidRDefault="009D0E57" w:rsidP="009D0E57">
      <w:pPr>
        <w:pStyle w:val="QuickFormat1"/>
        <w:rPr>
          <w:bCs/>
          <w:color w:val="auto"/>
          <w:spacing w:val="-4"/>
          <w:sz w:val="28"/>
          <w:szCs w:val="28"/>
        </w:rPr>
      </w:pPr>
      <w:r w:rsidRPr="00B86CFE">
        <w:rPr>
          <w:bCs/>
          <w:color w:val="auto"/>
          <w:spacing w:val="-4"/>
          <w:sz w:val="28"/>
          <w:szCs w:val="28"/>
        </w:rPr>
        <w:t>DESCRIPTION OF ASSESSMENT AREA</w:t>
      </w:r>
    </w:p>
    <w:p w14:paraId="671E37E1" w14:textId="77777777" w:rsidR="009D0E57" w:rsidRPr="00B86CFE" w:rsidRDefault="009D0E57" w:rsidP="009D0E57">
      <w:pPr>
        <w:pStyle w:val="QuickFormat1"/>
        <w:jc w:val="left"/>
        <w:rPr>
          <w:bCs/>
          <w:color w:val="auto"/>
          <w:spacing w:val="-4"/>
          <w:sz w:val="28"/>
          <w:szCs w:val="28"/>
        </w:rPr>
      </w:pPr>
    </w:p>
    <w:p w14:paraId="0D52ADEC" w14:textId="4F496274" w:rsidR="009D0E57" w:rsidRPr="00DF2E70" w:rsidRDefault="009D0E57" w:rsidP="00250940">
      <w:pPr>
        <w:tabs>
          <w:tab w:val="center" w:pos="4680"/>
        </w:tabs>
        <w:jc w:val="both"/>
      </w:pPr>
      <w:r w:rsidRPr="00B86CFE">
        <w:t xml:space="preserve">The CRA requires each </w:t>
      </w:r>
      <w:r w:rsidRPr="00BB2134">
        <w:t>financial institution to define one or more assessment areas within which its CRA performance will be evaluated</w:t>
      </w:r>
      <w:proofErr w:type="gramStart"/>
      <w:r w:rsidRPr="00BB2134">
        <w:t xml:space="preserve">.  </w:t>
      </w:r>
      <w:proofErr w:type="gramEnd"/>
      <w:r w:rsidRPr="00BB2134">
        <w:t>Leominster Credit Union has d</w:t>
      </w:r>
      <w:r>
        <w:t>esignated its assessment area</w:t>
      </w:r>
      <w:r w:rsidRPr="00BB2134">
        <w:t xml:space="preserve"> </w:t>
      </w:r>
      <w:r>
        <w:t xml:space="preserve">to </w:t>
      </w:r>
      <w:r w:rsidRPr="00BB2134">
        <w:t xml:space="preserve">include </w:t>
      </w:r>
      <w:r>
        <w:t xml:space="preserve">a total </w:t>
      </w:r>
      <w:r w:rsidRPr="003B17CC">
        <w:t>of 31</w:t>
      </w:r>
      <w:r w:rsidRPr="006763F4">
        <w:rPr>
          <w:b/>
        </w:rPr>
        <w:t xml:space="preserve"> </w:t>
      </w:r>
      <w:r>
        <w:t>cities and towns</w:t>
      </w:r>
      <w:proofErr w:type="gramStart"/>
      <w:r>
        <w:t>.</w:t>
      </w:r>
      <w:r w:rsidRPr="00BB2134">
        <w:t xml:space="preserve"> </w:t>
      </w:r>
      <w:r>
        <w:t xml:space="preserve"> </w:t>
      </w:r>
      <w:proofErr w:type="gramEnd"/>
      <w:r>
        <w:t xml:space="preserve">Included are the Worcester County communities of Ashburnham, Auburn, Berlin, Bolton, Boylston, Clinton, Fitchburg, Gardner, Grafton, Harvard, Holden, Hubbardston, Lancaster, Leicester, Leominster, Lunenburg, Millbury, Oakham, Paxton, Princeton, Rutland, Shrewsbury, Sterling, Templeton, West Boylston, Westminster, </w:t>
      </w:r>
      <w:r w:rsidRPr="00CB3005">
        <w:t>Winchendon, and Worc</w:t>
      </w:r>
      <w:r>
        <w:t>ester</w:t>
      </w:r>
      <w:r w:rsidRPr="00CB3005">
        <w:t xml:space="preserve"> which are part of the</w:t>
      </w:r>
      <w:r w:rsidR="00C002EF" w:rsidRPr="00C002EF">
        <w:t xml:space="preserve"> </w:t>
      </w:r>
      <w:r w:rsidR="00C002EF" w:rsidRPr="00CB3005">
        <w:t>Worcester MA</w:t>
      </w:r>
      <w:r w:rsidR="00C002EF" w:rsidRPr="00DF2E70">
        <w:t xml:space="preserve">-CT </w:t>
      </w:r>
      <w:proofErr w:type="spellStart"/>
      <w:r w:rsidR="00C002EF" w:rsidRPr="00DF2E70">
        <w:t>MSA</w:t>
      </w:r>
      <w:proofErr w:type="spellEnd"/>
      <w:proofErr w:type="gramStart"/>
      <w:r w:rsidRPr="00CB3005">
        <w:t xml:space="preserve">.  </w:t>
      </w:r>
      <w:proofErr w:type="gramEnd"/>
      <w:r w:rsidRPr="00CB3005">
        <w:t xml:space="preserve">The assessment area also includes </w:t>
      </w:r>
      <w:r>
        <w:t xml:space="preserve">the Middlesex County communities of </w:t>
      </w:r>
      <w:r w:rsidRPr="00CB3005">
        <w:t xml:space="preserve">Ashby, Shirley, and Townsend which are part of the </w:t>
      </w:r>
      <w:r w:rsidR="00C002EF" w:rsidRPr="00CB3005">
        <w:t>Cambridge-Newton-Framingham, MA MD</w:t>
      </w:r>
      <w:proofErr w:type="gramStart"/>
      <w:r w:rsidRPr="00DF2E70">
        <w:t xml:space="preserve">.  </w:t>
      </w:r>
      <w:proofErr w:type="gramEnd"/>
      <w:r w:rsidRPr="00DF2E70">
        <w:t>The following sections discuss demographic and economic information for the assessment area.</w:t>
      </w:r>
    </w:p>
    <w:p w14:paraId="37E701E3" w14:textId="77777777" w:rsidR="009D0E57" w:rsidRPr="00DF2E70" w:rsidRDefault="009D0E57" w:rsidP="00250940">
      <w:pPr>
        <w:tabs>
          <w:tab w:val="center" w:pos="4680"/>
        </w:tabs>
        <w:jc w:val="both"/>
      </w:pPr>
    </w:p>
    <w:p w14:paraId="3440426C" w14:textId="77777777" w:rsidR="009D0E57" w:rsidRPr="00B86CFE" w:rsidRDefault="009D0E57" w:rsidP="00250940">
      <w:pPr>
        <w:widowControl w:val="0"/>
        <w:ind w:right="-360"/>
        <w:jc w:val="both"/>
        <w:rPr>
          <w:b/>
          <w:bCs/>
          <w:iCs/>
          <w:u w:val="single"/>
        </w:rPr>
      </w:pPr>
      <w:r w:rsidRPr="00DF2E70">
        <w:rPr>
          <w:b/>
          <w:bCs/>
          <w:iCs/>
          <w:u w:val="single"/>
        </w:rPr>
        <w:t xml:space="preserve">Economic and Demographic </w:t>
      </w:r>
      <w:r w:rsidRPr="00B86CFE">
        <w:rPr>
          <w:b/>
          <w:bCs/>
          <w:iCs/>
          <w:u w:val="single"/>
        </w:rPr>
        <w:t>Data</w:t>
      </w:r>
    </w:p>
    <w:p w14:paraId="204104B9" w14:textId="77777777" w:rsidR="009D0E57" w:rsidRPr="00B86CFE" w:rsidRDefault="009D0E57" w:rsidP="00250940">
      <w:pPr>
        <w:widowControl w:val="0"/>
        <w:ind w:right="-360"/>
        <w:jc w:val="both"/>
        <w:rPr>
          <w:b/>
          <w:bCs/>
          <w:iCs/>
          <w:u w:val="single"/>
        </w:rPr>
      </w:pPr>
    </w:p>
    <w:p w14:paraId="795EFEBA" w14:textId="77777777" w:rsidR="009D0E57" w:rsidRPr="00B86CFE" w:rsidRDefault="009D0E57" w:rsidP="00250940">
      <w:pPr>
        <w:widowControl w:val="0"/>
        <w:jc w:val="both"/>
        <w:rPr>
          <w:bCs/>
          <w:iCs/>
        </w:rPr>
      </w:pPr>
      <w:r w:rsidRPr="00B86CFE">
        <w:rPr>
          <w:bCs/>
          <w:iCs/>
        </w:rPr>
        <w:t>The assessment area includes 117 census tracts. These tracts reflect the following income designations according to the 2015 ACS U.S. Census:</w:t>
      </w:r>
    </w:p>
    <w:p w14:paraId="4C5F1763" w14:textId="77777777" w:rsidR="009D0E57" w:rsidRPr="00B86CFE" w:rsidRDefault="009D0E57" w:rsidP="00250940">
      <w:pPr>
        <w:widowControl w:val="0"/>
        <w:jc w:val="both"/>
        <w:rPr>
          <w:bCs/>
          <w:iCs/>
          <w:highlight w:val="yellow"/>
        </w:rPr>
      </w:pPr>
    </w:p>
    <w:p w14:paraId="77110781" w14:textId="77777777" w:rsidR="009D0E57" w:rsidRPr="00B86CFE" w:rsidRDefault="009D0E57" w:rsidP="00250940">
      <w:pPr>
        <w:widowControl w:val="0"/>
        <w:numPr>
          <w:ilvl w:val="0"/>
          <w:numId w:val="1"/>
        </w:numPr>
        <w:jc w:val="both"/>
        <w:rPr>
          <w:bCs/>
          <w:iCs/>
        </w:rPr>
      </w:pPr>
      <w:r w:rsidRPr="00B86CFE">
        <w:rPr>
          <w:bCs/>
          <w:iCs/>
        </w:rPr>
        <w:t xml:space="preserve">17 low-income tracts, </w:t>
      </w:r>
    </w:p>
    <w:p w14:paraId="6359D832" w14:textId="77777777" w:rsidR="009D0E57" w:rsidRPr="00B86CFE" w:rsidRDefault="009D0E57" w:rsidP="00250940">
      <w:pPr>
        <w:widowControl w:val="0"/>
        <w:numPr>
          <w:ilvl w:val="0"/>
          <w:numId w:val="1"/>
        </w:numPr>
        <w:jc w:val="both"/>
        <w:rPr>
          <w:bCs/>
          <w:iCs/>
        </w:rPr>
      </w:pPr>
      <w:r w:rsidRPr="00B86CFE">
        <w:rPr>
          <w:bCs/>
          <w:iCs/>
        </w:rPr>
        <w:t xml:space="preserve">25 moderate-income tracts, </w:t>
      </w:r>
    </w:p>
    <w:p w14:paraId="08C7EB95" w14:textId="77777777" w:rsidR="009D0E57" w:rsidRPr="00B86CFE" w:rsidRDefault="009D0E57" w:rsidP="00250940">
      <w:pPr>
        <w:widowControl w:val="0"/>
        <w:numPr>
          <w:ilvl w:val="0"/>
          <w:numId w:val="1"/>
        </w:numPr>
        <w:jc w:val="both"/>
        <w:rPr>
          <w:bCs/>
          <w:iCs/>
        </w:rPr>
      </w:pPr>
      <w:r w:rsidRPr="00B86CFE">
        <w:rPr>
          <w:bCs/>
          <w:iCs/>
        </w:rPr>
        <w:t>42 middle-income tracts,</w:t>
      </w:r>
    </w:p>
    <w:p w14:paraId="78A55871" w14:textId="77777777" w:rsidR="009D0E57" w:rsidRPr="00B86CFE" w:rsidRDefault="009D0E57" w:rsidP="00250940">
      <w:pPr>
        <w:widowControl w:val="0"/>
        <w:numPr>
          <w:ilvl w:val="0"/>
          <w:numId w:val="1"/>
        </w:numPr>
        <w:jc w:val="both"/>
        <w:rPr>
          <w:bCs/>
          <w:iCs/>
        </w:rPr>
      </w:pPr>
      <w:r w:rsidRPr="00B86CFE">
        <w:rPr>
          <w:bCs/>
          <w:iCs/>
        </w:rPr>
        <w:t xml:space="preserve">30 upper income tracts, and  </w:t>
      </w:r>
    </w:p>
    <w:p w14:paraId="7A3ED26B" w14:textId="77777777" w:rsidR="009D0E57" w:rsidRDefault="009D0E57" w:rsidP="00250940">
      <w:pPr>
        <w:widowControl w:val="0"/>
        <w:numPr>
          <w:ilvl w:val="0"/>
          <w:numId w:val="1"/>
        </w:numPr>
        <w:jc w:val="both"/>
        <w:rPr>
          <w:bCs/>
          <w:iCs/>
        </w:rPr>
      </w:pPr>
      <w:proofErr w:type="gramStart"/>
      <w:r w:rsidRPr="00B86CFE">
        <w:rPr>
          <w:bCs/>
          <w:iCs/>
        </w:rPr>
        <w:t>3</w:t>
      </w:r>
      <w:proofErr w:type="gramEnd"/>
      <w:r w:rsidRPr="00B86CFE">
        <w:rPr>
          <w:bCs/>
          <w:iCs/>
        </w:rPr>
        <w:t xml:space="preserve"> tract</w:t>
      </w:r>
      <w:r>
        <w:rPr>
          <w:bCs/>
          <w:iCs/>
        </w:rPr>
        <w:t>s</w:t>
      </w:r>
      <w:r w:rsidRPr="00B86CFE">
        <w:rPr>
          <w:bCs/>
          <w:iCs/>
        </w:rPr>
        <w:t xml:space="preserve"> without an income designation.</w:t>
      </w:r>
    </w:p>
    <w:p w14:paraId="571B5E50" w14:textId="77777777" w:rsidR="009D0E57" w:rsidRDefault="009D0E57" w:rsidP="00250940">
      <w:pPr>
        <w:widowControl w:val="0"/>
        <w:jc w:val="both"/>
        <w:rPr>
          <w:bCs/>
          <w:iCs/>
        </w:rPr>
      </w:pPr>
    </w:p>
    <w:p w14:paraId="4FFDFE40" w14:textId="77777777" w:rsidR="009D0E57" w:rsidRDefault="009D0E57" w:rsidP="00250940">
      <w:pPr>
        <w:widowControl w:val="0"/>
        <w:jc w:val="both"/>
        <w:rPr>
          <w:bCs/>
          <w:iCs/>
        </w:rPr>
      </w:pPr>
      <w:r>
        <w:rPr>
          <w:bCs/>
          <w:iCs/>
        </w:rPr>
        <w:t>It should be noted that census tract 25 027 7312.00 is occupied by Clark University and tract 25 027 7329.02 is occupied by Holy Cross College</w:t>
      </w:r>
      <w:proofErr w:type="gramStart"/>
      <w:r>
        <w:rPr>
          <w:bCs/>
          <w:iCs/>
        </w:rPr>
        <w:t xml:space="preserve">.  </w:t>
      </w:r>
      <w:proofErr w:type="gramEnd"/>
      <w:r>
        <w:rPr>
          <w:bCs/>
          <w:iCs/>
        </w:rPr>
        <w:t>Further, the cities of Worcester and Fitchburg host approximately another six college and university campuses</w:t>
      </w:r>
      <w:proofErr w:type="gramStart"/>
      <w:r>
        <w:rPr>
          <w:bCs/>
          <w:iCs/>
        </w:rPr>
        <w:t xml:space="preserve">.  </w:t>
      </w:r>
      <w:proofErr w:type="gramEnd"/>
      <w:r>
        <w:rPr>
          <w:bCs/>
          <w:iCs/>
        </w:rPr>
        <w:t xml:space="preserve">These areas have limited lending </w:t>
      </w:r>
      <w:r>
        <w:rPr>
          <w:bCs/>
          <w:iCs/>
        </w:rPr>
        <w:lastRenderedPageBreak/>
        <w:t xml:space="preserve">opportunities.  </w:t>
      </w:r>
    </w:p>
    <w:p w14:paraId="5E0FB943" w14:textId="77777777" w:rsidR="009D0E57" w:rsidRDefault="009D0E57" w:rsidP="00250940">
      <w:pPr>
        <w:widowControl w:val="0"/>
        <w:jc w:val="both"/>
        <w:rPr>
          <w:bCs/>
          <w:iCs/>
        </w:rPr>
      </w:pPr>
    </w:p>
    <w:p w14:paraId="1C431B48" w14:textId="475F0217" w:rsidR="009D0E57" w:rsidRPr="00B86CFE" w:rsidRDefault="009D0E57" w:rsidP="00250940">
      <w:pPr>
        <w:widowControl w:val="0"/>
        <w:jc w:val="both"/>
        <w:rPr>
          <w:bCs/>
          <w:iCs/>
        </w:rPr>
      </w:pPr>
      <w:r w:rsidRPr="0062273D">
        <w:rPr>
          <w:bCs/>
          <w:iCs/>
        </w:rPr>
        <w:t>The low- and moderate-income census tracts are primarily located in Fitchburg, Gardner, Leominster, and Worcester</w:t>
      </w:r>
      <w:proofErr w:type="gramStart"/>
      <w:r w:rsidRPr="0062273D">
        <w:rPr>
          <w:bCs/>
          <w:iCs/>
        </w:rPr>
        <w:t xml:space="preserve">.  </w:t>
      </w:r>
      <w:proofErr w:type="gramEnd"/>
      <w:r w:rsidRPr="0062273D">
        <w:rPr>
          <w:bCs/>
          <w:iCs/>
        </w:rPr>
        <w:t>There are no underserved or distressed nonmetropolitan middle-income geographies or designated disaster areas within the credit union’s assessment area</w:t>
      </w:r>
      <w:proofErr w:type="gramStart"/>
      <w:r w:rsidRPr="0062273D">
        <w:rPr>
          <w:bCs/>
          <w:iCs/>
        </w:rPr>
        <w:t xml:space="preserve">.  </w:t>
      </w:r>
      <w:proofErr w:type="gramEnd"/>
      <w:r w:rsidRPr="0062273D">
        <w:rPr>
          <w:bCs/>
          <w:iCs/>
        </w:rPr>
        <w:t>However, there are several</w:t>
      </w:r>
      <w:r w:rsidR="003314B5">
        <w:rPr>
          <w:bCs/>
          <w:iCs/>
        </w:rPr>
        <w:t xml:space="preserve"> designated</w:t>
      </w:r>
      <w:r w:rsidRPr="0062273D">
        <w:rPr>
          <w:bCs/>
          <w:iCs/>
        </w:rPr>
        <w:t xml:space="preserve"> </w:t>
      </w:r>
      <w:r w:rsidR="003314B5">
        <w:rPr>
          <w:bCs/>
          <w:iCs/>
        </w:rPr>
        <w:t>O</w:t>
      </w:r>
      <w:r w:rsidRPr="0062273D">
        <w:rPr>
          <w:bCs/>
          <w:iCs/>
        </w:rPr>
        <w:t xml:space="preserve">pportunity </w:t>
      </w:r>
      <w:r w:rsidR="003314B5">
        <w:rPr>
          <w:bCs/>
          <w:iCs/>
        </w:rPr>
        <w:t>Z</w:t>
      </w:r>
      <w:r w:rsidRPr="0062273D">
        <w:rPr>
          <w:bCs/>
          <w:iCs/>
        </w:rPr>
        <w:t>ones</w:t>
      </w:r>
      <w:proofErr w:type="gramStart"/>
      <w:r w:rsidRPr="0062273D">
        <w:rPr>
          <w:bCs/>
          <w:iCs/>
        </w:rPr>
        <w:t xml:space="preserve">.  </w:t>
      </w:r>
      <w:proofErr w:type="gramEnd"/>
      <w:r>
        <w:rPr>
          <w:bCs/>
          <w:iCs/>
        </w:rPr>
        <w:t>Opportunity Zones are areas of economic need approved by the U.S. Department of Treasury</w:t>
      </w:r>
      <w:r w:rsidR="003314B5">
        <w:rPr>
          <w:bCs/>
          <w:iCs/>
        </w:rPr>
        <w:t xml:space="preserve"> and the Commonwealth of Massachusetts</w:t>
      </w:r>
      <w:proofErr w:type="gramStart"/>
      <w:r>
        <w:rPr>
          <w:bCs/>
          <w:iCs/>
        </w:rPr>
        <w:t>.  Within the credit union’s assessment area, there are ten census tracts in designated opportunity zones located in Clinton (2), Gardner (2), and Worcester (6).</w:t>
      </w:r>
      <w:proofErr w:type="gramEnd"/>
    </w:p>
    <w:p w14:paraId="557A47C3" w14:textId="77777777" w:rsidR="009D0E57" w:rsidRPr="00B86CFE" w:rsidRDefault="009D0E57" w:rsidP="00250940">
      <w:pPr>
        <w:widowControl w:val="0"/>
        <w:jc w:val="both"/>
        <w:rPr>
          <w:bCs/>
          <w:iCs/>
          <w:highlight w:val="yellow"/>
        </w:rPr>
      </w:pPr>
    </w:p>
    <w:p w14:paraId="4F1FDCEE" w14:textId="77777777" w:rsidR="009D0E57" w:rsidRDefault="009D0E57" w:rsidP="00250940">
      <w:pPr>
        <w:widowControl w:val="0"/>
        <w:jc w:val="both"/>
        <w:rPr>
          <w:bCs/>
          <w:iCs/>
        </w:rPr>
      </w:pPr>
      <w:r w:rsidRPr="00B86CFE">
        <w:rPr>
          <w:bCs/>
          <w:iCs/>
        </w:rPr>
        <w:t>The following table illustrates select demographic characteristics of the assessment area.</w:t>
      </w:r>
    </w:p>
    <w:p w14:paraId="146B6F2E" w14:textId="77777777" w:rsidR="009D0E57" w:rsidRPr="00B86CFE" w:rsidRDefault="009D0E57" w:rsidP="00250940">
      <w:pPr>
        <w:widowControl w:val="0"/>
        <w:ind w:right="-360"/>
        <w:jc w:val="both"/>
        <w:rPr>
          <w:bCs/>
          <w:iCs/>
        </w:rPr>
      </w:pPr>
    </w:p>
    <w:tbl>
      <w:tblPr>
        <w:tblW w:w="9401" w:type="dxa"/>
        <w:tblCellMar>
          <w:left w:w="0" w:type="dxa"/>
          <w:right w:w="0" w:type="dxa"/>
        </w:tblCellMar>
        <w:tblLook w:val="0000" w:firstRow="0" w:lastRow="0" w:firstColumn="0" w:lastColumn="0" w:noHBand="0" w:noVBand="0"/>
      </w:tblPr>
      <w:tblGrid>
        <w:gridCol w:w="3221"/>
        <w:gridCol w:w="974"/>
        <w:gridCol w:w="997"/>
        <w:gridCol w:w="1105"/>
        <w:gridCol w:w="1022"/>
        <w:gridCol w:w="997"/>
        <w:gridCol w:w="1085"/>
      </w:tblGrid>
      <w:tr w:rsidR="009D0E57" w14:paraId="046B5DFA" w14:textId="77777777" w:rsidTr="00250940">
        <w:trPr>
          <w:trHeight w:val="223"/>
        </w:trPr>
        <w:tc>
          <w:tcPr>
            <w:tcW w:w="9401"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7894ED95" w14:textId="77777777" w:rsidR="009D0E57" w:rsidRDefault="009D0E57" w:rsidP="009D0E57">
            <w:pPr>
              <w:jc w:val="center"/>
            </w:pPr>
            <w:r>
              <w:rPr>
                <w:b/>
                <w:color w:val="000000"/>
                <w:sz w:val="20"/>
              </w:rPr>
              <w:t>Demographic Information of the Assessment Area</w:t>
            </w:r>
          </w:p>
        </w:tc>
      </w:tr>
      <w:tr w:rsidR="009D0E57" w14:paraId="2968FE37" w14:textId="77777777" w:rsidTr="00250940">
        <w:trPr>
          <w:trHeight w:val="338"/>
        </w:trPr>
        <w:tc>
          <w:tcPr>
            <w:tcW w:w="32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600E237" w14:textId="77777777" w:rsidR="009D0E57" w:rsidRDefault="009D0E57" w:rsidP="009D0E57">
            <w:r>
              <w:rPr>
                <w:b/>
                <w:color w:val="000000"/>
                <w:sz w:val="20"/>
              </w:rPr>
              <w:t>Demographic Characteristics</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AF319C5" w14:textId="77777777" w:rsidR="009D0E57" w:rsidRDefault="009D0E57" w:rsidP="009D0E57">
            <w:pPr>
              <w:jc w:val="center"/>
            </w:pPr>
            <w:r>
              <w:rPr>
                <w:b/>
                <w:color w:val="000000"/>
                <w:sz w:val="20"/>
              </w:rPr>
              <w:t>#</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B30607A" w14:textId="77777777" w:rsidR="009D0E57" w:rsidRDefault="009D0E57" w:rsidP="009D0E57">
            <w:pPr>
              <w:jc w:val="center"/>
            </w:pPr>
            <w:r>
              <w:rPr>
                <w:b/>
                <w:color w:val="000000"/>
                <w:sz w:val="20"/>
              </w:rPr>
              <w:t>Low</w:t>
            </w:r>
            <w:r>
              <w:rPr>
                <w:b/>
                <w:color w:val="000000"/>
                <w:sz w:val="20"/>
              </w:rPr>
              <w:br/>
              <w:t xml:space="preserve"> % of #</w:t>
            </w:r>
          </w:p>
        </w:tc>
        <w:tc>
          <w:tcPr>
            <w:tcW w:w="11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F1EDDA" w14:textId="77777777" w:rsidR="009D0E57" w:rsidRDefault="009D0E57" w:rsidP="009D0E57">
            <w:pPr>
              <w:jc w:val="center"/>
            </w:pPr>
            <w:r>
              <w:rPr>
                <w:b/>
                <w:color w:val="000000"/>
                <w:sz w:val="20"/>
              </w:rPr>
              <w:t>Moderate</w:t>
            </w:r>
            <w:r>
              <w:rPr>
                <w:b/>
                <w:color w:val="000000"/>
                <w:sz w:val="20"/>
              </w:rPr>
              <w:br/>
              <w:t xml:space="preserve"> % of #</w:t>
            </w:r>
          </w:p>
        </w:tc>
        <w:tc>
          <w:tcPr>
            <w:tcW w:w="10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13EB39D" w14:textId="77777777" w:rsidR="009D0E57" w:rsidRDefault="009D0E57" w:rsidP="009D0E57">
            <w:pPr>
              <w:jc w:val="center"/>
            </w:pPr>
            <w:r>
              <w:rPr>
                <w:b/>
                <w:color w:val="000000"/>
                <w:sz w:val="20"/>
              </w:rPr>
              <w:t>Middle</w:t>
            </w:r>
            <w:r>
              <w:rPr>
                <w:b/>
                <w:color w:val="000000"/>
                <w:sz w:val="20"/>
              </w:rPr>
              <w:br/>
              <w:t xml:space="preserve"> % of #</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D7D6BC5" w14:textId="77777777" w:rsidR="009D0E57" w:rsidRDefault="009D0E57" w:rsidP="009D0E57">
            <w:pPr>
              <w:jc w:val="center"/>
            </w:pPr>
            <w:r>
              <w:rPr>
                <w:b/>
                <w:color w:val="000000"/>
                <w:sz w:val="20"/>
              </w:rPr>
              <w:t>Upper</w:t>
            </w:r>
            <w:r>
              <w:rPr>
                <w:b/>
                <w:color w:val="000000"/>
                <w:sz w:val="20"/>
              </w:rPr>
              <w:br/>
              <w:t>% of #</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9C4751" w14:textId="77777777" w:rsidR="009D0E57" w:rsidRDefault="009D0E57" w:rsidP="009D0E57">
            <w:pPr>
              <w:jc w:val="center"/>
            </w:pPr>
            <w:r>
              <w:rPr>
                <w:b/>
                <w:color w:val="000000"/>
                <w:sz w:val="20"/>
              </w:rPr>
              <w:t xml:space="preserve">NA* </w:t>
            </w:r>
            <w:r>
              <w:rPr>
                <w:b/>
                <w:color w:val="000000"/>
                <w:sz w:val="20"/>
              </w:rPr>
              <w:br/>
              <w:t>% of #</w:t>
            </w:r>
          </w:p>
        </w:tc>
      </w:tr>
      <w:tr w:rsidR="009D0E57" w14:paraId="0DE4128E" w14:textId="77777777" w:rsidTr="00250940">
        <w:trPr>
          <w:trHeight w:val="149"/>
        </w:trPr>
        <w:tc>
          <w:tcPr>
            <w:tcW w:w="322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BED4D56" w14:textId="77777777" w:rsidR="009D0E57" w:rsidRDefault="009D0E57" w:rsidP="009D0E57">
            <w:r>
              <w:rPr>
                <w:color w:val="000000"/>
                <w:sz w:val="20"/>
              </w:rPr>
              <w:t>Geographies (Census Tracts)</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BCAF6A" w14:textId="77777777" w:rsidR="009D0E57" w:rsidRDefault="009D0E57" w:rsidP="009D0E57">
            <w:pPr>
              <w:jc w:val="right"/>
            </w:pPr>
            <w:r>
              <w:rPr>
                <w:color w:val="000000"/>
                <w:sz w:val="20"/>
              </w:rPr>
              <w:t>117</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A240CF" w14:textId="77777777" w:rsidR="009D0E57" w:rsidRDefault="009D0E57" w:rsidP="009D0E57">
            <w:pPr>
              <w:jc w:val="right"/>
            </w:pPr>
            <w:r>
              <w:rPr>
                <w:color w:val="000000"/>
                <w:sz w:val="20"/>
              </w:rPr>
              <w:t>14.5</w:t>
            </w:r>
          </w:p>
        </w:tc>
        <w:tc>
          <w:tcPr>
            <w:tcW w:w="11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9D3418" w14:textId="77777777" w:rsidR="009D0E57" w:rsidRDefault="009D0E57" w:rsidP="009D0E57">
            <w:pPr>
              <w:jc w:val="right"/>
            </w:pPr>
            <w:r>
              <w:rPr>
                <w:color w:val="000000"/>
                <w:sz w:val="20"/>
              </w:rPr>
              <w:t>21.4</w:t>
            </w:r>
          </w:p>
        </w:tc>
        <w:tc>
          <w:tcPr>
            <w:tcW w:w="10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E44FF7" w14:textId="77777777" w:rsidR="009D0E57" w:rsidRDefault="009D0E57" w:rsidP="009D0E57">
            <w:pPr>
              <w:jc w:val="right"/>
            </w:pPr>
            <w:r>
              <w:rPr>
                <w:color w:val="000000"/>
                <w:sz w:val="20"/>
              </w:rPr>
              <w:t>35.9</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DC8901" w14:textId="77777777" w:rsidR="009D0E57" w:rsidRDefault="009D0E57" w:rsidP="009D0E57">
            <w:pPr>
              <w:jc w:val="right"/>
            </w:pPr>
            <w:r>
              <w:rPr>
                <w:color w:val="000000"/>
                <w:sz w:val="20"/>
              </w:rPr>
              <w:t>25.6</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80AFC6" w14:textId="77777777" w:rsidR="009D0E57" w:rsidRDefault="009D0E57" w:rsidP="009D0E57">
            <w:pPr>
              <w:jc w:val="right"/>
            </w:pPr>
            <w:r>
              <w:rPr>
                <w:color w:val="000000"/>
                <w:sz w:val="20"/>
              </w:rPr>
              <w:t>2.6</w:t>
            </w:r>
          </w:p>
        </w:tc>
      </w:tr>
      <w:tr w:rsidR="009D0E57" w14:paraId="26E3C68F" w14:textId="77777777" w:rsidTr="00250940">
        <w:trPr>
          <w:trHeight w:val="149"/>
        </w:trPr>
        <w:tc>
          <w:tcPr>
            <w:tcW w:w="322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1A879FA" w14:textId="77777777" w:rsidR="009D0E57" w:rsidRDefault="009D0E57" w:rsidP="009D0E57">
            <w:r>
              <w:rPr>
                <w:color w:val="000000"/>
                <w:sz w:val="20"/>
              </w:rPr>
              <w:t>Population by Geography</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C1BA0" w14:textId="77777777" w:rsidR="009D0E57" w:rsidRDefault="009D0E57" w:rsidP="009D0E57">
            <w:pPr>
              <w:jc w:val="right"/>
            </w:pPr>
            <w:r>
              <w:rPr>
                <w:color w:val="000000"/>
                <w:sz w:val="20"/>
              </w:rPr>
              <w:t>539,463</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9C9E9E" w14:textId="77777777" w:rsidR="009D0E57" w:rsidRDefault="009D0E57" w:rsidP="009D0E57">
            <w:pPr>
              <w:jc w:val="right"/>
            </w:pPr>
            <w:r>
              <w:rPr>
                <w:color w:val="000000"/>
                <w:sz w:val="20"/>
              </w:rPr>
              <w:t>12.6</w:t>
            </w:r>
          </w:p>
        </w:tc>
        <w:tc>
          <w:tcPr>
            <w:tcW w:w="11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7E025F" w14:textId="77777777" w:rsidR="009D0E57" w:rsidRDefault="009D0E57" w:rsidP="009D0E57">
            <w:pPr>
              <w:jc w:val="right"/>
            </w:pPr>
            <w:r>
              <w:rPr>
                <w:color w:val="000000"/>
                <w:sz w:val="20"/>
              </w:rPr>
              <w:t>19.6</w:t>
            </w:r>
          </w:p>
        </w:tc>
        <w:tc>
          <w:tcPr>
            <w:tcW w:w="10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DAA5D" w14:textId="77777777" w:rsidR="009D0E57" w:rsidRDefault="009D0E57" w:rsidP="009D0E57">
            <w:pPr>
              <w:jc w:val="right"/>
            </w:pPr>
            <w:r>
              <w:rPr>
                <w:color w:val="000000"/>
                <w:sz w:val="20"/>
              </w:rPr>
              <w:t>37.9</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ED7FF0" w14:textId="77777777" w:rsidR="009D0E57" w:rsidRDefault="009D0E57" w:rsidP="009D0E57">
            <w:pPr>
              <w:jc w:val="right"/>
            </w:pPr>
            <w:r>
              <w:rPr>
                <w:color w:val="000000"/>
                <w:sz w:val="20"/>
              </w:rPr>
              <w:t>29.1</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51DEF8" w14:textId="77777777" w:rsidR="009D0E57" w:rsidRDefault="009D0E57" w:rsidP="009D0E57">
            <w:pPr>
              <w:jc w:val="right"/>
            </w:pPr>
            <w:r>
              <w:rPr>
                <w:color w:val="000000"/>
                <w:sz w:val="20"/>
              </w:rPr>
              <w:t>0.9</w:t>
            </w:r>
          </w:p>
        </w:tc>
      </w:tr>
      <w:tr w:rsidR="009D0E57" w14:paraId="088D8A95" w14:textId="77777777" w:rsidTr="00250940">
        <w:trPr>
          <w:trHeight w:val="149"/>
        </w:trPr>
        <w:tc>
          <w:tcPr>
            <w:tcW w:w="322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0B45162C" w14:textId="77777777" w:rsidR="009D0E57" w:rsidRDefault="009D0E57" w:rsidP="009D0E57">
            <w:r>
              <w:rPr>
                <w:color w:val="000000"/>
                <w:sz w:val="20"/>
              </w:rPr>
              <w:t>Housing Units by Geography</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704EA1" w14:textId="77777777" w:rsidR="009D0E57" w:rsidRDefault="009D0E57" w:rsidP="009D0E57">
            <w:pPr>
              <w:jc w:val="right"/>
            </w:pPr>
            <w:r>
              <w:rPr>
                <w:color w:val="000000"/>
                <w:sz w:val="20"/>
              </w:rPr>
              <w:t>217,848</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855C9E" w14:textId="77777777" w:rsidR="009D0E57" w:rsidRDefault="009D0E57" w:rsidP="009D0E57">
            <w:pPr>
              <w:jc w:val="right"/>
            </w:pPr>
            <w:r>
              <w:rPr>
                <w:color w:val="000000"/>
                <w:sz w:val="20"/>
              </w:rPr>
              <w:t>13.6</w:t>
            </w:r>
          </w:p>
        </w:tc>
        <w:tc>
          <w:tcPr>
            <w:tcW w:w="11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3EE30D" w14:textId="77777777" w:rsidR="009D0E57" w:rsidRDefault="009D0E57" w:rsidP="009D0E57">
            <w:pPr>
              <w:jc w:val="right"/>
            </w:pPr>
            <w:r>
              <w:rPr>
                <w:color w:val="000000"/>
                <w:sz w:val="20"/>
              </w:rPr>
              <w:t>20.7</w:t>
            </w:r>
          </w:p>
        </w:tc>
        <w:tc>
          <w:tcPr>
            <w:tcW w:w="10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9958C4" w14:textId="77777777" w:rsidR="009D0E57" w:rsidRDefault="009D0E57" w:rsidP="009D0E57">
            <w:pPr>
              <w:jc w:val="right"/>
            </w:pPr>
            <w:r>
              <w:rPr>
                <w:color w:val="000000"/>
                <w:sz w:val="20"/>
              </w:rPr>
              <w:t>38.3</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F388A" w14:textId="77777777" w:rsidR="009D0E57" w:rsidRDefault="009D0E57" w:rsidP="009D0E57">
            <w:pPr>
              <w:jc w:val="right"/>
            </w:pPr>
            <w:r>
              <w:rPr>
                <w:color w:val="000000"/>
                <w:sz w:val="20"/>
              </w:rPr>
              <w:t>26.7</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58B7BD" w14:textId="77777777" w:rsidR="009D0E57" w:rsidRDefault="009D0E57" w:rsidP="009D0E57">
            <w:pPr>
              <w:jc w:val="right"/>
            </w:pPr>
            <w:r>
              <w:rPr>
                <w:color w:val="000000"/>
                <w:sz w:val="20"/>
              </w:rPr>
              <w:t>0.7</w:t>
            </w:r>
          </w:p>
        </w:tc>
      </w:tr>
      <w:tr w:rsidR="009D0E57" w14:paraId="53E57DD5" w14:textId="77777777" w:rsidTr="00250940">
        <w:trPr>
          <w:trHeight w:val="149"/>
        </w:trPr>
        <w:tc>
          <w:tcPr>
            <w:tcW w:w="322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390A1D18" w14:textId="77777777" w:rsidR="009D0E57" w:rsidRDefault="009D0E57" w:rsidP="009D0E57">
            <w:r>
              <w:rPr>
                <w:color w:val="000000"/>
                <w:sz w:val="20"/>
              </w:rPr>
              <w:t>Owner-Occupied Units by Geography</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0AE694" w14:textId="77777777" w:rsidR="009D0E57" w:rsidRDefault="009D0E57" w:rsidP="009D0E57">
            <w:pPr>
              <w:jc w:val="right"/>
            </w:pPr>
            <w:r>
              <w:rPr>
                <w:color w:val="000000"/>
                <w:sz w:val="20"/>
              </w:rPr>
              <w:t>122,689</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3C92D5" w14:textId="77777777" w:rsidR="009D0E57" w:rsidRDefault="009D0E57" w:rsidP="009D0E57">
            <w:pPr>
              <w:jc w:val="right"/>
            </w:pPr>
            <w:r>
              <w:rPr>
                <w:color w:val="000000"/>
                <w:sz w:val="20"/>
              </w:rPr>
              <w:t>4.3</w:t>
            </w:r>
          </w:p>
        </w:tc>
        <w:tc>
          <w:tcPr>
            <w:tcW w:w="11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D9D1C4" w14:textId="77777777" w:rsidR="009D0E57" w:rsidRDefault="009D0E57" w:rsidP="009D0E57">
            <w:pPr>
              <w:jc w:val="right"/>
            </w:pPr>
            <w:r>
              <w:rPr>
                <w:color w:val="000000"/>
                <w:sz w:val="20"/>
              </w:rPr>
              <w:t>15.0</w:t>
            </w:r>
          </w:p>
        </w:tc>
        <w:tc>
          <w:tcPr>
            <w:tcW w:w="10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51249D" w14:textId="77777777" w:rsidR="009D0E57" w:rsidRDefault="009D0E57" w:rsidP="009D0E57">
            <w:pPr>
              <w:jc w:val="right"/>
            </w:pPr>
            <w:r>
              <w:rPr>
                <w:color w:val="000000"/>
                <w:sz w:val="20"/>
              </w:rPr>
              <w:t>43.7</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F6A821" w14:textId="77777777" w:rsidR="009D0E57" w:rsidRDefault="009D0E57" w:rsidP="009D0E57">
            <w:pPr>
              <w:jc w:val="right"/>
            </w:pPr>
            <w:r>
              <w:rPr>
                <w:color w:val="000000"/>
                <w:sz w:val="20"/>
              </w:rPr>
              <w:t>36.9</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9CAEA9" w14:textId="77777777" w:rsidR="009D0E57" w:rsidRDefault="009D0E57" w:rsidP="009D0E57">
            <w:pPr>
              <w:jc w:val="right"/>
            </w:pPr>
            <w:r>
              <w:rPr>
                <w:color w:val="000000"/>
                <w:sz w:val="20"/>
              </w:rPr>
              <w:t>0.1</w:t>
            </w:r>
          </w:p>
        </w:tc>
      </w:tr>
      <w:tr w:rsidR="009D0E57" w14:paraId="49B77763" w14:textId="77777777" w:rsidTr="00250940">
        <w:trPr>
          <w:trHeight w:val="149"/>
        </w:trPr>
        <w:tc>
          <w:tcPr>
            <w:tcW w:w="322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2619388F" w14:textId="77777777" w:rsidR="009D0E57" w:rsidRDefault="009D0E57" w:rsidP="009D0E57">
            <w:r>
              <w:rPr>
                <w:color w:val="000000"/>
                <w:sz w:val="20"/>
              </w:rPr>
              <w:t>Occupied Rental Units by Geography</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09B9A2B" w14:textId="77777777" w:rsidR="009D0E57" w:rsidRDefault="009D0E57" w:rsidP="009D0E57">
            <w:pPr>
              <w:jc w:val="right"/>
            </w:pPr>
            <w:r>
              <w:rPr>
                <w:color w:val="000000"/>
                <w:sz w:val="20"/>
              </w:rPr>
              <w:t>76,718</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7643C1" w14:textId="77777777" w:rsidR="009D0E57" w:rsidRDefault="009D0E57" w:rsidP="009D0E57">
            <w:pPr>
              <w:jc w:val="right"/>
            </w:pPr>
            <w:r>
              <w:rPr>
                <w:color w:val="000000"/>
                <w:sz w:val="20"/>
              </w:rPr>
              <w:t>27.3</w:t>
            </w:r>
          </w:p>
        </w:tc>
        <w:tc>
          <w:tcPr>
            <w:tcW w:w="11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121EAD" w14:textId="77777777" w:rsidR="009D0E57" w:rsidRDefault="009D0E57" w:rsidP="009D0E57">
            <w:pPr>
              <w:jc w:val="right"/>
            </w:pPr>
            <w:r>
              <w:rPr>
                <w:color w:val="000000"/>
                <w:sz w:val="20"/>
              </w:rPr>
              <w:t>28.0</w:t>
            </w:r>
          </w:p>
        </w:tc>
        <w:tc>
          <w:tcPr>
            <w:tcW w:w="10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2FAB57" w14:textId="77777777" w:rsidR="009D0E57" w:rsidRDefault="009D0E57" w:rsidP="009D0E57">
            <w:pPr>
              <w:jc w:val="right"/>
            </w:pPr>
            <w:r>
              <w:rPr>
                <w:color w:val="000000"/>
                <w:sz w:val="20"/>
              </w:rPr>
              <w:t>31.4</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CCEFF0" w14:textId="77777777" w:rsidR="009D0E57" w:rsidRDefault="009D0E57" w:rsidP="009D0E57">
            <w:pPr>
              <w:jc w:val="right"/>
            </w:pPr>
            <w:r>
              <w:rPr>
                <w:color w:val="000000"/>
                <w:sz w:val="20"/>
              </w:rPr>
              <w:t>11.8</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1DA107" w14:textId="77777777" w:rsidR="009D0E57" w:rsidRDefault="009D0E57" w:rsidP="009D0E57">
            <w:pPr>
              <w:jc w:val="right"/>
            </w:pPr>
            <w:r>
              <w:rPr>
                <w:color w:val="000000"/>
                <w:sz w:val="20"/>
              </w:rPr>
              <w:t>1.5</w:t>
            </w:r>
          </w:p>
        </w:tc>
      </w:tr>
      <w:tr w:rsidR="009D0E57" w14:paraId="471D1BB4" w14:textId="77777777" w:rsidTr="00250940">
        <w:trPr>
          <w:trHeight w:val="149"/>
        </w:trPr>
        <w:tc>
          <w:tcPr>
            <w:tcW w:w="322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21DB9A7" w14:textId="77777777" w:rsidR="009D0E57" w:rsidRDefault="009D0E57" w:rsidP="009D0E57">
            <w:r>
              <w:rPr>
                <w:color w:val="000000"/>
                <w:sz w:val="20"/>
              </w:rPr>
              <w:t>Family Distribution by Income Level</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8124A" w14:textId="77777777" w:rsidR="009D0E57" w:rsidRDefault="009D0E57" w:rsidP="009D0E57">
            <w:pPr>
              <w:jc w:val="right"/>
            </w:pPr>
            <w:r>
              <w:rPr>
                <w:color w:val="000000"/>
                <w:sz w:val="20"/>
              </w:rPr>
              <w:t>129,838</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925375" w14:textId="77777777" w:rsidR="009D0E57" w:rsidRDefault="009D0E57" w:rsidP="009D0E57">
            <w:pPr>
              <w:jc w:val="right"/>
            </w:pPr>
            <w:r>
              <w:rPr>
                <w:color w:val="000000"/>
                <w:sz w:val="20"/>
              </w:rPr>
              <w:t>23.8</w:t>
            </w:r>
          </w:p>
        </w:tc>
        <w:tc>
          <w:tcPr>
            <w:tcW w:w="11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98A0A6" w14:textId="77777777" w:rsidR="009D0E57" w:rsidRDefault="009D0E57" w:rsidP="009D0E57">
            <w:pPr>
              <w:jc w:val="right"/>
            </w:pPr>
            <w:r>
              <w:rPr>
                <w:color w:val="000000"/>
                <w:sz w:val="20"/>
              </w:rPr>
              <w:t>17.3</w:t>
            </w:r>
          </w:p>
        </w:tc>
        <w:tc>
          <w:tcPr>
            <w:tcW w:w="10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7BE93" w14:textId="77777777" w:rsidR="009D0E57" w:rsidRDefault="009D0E57" w:rsidP="009D0E57">
            <w:pPr>
              <w:jc w:val="right"/>
            </w:pPr>
            <w:r>
              <w:rPr>
                <w:color w:val="000000"/>
                <w:sz w:val="20"/>
              </w:rPr>
              <w:t>20.3</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36BEB5" w14:textId="77777777" w:rsidR="009D0E57" w:rsidRDefault="009D0E57" w:rsidP="009D0E57">
            <w:pPr>
              <w:jc w:val="right"/>
            </w:pPr>
            <w:r>
              <w:rPr>
                <w:color w:val="000000"/>
                <w:sz w:val="20"/>
              </w:rPr>
              <w:t>38.5</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EED29" w14:textId="77777777" w:rsidR="009D0E57" w:rsidRDefault="009D0E57" w:rsidP="009D0E57">
            <w:pPr>
              <w:jc w:val="right"/>
            </w:pPr>
            <w:r>
              <w:rPr>
                <w:color w:val="000000"/>
                <w:sz w:val="20"/>
              </w:rPr>
              <w:t>0.0</w:t>
            </w:r>
          </w:p>
        </w:tc>
      </w:tr>
      <w:tr w:rsidR="009D0E57" w14:paraId="0168C141" w14:textId="77777777" w:rsidTr="00250940">
        <w:trPr>
          <w:trHeight w:val="149"/>
        </w:trPr>
        <w:tc>
          <w:tcPr>
            <w:tcW w:w="322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tcPr>
          <w:p w14:paraId="42BCB21D" w14:textId="77777777" w:rsidR="009D0E57" w:rsidRDefault="009D0E57" w:rsidP="009D0E57">
            <w:r>
              <w:rPr>
                <w:color w:val="000000"/>
                <w:sz w:val="20"/>
              </w:rPr>
              <w:t>Household Distribution by Income Level</w:t>
            </w:r>
          </w:p>
        </w:tc>
        <w:tc>
          <w:tcPr>
            <w:tcW w:w="97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09E7B0" w14:textId="77777777" w:rsidR="009D0E57" w:rsidRDefault="009D0E57" w:rsidP="009D0E57">
            <w:pPr>
              <w:jc w:val="right"/>
            </w:pPr>
            <w:r>
              <w:rPr>
                <w:color w:val="000000"/>
                <w:sz w:val="20"/>
              </w:rPr>
              <w:t>199,407</w:t>
            </w:r>
          </w:p>
        </w:tc>
        <w:tc>
          <w:tcPr>
            <w:tcW w:w="9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0A2D06" w14:textId="77777777" w:rsidR="009D0E57" w:rsidRDefault="009D0E57" w:rsidP="009D0E57">
            <w:pPr>
              <w:jc w:val="right"/>
            </w:pPr>
            <w:r>
              <w:rPr>
                <w:color w:val="000000"/>
                <w:sz w:val="20"/>
              </w:rPr>
              <w:t>27.7</w:t>
            </w:r>
          </w:p>
        </w:tc>
        <w:tc>
          <w:tcPr>
            <w:tcW w:w="110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6DE9BD" w14:textId="77777777" w:rsidR="009D0E57" w:rsidRDefault="009D0E57" w:rsidP="009D0E57">
            <w:pPr>
              <w:jc w:val="right"/>
            </w:pPr>
            <w:r>
              <w:rPr>
                <w:color w:val="000000"/>
                <w:sz w:val="20"/>
              </w:rPr>
              <w:t>15.1</w:t>
            </w:r>
          </w:p>
        </w:tc>
        <w:tc>
          <w:tcPr>
            <w:tcW w:w="102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ACD818" w14:textId="77777777" w:rsidR="009D0E57" w:rsidRDefault="009D0E57" w:rsidP="009D0E57">
            <w:pPr>
              <w:jc w:val="right"/>
            </w:pPr>
            <w:r>
              <w:rPr>
                <w:color w:val="000000"/>
                <w:sz w:val="20"/>
              </w:rPr>
              <w:t>17.3</w:t>
            </w:r>
          </w:p>
        </w:tc>
        <w:tc>
          <w:tcPr>
            <w:tcW w:w="99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EAF8CB" w14:textId="77777777" w:rsidR="009D0E57" w:rsidRDefault="009D0E57" w:rsidP="009D0E57">
            <w:pPr>
              <w:jc w:val="right"/>
            </w:pPr>
            <w:r>
              <w:rPr>
                <w:color w:val="000000"/>
                <w:sz w:val="20"/>
              </w:rPr>
              <w:t>39.9</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576920" w14:textId="77777777" w:rsidR="009D0E57" w:rsidRDefault="009D0E57" w:rsidP="009D0E57">
            <w:pPr>
              <w:jc w:val="right"/>
            </w:pPr>
            <w:r>
              <w:rPr>
                <w:color w:val="000000"/>
                <w:sz w:val="20"/>
              </w:rPr>
              <w:t>0.0</w:t>
            </w:r>
          </w:p>
        </w:tc>
      </w:tr>
      <w:tr w:rsidR="009D0E57" w14:paraId="0EAC421C" w14:textId="77777777" w:rsidTr="00250940">
        <w:trPr>
          <w:trHeight w:val="149"/>
        </w:trPr>
        <w:tc>
          <w:tcPr>
            <w:tcW w:w="3221" w:type="dxa"/>
            <w:tcBorders>
              <w:top w:val="single" w:sz="7" w:space="0" w:color="000000"/>
              <w:left w:val="single" w:sz="7" w:space="0" w:color="000000"/>
              <w:bottom w:val="single" w:sz="7" w:space="0" w:color="000000"/>
            </w:tcBorders>
            <w:tcMar>
              <w:top w:w="39" w:type="dxa"/>
              <w:left w:w="239" w:type="dxa"/>
              <w:bottom w:w="39" w:type="dxa"/>
              <w:right w:w="39" w:type="dxa"/>
            </w:tcMar>
          </w:tcPr>
          <w:p w14:paraId="2ACA78D0" w14:textId="77777777" w:rsidR="009D0E57" w:rsidRDefault="009D0E57" w:rsidP="009D0E57">
            <w:r>
              <w:rPr>
                <w:color w:val="000000"/>
                <w:sz w:val="20"/>
              </w:rPr>
              <w:t xml:space="preserve">Median Family Income </w:t>
            </w:r>
            <w:proofErr w:type="spellStart"/>
            <w:r>
              <w:rPr>
                <w:color w:val="000000"/>
                <w:sz w:val="20"/>
              </w:rPr>
              <w:t>MSA</w:t>
            </w:r>
            <w:proofErr w:type="spellEnd"/>
            <w:r>
              <w:rPr>
                <w:color w:val="000000"/>
                <w:sz w:val="20"/>
              </w:rPr>
              <w:t xml:space="preserve"> - 15764 Cambridge-Newton-Framingham, MA</w:t>
            </w:r>
          </w:p>
        </w:tc>
        <w:tc>
          <w:tcPr>
            <w:tcW w:w="974" w:type="dxa"/>
            <w:tcBorders>
              <w:top w:val="single" w:sz="7" w:space="0" w:color="000000"/>
              <w:bottom w:val="single" w:sz="7" w:space="0" w:color="000000"/>
            </w:tcBorders>
            <w:tcMar>
              <w:top w:w="39" w:type="dxa"/>
              <w:left w:w="239" w:type="dxa"/>
              <w:bottom w:w="39" w:type="dxa"/>
              <w:right w:w="39" w:type="dxa"/>
            </w:tcMar>
          </w:tcPr>
          <w:p w14:paraId="34897EC2" w14:textId="77777777" w:rsidR="009D0E57" w:rsidRDefault="009D0E57" w:rsidP="009D0E57"/>
        </w:tc>
        <w:tc>
          <w:tcPr>
            <w:tcW w:w="997" w:type="dxa"/>
            <w:tcBorders>
              <w:top w:val="single" w:sz="7" w:space="0" w:color="000000"/>
              <w:left w:val="single" w:sz="7" w:space="0" w:color="000000"/>
              <w:bottom w:val="single" w:sz="7" w:space="0" w:color="000000"/>
            </w:tcBorders>
            <w:tcMar>
              <w:top w:w="39" w:type="dxa"/>
              <w:left w:w="39" w:type="dxa"/>
              <w:bottom w:w="39" w:type="dxa"/>
              <w:right w:w="39" w:type="dxa"/>
            </w:tcMar>
          </w:tcPr>
          <w:p w14:paraId="19D0AA7D" w14:textId="77777777" w:rsidR="009D0E57" w:rsidRDefault="009D0E57" w:rsidP="009D0E57">
            <w:pPr>
              <w:jc w:val="right"/>
            </w:pPr>
            <w:r>
              <w:rPr>
                <w:color w:val="000000"/>
                <w:sz w:val="20"/>
              </w:rPr>
              <w:t>$100,380</w:t>
            </w:r>
          </w:p>
        </w:tc>
        <w:tc>
          <w:tcPr>
            <w:tcW w:w="312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293C9C" w14:textId="77777777" w:rsidR="009D0E57" w:rsidRDefault="009D0E57" w:rsidP="009D0E57">
            <w:r>
              <w:rPr>
                <w:color w:val="000000"/>
                <w:sz w:val="20"/>
              </w:rPr>
              <w:t>Median Housing Value</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0721E6" w14:textId="77777777" w:rsidR="009D0E57" w:rsidRDefault="009D0E57" w:rsidP="009D0E57">
            <w:pPr>
              <w:jc w:val="right"/>
            </w:pPr>
            <w:r>
              <w:rPr>
                <w:color w:val="000000"/>
                <w:sz w:val="20"/>
              </w:rPr>
              <w:t>$238,064</w:t>
            </w:r>
          </w:p>
        </w:tc>
      </w:tr>
      <w:tr w:rsidR="009D0E57" w14:paraId="5F9BF00C" w14:textId="77777777" w:rsidTr="00250940">
        <w:trPr>
          <w:trHeight w:val="149"/>
        </w:trPr>
        <w:tc>
          <w:tcPr>
            <w:tcW w:w="3221" w:type="dxa"/>
            <w:tcBorders>
              <w:top w:val="single" w:sz="7" w:space="0" w:color="000000"/>
              <w:left w:val="single" w:sz="7" w:space="0" w:color="000000"/>
            </w:tcBorders>
            <w:tcMar>
              <w:top w:w="39" w:type="dxa"/>
              <w:left w:w="239" w:type="dxa"/>
              <w:bottom w:w="39" w:type="dxa"/>
              <w:right w:w="39" w:type="dxa"/>
            </w:tcMar>
          </w:tcPr>
          <w:p w14:paraId="0170DF94" w14:textId="77777777" w:rsidR="009D0E57" w:rsidRDefault="009D0E57" w:rsidP="009D0E57">
            <w:r>
              <w:rPr>
                <w:color w:val="000000"/>
                <w:sz w:val="20"/>
              </w:rPr>
              <w:t xml:space="preserve">Median Family Income </w:t>
            </w:r>
            <w:proofErr w:type="spellStart"/>
            <w:r>
              <w:rPr>
                <w:color w:val="000000"/>
                <w:sz w:val="20"/>
              </w:rPr>
              <w:t>MSA</w:t>
            </w:r>
            <w:proofErr w:type="spellEnd"/>
            <w:r>
              <w:rPr>
                <w:color w:val="000000"/>
                <w:sz w:val="20"/>
              </w:rPr>
              <w:t xml:space="preserve"> - 49340 Worcester, MA-CT </w:t>
            </w:r>
            <w:proofErr w:type="spellStart"/>
            <w:r>
              <w:rPr>
                <w:color w:val="000000"/>
                <w:sz w:val="20"/>
              </w:rPr>
              <w:t>MSA</w:t>
            </w:r>
            <w:proofErr w:type="spellEnd"/>
          </w:p>
        </w:tc>
        <w:tc>
          <w:tcPr>
            <w:tcW w:w="974" w:type="dxa"/>
            <w:tcBorders>
              <w:top w:val="single" w:sz="7" w:space="0" w:color="000000"/>
            </w:tcBorders>
            <w:tcMar>
              <w:top w:w="39" w:type="dxa"/>
              <w:left w:w="239" w:type="dxa"/>
              <w:bottom w:w="39" w:type="dxa"/>
              <w:right w:w="39" w:type="dxa"/>
            </w:tcMar>
          </w:tcPr>
          <w:p w14:paraId="623DD51B" w14:textId="77777777" w:rsidR="009D0E57" w:rsidRDefault="009D0E57" w:rsidP="009D0E57"/>
        </w:tc>
        <w:tc>
          <w:tcPr>
            <w:tcW w:w="997" w:type="dxa"/>
            <w:tcBorders>
              <w:top w:val="single" w:sz="7" w:space="0" w:color="000000"/>
              <w:left w:val="single" w:sz="7" w:space="0" w:color="000000"/>
            </w:tcBorders>
            <w:tcMar>
              <w:top w:w="39" w:type="dxa"/>
              <w:left w:w="39" w:type="dxa"/>
              <w:bottom w:w="39" w:type="dxa"/>
              <w:right w:w="39" w:type="dxa"/>
            </w:tcMar>
          </w:tcPr>
          <w:p w14:paraId="79254A51" w14:textId="77777777" w:rsidR="009D0E57" w:rsidRDefault="009D0E57" w:rsidP="009D0E57">
            <w:pPr>
              <w:jc w:val="right"/>
            </w:pPr>
            <w:r>
              <w:rPr>
                <w:color w:val="000000"/>
                <w:sz w:val="20"/>
              </w:rPr>
              <w:t>$81,137</w:t>
            </w:r>
          </w:p>
        </w:tc>
        <w:tc>
          <w:tcPr>
            <w:tcW w:w="312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6A1051B" w14:textId="77777777" w:rsidR="009D0E57" w:rsidRDefault="009D0E57" w:rsidP="009D0E57">
            <w:r>
              <w:rPr>
                <w:color w:val="000000"/>
                <w:sz w:val="20"/>
              </w:rPr>
              <w:t>Median Gross Rent</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4DA412" w14:textId="77777777" w:rsidR="009D0E57" w:rsidRDefault="009D0E57" w:rsidP="009D0E57">
            <w:pPr>
              <w:jc w:val="right"/>
            </w:pPr>
            <w:r>
              <w:rPr>
                <w:color w:val="000000"/>
                <w:sz w:val="20"/>
              </w:rPr>
              <w:t>$936</w:t>
            </w:r>
          </w:p>
        </w:tc>
      </w:tr>
      <w:tr w:rsidR="009D0E57" w14:paraId="5F7DDE18" w14:textId="77777777" w:rsidTr="00250940">
        <w:trPr>
          <w:trHeight w:val="149"/>
        </w:trPr>
        <w:tc>
          <w:tcPr>
            <w:tcW w:w="3221" w:type="dxa"/>
            <w:tcBorders>
              <w:left w:val="single" w:sz="7" w:space="0" w:color="000000"/>
              <w:bottom w:val="single" w:sz="7" w:space="0" w:color="000000"/>
            </w:tcBorders>
            <w:tcMar>
              <w:top w:w="39" w:type="dxa"/>
              <w:left w:w="239" w:type="dxa"/>
              <w:bottom w:w="39" w:type="dxa"/>
              <w:right w:w="39" w:type="dxa"/>
            </w:tcMar>
          </w:tcPr>
          <w:p w14:paraId="7C54EE52" w14:textId="77777777" w:rsidR="009D0E57" w:rsidRDefault="009D0E57" w:rsidP="009D0E57"/>
        </w:tc>
        <w:tc>
          <w:tcPr>
            <w:tcW w:w="974" w:type="dxa"/>
            <w:tcBorders>
              <w:bottom w:val="single" w:sz="7" w:space="0" w:color="000000"/>
            </w:tcBorders>
            <w:tcMar>
              <w:top w:w="39" w:type="dxa"/>
              <w:left w:w="239" w:type="dxa"/>
              <w:bottom w:w="39" w:type="dxa"/>
              <w:right w:w="39" w:type="dxa"/>
            </w:tcMar>
          </w:tcPr>
          <w:p w14:paraId="6147CA8E" w14:textId="77777777" w:rsidR="009D0E57" w:rsidRDefault="009D0E57" w:rsidP="009D0E57"/>
        </w:tc>
        <w:tc>
          <w:tcPr>
            <w:tcW w:w="997" w:type="dxa"/>
            <w:tcBorders>
              <w:left w:val="single" w:sz="7" w:space="0" w:color="000000"/>
              <w:bottom w:val="single" w:sz="7" w:space="0" w:color="000000"/>
            </w:tcBorders>
            <w:tcMar>
              <w:top w:w="39" w:type="dxa"/>
              <w:left w:w="39" w:type="dxa"/>
              <w:bottom w:w="39" w:type="dxa"/>
              <w:right w:w="39" w:type="dxa"/>
            </w:tcMar>
          </w:tcPr>
          <w:p w14:paraId="1A3292B7" w14:textId="77777777" w:rsidR="009D0E57" w:rsidRDefault="009D0E57" w:rsidP="009D0E57"/>
        </w:tc>
        <w:tc>
          <w:tcPr>
            <w:tcW w:w="3124" w:type="dxa"/>
            <w:gridSpan w:val="3"/>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3323E4" w14:textId="77777777" w:rsidR="009D0E57" w:rsidRDefault="009D0E57" w:rsidP="009D0E57">
            <w:r>
              <w:rPr>
                <w:color w:val="000000"/>
                <w:sz w:val="20"/>
              </w:rPr>
              <w:t>Families Below Poverty Level</w:t>
            </w:r>
          </w:p>
        </w:tc>
        <w:tc>
          <w:tcPr>
            <w:tcW w:w="108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F49827" w14:textId="77777777" w:rsidR="009D0E57" w:rsidRDefault="009D0E57" w:rsidP="009D0E57">
            <w:pPr>
              <w:jc w:val="right"/>
            </w:pPr>
            <w:r>
              <w:rPr>
                <w:color w:val="000000"/>
                <w:sz w:val="20"/>
              </w:rPr>
              <w:t>9.8%</w:t>
            </w:r>
          </w:p>
        </w:tc>
      </w:tr>
      <w:tr w:rsidR="009D0E57" w14:paraId="12A72468" w14:textId="77777777" w:rsidTr="00250940">
        <w:trPr>
          <w:trHeight w:val="552"/>
        </w:trPr>
        <w:tc>
          <w:tcPr>
            <w:tcW w:w="9401" w:type="dxa"/>
            <w:gridSpan w:val="7"/>
            <w:tcBorders>
              <w:left w:val="single" w:sz="7" w:space="0" w:color="000000"/>
              <w:bottom w:val="single" w:sz="7" w:space="0" w:color="000000"/>
              <w:right w:val="single" w:sz="7" w:space="0" w:color="000000"/>
            </w:tcBorders>
            <w:tcMar>
              <w:top w:w="59" w:type="dxa"/>
              <w:left w:w="39" w:type="dxa"/>
              <w:bottom w:w="39" w:type="dxa"/>
              <w:right w:w="39" w:type="dxa"/>
            </w:tcMar>
          </w:tcPr>
          <w:p w14:paraId="7ABE14F5" w14:textId="77777777" w:rsidR="009D0E57" w:rsidRDefault="009D0E57" w:rsidP="009D0E57">
            <w:r>
              <w:rPr>
                <w:i/>
                <w:color w:val="000000"/>
                <w:sz w:val="16"/>
              </w:rPr>
              <w:t xml:space="preserve">Source: 2015 ACS  and 2018 </w:t>
            </w:r>
            <w:proofErr w:type="spellStart"/>
            <w:r>
              <w:rPr>
                <w:i/>
                <w:color w:val="000000"/>
                <w:sz w:val="16"/>
              </w:rPr>
              <w:t>D&amp;B</w:t>
            </w:r>
            <w:proofErr w:type="spellEnd"/>
            <w:r>
              <w:rPr>
                <w:i/>
                <w:color w:val="000000"/>
                <w:sz w:val="16"/>
              </w:rPr>
              <w:t xml:space="preserve"> Data</w:t>
            </w:r>
          </w:p>
          <w:p w14:paraId="6936FDD4" w14:textId="77777777" w:rsidR="009D0E57" w:rsidRDefault="009D0E57" w:rsidP="009D0E57">
            <w:r>
              <w:rPr>
                <w:i/>
                <w:color w:val="000000"/>
                <w:sz w:val="16"/>
              </w:rPr>
              <w:t>Due to rounding, totals may not equal 100.0%</w:t>
            </w:r>
          </w:p>
          <w:p w14:paraId="7DB48D8C" w14:textId="77777777" w:rsidR="009D0E57" w:rsidRDefault="009D0E57" w:rsidP="009D0E57">
            <w:r>
              <w:rPr>
                <w:i/>
                <w:color w:val="000000"/>
                <w:sz w:val="16"/>
              </w:rPr>
              <w:t xml:space="preserve">(*) The NA category consists of geographies that </w:t>
            </w:r>
            <w:proofErr w:type="gramStart"/>
            <w:r>
              <w:rPr>
                <w:i/>
                <w:color w:val="000000"/>
                <w:sz w:val="16"/>
              </w:rPr>
              <w:t>have not been assigned</w:t>
            </w:r>
            <w:proofErr w:type="gramEnd"/>
            <w:r>
              <w:rPr>
                <w:i/>
                <w:color w:val="000000"/>
                <w:sz w:val="16"/>
              </w:rPr>
              <w:t xml:space="preserve"> an income classification.</w:t>
            </w:r>
          </w:p>
        </w:tc>
      </w:tr>
    </w:tbl>
    <w:p w14:paraId="312C56AA" w14:textId="77777777" w:rsidR="009D0E57" w:rsidRPr="00BB58D4" w:rsidRDefault="009D0E57" w:rsidP="009D0E57">
      <w:pPr>
        <w:widowControl w:val="0"/>
        <w:ind w:right="-360"/>
        <w:rPr>
          <w:bCs/>
          <w:iCs/>
        </w:rPr>
      </w:pPr>
    </w:p>
    <w:p w14:paraId="0D058A08" w14:textId="664A5BFF" w:rsidR="009D0E57" w:rsidRPr="00357CE6" w:rsidRDefault="009D0E57" w:rsidP="00250940">
      <w:pPr>
        <w:widowControl w:val="0"/>
        <w:jc w:val="both"/>
        <w:rPr>
          <w:bCs/>
          <w:iCs/>
        </w:rPr>
      </w:pPr>
      <w:r w:rsidRPr="00357CE6">
        <w:rPr>
          <w:bCs/>
          <w:iCs/>
        </w:rPr>
        <w:t xml:space="preserve">Since the prior CRA evaluation, the assessment area’s population </w:t>
      </w:r>
      <w:r>
        <w:rPr>
          <w:bCs/>
          <w:iCs/>
        </w:rPr>
        <w:t>increased by 8,715</w:t>
      </w:r>
      <w:proofErr w:type="gramStart"/>
      <w:r>
        <w:rPr>
          <w:bCs/>
          <w:iCs/>
        </w:rPr>
        <w:t xml:space="preserve">.  </w:t>
      </w:r>
      <w:proofErr w:type="gramEnd"/>
      <w:r>
        <w:rPr>
          <w:bCs/>
          <w:iCs/>
        </w:rPr>
        <w:t>The combined percentage of low- and moderate-income population by geography increased by 3.0 percent which represents just under a third of the population at 32.2 percent</w:t>
      </w:r>
      <w:proofErr w:type="gramStart"/>
      <w:r>
        <w:rPr>
          <w:bCs/>
          <w:iCs/>
        </w:rPr>
        <w:t xml:space="preserve">.  </w:t>
      </w:r>
      <w:proofErr w:type="gramEnd"/>
      <w:r>
        <w:rPr>
          <w:bCs/>
          <w:iCs/>
        </w:rPr>
        <w:t>Median Family Income increased modestly by $22,230 while Owner-Occupied Units decreased by 5,496 units, and the Families Below Poverty Level increased from 8.2 percent to 9.8 percent</w:t>
      </w:r>
      <w:proofErr w:type="gramStart"/>
      <w:r>
        <w:rPr>
          <w:bCs/>
          <w:iCs/>
        </w:rPr>
        <w:t xml:space="preserve">.  </w:t>
      </w:r>
      <w:proofErr w:type="gramEnd"/>
      <w:r>
        <w:rPr>
          <w:bCs/>
          <w:iCs/>
        </w:rPr>
        <w:t>Of the 9.8 percent living below the poverty level</w:t>
      </w:r>
      <w:r w:rsidR="00213F78">
        <w:rPr>
          <w:bCs/>
          <w:iCs/>
        </w:rPr>
        <w:t>,</w:t>
      </w:r>
      <w:r>
        <w:rPr>
          <w:bCs/>
          <w:iCs/>
        </w:rPr>
        <w:t xml:space="preserve"> just under one third are designated low-income families</w:t>
      </w:r>
      <w:proofErr w:type="gramStart"/>
      <w:r>
        <w:rPr>
          <w:bCs/>
          <w:iCs/>
        </w:rPr>
        <w:t xml:space="preserve">.  </w:t>
      </w:r>
      <w:proofErr w:type="gramEnd"/>
      <w:r>
        <w:rPr>
          <w:bCs/>
          <w:iCs/>
        </w:rPr>
        <w:t>Families with such low incomes may not qualify for home mortgages based on the area’s home prices</w:t>
      </w:r>
      <w:proofErr w:type="gramStart"/>
      <w:r>
        <w:rPr>
          <w:bCs/>
          <w:iCs/>
        </w:rPr>
        <w:t xml:space="preserve">.  </w:t>
      </w:r>
      <w:proofErr w:type="gramEnd"/>
      <w:r>
        <w:rPr>
          <w:bCs/>
          <w:iCs/>
        </w:rPr>
        <w:t>As learned in community contact outreach by examiners, local home values more recently have begun to increase due to competition for limited inventory</w:t>
      </w:r>
      <w:proofErr w:type="gramStart"/>
      <w:r>
        <w:rPr>
          <w:bCs/>
          <w:iCs/>
        </w:rPr>
        <w:t xml:space="preserve">.  </w:t>
      </w:r>
      <w:proofErr w:type="gramEnd"/>
      <w:r>
        <w:rPr>
          <w:bCs/>
          <w:iCs/>
        </w:rPr>
        <w:t>These factors indicate an increased local need for affordable housing units.</w:t>
      </w:r>
    </w:p>
    <w:p w14:paraId="288D1951" w14:textId="77777777" w:rsidR="009D0E57" w:rsidRPr="00357CE6" w:rsidRDefault="009D0E57" w:rsidP="00250940">
      <w:pPr>
        <w:widowControl w:val="0"/>
        <w:jc w:val="both"/>
        <w:rPr>
          <w:bCs/>
          <w:iCs/>
        </w:rPr>
      </w:pPr>
    </w:p>
    <w:p w14:paraId="48110C0C" w14:textId="77777777" w:rsidR="009D0E57" w:rsidRPr="00BB58D4" w:rsidRDefault="009D0E57" w:rsidP="00250940">
      <w:pPr>
        <w:widowControl w:val="0"/>
        <w:jc w:val="both"/>
        <w:rPr>
          <w:bCs/>
          <w:iCs/>
        </w:rPr>
      </w:pPr>
    </w:p>
    <w:p w14:paraId="5107F71C" w14:textId="77777777" w:rsidR="009D0E57" w:rsidRPr="00B86CFE" w:rsidRDefault="009D0E57" w:rsidP="00250940">
      <w:pPr>
        <w:widowControl w:val="0"/>
        <w:jc w:val="both"/>
        <w:rPr>
          <w:bCs/>
          <w:iCs/>
        </w:rPr>
      </w:pPr>
      <w:r w:rsidRPr="00BB58D4">
        <w:rPr>
          <w:bCs/>
          <w:iCs/>
        </w:rPr>
        <w:t>The Federal Financial Institutions Examination Council (</w:t>
      </w:r>
      <w:proofErr w:type="spellStart"/>
      <w:r w:rsidRPr="00BB58D4">
        <w:rPr>
          <w:bCs/>
          <w:iCs/>
        </w:rPr>
        <w:t>FFIEC</w:t>
      </w:r>
      <w:proofErr w:type="spellEnd"/>
      <w:r w:rsidRPr="00BB58D4">
        <w:rPr>
          <w:bCs/>
          <w:iCs/>
        </w:rPr>
        <w:t xml:space="preserve">) updated median family income level is </w:t>
      </w:r>
      <w:r w:rsidRPr="00B86CFE">
        <w:rPr>
          <w:bCs/>
          <w:iCs/>
        </w:rPr>
        <w:t>used to analyze home mortgage loans under the Borrower Profile criterion</w:t>
      </w:r>
      <w:proofErr w:type="gramStart"/>
      <w:r w:rsidRPr="00B86CFE">
        <w:rPr>
          <w:bCs/>
          <w:iCs/>
        </w:rPr>
        <w:t xml:space="preserve">. </w:t>
      </w:r>
      <w:r>
        <w:rPr>
          <w:bCs/>
          <w:iCs/>
        </w:rPr>
        <w:t xml:space="preserve"> </w:t>
      </w:r>
      <w:proofErr w:type="gramEnd"/>
      <w:r w:rsidRPr="00B86CFE">
        <w:rPr>
          <w:bCs/>
          <w:iCs/>
        </w:rPr>
        <w:t xml:space="preserve">The low-, moderate-, middle-, and upper-income categories </w:t>
      </w:r>
      <w:proofErr w:type="gramStart"/>
      <w:r w:rsidRPr="00B86CFE">
        <w:rPr>
          <w:bCs/>
          <w:iCs/>
        </w:rPr>
        <w:t>are presented</w:t>
      </w:r>
      <w:proofErr w:type="gramEnd"/>
      <w:r w:rsidRPr="00B86CFE">
        <w:rPr>
          <w:bCs/>
          <w:iCs/>
        </w:rPr>
        <w:t xml:space="preserve"> in the following table.</w:t>
      </w:r>
    </w:p>
    <w:p w14:paraId="399FC357" w14:textId="77777777" w:rsidR="009D0E57" w:rsidRPr="00B86CFE" w:rsidRDefault="009D0E57" w:rsidP="00250940">
      <w:pPr>
        <w:widowControl w:val="0"/>
        <w:jc w:val="both"/>
        <w:rPr>
          <w:bCs/>
          <w:iCs/>
          <w:highlight w:val="yellow"/>
        </w:rPr>
      </w:pPr>
    </w:p>
    <w:tbl>
      <w:tblPr>
        <w:tblW w:w="0" w:type="auto"/>
        <w:tblCellMar>
          <w:left w:w="0" w:type="dxa"/>
          <w:right w:w="0" w:type="dxa"/>
        </w:tblCellMar>
        <w:tblLook w:val="0000" w:firstRow="0" w:lastRow="0" w:firstColumn="0" w:lastColumn="0" w:noHBand="0" w:noVBand="0"/>
      </w:tblPr>
      <w:tblGrid>
        <w:gridCol w:w="2516"/>
        <w:gridCol w:w="1326"/>
        <w:gridCol w:w="2032"/>
        <w:gridCol w:w="2123"/>
        <w:gridCol w:w="1345"/>
      </w:tblGrid>
      <w:tr w:rsidR="009D0E57" w14:paraId="78F7C095" w14:textId="77777777" w:rsidTr="009D0E57">
        <w:trPr>
          <w:trHeight w:val="282"/>
        </w:trPr>
        <w:tc>
          <w:tcPr>
            <w:tcW w:w="9342" w:type="dxa"/>
            <w:gridSpan w:val="5"/>
            <w:tcBorders>
              <w:top w:val="single" w:sz="7" w:space="0" w:color="000000"/>
              <w:left w:val="single" w:sz="7" w:space="0" w:color="000000"/>
              <w:right w:val="single" w:sz="7" w:space="0" w:color="000000"/>
            </w:tcBorders>
            <w:tcMar>
              <w:top w:w="39" w:type="dxa"/>
              <w:left w:w="39" w:type="dxa"/>
              <w:bottom w:w="39" w:type="dxa"/>
              <w:right w:w="39" w:type="dxa"/>
            </w:tcMar>
          </w:tcPr>
          <w:p w14:paraId="4115B619" w14:textId="77777777" w:rsidR="009D0E57" w:rsidRDefault="009D0E57" w:rsidP="009D0E57">
            <w:pPr>
              <w:jc w:val="center"/>
            </w:pPr>
            <w:r>
              <w:rPr>
                <w:b/>
                <w:color w:val="000000"/>
                <w:sz w:val="20"/>
              </w:rPr>
              <w:t>Median Family Income Ranges</w:t>
            </w:r>
          </w:p>
        </w:tc>
      </w:tr>
      <w:tr w:rsidR="009D0E57" w14:paraId="65555096" w14:textId="77777777" w:rsidTr="009D0E57">
        <w:trPr>
          <w:trHeight w:val="426"/>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3A41CB9" w14:textId="77777777" w:rsidR="009D0E57" w:rsidRDefault="009D0E57" w:rsidP="009D0E57">
            <w:r>
              <w:rPr>
                <w:b/>
                <w:color w:val="000000"/>
                <w:sz w:val="20"/>
              </w:rPr>
              <w:t>Median Family Incomes</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9EEC424" w14:textId="77777777" w:rsidR="009D0E57" w:rsidRDefault="009D0E57" w:rsidP="009D0E57">
            <w:pPr>
              <w:jc w:val="center"/>
            </w:pPr>
            <w:r>
              <w:rPr>
                <w:b/>
                <w:color w:val="000000"/>
                <w:sz w:val="20"/>
              </w:rPr>
              <w:t>Low</w:t>
            </w:r>
            <w:r>
              <w:rPr>
                <w:b/>
                <w:color w:val="000000"/>
                <w:sz w:val="20"/>
              </w:rPr>
              <w:br/>
              <w:t xml:space="preserve"> &lt;50% </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7E7783D" w14:textId="77777777" w:rsidR="009D0E57" w:rsidRDefault="009D0E57" w:rsidP="009D0E57">
            <w:pPr>
              <w:jc w:val="center"/>
            </w:pPr>
            <w:r>
              <w:rPr>
                <w:b/>
                <w:color w:val="000000"/>
                <w:sz w:val="20"/>
              </w:rPr>
              <w:t>Moderate</w:t>
            </w:r>
            <w:r>
              <w:rPr>
                <w:b/>
                <w:color w:val="000000"/>
                <w:sz w:val="20"/>
              </w:rPr>
              <w:br/>
              <w:t>50% to &lt;80%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5FC89DC" w14:textId="77777777" w:rsidR="009D0E57" w:rsidRDefault="009D0E57" w:rsidP="009D0E57">
            <w:pPr>
              <w:jc w:val="center"/>
            </w:pPr>
            <w:r>
              <w:rPr>
                <w:b/>
                <w:color w:val="000000"/>
                <w:sz w:val="20"/>
              </w:rPr>
              <w:t>Middle</w:t>
            </w:r>
            <w:r>
              <w:rPr>
                <w:b/>
                <w:color w:val="000000"/>
                <w:sz w:val="20"/>
              </w:rPr>
              <w:br/>
              <w:t>80% to &lt;120%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441A4A0" w14:textId="77777777" w:rsidR="009D0E57" w:rsidRDefault="009D0E57" w:rsidP="009D0E57">
            <w:pPr>
              <w:jc w:val="center"/>
            </w:pPr>
            <w:r>
              <w:rPr>
                <w:b/>
                <w:color w:val="000000"/>
                <w:sz w:val="20"/>
              </w:rPr>
              <w:t>Upper</w:t>
            </w:r>
            <w:r>
              <w:rPr>
                <w:b/>
                <w:color w:val="000000"/>
                <w:sz w:val="20"/>
              </w:rPr>
              <w:br/>
              <w:t>≥120%</w:t>
            </w:r>
          </w:p>
        </w:tc>
      </w:tr>
      <w:tr w:rsidR="009D0E57" w14:paraId="721C7AEB" w14:textId="77777777" w:rsidTr="009D0E57">
        <w:trPr>
          <w:trHeight w:val="181"/>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0168C1" w14:textId="77777777" w:rsidR="009D0E57" w:rsidRDefault="009D0E57" w:rsidP="009D0E57">
            <w:pPr>
              <w:jc w:val="center"/>
            </w:pPr>
            <w:r>
              <w:rPr>
                <w:b/>
                <w:color w:val="000000"/>
                <w:sz w:val="20"/>
              </w:rPr>
              <w:t>Cambridge-Newton-Framingham, MA MD Median Family Income (15764)</w:t>
            </w:r>
          </w:p>
        </w:tc>
      </w:tr>
      <w:tr w:rsidR="009D0E57" w14:paraId="15207DD8" w14:textId="77777777" w:rsidTr="009D0E57">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A47C29" w14:textId="77777777" w:rsidR="009D0E57" w:rsidRDefault="009D0E57" w:rsidP="009D0E57">
            <w:r>
              <w:rPr>
                <w:color w:val="000000"/>
                <w:sz w:val="20"/>
              </w:rPr>
              <w:t>2018 ($110,300)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C1539" w14:textId="77777777" w:rsidR="009D0E57" w:rsidRDefault="009D0E57" w:rsidP="009D0E57">
            <w:pPr>
              <w:jc w:val="center"/>
            </w:pPr>
            <w:r>
              <w:rPr>
                <w:color w:val="000000"/>
                <w:sz w:val="20"/>
              </w:rPr>
              <w:t>&lt;$55,150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070DDE" w14:textId="77777777" w:rsidR="009D0E57" w:rsidRDefault="009D0E57" w:rsidP="009D0E57">
            <w:pPr>
              <w:jc w:val="center"/>
            </w:pPr>
            <w:r>
              <w:rPr>
                <w:color w:val="000000"/>
                <w:sz w:val="20"/>
              </w:rPr>
              <w:t>$55,150 to &lt;$88,240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ABAF2D" w14:textId="77777777" w:rsidR="009D0E57" w:rsidRDefault="009D0E57" w:rsidP="009D0E57">
            <w:pPr>
              <w:jc w:val="center"/>
            </w:pPr>
            <w:r>
              <w:rPr>
                <w:color w:val="000000"/>
                <w:sz w:val="20"/>
              </w:rPr>
              <w:t>$88,240 to &lt;$132,360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C2DAA" w14:textId="77777777" w:rsidR="009D0E57" w:rsidRDefault="009D0E57" w:rsidP="009D0E57">
            <w:pPr>
              <w:jc w:val="center"/>
            </w:pPr>
            <w:r>
              <w:rPr>
                <w:color w:val="000000"/>
                <w:sz w:val="20"/>
              </w:rPr>
              <w:t>≥$132,360</w:t>
            </w:r>
          </w:p>
        </w:tc>
      </w:tr>
      <w:tr w:rsidR="009D0E57" w14:paraId="5D28D2CE" w14:textId="77777777" w:rsidTr="009D0E57">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A888BF5" w14:textId="77777777" w:rsidR="009D0E57" w:rsidRDefault="009D0E57" w:rsidP="009D0E57">
            <w:r>
              <w:rPr>
                <w:color w:val="000000"/>
                <w:sz w:val="20"/>
              </w:rPr>
              <w:t>2019 ($115,500)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6DEA3C" w14:textId="77777777" w:rsidR="009D0E57" w:rsidRDefault="009D0E57" w:rsidP="009D0E57">
            <w:pPr>
              <w:jc w:val="center"/>
            </w:pPr>
            <w:r>
              <w:rPr>
                <w:color w:val="000000"/>
                <w:sz w:val="20"/>
              </w:rPr>
              <w:t>&lt;$57,750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BFA410" w14:textId="77777777" w:rsidR="009D0E57" w:rsidRDefault="009D0E57" w:rsidP="009D0E57">
            <w:pPr>
              <w:jc w:val="center"/>
            </w:pPr>
            <w:r>
              <w:rPr>
                <w:color w:val="000000"/>
                <w:sz w:val="20"/>
              </w:rPr>
              <w:t>$57,750 to &lt;$92,400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05D05C" w14:textId="77777777" w:rsidR="009D0E57" w:rsidRDefault="009D0E57" w:rsidP="009D0E57">
            <w:pPr>
              <w:jc w:val="center"/>
            </w:pPr>
            <w:r>
              <w:rPr>
                <w:color w:val="000000"/>
                <w:sz w:val="20"/>
              </w:rPr>
              <w:t>$92,400 to &lt;$138,600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170508" w14:textId="77777777" w:rsidR="009D0E57" w:rsidRDefault="009D0E57" w:rsidP="009D0E57">
            <w:pPr>
              <w:jc w:val="center"/>
            </w:pPr>
            <w:r>
              <w:rPr>
                <w:color w:val="000000"/>
                <w:sz w:val="20"/>
              </w:rPr>
              <w:t>≥$138,600</w:t>
            </w:r>
          </w:p>
        </w:tc>
      </w:tr>
      <w:tr w:rsidR="009D0E57" w14:paraId="6EF946CD" w14:textId="77777777" w:rsidTr="009D0E57">
        <w:trPr>
          <w:trHeight w:val="181"/>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22C0CF2" w14:textId="77777777" w:rsidR="009D0E57" w:rsidRDefault="009D0E57" w:rsidP="009D0E57">
            <w:pPr>
              <w:jc w:val="center"/>
            </w:pPr>
            <w:r>
              <w:rPr>
                <w:b/>
                <w:color w:val="000000"/>
                <w:sz w:val="20"/>
              </w:rPr>
              <w:t xml:space="preserve">Worcester, MA-CT </w:t>
            </w:r>
            <w:proofErr w:type="spellStart"/>
            <w:r>
              <w:rPr>
                <w:b/>
                <w:color w:val="000000"/>
                <w:sz w:val="20"/>
              </w:rPr>
              <w:t>MSA</w:t>
            </w:r>
            <w:proofErr w:type="spellEnd"/>
            <w:r>
              <w:rPr>
                <w:b/>
                <w:color w:val="000000"/>
                <w:sz w:val="20"/>
              </w:rPr>
              <w:t xml:space="preserve"> Median Family Income (49340)</w:t>
            </w:r>
          </w:p>
        </w:tc>
      </w:tr>
      <w:tr w:rsidR="009D0E57" w14:paraId="5012C0EA" w14:textId="77777777" w:rsidTr="009D0E57">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C1E0ABA" w14:textId="77777777" w:rsidR="009D0E57" w:rsidRDefault="009D0E57" w:rsidP="009D0E57">
            <w:r>
              <w:rPr>
                <w:color w:val="000000"/>
                <w:sz w:val="20"/>
              </w:rPr>
              <w:t>2018 ($86,900)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8E73D6" w14:textId="77777777" w:rsidR="009D0E57" w:rsidRDefault="009D0E57" w:rsidP="009D0E57">
            <w:pPr>
              <w:jc w:val="center"/>
            </w:pPr>
            <w:r>
              <w:rPr>
                <w:color w:val="000000"/>
                <w:sz w:val="20"/>
              </w:rPr>
              <w:t>&lt;$43,450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EB2BC" w14:textId="77777777" w:rsidR="009D0E57" w:rsidRDefault="009D0E57" w:rsidP="009D0E57">
            <w:pPr>
              <w:jc w:val="center"/>
            </w:pPr>
            <w:r>
              <w:rPr>
                <w:color w:val="000000"/>
                <w:sz w:val="20"/>
              </w:rPr>
              <w:t>$43,450 to &lt;$69,520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1B8F8A" w14:textId="77777777" w:rsidR="009D0E57" w:rsidRDefault="009D0E57" w:rsidP="009D0E57">
            <w:pPr>
              <w:jc w:val="center"/>
            </w:pPr>
            <w:r>
              <w:rPr>
                <w:color w:val="000000"/>
                <w:sz w:val="20"/>
              </w:rPr>
              <w:t>$69,520 to &lt;$104,280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85E98A5" w14:textId="77777777" w:rsidR="009D0E57" w:rsidRDefault="009D0E57" w:rsidP="009D0E57">
            <w:pPr>
              <w:jc w:val="center"/>
            </w:pPr>
            <w:r>
              <w:rPr>
                <w:color w:val="000000"/>
                <w:sz w:val="20"/>
              </w:rPr>
              <w:t>≥$104,280</w:t>
            </w:r>
          </w:p>
        </w:tc>
      </w:tr>
      <w:tr w:rsidR="009D0E57" w14:paraId="4B629875" w14:textId="77777777" w:rsidTr="009D0E57">
        <w:trPr>
          <w:trHeight w:val="188"/>
        </w:trPr>
        <w:tc>
          <w:tcPr>
            <w:tcW w:w="251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7FBC14" w14:textId="77777777" w:rsidR="009D0E57" w:rsidRDefault="009D0E57" w:rsidP="009D0E57">
            <w:r>
              <w:rPr>
                <w:color w:val="000000"/>
                <w:sz w:val="20"/>
              </w:rPr>
              <w:t>2019 ($95,300)</w:t>
            </w:r>
          </w:p>
        </w:tc>
        <w:tc>
          <w:tcPr>
            <w:tcW w:w="13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15F3AC3" w14:textId="77777777" w:rsidR="009D0E57" w:rsidRDefault="009D0E57" w:rsidP="009D0E57">
            <w:pPr>
              <w:jc w:val="center"/>
            </w:pPr>
            <w:r>
              <w:rPr>
                <w:color w:val="000000"/>
                <w:sz w:val="20"/>
              </w:rPr>
              <w:t>&lt;$47,650</w:t>
            </w:r>
          </w:p>
        </w:tc>
        <w:tc>
          <w:tcPr>
            <w:tcW w:w="2032"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5E091C" w14:textId="77777777" w:rsidR="009D0E57" w:rsidRDefault="009D0E57" w:rsidP="009D0E57">
            <w:pPr>
              <w:jc w:val="center"/>
            </w:pPr>
            <w:r>
              <w:rPr>
                <w:color w:val="000000"/>
                <w:sz w:val="20"/>
              </w:rPr>
              <w:t>$47,650 to &lt;$76,240</w:t>
            </w:r>
          </w:p>
        </w:tc>
        <w:tc>
          <w:tcPr>
            <w:tcW w:w="212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902879" w14:textId="77777777" w:rsidR="009D0E57" w:rsidRDefault="009D0E57" w:rsidP="009D0E57">
            <w:pPr>
              <w:jc w:val="center"/>
            </w:pPr>
            <w:r>
              <w:rPr>
                <w:color w:val="000000"/>
                <w:sz w:val="20"/>
              </w:rPr>
              <w:t>$76,240 to &lt;$114,360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6D97BB" w14:textId="77777777" w:rsidR="009D0E57" w:rsidRDefault="009D0E57" w:rsidP="009D0E57">
            <w:pPr>
              <w:jc w:val="center"/>
            </w:pPr>
            <w:r>
              <w:rPr>
                <w:color w:val="000000"/>
                <w:sz w:val="20"/>
              </w:rPr>
              <w:t>≥$114,360</w:t>
            </w:r>
          </w:p>
        </w:tc>
      </w:tr>
      <w:tr w:rsidR="009D0E57" w14:paraId="57FDEE69" w14:textId="77777777" w:rsidTr="009D0E57">
        <w:trPr>
          <w:trHeight w:val="282"/>
        </w:trPr>
        <w:tc>
          <w:tcPr>
            <w:tcW w:w="9342"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7F8AD6" w14:textId="77777777" w:rsidR="009D0E57" w:rsidRDefault="009D0E57" w:rsidP="009D0E57">
            <w:r>
              <w:rPr>
                <w:i/>
                <w:color w:val="000000"/>
                <w:sz w:val="16"/>
              </w:rPr>
              <w:t xml:space="preserve">Source: </w:t>
            </w:r>
            <w:proofErr w:type="spellStart"/>
            <w:r>
              <w:rPr>
                <w:i/>
                <w:color w:val="000000"/>
                <w:sz w:val="16"/>
              </w:rPr>
              <w:t>FFIEC</w:t>
            </w:r>
            <w:proofErr w:type="spellEnd"/>
          </w:p>
        </w:tc>
      </w:tr>
    </w:tbl>
    <w:p w14:paraId="2A3628A9" w14:textId="77777777" w:rsidR="009D0E57" w:rsidRPr="00B573BB" w:rsidRDefault="009D0E57" w:rsidP="00250940">
      <w:pPr>
        <w:widowControl w:val="0"/>
        <w:ind w:right="-360"/>
        <w:jc w:val="both"/>
        <w:rPr>
          <w:bCs/>
          <w:iCs/>
          <w:color w:val="00B0F0"/>
        </w:rPr>
      </w:pPr>
    </w:p>
    <w:p w14:paraId="7AC2A964" w14:textId="77777777" w:rsidR="009D0E57" w:rsidRPr="00BB2B1D" w:rsidRDefault="009D0E57" w:rsidP="00250940">
      <w:pPr>
        <w:widowControl w:val="0"/>
        <w:jc w:val="both"/>
        <w:rPr>
          <w:bCs/>
          <w:iCs/>
        </w:rPr>
      </w:pPr>
      <w:r w:rsidRPr="00EA7C67">
        <w:rPr>
          <w:bCs/>
          <w:iCs/>
        </w:rPr>
        <w:t xml:space="preserve">According to the U.S. Bureau of Labor Statistics, the 2019 annual average unemployment rate was 3.1 percent in Worcester County and 2.3 percent in </w:t>
      </w:r>
      <w:r w:rsidRPr="00BB2B1D">
        <w:rPr>
          <w:bCs/>
          <w:iCs/>
        </w:rPr>
        <w:t>Middlesex County</w:t>
      </w:r>
      <w:proofErr w:type="gramStart"/>
      <w:r w:rsidRPr="00BB2B1D">
        <w:rPr>
          <w:bCs/>
          <w:iCs/>
        </w:rPr>
        <w:t xml:space="preserve">.  </w:t>
      </w:r>
      <w:proofErr w:type="gramEnd"/>
      <w:r w:rsidRPr="00BB2B1D">
        <w:rPr>
          <w:bCs/>
          <w:iCs/>
        </w:rPr>
        <w:t xml:space="preserve">The low unemployment rate had been steady throughout the evaluation period, but sharply increased in March 2020 due to the </w:t>
      </w:r>
      <w:proofErr w:type="spellStart"/>
      <w:r w:rsidRPr="00BB2B1D">
        <w:rPr>
          <w:bCs/>
          <w:iCs/>
        </w:rPr>
        <w:t>COVID</w:t>
      </w:r>
      <w:proofErr w:type="spellEnd"/>
      <w:r w:rsidRPr="00BB2B1D">
        <w:rPr>
          <w:bCs/>
          <w:iCs/>
        </w:rPr>
        <w:t>-19 pandemic</w:t>
      </w:r>
      <w:r>
        <w:rPr>
          <w:bCs/>
          <w:iCs/>
        </w:rPr>
        <w:t>,</w:t>
      </w:r>
      <w:r w:rsidRPr="00BB2B1D">
        <w:rPr>
          <w:bCs/>
          <w:iCs/>
        </w:rPr>
        <w:t xml:space="preserve"> then experienced a decreasing trend in </w:t>
      </w:r>
      <w:proofErr w:type="spellStart"/>
      <w:r w:rsidRPr="00BB2B1D">
        <w:rPr>
          <w:bCs/>
          <w:iCs/>
        </w:rPr>
        <w:t>Q3</w:t>
      </w:r>
      <w:proofErr w:type="spellEnd"/>
      <w:r w:rsidRPr="00BB2B1D">
        <w:rPr>
          <w:bCs/>
          <w:iCs/>
        </w:rPr>
        <w:t xml:space="preserve"> into </w:t>
      </w:r>
      <w:proofErr w:type="spellStart"/>
      <w:r w:rsidRPr="00BB2B1D">
        <w:rPr>
          <w:bCs/>
          <w:iCs/>
        </w:rPr>
        <w:t>Q4</w:t>
      </w:r>
      <w:proofErr w:type="spellEnd"/>
      <w:r w:rsidRPr="00BB2B1D">
        <w:rPr>
          <w:bCs/>
          <w:iCs/>
        </w:rPr>
        <w:t xml:space="preserve"> for both Counties. </w:t>
      </w:r>
    </w:p>
    <w:p w14:paraId="18E964E8" w14:textId="77777777" w:rsidR="009D0E57" w:rsidRPr="00BB2B1D" w:rsidRDefault="009D0E57" w:rsidP="00250940">
      <w:pPr>
        <w:widowControl w:val="0"/>
        <w:jc w:val="both"/>
        <w:rPr>
          <w:bCs/>
          <w:iCs/>
        </w:rPr>
      </w:pPr>
      <w:r w:rsidRPr="00BB2B1D">
        <w:rPr>
          <w:bCs/>
          <w:iCs/>
        </w:rPr>
        <w:t xml:space="preserve"> </w:t>
      </w:r>
    </w:p>
    <w:p w14:paraId="4CD0CA42" w14:textId="77777777" w:rsidR="009D0E57" w:rsidRPr="005B586E" w:rsidRDefault="009D0E57" w:rsidP="00250940">
      <w:pPr>
        <w:widowControl w:val="0"/>
        <w:jc w:val="both"/>
        <w:rPr>
          <w:bCs/>
          <w:iCs/>
        </w:rPr>
      </w:pPr>
      <w:r w:rsidRPr="00BB2B1D">
        <w:rPr>
          <w:bCs/>
          <w:iCs/>
        </w:rPr>
        <w:t xml:space="preserve">The Geographic Distribution criterion compares home mortgage lending performance to the </w:t>
      </w:r>
      <w:r>
        <w:rPr>
          <w:bCs/>
          <w:iCs/>
        </w:rPr>
        <w:t>distribution of owner-occupied housing units</w:t>
      </w:r>
      <w:proofErr w:type="gramStart"/>
      <w:r>
        <w:rPr>
          <w:bCs/>
          <w:iCs/>
        </w:rPr>
        <w:t xml:space="preserve">.  </w:t>
      </w:r>
      <w:proofErr w:type="gramEnd"/>
      <w:r>
        <w:rPr>
          <w:bCs/>
          <w:iCs/>
        </w:rPr>
        <w:t xml:space="preserve">Within the credit union’s assessment area, opportunities for home mortgage lending </w:t>
      </w:r>
      <w:r w:rsidRPr="009944CB">
        <w:rPr>
          <w:bCs/>
          <w:iCs/>
        </w:rPr>
        <w:t xml:space="preserve">are </w:t>
      </w:r>
      <w:r>
        <w:rPr>
          <w:bCs/>
          <w:iCs/>
        </w:rPr>
        <w:t>somewhat</w:t>
      </w:r>
      <w:r w:rsidRPr="009944CB">
        <w:rPr>
          <w:bCs/>
          <w:iCs/>
        </w:rPr>
        <w:t xml:space="preserve"> limited, as only 56.3 percent of the 217,848 housing units are owner-occupied</w:t>
      </w:r>
      <w:proofErr w:type="gramStart"/>
      <w:r w:rsidRPr="009944CB">
        <w:rPr>
          <w:bCs/>
          <w:iCs/>
        </w:rPr>
        <w:t xml:space="preserve">.  </w:t>
      </w:r>
      <w:proofErr w:type="gramEnd"/>
      <w:r w:rsidRPr="009944CB">
        <w:rPr>
          <w:bCs/>
          <w:iCs/>
        </w:rPr>
        <w:t>Additional</w:t>
      </w:r>
      <w:r w:rsidRPr="005B586E">
        <w:rPr>
          <w:bCs/>
          <w:iCs/>
        </w:rPr>
        <w:t xml:space="preserve">ly, housing costs are </w:t>
      </w:r>
      <w:r>
        <w:rPr>
          <w:bCs/>
          <w:iCs/>
        </w:rPr>
        <w:t>moderately</w:t>
      </w:r>
      <w:r w:rsidRPr="005B586E">
        <w:rPr>
          <w:bCs/>
          <w:iCs/>
        </w:rPr>
        <w:t xml:space="preserve"> expensive, with </w:t>
      </w:r>
      <w:r>
        <w:rPr>
          <w:bCs/>
          <w:iCs/>
        </w:rPr>
        <w:t xml:space="preserve">a </w:t>
      </w:r>
      <w:r w:rsidRPr="005B586E">
        <w:rPr>
          <w:bCs/>
          <w:iCs/>
        </w:rPr>
        <w:t>median housing value of $238,064.</w:t>
      </w:r>
    </w:p>
    <w:p w14:paraId="7E707C61" w14:textId="77777777" w:rsidR="009D0E57" w:rsidRPr="00E87711" w:rsidRDefault="009D0E57" w:rsidP="00250940">
      <w:pPr>
        <w:widowControl w:val="0"/>
        <w:jc w:val="both"/>
        <w:rPr>
          <w:bCs/>
          <w:iCs/>
          <w:highlight w:val="yellow"/>
        </w:rPr>
      </w:pPr>
    </w:p>
    <w:p w14:paraId="3C608256" w14:textId="77777777" w:rsidR="009D0E57" w:rsidRPr="00E87711" w:rsidRDefault="009D0E57" w:rsidP="00250940">
      <w:pPr>
        <w:jc w:val="both"/>
        <w:rPr>
          <w:b/>
          <w:bCs/>
          <w:iCs/>
          <w:u w:val="single"/>
        </w:rPr>
      </w:pPr>
      <w:r w:rsidRPr="00E87711">
        <w:rPr>
          <w:b/>
          <w:bCs/>
          <w:iCs/>
          <w:u w:val="single"/>
        </w:rPr>
        <w:t>Competition</w:t>
      </w:r>
    </w:p>
    <w:p w14:paraId="5D74EE3D" w14:textId="77777777" w:rsidR="009D0E57" w:rsidRPr="00E87711" w:rsidRDefault="009D0E57" w:rsidP="00250940">
      <w:pPr>
        <w:jc w:val="both"/>
        <w:rPr>
          <w:iCs/>
          <w:u w:val="single"/>
        </w:rPr>
      </w:pPr>
    </w:p>
    <w:p w14:paraId="69E4818F" w14:textId="22E01209" w:rsidR="009D0E57" w:rsidRDefault="009D0E57" w:rsidP="00250940">
      <w:pPr>
        <w:jc w:val="both"/>
        <w:rPr>
          <w:iCs/>
        </w:rPr>
      </w:pPr>
      <w:r w:rsidRPr="00E87711">
        <w:rPr>
          <w:iCs/>
        </w:rPr>
        <w:t>The assessment area is located in a competitiv</w:t>
      </w:r>
      <w:r>
        <w:rPr>
          <w:iCs/>
        </w:rPr>
        <w:t>e market for financial services</w:t>
      </w:r>
      <w:proofErr w:type="gramStart"/>
      <w:r w:rsidRPr="00E87711">
        <w:rPr>
          <w:iCs/>
        </w:rPr>
        <w:t>.</w:t>
      </w:r>
      <w:r>
        <w:rPr>
          <w:iCs/>
        </w:rPr>
        <w:t xml:space="preserve">  </w:t>
      </w:r>
      <w:proofErr w:type="gramEnd"/>
      <w:r>
        <w:rPr>
          <w:iCs/>
        </w:rPr>
        <w:t>Based on 2019 Deposit Market Share data, 39 financial institutions operated 145 branches within the assessment area</w:t>
      </w:r>
      <w:proofErr w:type="gramStart"/>
      <w:r>
        <w:rPr>
          <w:iCs/>
        </w:rPr>
        <w:t xml:space="preserve">.  </w:t>
      </w:r>
      <w:proofErr w:type="gramEnd"/>
      <w:r>
        <w:rPr>
          <w:iCs/>
        </w:rPr>
        <w:t>Leominster Credit Union ranked 9</w:t>
      </w:r>
      <w:r w:rsidRPr="00D94040">
        <w:rPr>
          <w:iCs/>
          <w:vertAlign w:val="superscript"/>
        </w:rPr>
        <w:t>th</w:t>
      </w:r>
      <w:r>
        <w:rPr>
          <w:iCs/>
        </w:rPr>
        <w:t>, by Total Deposit Amount, with 3.5 percent market share and was the second highest ranked credit union</w:t>
      </w:r>
      <w:proofErr w:type="gramStart"/>
      <w:r>
        <w:rPr>
          <w:iCs/>
        </w:rPr>
        <w:t xml:space="preserve">.  </w:t>
      </w:r>
      <w:proofErr w:type="gramEnd"/>
      <w:r>
        <w:rPr>
          <w:iCs/>
        </w:rPr>
        <w:t>The top ranking institutions were comprised of national</w:t>
      </w:r>
      <w:r w:rsidR="003314B5">
        <w:rPr>
          <w:iCs/>
        </w:rPr>
        <w:t xml:space="preserve"> banks</w:t>
      </w:r>
      <w:r>
        <w:rPr>
          <w:iCs/>
        </w:rPr>
        <w:t xml:space="preserve"> and community financial institutions</w:t>
      </w:r>
      <w:r w:rsidR="000711A1">
        <w:rPr>
          <w:iCs/>
        </w:rPr>
        <w:t>,</w:t>
      </w:r>
      <w:r>
        <w:rPr>
          <w:iCs/>
        </w:rPr>
        <w:t xml:space="preserve"> </w:t>
      </w:r>
      <w:r w:rsidR="003314B5">
        <w:rPr>
          <w:iCs/>
        </w:rPr>
        <w:t>which</w:t>
      </w:r>
      <w:r>
        <w:rPr>
          <w:iCs/>
        </w:rPr>
        <w:t xml:space="preserve"> included Bank of America, </w:t>
      </w:r>
      <w:proofErr w:type="spellStart"/>
      <w:r>
        <w:rPr>
          <w:iCs/>
        </w:rPr>
        <w:t>N.A</w:t>
      </w:r>
      <w:proofErr w:type="spellEnd"/>
      <w:r>
        <w:rPr>
          <w:iCs/>
        </w:rPr>
        <w:t xml:space="preserve">., TD Bank, </w:t>
      </w:r>
      <w:proofErr w:type="spellStart"/>
      <w:r>
        <w:rPr>
          <w:iCs/>
        </w:rPr>
        <w:t>N.A</w:t>
      </w:r>
      <w:proofErr w:type="spellEnd"/>
      <w:r>
        <w:rPr>
          <w:iCs/>
        </w:rPr>
        <w:t xml:space="preserve">., Berkshire Bank, Workers Credit Union, and Santander Bank, </w:t>
      </w:r>
      <w:proofErr w:type="spellStart"/>
      <w:r>
        <w:rPr>
          <w:iCs/>
        </w:rPr>
        <w:t>N.A</w:t>
      </w:r>
      <w:proofErr w:type="spellEnd"/>
      <w:r>
        <w:rPr>
          <w:iCs/>
        </w:rPr>
        <w:t>. with a total of 43.4 percent market share.</w:t>
      </w:r>
    </w:p>
    <w:p w14:paraId="7E4B3E43" w14:textId="77777777" w:rsidR="009D0E57" w:rsidRDefault="009D0E57" w:rsidP="00250940">
      <w:pPr>
        <w:jc w:val="both"/>
        <w:rPr>
          <w:iCs/>
        </w:rPr>
      </w:pPr>
    </w:p>
    <w:p w14:paraId="27A07F16" w14:textId="0920A968" w:rsidR="009D0E57" w:rsidRPr="00E87711" w:rsidRDefault="009D0E57" w:rsidP="00250940">
      <w:pPr>
        <w:jc w:val="both"/>
        <w:rPr>
          <w:iCs/>
        </w:rPr>
      </w:pPr>
      <w:r>
        <w:rPr>
          <w:iCs/>
        </w:rPr>
        <w:t>The assessment area market</w:t>
      </w:r>
      <w:r w:rsidR="00213F78">
        <w:rPr>
          <w:iCs/>
        </w:rPr>
        <w:t xml:space="preserve"> </w:t>
      </w:r>
      <w:r>
        <w:rPr>
          <w:iCs/>
        </w:rPr>
        <w:t>for home mortgage loans is also competitive</w:t>
      </w:r>
      <w:proofErr w:type="gramStart"/>
      <w:r>
        <w:rPr>
          <w:iCs/>
        </w:rPr>
        <w:t xml:space="preserve">.  </w:t>
      </w:r>
      <w:proofErr w:type="gramEnd"/>
      <w:r w:rsidRPr="00E87711">
        <w:rPr>
          <w:iCs/>
        </w:rPr>
        <w:t>In 2019, Leominster Credit Union ranked 27</w:t>
      </w:r>
      <w:r w:rsidRPr="00E87711">
        <w:rPr>
          <w:iCs/>
          <w:vertAlign w:val="superscript"/>
        </w:rPr>
        <w:t>th</w:t>
      </w:r>
      <w:r w:rsidRPr="00E87711">
        <w:rPr>
          <w:iCs/>
        </w:rPr>
        <w:t xml:space="preserve"> out of 416 </w:t>
      </w:r>
      <w:r>
        <w:rPr>
          <w:iCs/>
        </w:rPr>
        <w:t xml:space="preserve">home mortgage </w:t>
      </w:r>
      <w:r w:rsidRPr="00E87711">
        <w:rPr>
          <w:iCs/>
        </w:rPr>
        <w:t>lenders within the assessment area with a 1.0 percent market share</w:t>
      </w:r>
      <w:proofErr w:type="gramStart"/>
      <w:r w:rsidRPr="00E87711">
        <w:rPr>
          <w:iCs/>
        </w:rPr>
        <w:t xml:space="preserve">.  </w:t>
      </w:r>
      <w:proofErr w:type="gramEnd"/>
      <w:r w:rsidRPr="00E87711">
        <w:rPr>
          <w:iCs/>
        </w:rPr>
        <w:t xml:space="preserve">Large national banks, non-depository lenders and several state-chartered community banks </w:t>
      </w:r>
      <w:r>
        <w:rPr>
          <w:iCs/>
        </w:rPr>
        <w:t>and</w:t>
      </w:r>
      <w:r w:rsidRPr="00E87711">
        <w:rPr>
          <w:iCs/>
        </w:rPr>
        <w:t xml:space="preserve"> </w:t>
      </w:r>
      <w:r>
        <w:rPr>
          <w:iCs/>
        </w:rPr>
        <w:t xml:space="preserve">federal </w:t>
      </w:r>
      <w:r w:rsidRPr="00E87711">
        <w:rPr>
          <w:iCs/>
        </w:rPr>
        <w:t>credit unions ranked above Leominster Credit Union. The lenders with the biggest market share included Digital Federal Credit Union, Wells Fargo Bank NA, Quicken Loans, LLC, Fairway Independent Mortgage Corporation, and Workers Credit Union.</w:t>
      </w:r>
    </w:p>
    <w:p w14:paraId="53383473" w14:textId="77777777" w:rsidR="009D0E57" w:rsidRPr="00E87711" w:rsidRDefault="009D0E57" w:rsidP="00250940">
      <w:pPr>
        <w:jc w:val="both"/>
        <w:rPr>
          <w:iCs/>
          <w:highlight w:val="yellow"/>
          <w:u w:val="single"/>
        </w:rPr>
      </w:pPr>
    </w:p>
    <w:p w14:paraId="0FE57ADB" w14:textId="77777777" w:rsidR="009D0E57" w:rsidRPr="00E87711" w:rsidRDefault="009D0E57" w:rsidP="00250940">
      <w:pPr>
        <w:jc w:val="both"/>
        <w:rPr>
          <w:b/>
          <w:bCs/>
          <w:iCs/>
          <w:u w:val="single"/>
        </w:rPr>
      </w:pPr>
      <w:r w:rsidRPr="00E87711">
        <w:rPr>
          <w:b/>
          <w:bCs/>
          <w:iCs/>
          <w:u w:val="single"/>
        </w:rPr>
        <w:lastRenderedPageBreak/>
        <w:t>Community Contact</w:t>
      </w:r>
    </w:p>
    <w:p w14:paraId="71A6D89B" w14:textId="77777777" w:rsidR="009D0E57" w:rsidRPr="00E87711" w:rsidRDefault="009D0E57" w:rsidP="00250940">
      <w:pPr>
        <w:jc w:val="both"/>
        <w:rPr>
          <w:b/>
          <w:bCs/>
          <w:iCs/>
          <w:u w:val="single"/>
        </w:rPr>
      </w:pPr>
    </w:p>
    <w:p w14:paraId="28D0A33A" w14:textId="05B3EA9E" w:rsidR="009D0E57" w:rsidRDefault="009D0E57" w:rsidP="00250940">
      <w:pPr>
        <w:jc w:val="both"/>
        <w:rPr>
          <w:bCs/>
          <w:iCs/>
        </w:rPr>
      </w:pPr>
      <w:r w:rsidRPr="00E87711">
        <w:rPr>
          <w:bCs/>
          <w:iCs/>
        </w:rPr>
        <w:t>As part of the evaluation process</w:t>
      </w:r>
      <w:r w:rsidRPr="00E80C4E">
        <w:rPr>
          <w:bCs/>
          <w:iCs/>
        </w:rPr>
        <w:t>, examiners contact third parties active in the assessment area to help assess the credit and community development needs</w:t>
      </w:r>
      <w:proofErr w:type="gramStart"/>
      <w:r w:rsidRPr="00E80C4E">
        <w:rPr>
          <w:bCs/>
          <w:iCs/>
        </w:rPr>
        <w:t xml:space="preserve">.  </w:t>
      </w:r>
      <w:proofErr w:type="gramEnd"/>
      <w:r w:rsidRPr="00E80C4E">
        <w:rPr>
          <w:bCs/>
          <w:iCs/>
        </w:rPr>
        <w:t xml:space="preserve">The information obtained helps examiners determine whether local financial institutions are responsive to these needs and </w:t>
      </w:r>
      <w:r w:rsidR="00F46D38">
        <w:rPr>
          <w:bCs/>
          <w:iCs/>
        </w:rPr>
        <w:t>whether other</w:t>
      </w:r>
      <w:r w:rsidRPr="00E80C4E">
        <w:rPr>
          <w:bCs/>
          <w:iCs/>
        </w:rPr>
        <w:t xml:space="preserve"> credit and community development opportunities</w:t>
      </w:r>
      <w:r w:rsidR="00F46D38">
        <w:rPr>
          <w:bCs/>
          <w:iCs/>
        </w:rPr>
        <w:t xml:space="preserve"> exist within the assessment area</w:t>
      </w:r>
      <w:r w:rsidRPr="00E80C4E">
        <w:rPr>
          <w:bCs/>
          <w:iCs/>
        </w:rPr>
        <w:t xml:space="preserve">. </w:t>
      </w:r>
    </w:p>
    <w:p w14:paraId="6712B7B8" w14:textId="77777777" w:rsidR="009D0E57" w:rsidRDefault="009D0E57" w:rsidP="00250940">
      <w:pPr>
        <w:jc w:val="both"/>
        <w:rPr>
          <w:bCs/>
          <w:iCs/>
        </w:rPr>
      </w:pPr>
    </w:p>
    <w:p w14:paraId="541EEAE7" w14:textId="46E6D75C" w:rsidR="009D0E57" w:rsidRDefault="009D0E57" w:rsidP="00250940">
      <w:pPr>
        <w:jc w:val="both"/>
      </w:pPr>
      <w:r>
        <w:t xml:space="preserve">Examiners contacted a local community development corporation </w:t>
      </w:r>
      <w:r w:rsidR="00F46D38">
        <w:t xml:space="preserve">located </w:t>
      </w:r>
      <w:r>
        <w:t xml:space="preserve">in the North Central </w:t>
      </w:r>
      <w:r w:rsidR="00F46D38">
        <w:t xml:space="preserve">region </w:t>
      </w:r>
      <w:r>
        <w:t>of the assessment area</w:t>
      </w:r>
      <w:proofErr w:type="gramStart"/>
      <w:r w:rsidR="00F46D38">
        <w:t xml:space="preserve">.  </w:t>
      </w:r>
      <w:proofErr w:type="gramEnd"/>
      <w:r w:rsidR="00F46D38">
        <w:t>The organization</w:t>
      </w:r>
      <w:r>
        <w:t xml:space="preserve"> assists</w:t>
      </w:r>
      <w:r w:rsidR="00F46D38">
        <w:t xml:space="preserve"> with</w:t>
      </w:r>
      <w:r>
        <w:t xml:space="preserve"> affordable housing, small business development and neighborhood revitalization</w:t>
      </w:r>
      <w:proofErr w:type="gramStart"/>
      <w:r>
        <w:t xml:space="preserve">.  </w:t>
      </w:r>
      <w:proofErr w:type="gramEnd"/>
      <w:r>
        <w:t xml:space="preserve">Due to the </w:t>
      </w:r>
      <w:proofErr w:type="spellStart"/>
      <w:r>
        <w:t>COVID</w:t>
      </w:r>
      <w:proofErr w:type="spellEnd"/>
      <w:r>
        <w:t>-19 pandemic, program priorities shifted more toward food and basic needs as well as to under-resourced small businesses</w:t>
      </w:r>
      <w:proofErr w:type="gramStart"/>
      <w:r>
        <w:t xml:space="preserve">.  </w:t>
      </w:r>
      <w:proofErr w:type="gramEnd"/>
      <w:r>
        <w:t>The contact stressed that increased partnership and collaboration between community financial institutions and local non-profit organizations could synergize services to low- and moderate-income individuals and small businesses</w:t>
      </w:r>
      <w:proofErr w:type="gramStart"/>
      <w:r>
        <w:t xml:space="preserve">.  </w:t>
      </w:r>
      <w:proofErr w:type="gramEnd"/>
      <w:r>
        <w:t>Further, the area’s recent housing market is experiencing a significant surge and is believed to be having upward pressure on home and collateral valuations</w:t>
      </w:r>
      <w:proofErr w:type="gramStart"/>
      <w:r>
        <w:t xml:space="preserve">.  </w:t>
      </w:r>
      <w:proofErr w:type="gramEnd"/>
      <w:r>
        <w:t>The contact noted there is one physical bank branch remaining in downtown Fitchburg and expressed concern over a potential reduction in access to banking services.</w:t>
      </w:r>
    </w:p>
    <w:p w14:paraId="412690AF" w14:textId="77777777" w:rsidR="009D0E57" w:rsidRDefault="009D0E57" w:rsidP="00250940">
      <w:pPr>
        <w:jc w:val="both"/>
      </w:pPr>
    </w:p>
    <w:p w14:paraId="7F897192" w14:textId="20E0ADEE" w:rsidR="009D0E57" w:rsidRDefault="009D0E57" w:rsidP="00250940">
      <w:pPr>
        <w:jc w:val="both"/>
      </w:pPr>
      <w:r>
        <w:t xml:space="preserve">The </w:t>
      </w:r>
      <w:proofErr w:type="spellStart"/>
      <w:r>
        <w:t>COVID</w:t>
      </w:r>
      <w:proofErr w:type="spellEnd"/>
      <w:r>
        <w:t>-19 pandemic placed significant challenges on small under-resourced businesses with many of them closing while residential homeowners and tenants fared better due to government eviction-prevention programs</w:t>
      </w:r>
      <w:proofErr w:type="gramStart"/>
      <w:r>
        <w:t xml:space="preserve">.  </w:t>
      </w:r>
      <w:proofErr w:type="gramEnd"/>
      <w:r>
        <w:t>The Small Business Administration’s (SBA) Paycheck Protection Program (PPP) benefited many businesses</w:t>
      </w:r>
      <w:r w:rsidR="00DE6B65">
        <w:t xml:space="preserve">, but </w:t>
      </w:r>
      <w:r>
        <w:t>presented difficulty for others with program application and compliance requirements.</w:t>
      </w:r>
    </w:p>
    <w:p w14:paraId="56D6F2BC" w14:textId="77777777" w:rsidR="009D0E57" w:rsidRDefault="009D0E57" w:rsidP="00250940">
      <w:pPr>
        <w:jc w:val="both"/>
      </w:pPr>
    </w:p>
    <w:p w14:paraId="0F2B0A84" w14:textId="77777777" w:rsidR="009D0E57" w:rsidRPr="00250940" w:rsidRDefault="009D0E57" w:rsidP="00250940">
      <w:pPr>
        <w:spacing w:after="240"/>
        <w:jc w:val="both"/>
        <w:rPr>
          <w:b/>
          <w:u w:val="single"/>
        </w:rPr>
      </w:pPr>
      <w:r w:rsidRPr="00250940">
        <w:rPr>
          <w:b/>
          <w:u w:val="single"/>
        </w:rPr>
        <w:t>Credit and Community Development Needs and Opportunities</w:t>
      </w:r>
    </w:p>
    <w:p w14:paraId="013F12DE" w14:textId="667D3E34" w:rsidR="009D0E57" w:rsidRDefault="009D0E57" w:rsidP="00250940">
      <w:pPr>
        <w:jc w:val="both"/>
      </w:pPr>
      <w:r>
        <w:t>Examiners identified the primary credit needs of the assessment area based on demographic and economic information, discussion with management, and the conversation with the community contact</w:t>
      </w:r>
      <w:proofErr w:type="gramStart"/>
      <w:r>
        <w:t xml:space="preserve">.  </w:t>
      </w:r>
      <w:proofErr w:type="gramEnd"/>
      <w:r>
        <w:t>The needs and opportunities of the assessment area include economic development, community services for low- and moderate-income individuals and affordable housing</w:t>
      </w:r>
      <w:proofErr w:type="gramStart"/>
      <w:r>
        <w:t xml:space="preserve">.  </w:t>
      </w:r>
      <w:proofErr w:type="gramEnd"/>
      <w:r>
        <w:t xml:space="preserve">The impact of the </w:t>
      </w:r>
      <w:proofErr w:type="spellStart"/>
      <w:r>
        <w:t>COVID</w:t>
      </w:r>
      <w:proofErr w:type="spellEnd"/>
      <w:r>
        <w:t>-19 pandemic on small businesses in the North Central Massachusetts area has been the largest challenge</w:t>
      </w:r>
      <w:proofErr w:type="gramStart"/>
      <w:r>
        <w:t xml:space="preserve">.  </w:t>
      </w:r>
      <w:proofErr w:type="gramEnd"/>
      <w:r>
        <w:t>Financial institutions have opportunities to create small business-friendly grants and loan funds, along with community service opportunities for accounting assistance, business coaching or other technical expertise</w:t>
      </w:r>
      <w:proofErr w:type="gramStart"/>
      <w:r>
        <w:t xml:space="preserve">.  </w:t>
      </w:r>
      <w:proofErr w:type="gramEnd"/>
      <w:r>
        <w:t xml:space="preserve">The </w:t>
      </w:r>
      <w:proofErr w:type="spellStart"/>
      <w:r>
        <w:t>COVID</w:t>
      </w:r>
      <w:proofErr w:type="spellEnd"/>
      <w:r>
        <w:t>-19 pandemic has also significantly worsened food insecurity and access to basic needs</w:t>
      </w:r>
      <w:proofErr w:type="gramStart"/>
      <w:r>
        <w:t xml:space="preserve">.  </w:t>
      </w:r>
      <w:proofErr w:type="gramEnd"/>
      <w:r>
        <w:t xml:space="preserve">With job and business losses, low- and moderate-income individuals could benefit, for example, from a zero- or low-interest, small dollar emergency loan fund to cover government agency waiting periods.    </w:t>
      </w:r>
    </w:p>
    <w:p w14:paraId="6BC388DE" w14:textId="77777777" w:rsidR="009D0E57" w:rsidRDefault="009D0E57" w:rsidP="00250940">
      <w:pPr>
        <w:jc w:val="both"/>
      </w:pPr>
    </w:p>
    <w:p w14:paraId="47668BA9" w14:textId="77777777" w:rsidR="009D0E57" w:rsidRPr="00252AF6" w:rsidRDefault="009D0E57" w:rsidP="00250940">
      <w:pPr>
        <w:jc w:val="both"/>
      </w:pPr>
      <w:r>
        <w:t>The need for affordable housing continues to be present for low- and moderate-income individuals and families</w:t>
      </w:r>
      <w:proofErr w:type="gramStart"/>
      <w:r>
        <w:t xml:space="preserve">.  </w:t>
      </w:r>
      <w:proofErr w:type="gramEnd"/>
      <w:r>
        <w:t>Low- and moderate-income individuals would benefit from low-cost funding for development of additional affordable housing units as well as low-cost mortgage loans and down payment assistance.</w:t>
      </w:r>
    </w:p>
    <w:p w14:paraId="44089DB3" w14:textId="77777777" w:rsidR="009D0E57" w:rsidRPr="00E80C4E" w:rsidRDefault="009D0E57" w:rsidP="00250940">
      <w:pPr>
        <w:jc w:val="both"/>
        <w:rPr>
          <w:bCs/>
          <w:iCs/>
        </w:rPr>
      </w:pPr>
    </w:p>
    <w:p w14:paraId="1996A490" w14:textId="77777777" w:rsidR="009D0E57" w:rsidRPr="00081FCD" w:rsidRDefault="009D0E57" w:rsidP="00250940">
      <w:pPr>
        <w:jc w:val="both"/>
        <w:rPr>
          <w:bCs/>
          <w:iCs/>
          <w:color w:val="FF0000"/>
        </w:rPr>
      </w:pPr>
    </w:p>
    <w:p w14:paraId="4333D532" w14:textId="77777777" w:rsidR="009D0E57" w:rsidRDefault="009D0E57" w:rsidP="00250940">
      <w:pPr>
        <w:jc w:val="both"/>
        <w:rPr>
          <w:bCs/>
          <w:iCs/>
          <w:color w:val="FF0000"/>
        </w:rPr>
      </w:pPr>
    </w:p>
    <w:p w14:paraId="3686B170" w14:textId="77777777" w:rsidR="009D0E57" w:rsidRPr="00081FCD" w:rsidRDefault="009D0E57" w:rsidP="009D0E57">
      <w:pPr>
        <w:rPr>
          <w:bCs/>
          <w:iCs/>
          <w:color w:val="FF0000"/>
        </w:rPr>
      </w:pPr>
    </w:p>
    <w:p w14:paraId="6851DA18" w14:textId="77777777" w:rsidR="009D0E57" w:rsidRPr="006540E8" w:rsidRDefault="009D0E57" w:rsidP="009D0E57">
      <w:pPr>
        <w:autoSpaceDE w:val="0"/>
        <w:autoSpaceDN w:val="0"/>
        <w:adjustRightInd w:val="0"/>
        <w:jc w:val="center"/>
      </w:pPr>
      <w:r w:rsidRPr="006540E8">
        <w:rPr>
          <w:b/>
          <w:bCs/>
          <w:sz w:val="28"/>
          <w:szCs w:val="28"/>
        </w:rPr>
        <w:lastRenderedPageBreak/>
        <w:t>CONCLUSIONS ON PERFORMANCE CRITERIA</w:t>
      </w:r>
    </w:p>
    <w:p w14:paraId="2728C4B4" w14:textId="77777777" w:rsidR="009D0E57" w:rsidRPr="006540E8" w:rsidRDefault="009D0E57" w:rsidP="009D0E57"/>
    <w:p w14:paraId="620EFC23" w14:textId="0B885E15" w:rsidR="009D0E57" w:rsidRDefault="009D0E57" w:rsidP="00250940">
      <w:pPr>
        <w:jc w:val="both"/>
        <w:rPr>
          <w:b/>
          <w:bCs/>
          <w:u w:val="single"/>
        </w:rPr>
      </w:pPr>
      <w:r w:rsidRPr="006540E8">
        <w:rPr>
          <w:b/>
          <w:bCs/>
          <w:u w:val="single"/>
        </w:rPr>
        <w:t>LENDING TEST</w:t>
      </w:r>
    </w:p>
    <w:p w14:paraId="098DFC09" w14:textId="12B9635A" w:rsidR="002F39DE" w:rsidRDefault="002F39DE" w:rsidP="00250940">
      <w:pPr>
        <w:jc w:val="both"/>
        <w:rPr>
          <w:b/>
          <w:bCs/>
          <w:u w:val="single"/>
        </w:rPr>
      </w:pPr>
    </w:p>
    <w:p w14:paraId="6D2537F4" w14:textId="1B84A7D9" w:rsidR="002F39DE" w:rsidRPr="006540E8" w:rsidRDefault="00CE3B84" w:rsidP="00250940">
      <w:pPr>
        <w:jc w:val="both"/>
        <w:rPr>
          <w:b/>
          <w:bCs/>
          <w:u w:val="single"/>
        </w:rPr>
      </w:pPr>
      <w:r>
        <w:t xml:space="preserve">Leominster Credit Union </w:t>
      </w:r>
      <w:r w:rsidRPr="001F48B3">
        <w:t xml:space="preserve">demonstrated </w:t>
      </w:r>
      <w:r w:rsidR="00F001BB">
        <w:t>satisfactory</w:t>
      </w:r>
      <w:r w:rsidRPr="001F48B3">
        <w:t xml:space="preserve"> </w:t>
      </w:r>
      <w:r>
        <w:t>performance under the Lending Test</w:t>
      </w:r>
      <w:proofErr w:type="gramStart"/>
      <w:r>
        <w:t xml:space="preserve">.  </w:t>
      </w:r>
      <w:proofErr w:type="gramEnd"/>
      <w:r>
        <w:t>The Loan- To-Share Ratio, Assessment Area Concentration, and Borrower Profile support this conclusion.</w:t>
      </w:r>
    </w:p>
    <w:p w14:paraId="73EBC73E" w14:textId="77777777" w:rsidR="009D0E57" w:rsidRPr="006540E8" w:rsidRDefault="009D0E57" w:rsidP="00250940">
      <w:pPr>
        <w:ind w:right="-360"/>
        <w:jc w:val="both"/>
        <w:rPr>
          <w:i/>
          <w:iCs/>
        </w:rPr>
      </w:pPr>
    </w:p>
    <w:p w14:paraId="37479161" w14:textId="77777777" w:rsidR="009D0E57" w:rsidRPr="006540E8" w:rsidRDefault="009D0E57" w:rsidP="00250940">
      <w:pPr>
        <w:jc w:val="both"/>
        <w:rPr>
          <w:b/>
          <w:bCs/>
          <w:spacing w:val="-3"/>
          <w:u w:val="single"/>
        </w:rPr>
      </w:pPr>
      <w:r w:rsidRPr="006540E8">
        <w:rPr>
          <w:b/>
          <w:bCs/>
          <w:spacing w:val="-3"/>
          <w:u w:val="single"/>
        </w:rPr>
        <w:t>Loan-to-Share Ratio</w:t>
      </w:r>
    </w:p>
    <w:p w14:paraId="4FA119D1" w14:textId="77777777" w:rsidR="009D0E57" w:rsidRPr="006540E8" w:rsidRDefault="009D0E57" w:rsidP="00250940">
      <w:pPr>
        <w:jc w:val="both"/>
        <w:rPr>
          <w:b/>
          <w:bCs/>
          <w:spacing w:val="-3"/>
          <w:u w:val="single"/>
        </w:rPr>
      </w:pPr>
    </w:p>
    <w:p w14:paraId="7268501F" w14:textId="6DC83A50" w:rsidR="009D0E57" w:rsidRPr="006540E8" w:rsidRDefault="009D0E57" w:rsidP="00250940">
      <w:pPr>
        <w:pStyle w:val="Default"/>
        <w:jc w:val="both"/>
        <w:rPr>
          <w:color w:val="auto"/>
        </w:rPr>
      </w:pPr>
      <w:r w:rsidRPr="006540E8">
        <w:rPr>
          <w:color w:val="auto"/>
        </w:rPr>
        <w:t>This performance criterion determines what percentage of the credit union’s share base is reinvested in the form of loans and evaluates its appropriateness</w:t>
      </w:r>
      <w:proofErr w:type="gramStart"/>
      <w:r w:rsidRPr="006540E8">
        <w:rPr>
          <w:color w:val="auto"/>
        </w:rPr>
        <w:t xml:space="preserve">. </w:t>
      </w:r>
      <w:r>
        <w:rPr>
          <w:color w:val="auto"/>
        </w:rPr>
        <w:t xml:space="preserve"> </w:t>
      </w:r>
      <w:proofErr w:type="gramEnd"/>
      <w:r w:rsidRPr="006540E8">
        <w:rPr>
          <w:color w:val="auto"/>
        </w:rPr>
        <w:t xml:space="preserve">The average net loan-to-share ratio for the last eight </w:t>
      </w:r>
      <w:r w:rsidRPr="00C546D9">
        <w:rPr>
          <w:color w:val="auto"/>
        </w:rPr>
        <w:t xml:space="preserve">quarters is </w:t>
      </w:r>
      <w:r w:rsidR="00DE6B65">
        <w:rPr>
          <w:color w:val="auto"/>
        </w:rPr>
        <w:t xml:space="preserve">more than </w:t>
      </w:r>
      <w:proofErr w:type="gramStart"/>
      <w:r w:rsidR="00DE6B65">
        <w:rPr>
          <w:color w:val="auto"/>
        </w:rPr>
        <w:t xml:space="preserve">reasonable </w:t>
      </w:r>
      <w:r w:rsidRPr="00C546D9">
        <w:rPr>
          <w:color w:val="auto"/>
        </w:rPr>
        <w:t xml:space="preserve"> given</w:t>
      </w:r>
      <w:proofErr w:type="gramEnd"/>
      <w:r w:rsidRPr="00C546D9">
        <w:rPr>
          <w:color w:val="auto"/>
        </w:rPr>
        <w:t xml:space="preserve"> </w:t>
      </w:r>
      <w:r w:rsidRPr="006540E8">
        <w:rPr>
          <w:color w:val="auto"/>
        </w:rPr>
        <w:t xml:space="preserve">the institution’s size, financial condition, and assessment area credit needs. </w:t>
      </w:r>
    </w:p>
    <w:p w14:paraId="26D6B65D" w14:textId="77777777" w:rsidR="009D0E57" w:rsidRPr="006540E8" w:rsidRDefault="009D0E57" w:rsidP="00250940">
      <w:pPr>
        <w:pStyle w:val="Default"/>
        <w:jc w:val="both"/>
        <w:rPr>
          <w:color w:val="auto"/>
        </w:rPr>
      </w:pPr>
    </w:p>
    <w:p w14:paraId="161EE66E" w14:textId="3571FEB5" w:rsidR="009D0E57" w:rsidRDefault="009D0E57" w:rsidP="00250940">
      <w:pPr>
        <w:pStyle w:val="Default"/>
        <w:jc w:val="both"/>
        <w:rPr>
          <w:color w:val="auto"/>
        </w:rPr>
      </w:pPr>
      <w:r w:rsidRPr="006540E8">
        <w:rPr>
          <w:color w:val="auto"/>
        </w:rPr>
        <w:t xml:space="preserve">The credit union’s net </w:t>
      </w:r>
      <w:proofErr w:type="spellStart"/>
      <w:r w:rsidRPr="006540E8">
        <w:rPr>
          <w:color w:val="auto"/>
        </w:rPr>
        <w:t>LTS</w:t>
      </w:r>
      <w:proofErr w:type="spellEnd"/>
      <w:r w:rsidRPr="006540E8">
        <w:rPr>
          <w:color w:val="auto"/>
        </w:rPr>
        <w:t xml:space="preserve"> ratio, as calculated from the </w:t>
      </w:r>
      <w:proofErr w:type="spellStart"/>
      <w:r w:rsidRPr="006540E8">
        <w:rPr>
          <w:color w:val="auto"/>
        </w:rPr>
        <w:t>NCUA</w:t>
      </w:r>
      <w:proofErr w:type="spellEnd"/>
      <w:r w:rsidRPr="006540E8">
        <w:rPr>
          <w:color w:val="auto"/>
        </w:rPr>
        <w:t xml:space="preserve"> 5300 Quarterly Call Report data, average</w:t>
      </w:r>
      <w:r>
        <w:rPr>
          <w:color w:val="auto"/>
        </w:rPr>
        <w:t>d 100.7</w:t>
      </w:r>
      <w:r w:rsidRPr="006540E8">
        <w:rPr>
          <w:color w:val="auto"/>
        </w:rPr>
        <w:t xml:space="preserve"> percent over the past eight calendar quarters from December 31, 2018 through September 30, 2020. The ratio ranged from a high of 112.9 percent as of December 31, 2018, to a low of 87.2 percent as of September 30, 2020</w:t>
      </w:r>
      <w:proofErr w:type="gramStart"/>
      <w:r w:rsidRPr="006540E8">
        <w:rPr>
          <w:color w:val="auto"/>
        </w:rPr>
        <w:t>.</w:t>
      </w:r>
      <w:r>
        <w:rPr>
          <w:color w:val="auto"/>
        </w:rPr>
        <w:t xml:space="preserve">  </w:t>
      </w:r>
      <w:proofErr w:type="gramEnd"/>
      <w:r w:rsidR="00D8763B">
        <w:rPr>
          <w:color w:val="auto"/>
        </w:rPr>
        <w:t xml:space="preserve">Over the last four quarters, total shares increased by approximately $83.0 million, while loans increased by only $6.7 million. The resulting drop in </w:t>
      </w:r>
      <w:proofErr w:type="spellStart"/>
      <w:r w:rsidR="00D8763B">
        <w:rPr>
          <w:color w:val="auto"/>
        </w:rPr>
        <w:t>LTS</w:t>
      </w:r>
      <w:proofErr w:type="spellEnd"/>
      <w:r w:rsidR="00D8763B">
        <w:rPr>
          <w:color w:val="auto"/>
        </w:rPr>
        <w:t xml:space="preserve"> ratio </w:t>
      </w:r>
      <w:proofErr w:type="gramStart"/>
      <w:r w:rsidR="00D8763B">
        <w:rPr>
          <w:color w:val="auto"/>
        </w:rPr>
        <w:t>is attributed</w:t>
      </w:r>
      <w:proofErr w:type="gramEnd"/>
      <w:r w:rsidR="00D8763B">
        <w:rPr>
          <w:color w:val="auto"/>
        </w:rPr>
        <w:t xml:space="preserve"> in part to stimulus check receipt and other share growth from assistance </w:t>
      </w:r>
      <w:r w:rsidR="00C52961">
        <w:rPr>
          <w:color w:val="auto"/>
        </w:rPr>
        <w:t xml:space="preserve">during </w:t>
      </w:r>
      <w:r w:rsidR="00D8763B">
        <w:rPr>
          <w:color w:val="auto"/>
        </w:rPr>
        <w:t>the pandemic.</w:t>
      </w:r>
    </w:p>
    <w:p w14:paraId="1112EB40" w14:textId="7A6BB47E" w:rsidR="009D0E57" w:rsidRPr="00C546D9" w:rsidRDefault="009D0E57" w:rsidP="00250940">
      <w:pPr>
        <w:pStyle w:val="Default"/>
        <w:jc w:val="both"/>
        <w:rPr>
          <w:color w:val="auto"/>
        </w:rPr>
      </w:pPr>
    </w:p>
    <w:p w14:paraId="1DD7BE7C" w14:textId="05B0DA94" w:rsidR="009D0E57" w:rsidRPr="00C546D9" w:rsidRDefault="009D0E57" w:rsidP="00250940">
      <w:pPr>
        <w:jc w:val="both"/>
        <w:outlineLvl w:val="2"/>
        <w:rPr>
          <w:bCs/>
          <w:u w:val="single"/>
        </w:rPr>
      </w:pPr>
      <w:r w:rsidRPr="00C546D9">
        <w:rPr>
          <w:noProof/>
        </w:rPr>
        <w:t>The credit union’s average</w:t>
      </w:r>
      <w:r w:rsidR="00DE6B65">
        <w:rPr>
          <w:noProof/>
        </w:rPr>
        <w:t xml:space="preserve"> net</w:t>
      </w:r>
      <w:r w:rsidRPr="00C546D9">
        <w:rPr>
          <w:noProof/>
        </w:rPr>
        <w:t xml:space="preserve"> LTS ratio over the previous 8 quarters was compared to that of three similarly situated institutions.  The institution selection is based on geographic location, lending focus and branching structure.  Leominster Credit Union’s average</w:t>
      </w:r>
      <w:r w:rsidR="00DE6B65">
        <w:rPr>
          <w:noProof/>
        </w:rPr>
        <w:t xml:space="preserve"> net</w:t>
      </w:r>
      <w:r w:rsidRPr="00C546D9">
        <w:rPr>
          <w:noProof/>
        </w:rPr>
        <w:t xml:space="preserve"> LTS ratio is above two of the institutions used in this comparison. </w:t>
      </w:r>
    </w:p>
    <w:p w14:paraId="78B3526A" w14:textId="77777777" w:rsidR="009D0E57" w:rsidRPr="00081FCD" w:rsidRDefault="009D0E57" w:rsidP="00250940">
      <w:pPr>
        <w:jc w:val="both"/>
        <w:outlineLvl w:val="2"/>
        <w:rPr>
          <w:b/>
          <w:bCs/>
          <w:color w:val="FF0000"/>
          <w:highlight w:val="yellow"/>
          <w:u w:val="single"/>
        </w:rPr>
      </w:pPr>
    </w:p>
    <w:tbl>
      <w:tblPr>
        <w:tblW w:w="9244" w:type="dxa"/>
        <w:tblInd w:w="-10" w:type="dxa"/>
        <w:tblLook w:val="04A0" w:firstRow="1" w:lastRow="0" w:firstColumn="1" w:lastColumn="0" w:noHBand="0" w:noVBand="1"/>
      </w:tblPr>
      <w:tblGrid>
        <w:gridCol w:w="6381"/>
        <w:gridCol w:w="1649"/>
        <w:gridCol w:w="1214"/>
      </w:tblGrid>
      <w:tr w:rsidR="009D0E57" w:rsidRPr="00081FCD" w14:paraId="15DDA48D" w14:textId="77777777" w:rsidTr="009D0E57">
        <w:trPr>
          <w:trHeight w:val="253"/>
        </w:trPr>
        <w:tc>
          <w:tcPr>
            <w:tcW w:w="9244"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26DB5A1" w14:textId="77777777" w:rsidR="009D0E57" w:rsidRPr="00DD72D4" w:rsidRDefault="009D0E57" w:rsidP="009D0E57">
            <w:pPr>
              <w:jc w:val="center"/>
              <w:rPr>
                <w:b/>
                <w:bCs/>
                <w:sz w:val="22"/>
                <w:szCs w:val="22"/>
              </w:rPr>
            </w:pPr>
            <w:r w:rsidRPr="00DD72D4">
              <w:rPr>
                <w:b/>
                <w:bCs/>
                <w:sz w:val="22"/>
                <w:szCs w:val="22"/>
              </w:rPr>
              <w:t>Loan-to-Share Ratio Comparison</w:t>
            </w:r>
          </w:p>
        </w:tc>
      </w:tr>
      <w:tr w:rsidR="009D0E57" w:rsidRPr="00081FCD" w14:paraId="0D23081B" w14:textId="77777777" w:rsidTr="009D0E57">
        <w:trPr>
          <w:trHeight w:val="430"/>
        </w:trPr>
        <w:tc>
          <w:tcPr>
            <w:tcW w:w="6381" w:type="dxa"/>
            <w:tcBorders>
              <w:top w:val="nil"/>
              <w:left w:val="single" w:sz="8" w:space="0" w:color="auto"/>
              <w:bottom w:val="single" w:sz="4" w:space="0" w:color="auto"/>
              <w:right w:val="single" w:sz="4" w:space="0" w:color="auto"/>
            </w:tcBorders>
            <w:shd w:val="clear" w:color="auto" w:fill="auto"/>
            <w:noWrap/>
            <w:vAlign w:val="center"/>
            <w:hideMark/>
          </w:tcPr>
          <w:p w14:paraId="72FE7E80" w14:textId="77777777" w:rsidR="009D0E57" w:rsidRDefault="009D0E57" w:rsidP="009D0E57">
            <w:pPr>
              <w:rPr>
                <w:sz w:val="20"/>
                <w:szCs w:val="20"/>
              </w:rPr>
            </w:pPr>
          </w:p>
          <w:p w14:paraId="2847E711" w14:textId="77777777" w:rsidR="009D0E57" w:rsidRPr="00DD72D4" w:rsidRDefault="009D0E57" w:rsidP="009D0E57">
            <w:pPr>
              <w:rPr>
                <w:sz w:val="20"/>
                <w:szCs w:val="20"/>
              </w:rPr>
            </w:pPr>
            <w:r w:rsidRPr="00DD72D4">
              <w:rPr>
                <w:sz w:val="20"/>
                <w:szCs w:val="20"/>
              </w:rPr>
              <w:t>Institution</w:t>
            </w:r>
          </w:p>
        </w:tc>
        <w:tc>
          <w:tcPr>
            <w:tcW w:w="1649" w:type="dxa"/>
            <w:tcBorders>
              <w:top w:val="nil"/>
              <w:left w:val="nil"/>
              <w:bottom w:val="single" w:sz="4" w:space="0" w:color="auto"/>
              <w:right w:val="single" w:sz="4" w:space="0" w:color="auto"/>
            </w:tcBorders>
            <w:shd w:val="clear" w:color="auto" w:fill="auto"/>
            <w:vAlign w:val="center"/>
            <w:hideMark/>
          </w:tcPr>
          <w:p w14:paraId="697846AC" w14:textId="77777777" w:rsidR="009D0E57" w:rsidRPr="00DD72D4" w:rsidRDefault="009D0E57" w:rsidP="009D0E57">
            <w:pPr>
              <w:jc w:val="center"/>
              <w:rPr>
                <w:sz w:val="20"/>
                <w:szCs w:val="20"/>
              </w:rPr>
            </w:pPr>
            <w:r w:rsidRPr="00DD72D4">
              <w:rPr>
                <w:sz w:val="20"/>
                <w:szCs w:val="20"/>
              </w:rPr>
              <w:t xml:space="preserve">Total Shares </w:t>
            </w:r>
          </w:p>
        </w:tc>
        <w:tc>
          <w:tcPr>
            <w:tcW w:w="1214" w:type="dxa"/>
            <w:tcBorders>
              <w:top w:val="nil"/>
              <w:left w:val="nil"/>
              <w:bottom w:val="single" w:sz="4" w:space="0" w:color="auto"/>
              <w:right w:val="single" w:sz="8" w:space="0" w:color="auto"/>
            </w:tcBorders>
            <w:shd w:val="clear" w:color="auto" w:fill="auto"/>
            <w:vAlign w:val="center"/>
            <w:hideMark/>
          </w:tcPr>
          <w:p w14:paraId="463C29F9" w14:textId="722502EC" w:rsidR="009D0E57" w:rsidRPr="00DD72D4" w:rsidRDefault="009D0E57" w:rsidP="009D0E57">
            <w:pPr>
              <w:jc w:val="center"/>
              <w:rPr>
                <w:sz w:val="20"/>
                <w:szCs w:val="20"/>
              </w:rPr>
            </w:pPr>
            <w:r w:rsidRPr="00DD72D4">
              <w:rPr>
                <w:sz w:val="20"/>
                <w:szCs w:val="20"/>
              </w:rPr>
              <w:t xml:space="preserve">Average </w:t>
            </w:r>
            <w:r w:rsidR="00DE6B65">
              <w:rPr>
                <w:sz w:val="20"/>
                <w:szCs w:val="20"/>
              </w:rPr>
              <w:t xml:space="preserve">Net </w:t>
            </w:r>
            <w:proofErr w:type="spellStart"/>
            <w:r w:rsidRPr="00DD72D4">
              <w:rPr>
                <w:sz w:val="20"/>
                <w:szCs w:val="20"/>
              </w:rPr>
              <w:t>LTS</w:t>
            </w:r>
            <w:proofErr w:type="spellEnd"/>
            <w:r w:rsidRPr="00DD72D4">
              <w:rPr>
                <w:sz w:val="20"/>
                <w:szCs w:val="20"/>
              </w:rPr>
              <w:t xml:space="preserve"> Ratio (%)</w:t>
            </w:r>
          </w:p>
        </w:tc>
      </w:tr>
      <w:tr w:rsidR="009D0E57" w:rsidRPr="00081FCD" w14:paraId="284A9C53" w14:textId="77777777" w:rsidTr="009D0E57">
        <w:trPr>
          <w:trHeight w:val="253"/>
        </w:trPr>
        <w:tc>
          <w:tcPr>
            <w:tcW w:w="6381" w:type="dxa"/>
            <w:tcBorders>
              <w:top w:val="nil"/>
              <w:left w:val="single" w:sz="8" w:space="0" w:color="auto"/>
              <w:bottom w:val="single" w:sz="4" w:space="0" w:color="auto"/>
              <w:right w:val="single" w:sz="4" w:space="0" w:color="auto"/>
            </w:tcBorders>
            <w:shd w:val="clear" w:color="auto" w:fill="auto"/>
            <w:noWrap/>
            <w:vAlign w:val="bottom"/>
            <w:hideMark/>
          </w:tcPr>
          <w:p w14:paraId="13FAB4B3" w14:textId="77777777" w:rsidR="009D0E57" w:rsidRPr="00DD72D4" w:rsidRDefault="009D0E57" w:rsidP="009D0E57">
            <w:pPr>
              <w:rPr>
                <w:sz w:val="20"/>
                <w:szCs w:val="20"/>
              </w:rPr>
            </w:pPr>
            <w:r>
              <w:rPr>
                <w:sz w:val="20"/>
                <w:szCs w:val="20"/>
              </w:rPr>
              <w:t>Align Credit Union</w:t>
            </w:r>
          </w:p>
        </w:tc>
        <w:tc>
          <w:tcPr>
            <w:tcW w:w="1649" w:type="dxa"/>
            <w:tcBorders>
              <w:top w:val="nil"/>
              <w:left w:val="nil"/>
              <w:bottom w:val="single" w:sz="4" w:space="0" w:color="auto"/>
              <w:right w:val="single" w:sz="4" w:space="0" w:color="auto"/>
            </w:tcBorders>
            <w:shd w:val="clear" w:color="auto" w:fill="auto"/>
            <w:noWrap/>
            <w:vAlign w:val="bottom"/>
          </w:tcPr>
          <w:p w14:paraId="13F2F60C" w14:textId="77777777" w:rsidR="009D0E57" w:rsidRPr="00DD72D4" w:rsidRDefault="009D0E57" w:rsidP="009D0E57">
            <w:pPr>
              <w:jc w:val="center"/>
              <w:rPr>
                <w:sz w:val="20"/>
                <w:szCs w:val="20"/>
              </w:rPr>
            </w:pPr>
            <w:r>
              <w:rPr>
                <w:sz w:val="20"/>
                <w:szCs w:val="20"/>
              </w:rPr>
              <w:t>627,672,980</w:t>
            </w:r>
          </w:p>
        </w:tc>
        <w:tc>
          <w:tcPr>
            <w:tcW w:w="1214" w:type="dxa"/>
            <w:tcBorders>
              <w:top w:val="nil"/>
              <w:left w:val="nil"/>
              <w:bottom w:val="single" w:sz="4" w:space="0" w:color="auto"/>
              <w:right w:val="single" w:sz="8" w:space="0" w:color="auto"/>
            </w:tcBorders>
            <w:shd w:val="clear" w:color="auto" w:fill="auto"/>
            <w:noWrap/>
            <w:vAlign w:val="bottom"/>
          </w:tcPr>
          <w:p w14:paraId="6AD5D49E" w14:textId="77777777" w:rsidR="009D0E57" w:rsidRPr="00DD72D4" w:rsidRDefault="009D0E57" w:rsidP="009D0E57">
            <w:pPr>
              <w:jc w:val="center"/>
              <w:rPr>
                <w:sz w:val="20"/>
                <w:szCs w:val="20"/>
              </w:rPr>
            </w:pPr>
            <w:r>
              <w:rPr>
                <w:sz w:val="20"/>
                <w:szCs w:val="20"/>
              </w:rPr>
              <w:t>86.6</w:t>
            </w:r>
          </w:p>
        </w:tc>
      </w:tr>
      <w:tr w:rsidR="009D0E57" w:rsidRPr="00081FCD" w14:paraId="2BE1A6D5" w14:textId="77777777" w:rsidTr="009D0E57">
        <w:trPr>
          <w:trHeight w:val="253"/>
        </w:trPr>
        <w:tc>
          <w:tcPr>
            <w:tcW w:w="6381" w:type="dxa"/>
            <w:tcBorders>
              <w:top w:val="nil"/>
              <w:left w:val="single" w:sz="8" w:space="0" w:color="auto"/>
              <w:bottom w:val="single" w:sz="4" w:space="0" w:color="auto"/>
              <w:right w:val="single" w:sz="4" w:space="0" w:color="auto"/>
            </w:tcBorders>
            <w:shd w:val="clear" w:color="auto" w:fill="auto"/>
            <w:noWrap/>
            <w:vAlign w:val="bottom"/>
          </w:tcPr>
          <w:p w14:paraId="515BD76B" w14:textId="77777777" w:rsidR="009D0E57" w:rsidRPr="00DD72D4" w:rsidRDefault="009D0E57" w:rsidP="009D0E57">
            <w:pPr>
              <w:rPr>
                <w:sz w:val="20"/>
                <w:szCs w:val="20"/>
              </w:rPr>
            </w:pPr>
            <w:r>
              <w:rPr>
                <w:sz w:val="20"/>
                <w:szCs w:val="20"/>
              </w:rPr>
              <w:t>Freedom Credit Union</w:t>
            </w:r>
          </w:p>
        </w:tc>
        <w:tc>
          <w:tcPr>
            <w:tcW w:w="1649" w:type="dxa"/>
            <w:tcBorders>
              <w:top w:val="nil"/>
              <w:left w:val="nil"/>
              <w:bottom w:val="single" w:sz="4" w:space="0" w:color="auto"/>
              <w:right w:val="single" w:sz="4" w:space="0" w:color="auto"/>
            </w:tcBorders>
            <w:shd w:val="clear" w:color="auto" w:fill="auto"/>
            <w:noWrap/>
            <w:vAlign w:val="bottom"/>
          </w:tcPr>
          <w:p w14:paraId="4B6417B6" w14:textId="77777777" w:rsidR="009D0E57" w:rsidRDefault="009D0E57" w:rsidP="009D0E57">
            <w:pPr>
              <w:jc w:val="center"/>
              <w:rPr>
                <w:sz w:val="20"/>
                <w:szCs w:val="20"/>
              </w:rPr>
            </w:pPr>
            <w:r>
              <w:rPr>
                <w:sz w:val="20"/>
                <w:szCs w:val="20"/>
              </w:rPr>
              <w:t>509,014,729</w:t>
            </w:r>
          </w:p>
        </w:tc>
        <w:tc>
          <w:tcPr>
            <w:tcW w:w="1214" w:type="dxa"/>
            <w:tcBorders>
              <w:top w:val="nil"/>
              <w:left w:val="nil"/>
              <w:bottom w:val="single" w:sz="4" w:space="0" w:color="auto"/>
              <w:right w:val="single" w:sz="8" w:space="0" w:color="auto"/>
            </w:tcBorders>
            <w:shd w:val="clear" w:color="auto" w:fill="auto"/>
            <w:noWrap/>
            <w:vAlign w:val="bottom"/>
          </w:tcPr>
          <w:p w14:paraId="59EE73E9" w14:textId="77777777" w:rsidR="009D0E57" w:rsidRDefault="009D0E57" w:rsidP="009D0E57">
            <w:pPr>
              <w:jc w:val="center"/>
              <w:rPr>
                <w:sz w:val="20"/>
                <w:szCs w:val="20"/>
              </w:rPr>
            </w:pPr>
            <w:r>
              <w:rPr>
                <w:sz w:val="20"/>
                <w:szCs w:val="20"/>
              </w:rPr>
              <w:t>90.7</w:t>
            </w:r>
          </w:p>
        </w:tc>
      </w:tr>
      <w:tr w:rsidR="009D0E57" w:rsidRPr="00081FCD" w14:paraId="7369249D" w14:textId="77777777" w:rsidTr="009D0E57">
        <w:trPr>
          <w:trHeight w:val="253"/>
        </w:trPr>
        <w:tc>
          <w:tcPr>
            <w:tcW w:w="6381" w:type="dxa"/>
            <w:tcBorders>
              <w:top w:val="nil"/>
              <w:left w:val="single" w:sz="8" w:space="0" w:color="auto"/>
              <w:bottom w:val="single" w:sz="4" w:space="0" w:color="auto"/>
              <w:right w:val="single" w:sz="4" w:space="0" w:color="auto"/>
            </w:tcBorders>
            <w:shd w:val="clear" w:color="auto" w:fill="auto"/>
            <w:noWrap/>
            <w:vAlign w:val="bottom"/>
          </w:tcPr>
          <w:p w14:paraId="0ACA1685" w14:textId="77777777" w:rsidR="009D0E57" w:rsidRPr="00DD72D4" w:rsidRDefault="009D0E57" w:rsidP="009D0E57">
            <w:pPr>
              <w:rPr>
                <w:b/>
                <w:sz w:val="20"/>
                <w:szCs w:val="20"/>
              </w:rPr>
            </w:pPr>
            <w:r w:rsidRPr="00DD72D4">
              <w:rPr>
                <w:b/>
                <w:sz w:val="20"/>
                <w:szCs w:val="20"/>
              </w:rPr>
              <w:t>Leominster Credit Union</w:t>
            </w:r>
          </w:p>
        </w:tc>
        <w:tc>
          <w:tcPr>
            <w:tcW w:w="1649" w:type="dxa"/>
            <w:tcBorders>
              <w:top w:val="nil"/>
              <w:left w:val="nil"/>
              <w:bottom w:val="single" w:sz="4" w:space="0" w:color="auto"/>
              <w:right w:val="single" w:sz="4" w:space="0" w:color="auto"/>
            </w:tcBorders>
            <w:shd w:val="clear" w:color="auto" w:fill="auto"/>
            <w:noWrap/>
            <w:vAlign w:val="bottom"/>
          </w:tcPr>
          <w:p w14:paraId="05CE9754" w14:textId="77777777" w:rsidR="009D0E57" w:rsidRPr="00DD72D4" w:rsidRDefault="009D0E57" w:rsidP="009D0E57">
            <w:pPr>
              <w:jc w:val="center"/>
              <w:rPr>
                <w:b/>
                <w:sz w:val="20"/>
                <w:szCs w:val="20"/>
              </w:rPr>
            </w:pPr>
            <w:r w:rsidRPr="00DD72D4">
              <w:rPr>
                <w:b/>
                <w:sz w:val="20"/>
                <w:szCs w:val="20"/>
              </w:rPr>
              <w:t>758,422,588</w:t>
            </w:r>
          </w:p>
        </w:tc>
        <w:tc>
          <w:tcPr>
            <w:tcW w:w="1214" w:type="dxa"/>
            <w:tcBorders>
              <w:top w:val="nil"/>
              <w:left w:val="nil"/>
              <w:bottom w:val="single" w:sz="4" w:space="0" w:color="auto"/>
              <w:right w:val="single" w:sz="8" w:space="0" w:color="auto"/>
            </w:tcBorders>
            <w:shd w:val="clear" w:color="auto" w:fill="auto"/>
            <w:noWrap/>
            <w:vAlign w:val="bottom"/>
          </w:tcPr>
          <w:p w14:paraId="61902F08" w14:textId="77777777" w:rsidR="009D0E57" w:rsidRPr="00DD72D4" w:rsidRDefault="009D0E57" w:rsidP="009D0E57">
            <w:pPr>
              <w:jc w:val="center"/>
              <w:rPr>
                <w:b/>
                <w:sz w:val="20"/>
                <w:szCs w:val="20"/>
              </w:rPr>
            </w:pPr>
            <w:r w:rsidRPr="00DD72D4">
              <w:rPr>
                <w:b/>
                <w:sz w:val="20"/>
                <w:szCs w:val="20"/>
              </w:rPr>
              <w:t>100.7</w:t>
            </w:r>
          </w:p>
        </w:tc>
      </w:tr>
      <w:tr w:rsidR="009D0E57" w:rsidRPr="00081FCD" w14:paraId="016A2BA9" w14:textId="77777777" w:rsidTr="009D0E57">
        <w:trPr>
          <w:trHeight w:val="265"/>
        </w:trPr>
        <w:tc>
          <w:tcPr>
            <w:tcW w:w="6381" w:type="dxa"/>
            <w:tcBorders>
              <w:top w:val="nil"/>
              <w:left w:val="single" w:sz="8" w:space="0" w:color="auto"/>
              <w:bottom w:val="single" w:sz="4" w:space="0" w:color="auto"/>
              <w:right w:val="single" w:sz="4" w:space="0" w:color="auto"/>
            </w:tcBorders>
            <w:shd w:val="clear" w:color="auto" w:fill="auto"/>
            <w:noWrap/>
            <w:vAlign w:val="bottom"/>
            <w:hideMark/>
          </w:tcPr>
          <w:p w14:paraId="23AE8BA8" w14:textId="77777777" w:rsidR="009D0E57" w:rsidRPr="00DD72D4" w:rsidRDefault="009D0E57" w:rsidP="009D0E57">
            <w:pPr>
              <w:rPr>
                <w:sz w:val="20"/>
                <w:szCs w:val="20"/>
              </w:rPr>
            </w:pPr>
            <w:r>
              <w:rPr>
                <w:sz w:val="20"/>
                <w:szCs w:val="20"/>
              </w:rPr>
              <w:t>St. Mary’s Credit Union</w:t>
            </w:r>
          </w:p>
        </w:tc>
        <w:tc>
          <w:tcPr>
            <w:tcW w:w="1649" w:type="dxa"/>
            <w:tcBorders>
              <w:top w:val="nil"/>
              <w:left w:val="nil"/>
              <w:bottom w:val="single" w:sz="4" w:space="0" w:color="auto"/>
              <w:right w:val="single" w:sz="4" w:space="0" w:color="auto"/>
            </w:tcBorders>
            <w:shd w:val="clear" w:color="auto" w:fill="auto"/>
            <w:noWrap/>
            <w:vAlign w:val="bottom"/>
          </w:tcPr>
          <w:p w14:paraId="7A305FCE" w14:textId="77777777" w:rsidR="009D0E57" w:rsidRPr="00DD72D4" w:rsidRDefault="009D0E57" w:rsidP="009D0E57">
            <w:pPr>
              <w:jc w:val="center"/>
              <w:rPr>
                <w:sz w:val="20"/>
                <w:szCs w:val="20"/>
              </w:rPr>
            </w:pPr>
            <w:r>
              <w:rPr>
                <w:sz w:val="20"/>
                <w:szCs w:val="20"/>
              </w:rPr>
              <w:t>892,414,962</w:t>
            </w:r>
          </w:p>
        </w:tc>
        <w:tc>
          <w:tcPr>
            <w:tcW w:w="1214" w:type="dxa"/>
            <w:tcBorders>
              <w:top w:val="nil"/>
              <w:left w:val="nil"/>
              <w:bottom w:val="single" w:sz="4" w:space="0" w:color="auto"/>
              <w:right w:val="single" w:sz="8" w:space="0" w:color="auto"/>
            </w:tcBorders>
            <w:shd w:val="clear" w:color="auto" w:fill="auto"/>
            <w:noWrap/>
            <w:vAlign w:val="bottom"/>
          </w:tcPr>
          <w:p w14:paraId="2CD84F62" w14:textId="77777777" w:rsidR="009D0E57" w:rsidRPr="00DD72D4" w:rsidRDefault="009D0E57" w:rsidP="009D0E57">
            <w:pPr>
              <w:jc w:val="center"/>
              <w:rPr>
                <w:sz w:val="20"/>
                <w:szCs w:val="20"/>
              </w:rPr>
            </w:pPr>
            <w:r>
              <w:rPr>
                <w:sz w:val="20"/>
                <w:szCs w:val="20"/>
              </w:rPr>
              <w:t>102.8</w:t>
            </w:r>
          </w:p>
        </w:tc>
      </w:tr>
      <w:tr w:rsidR="009D0E57" w:rsidRPr="00081FCD" w14:paraId="19FC7783" w14:textId="77777777" w:rsidTr="009D0E57">
        <w:trPr>
          <w:trHeight w:val="265"/>
        </w:trPr>
        <w:tc>
          <w:tcPr>
            <w:tcW w:w="6381" w:type="dxa"/>
            <w:tcBorders>
              <w:top w:val="single" w:sz="8" w:space="0" w:color="auto"/>
              <w:left w:val="single" w:sz="8" w:space="0" w:color="auto"/>
              <w:bottom w:val="single" w:sz="8" w:space="0" w:color="auto"/>
              <w:right w:val="nil"/>
            </w:tcBorders>
            <w:shd w:val="clear" w:color="auto" w:fill="auto"/>
            <w:noWrap/>
            <w:vAlign w:val="bottom"/>
            <w:hideMark/>
          </w:tcPr>
          <w:p w14:paraId="6119A9B1" w14:textId="77777777" w:rsidR="009D0E57" w:rsidRPr="00DD72D4" w:rsidRDefault="009D0E57" w:rsidP="009D0E57">
            <w:pPr>
              <w:rPr>
                <w:bCs/>
                <w:i/>
                <w:iCs/>
                <w:sz w:val="16"/>
                <w:szCs w:val="16"/>
              </w:rPr>
            </w:pPr>
            <w:r w:rsidRPr="00DD72D4">
              <w:rPr>
                <w:bCs/>
                <w:i/>
                <w:iCs/>
                <w:sz w:val="16"/>
                <w:szCs w:val="16"/>
              </w:rPr>
              <w:t>Source: Reports of Income and Condition 12/31/2018 through 9/30/2020</w:t>
            </w:r>
          </w:p>
        </w:tc>
        <w:tc>
          <w:tcPr>
            <w:tcW w:w="1649"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14:paraId="308FC717" w14:textId="77777777" w:rsidR="009D0E57" w:rsidRPr="00DD72D4" w:rsidRDefault="009D0E57" w:rsidP="009D0E57">
            <w:pPr>
              <w:jc w:val="center"/>
              <w:rPr>
                <w:sz w:val="22"/>
                <w:szCs w:val="22"/>
              </w:rPr>
            </w:pPr>
          </w:p>
        </w:tc>
        <w:tc>
          <w:tcPr>
            <w:tcW w:w="1214" w:type="dxa"/>
            <w:tcBorders>
              <w:top w:val="single" w:sz="8" w:space="0" w:color="auto"/>
              <w:left w:val="nil"/>
              <w:bottom w:val="single" w:sz="8" w:space="0" w:color="auto"/>
              <w:right w:val="single" w:sz="8" w:space="0" w:color="auto"/>
            </w:tcBorders>
            <w:shd w:val="clear" w:color="auto" w:fill="auto"/>
            <w:noWrap/>
            <w:vAlign w:val="bottom"/>
            <w:hideMark/>
          </w:tcPr>
          <w:p w14:paraId="16D58FDB" w14:textId="77777777" w:rsidR="009D0E57" w:rsidRPr="00DD72D4" w:rsidRDefault="009D0E57" w:rsidP="009D0E57">
            <w:pPr>
              <w:jc w:val="center"/>
              <w:rPr>
                <w:sz w:val="22"/>
                <w:szCs w:val="22"/>
              </w:rPr>
            </w:pPr>
          </w:p>
        </w:tc>
      </w:tr>
    </w:tbl>
    <w:p w14:paraId="0581A3DA" w14:textId="77777777" w:rsidR="009D0E57" w:rsidRDefault="009D0E57" w:rsidP="009D0E57">
      <w:pPr>
        <w:outlineLvl w:val="2"/>
        <w:rPr>
          <w:b/>
          <w:bCs/>
          <w:color w:val="FF0000"/>
          <w:highlight w:val="yellow"/>
          <w:u w:val="single"/>
        </w:rPr>
      </w:pPr>
    </w:p>
    <w:p w14:paraId="59778BB4" w14:textId="77777777" w:rsidR="009D0E57" w:rsidRDefault="009D0E57" w:rsidP="00250940">
      <w:pPr>
        <w:jc w:val="both"/>
        <w:outlineLvl w:val="2"/>
        <w:rPr>
          <w:b/>
          <w:bCs/>
          <w:color w:val="FF0000"/>
          <w:highlight w:val="yellow"/>
          <w:u w:val="single"/>
        </w:rPr>
      </w:pPr>
    </w:p>
    <w:p w14:paraId="5A376A5B" w14:textId="77777777" w:rsidR="009D0E57" w:rsidRPr="00095E15" w:rsidRDefault="009D0E57" w:rsidP="00250940">
      <w:pPr>
        <w:jc w:val="both"/>
        <w:outlineLvl w:val="2"/>
        <w:rPr>
          <w:b/>
          <w:bCs/>
          <w:u w:val="single"/>
        </w:rPr>
      </w:pPr>
      <w:r w:rsidRPr="00095E15">
        <w:rPr>
          <w:b/>
          <w:bCs/>
          <w:u w:val="single"/>
        </w:rPr>
        <w:t>Assessment Area Concentration</w:t>
      </w:r>
    </w:p>
    <w:tbl>
      <w:tblPr>
        <w:tblW w:w="0" w:type="auto"/>
        <w:tblCellMar>
          <w:left w:w="0" w:type="dxa"/>
          <w:right w:w="0" w:type="dxa"/>
        </w:tblCellMar>
        <w:tblLook w:val="0000" w:firstRow="0" w:lastRow="0" w:firstColumn="0" w:lastColumn="0" w:noHBand="0" w:noVBand="0"/>
      </w:tblPr>
      <w:tblGrid>
        <w:gridCol w:w="9360"/>
      </w:tblGrid>
      <w:tr w:rsidR="009D0E57" w14:paraId="388FDCFE" w14:textId="77777777" w:rsidTr="009D0E57">
        <w:tc>
          <w:tcPr>
            <w:tcW w:w="9360" w:type="dxa"/>
          </w:tcPr>
          <w:p w14:paraId="1AF80977" w14:textId="77777777" w:rsidR="009D0E57" w:rsidRDefault="009D0E57" w:rsidP="00250940">
            <w:pPr>
              <w:jc w:val="both"/>
            </w:pPr>
          </w:p>
        </w:tc>
      </w:tr>
    </w:tbl>
    <w:p w14:paraId="021DD00C" w14:textId="3A617695" w:rsidR="009D0E57" w:rsidRDefault="009D0E57" w:rsidP="00250940">
      <w:pPr>
        <w:jc w:val="both"/>
      </w:pPr>
      <w:r>
        <w:t xml:space="preserve">The credit union made a </w:t>
      </w:r>
      <w:r w:rsidR="00774FD7">
        <w:t>majority</w:t>
      </w:r>
      <w:r>
        <w:t xml:space="preserve"> of </w:t>
      </w:r>
      <w:r w:rsidR="00D8763B">
        <w:t>loans within its assessment area</w:t>
      </w:r>
      <w:proofErr w:type="gramStart"/>
      <w:r w:rsidR="00D8763B">
        <w:t xml:space="preserve">.  </w:t>
      </w:r>
      <w:proofErr w:type="gramEnd"/>
      <w:r w:rsidR="00D8763B">
        <w:t>Home mortgage lending received greater weight than consumer lending from examiners</w:t>
      </w:r>
      <w:proofErr w:type="gramStart"/>
      <w:r w:rsidR="00D8763B">
        <w:t xml:space="preserve">.  </w:t>
      </w:r>
      <w:proofErr w:type="gramEnd"/>
      <w:r w:rsidR="00D8763B">
        <w:t>H</w:t>
      </w:r>
      <w:r>
        <w:t xml:space="preserve">ome mortgage loans, by number and dollar volume, </w:t>
      </w:r>
      <w:r w:rsidR="00D8763B">
        <w:t>were primarily originated within the</w:t>
      </w:r>
      <w:r>
        <w:t xml:space="preserve"> assessment area</w:t>
      </w:r>
      <w:proofErr w:type="gramStart"/>
      <w:r>
        <w:t xml:space="preserve">.  </w:t>
      </w:r>
      <w:proofErr w:type="gramEnd"/>
      <w:r>
        <w:t>Based on analysis of sampled data, a majority of consumer loans, by number and dollar volume, was made outside the assessment area</w:t>
      </w:r>
      <w:proofErr w:type="gramStart"/>
      <w:r>
        <w:t>.</w:t>
      </w:r>
      <w:r w:rsidR="00D8763B">
        <w:t xml:space="preserve">  </w:t>
      </w:r>
      <w:proofErr w:type="gramEnd"/>
      <w:r w:rsidR="00D8763B">
        <w:t>This is reasonable given the volume of indirect auto lending distributed through area dealerships</w:t>
      </w:r>
      <w:proofErr w:type="gramStart"/>
      <w:r w:rsidR="00D8763B">
        <w:t xml:space="preserve">.  </w:t>
      </w:r>
      <w:proofErr w:type="gramEnd"/>
      <w:r>
        <w:t>Please see the following table for more detail.</w:t>
      </w:r>
    </w:p>
    <w:p w14:paraId="4CC312AF" w14:textId="77777777" w:rsidR="009D0E57" w:rsidRDefault="009D0E57" w:rsidP="00250940">
      <w:pPr>
        <w:jc w:val="both"/>
      </w:pPr>
    </w:p>
    <w:tbl>
      <w:tblPr>
        <w:tblW w:w="0" w:type="auto"/>
        <w:tblCellMar>
          <w:left w:w="0" w:type="dxa"/>
          <w:right w:w="0" w:type="dxa"/>
        </w:tblCellMar>
        <w:tblLook w:val="0000" w:firstRow="0" w:lastRow="0" w:firstColumn="0" w:lastColumn="0" w:noHBand="0" w:noVBand="0"/>
      </w:tblPr>
      <w:tblGrid>
        <w:gridCol w:w="1731"/>
        <w:gridCol w:w="837"/>
        <w:gridCol w:w="585"/>
        <w:gridCol w:w="838"/>
        <w:gridCol w:w="585"/>
        <w:gridCol w:w="851"/>
        <w:gridCol w:w="921"/>
        <w:gridCol w:w="585"/>
        <w:gridCol w:w="921"/>
        <w:gridCol w:w="585"/>
        <w:gridCol w:w="903"/>
      </w:tblGrid>
      <w:tr w:rsidR="009D0E57" w:rsidRPr="00095E15" w14:paraId="7ACAC8BE" w14:textId="77777777" w:rsidTr="009D0E57">
        <w:trPr>
          <w:trHeight w:val="282"/>
        </w:trPr>
        <w:tc>
          <w:tcPr>
            <w:tcW w:w="9342" w:type="dxa"/>
            <w:gridSpan w:val="11"/>
            <w:tcBorders>
              <w:top w:val="single" w:sz="7" w:space="0" w:color="000000"/>
              <w:left w:val="single" w:sz="7" w:space="0" w:color="000000"/>
              <w:right w:val="single" w:sz="7" w:space="0" w:color="000000"/>
            </w:tcBorders>
            <w:tcMar>
              <w:top w:w="39" w:type="dxa"/>
              <w:left w:w="39" w:type="dxa"/>
              <w:bottom w:w="39" w:type="dxa"/>
              <w:right w:w="39" w:type="dxa"/>
            </w:tcMar>
          </w:tcPr>
          <w:p w14:paraId="72B09180" w14:textId="3B803F2B" w:rsidR="009D0E57" w:rsidRPr="00095E15" w:rsidRDefault="009D0E57" w:rsidP="00D8763B">
            <w:pPr>
              <w:jc w:val="center"/>
            </w:pPr>
            <w:r w:rsidRPr="00095E15">
              <w:rPr>
                <w:b/>
                <w:sz w:val="20"/>
              </w:rPr>
              <w:t>Lending Inside and Outside of the Assessment Area</w:t>
            </w:r>
            <w:r w:rsidR="00D8763B">
              <w:rPr>
                <w:b/>
                <w:sz w:val="20"/>
              </w:rPr>
              <w:t xml:space="preserve"> </w:t>
            </w:r>
          </w:p>
        </w:tc>
      </w:tr>
      <w:tr w:rsidR="009D0E57" w14:paraId="612106B5" w14:textId="77777777" w:rsidTr="009D0E57">
        <w:trPr>
          <w:trHeight w:val="210"/>
        </w:trPr>
        <w:tc>
          <w:tcPr>
            <w:tcW w:w="1731"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0841AEE" w14:textId="77777777" w:rsidR="009D0E57" w:rsidRDefault="009D0E57" w:rsidP="009D0E57"/>
        </w:tc>
        <w:tc>
          <w:tcPr>
            <w:tcW w:w="2845"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0A0AAD" w14:textId="77777777" w:rsidR="009D0E57" w:rsidRDefault="009D0E57" w:rsidP="009D0E57">
            <w:pPr>
              <w:jc w:val="center"/>
            </w:pPr>
            <w:r>
              <w:rPr>
                <w:b/>
                <w:color w:val="000000"/>
                <w:sz w:val="20"/>
              </w:rPr>
              <w:t>Number of Loans</w:t>
            </w:r>
          </w:p>
        </w:tc>
        <w:tc>
          <w:tcPr>
            <w:tcW w:w="851"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57489677" w14:textId="77777777" w:rsidR="009D0E57" w:rsidRDefault="009D0E57" w:rsidP="009D0E57"/>
        </w:tc>
        <w:tc>
          <w:tcPr>
            <w:tcW w:w="3012" w:type="dxa"/>
            <w:gridSpan w:val="4"/>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6C14ABE" w14:textId="77777777" w:rsidR="009D0E57" w:rsidRDefault="009D0E57" w:rsidP="009D0E57">
            <w:pPr>
              <w:jc w:val="center"/>
            </w:pPr>
            <w:r>
              <w:rPr>
                <w:b/>
                <w:color w:val="000000"/>
                <w:sz w:val="20"/>
              </w:rPr>
              <w:t>Dollar Amount of Loans $(</w:t>
            </w:r>
            <w:proofErr w:type="spellStart"/>
            <w:r>
              <w:rPr>
                <w:b/>
                <w:color w:val="000000"/>
                <w:sz w:val="20"/>
              </w:rPr>
              <w:t>000s</w:t>
            </w:r>
            <w:proofErr w:type="spellEnd"/>
            <w:r>
              <w:rPr>
                <w:b/>
                <w:color w:val="000000"/>
                <w:sz w:val="20"/>
              </w:rPr>
              <w:t>)</w:t>
            </w:r>
          </w:p>
        </w:tc>
        <w:tc>
          <w:tcPr>
            <w:tcW w:w="903" w:type="dxa"/>
            <w:tcBorders>
              <w:top w:val="single" w:sz="7" w:space="0" w:color="000000"/>
              <w:left w:val="single" w:sz="7" w:space="0" w:color="000000"/>
              <w:right w:val="single" w:sz="7" w:space="0" w:color="000000"/>
            </w:tcBorders>
            <w:tcMar>
              <w:top w:w="39" w:type="dxa"/>
              <w:left w:w="39" w:type="dxa"/>
              <w:bottom w:w="39" w:type="dxa"/>
              <w:right w:w="39" w:type="dxa"/>
            </w:tcMar>
            <w:vAlign w:val="center"/>
          </w:tcPr>
          <w:p w14:paraId="105D2A00" w14:textId="77777777" w:rsidR="009D0E57" w:rsidRDefault="009D0E57" w:rsidP="009D0E57"/>
        </w:tc>
      </w:tr>
      <w:tr w:rsidR="009D0E57" w14:paraId="455745BF" w14:textId="77777777" w:rsidTr="009D0E57">
        <w:trPr>
          <w:trHeight w:val="210"/>
        </w:trPr>
        <w:tc>
          <w:tcPr>
            <w:tcW w:w="1731" w:type="dxa"/>
            <w:tcBorders>
              <w:left w:val="single" w:sz="7" w:space="0" w:color="000000"/>
              <w:right w:val="single" w:sz="7" w:space="0" w:color="000000"/>
            </w:tcBorders>
            <w:tcMar>
              <w:top w:w="39" w:type="dxa"/>
              <w:left w:w="39" w:type="dxa"/>
              <w:bottom w:w="39" w:type="dxa"/>
              <w:right w:w="39" w:type="dxa"/>
            </w:tcMar>
            <w:vAlign w:val="center"/>
          </w:tcPr>
          <w:p w14:paraId="4B0B3D3F" w14:textId="77777777" w:rsidR="009D0E57" w:rsidRDefault="009D0E57" w:rsidP="009D0E57">
            <w:r>
              <w:rPr>
                <w:b/>
                <w:color w:val="000000"/>
                <w:sz w:val="20"/>
              </w:rPr>
              <w:t>Loan Category</w:t>
            </w:r>
          </w:p>
        </w:tc>
        <w:tc>
          <w:tcPr>
            <w:tcW w:w="1422"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9397E85" w14:textId="77777777" w:rsidR="009D0E57" w:rsidRDefault="009D0E57" w:rsidP="009D0E57">
            <w:pPr>
              <w:jc w:val="center"/>
            </w:pPr>
            <w:r>
              <w:rPr>
                <w:b/>
                <w:color w:val="000000"/>
                <w:sz w:val="20"/>
              </w:rPr>
              <w:t>Inside</w:t>
            </w:r>
          </w:p>
        </w:tc>
        <w:tc>
          <w:tcPr>
            <w:tcW w:w="1423"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DB7659E" w14:textId="77777777" w:rsidR="009D0E57" w:rsidRDefault="009D0E57" w:rsidP="009D0E57">
            <w:pPr>
              <w:jc w:val="center"/>
            </w:pPr>
            <w:r>
              <w:rPr>
                <w:b/>
                <w:color w:val="000000"/>
                <w:sz w:val="20"/>
              </w:rPr>
              <w:t>Outside</w:t>
            </w:r>
          </w:p>
        </w:tc>
        <w:tc>
          <w:tcPr>
            <w:tcW w:w="851" w:type="dxa"/>
            <w:tcBorders>
              <w:left w:val="single" w:sz="7" w:space="0" w:color="000000"/>
              <w:right w:val="single" w:sz="7" w:space="0" w:color="000000"/>
            </w:tcBorders>
            <w:tcMar>
              <w:top w:w="0" w:type="dxa"/>
              <w:left w:w="39" w:type="dxa"/>
              <w:bottom w:w="39" w:type="dxa"/>
              <w:right w:w="39" w:type="dxa"/>
            </w:tcMar>
          </w:tcPr>
          <w:p w14:paraId="7FC24C2A" w14:textId="77777777" w:rsidR="009D0E57" w:rsidRDefault="009D0E57" w:rsidP="009D0E57">
            <w:pPr>
              <w:jc w:val="center"/>
            </w:pPr>
            <w:r>
              <w:rPr>
                <w:b/>
                <w:color w:val="000000"/>
                <w:sz w:val="20"/>
              </w:rPr>
              <w:t>Total</w:t>
            </w:r>
          </w:p>
        </w:tc>
        <w:tc>
          <w:tcPr>
            <w:tcW w:w="15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BF0EB81" w14:textId="77777777" w:rsidR="009D0E57" w:rsidRDefault="009D0E57" w:rsidP="009D0E57">
            <w:pPr>
              <w:jc w:val="center"/>
            </w:pPr>
            <w:r>
              <w:rPr>
                <w:b/>
                <w:color w:val="000000"/>
                <w:sz w:val="20"/>
              </w:rPr>
              <w:t>Inside</w:t>
            </w:r>
          </w:p>
        </w:tc>
        <w:tc>
          <w:tcPr>
            <w:tcW w:w="1506" w:type="dxa"/>
            <w:gridSpan w:val="2"/>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487A4A1" w14:textId="77777777" w:rsidR="009D0E57" w:rsidRDefault="009D0E57" w:rsidP="009D0E57">
            <w:pPr>
              <w:jc w:val="center"/>
            </w:pPr>
            <w:r>
              <w:rPr>
                <w:b/>
                <w:color w:val="000000"/>
                <w:sz w:val="20"/>
              </w:rPr>
              <w:t>Outside</w:t>
            </w:r>
          </w:p>
        </w:tc>
        <w:tc>
          <w:tcPr>
            <w:tcW w:w="903" w:type="dxa"/>
            <w:tcBorders>
              <w:left w:val="single" w:sz="7" w:space="0" w:color="000000"/>
              <w:right w:val="single" w:sz="7" w:space="0" w:color="000000"/>
            </w:tcBorders>
            <w:tcMar>
              <w:top w:w="0" w:type="dxa"/>
              <w:left w:w="39" w:type="dxa"/>
              <w:bottom w:w="39" w:type="dxa"/>
              <w:right w:w="39" w:type="dxa"/>
            </w:tcMar>
          </w:tcPr>
          <w:p w14:paraId="22C39C7E" w14:textId="77777777" w:rsidR="009D0E57" w:rsidRDefault="009D0E57" w:rsidP="009D0E57">
            <w:pPr>
              <w:jc w:val="center"/>
            </w:pPr>
            <w:r>
              <w:rPr>
                <w:b/>
                <w:color w:val="000000"/>
                <w:sz w:val="20"/>
              </w:rPr>
              <w:t>Total</w:t>
            </w:r>
          </w:p>
        </w:tc>
      </w:tr>
      <w:tr w:rsidR="009D0E57" w14:paraId="6A5C67DB" w14:textId="77777777" w:rsidTr="009D0E57">
        <w:trPr>
          <w:trHeight w:val="210"/>
        </w:trPr>
        <w:tc>
          <w:tcPr>
            <w:tcW w:w="1731" w:type="dxa"/>
            <w:tcBorders>
              <w:left w:val="single" w:sz="7" w:space="0" w:color="000000"/>
              <w:bottom w:val="single" w:sz="7" w:space="0" w:color="000000"/>
              <w:right w:val="single" w:sz="7" w:space="0" w:color="000000"/>
            </w:tcBorders>
            <w:tcMar>
              <w:top w:w="39" w:type="dxa"/>
              <w:left w:w="39" w:type="dxa"/>
              <w:bottom w:w="39" w:type="dxa"/>
              <w:right w:w="39" w:type="dxa"/>
            </w:tcMar>
            <w:vAlign w:val="center"/>
          </w:tcPr>
          <w:p w14:paraId="401B7E2A" w14:textId="77777777" w:rsidR="009D0E57" w:rsidRDefault="009D0E57" w:rsidP="009D0E57"/>
        </w:tc>
        <w:tc>
          <w:tcPr>
            <w:tcW w:w="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9C3D98F" w14:textId="77777777" w:rsidR="009D0E57" w:rsidRDefault="009D0E57" w:rsidP="009D0E57">
            <w:pPr>
              <w:jc w:val="center"/>
            </w:pPr>
            <w:r>
              <w:rPr>
                <w:b/>
                <w:color w:val="000000"/>
                <w:sz w:val="20"/>
              </w:rPr>
              <w:t>#</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97E4E04" w14:textId="77777777" w:rsidR="009D0E57" w:rsidRDefault="009D0E57" w:rsidP="009D0E57">
            <w:pPr>
              <w:jc w:val="center"/>
            </w:pPr>
            <w:r>
              <w:rPr>
                <w:b/>
                <w:color w:val="000000"/>
                <w:sz w:val="20"/>
              </w:rPr>
              <w:t>%</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D83CE17" w14:textId="77777777" w:rsidR="009D0E57" w:rsidRDefault="009D0E57" w:rsidP="009D0E57">
            <w:pPr>
              <w:jc w:val="center"/>
            </w:pPr>
            <w:r>
              <w:rPr>
                <w:b/>
                <w:color w:val="000000"/>
                <w:sz w:val="20"/>
              </w:rPr>
              <w:t>#</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4860BA4" w14:textId="77777777" w:rsidR="009D0E57" w:rsidRDefault="009D0E57" w:rsidP="009D0E57">
            <w:pPr>
              <w:jc w:val="center"/>
            </w:pPr>
            <w:r>
              <w:rPr>
                <w:b/>
                <w:color w:val="000000"/>
                <w:sz w:val="20"/>
              </w:rPr>
              <w:t>%</w:t>
            </w:r>
          </w:p>
        </w:tc>
        <w:tc>
          <w:tcPr>
            <w:tcW w:w="851" w:type="dxa"/>
            <w:tcBorders>
              <w:left w:val="single" w:sz="7" w:space="0" w:color="000000"/>
              <w:bottom w:val="single" w:sz="7" w:space="0" w:color="000000"/>
              <w:right w:val="single" w:sz="7" w:space="0" w:color="000000"/>
            </w:tcBorders>
            <w:tcMar>
              <w:top w:w="0" w:type="dxa"/>
              <w:left w:w="39" w:type="dxa"/>
              <w:bottom w:w="39" w:type="dxa"/>
              <w:right w:w="39" w:type="dxa"/>
            </w:tcMar>
          </w:tcPr>
          <w:p w14:paraId="157970C4" w14:textId="77777777" w:rsidR="009D0E57" w:rsidRDefault="009D0E57" w:rsidP="009D0E57">
            <w:pPr>
              <w:jc w:val="center"/>
            </w:pPr>
            <w:r>
              <w:rPr>
                <w:b/>
                <w:color w:val="000000"/>
                <w:sz w:val="20"/>
              </w:rPr>
              <w:t>#</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EE7CF0A" w14:textId="77777777" w:rsidR="009D0E57" w:rsidRDefault="009D0E57" w:rsidP="009D0E57">
            <w:pPr>
              <w:jc w:val="center"/>
            </w:pPr>
            <w:r>
              <w:rPr>
                <w:b/>
                <w:color w:val="000000"/>
                <w:sz w:val="20"/>
              </w:rPr>
              <w:t>$</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DFEA98B" w14:textId="77777777" w:rsidR="009D0E57" w:rsidRDefault="009D0E57" w:rsidP="009D0E57">
            <w:pPr>
              <w:jc w:val="center"/>
            </w:pPr>
            <w:r>
              <w:rPr>
                <w:b/>
                <w:color w:val="000000"/>
                <w:sz w:val="20"/>
              </w:rPr>
              <w:t>%</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DBB1D87" w14:textId="77777777" w:rsidR="009D0E57" w:rsidRDefault="009D0E57" w:rsidP="009D0E57">
            <w:pPr>
              <w:jc w:val="center"/>
            </w:pPr>
            <w:r>
              <w:rPr>
                <w:b/>
                <w:color w:val="000000"/>
                <w:sz w:val="20"/>
              </w:rPr>
              <w:t>$</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E688A53" w14:textId="77777777" w:rsidR="009D0E57" w:rsidRDefault="009D0E57" w:rsidP="009D0E57">
            <w:pPr>
              <w:jc w:val="center"/>
            </w:pPr>
            <w:r>
              <w:rPr>
                <w:b/>
                <w:color w:val="000000"/>
                <w:sz w:val="20"/>
              </w:rPr>
              <w:t>%</w:t>
            </w:r>
          </w:p>
        </w:tc>
        <w:tc>
          <w:tcPr>
            <w:tcW w:w="903" w:type="dxa"/>
            <w:tcBorders>
              <w:left w:val="single" w:sz="7" w:space="0" w:color="000000"/>
              <w:bottom w:val="single" w:sz="7" w:space="0" w:color="000000"/>
              <w:right w:val="single" w:sz="7" w:space="0" w:color="000000"/>
            </w:tcBorders>
            <w:tcMar>
              <w:top w:w="0" w:type="dxa"/>
              <w:left w:w="39" w:type="dxa"/>
              <w:bottom w:w="39" w:type="dxa"/>
              <w:right w:w="39" w:type="dxa"/>
            </w:tcMar>
          </w:tcPr>
          <w:p w14:paraId="1B8F7A88" w14:textId="77777777" w:rsidR="009D0E57" w:rsidRDefault="009D0E57" w:rsidP="009D0E57">
            <w:pPr>
              <w:jc w:val="center"/>
            </w:pPr>
            <w:r>
              <w:rPr>
                <w:b/>
                <w:color w:val="000000"/>
                <w:sz w:val="20"/>
              </w:rPr>
              <w:t>$(</w:t>
            </w:r>
            <w:proofErr w:type="spellStart"/>
            <w:r>
              <w:rPr>
                <w:b/>
                <w:color w:val="000000"/>
                <w:sz w:val="20"/>
              </w:rPr>
              <w:t>000s</w:t>
            </w:r>
            <w:proofErr w:type="spellEnd"/>
            <w:r>
              <w:rPr>
                <w:b/>
                <w:color w:val="000000"/>
                <w:sz w:val="20"/>
              </w:rPr>
              <w:t>)</w:t>
            </w:r>
          </w:p>
        </w:tc>
      </w:tr>
      <w:tr w:rsidR="009D0E57" w14:paraId="2981E0CD" w14:textId="77777777" w:rsidTr="009D0E57">
        <w:trPr>
          <w:trHeight w:val="210"/>
        </w:trPr>
        <w:tc>
          <w:tcPr>
            <w:tcW w:w="1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6091C17" w14:textId="77777777" w:rsidR="009D0E57" w:rsidRDefault="009D0E57" w:rsidP="009D0E57">
            <w:r>
              <w:rPr>
                <w:color w:val="000000"/>
                <w:sz w:val="20"/>
              </w:rPr>
              <w:t>Home Mortgage</w:t>
            </w:r>
          </w:p>
        </w:tc>
        <w:tc>
          <w:tcPr>
            <w:tcW w:w="7611" w:type="dxa"/>
            <w:gridSpan w:val="10"/>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878EE6" w14:textId="77777777" w:rsidR="009D0E57" w:rsidRDefault="009D0E57" w:rsidP="009D0E57"/>
        </w:tc>
      </w:tr>
      <w:tr w:rsidR="009D0E57" w14:paraId="4DA34058" w14:textId="77777777" w:rsidTr="009D0E57">
        <w:trPr>
          <w:trHeight w:val="181"/>
        </w:trPr>
        <w:tc>
          <w:tcPr>
            <w:tcW w:w="173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699EABE" w14:textId="77777777" w:rsidR="009D0E57" w:rsidRDefault="009D0E57" w:rsidP="009D0E57">
            <w:pPr>
              <w:jc w:val="right"/>
            </w:pPr>
            <w:r>
              <w:rPr>
                <w:color w:val="000000"/>
                <w:sz w:val="20"/>
              </w:rPr>
              <w:t>2018</w:t>
            </w:r>
          </w:p>
        </w:tc>
        <w:tc>
          <w:tcPr>
            <w:tcW w:w="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CF65CD" w14:textId="77777777" w:rsidR="009D0E57" w:rsidRDefault="009D0E57" w:rsidP="009D0E57">
            <w:pPr>
              <w:jc w:val="center"/>
            </w:pPr>
            <w:r>
              <w:rPr>
                <w:color w:val="000000"/>
                <w:sz w:val="20"/>
              </w:rPr>
              <w:t>194</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8116CD" w14:textId="77777777" w:rsidR="009D0E57" w:rsidRDefault="009D0E57" w:rsidP="009D0E57">
            <w:pPr>
              <w:jc w:val="center"/>
            </w:pPr>
            <w:r>
              <w:rPr>
                <w:color w:val="000000"/>
                <w:sz w:val="20"/>
              </w:rPr>
              <w:t>75.2</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54B28F" w14:textId="77777777" w:rsidR="009D0E57" w:rsidRDefault="009D0E57" w:rsidP="009D0E57">
            <w:pPr>
              <w:jc w:val="center"/>
            </w:pPr>
            <w:r>
              <w:rPr>
                <w:color w:val="000000"/>
                <w:sz w:val="20"/>
              </w:rPr>
              <w:t>64</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52C3A2" w14:textId="77777777" w:rsidR="009D0E57" w:rsidRDefault="009D0E57" w:rsidP="009D0E57">
            <w:pPr>
              <w:jc w:val="center"/>
            </w:pPr>
            <w:r>
              <w:rPr>
                <w:color w:val="000000"/>
                <w:sz w:val="20"/>
              </w:rPr>
              <w:t>24.8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27F3B9" w14:textId="77777777" w:rsidR="009D0E57" w:rsidRDefault="009D0E57" w:rsidP="009D0E57">
            <w:pPr>
              <w:jc w:val="center"/>
            </w:pPr>
            <w:r>
              <w:rPr>
                <w:color w:val="000000"/>
                <w:sz w:val="20"/>
              </w:rPr>
              <w:t>258</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BDB9D3" w14:textId="77777777" w:rsidR="009D0E57" w:rsidRDefault="009D0E57" w:rsidP="009D0E57">
            <w:pPr>
              <w:jc w:val="center"/>
            </w:pPr>
            <w:r>
              <w:rPr>
                <w:color w:val="000000"/>
                <w:sz w:val="20"/>
              </w:rPr>
              <w:t>32,804</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8EC7A4" w14:textId="77777777" w:rsidR="009D0E57" w:rsidRDefault="009D0E57" w:rsidP="009D0E57">
            <w:pPr>
              <w:jc w:val="center"/>
            </w:pPr>
            <w:r>
              <w:rPr>
                <w:color w:val="000000"/>
                <w:sz w:val="20"/>
              </w:rPr>
              <w:t>78.0</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8DBF50" w14:textId="77777777" w:rsidR="009D0E57" w:rsidRDefault="009D0E57" w:rsidP="009D0E57">
            <w:pPr>
              <w:jc w:val="center"/>
            </w:pPr>
            <w:r>
              <w:rPr>
                <w:color w:val="000000"/>
                <w:sz w:val="20"/>
              </w:rPr>
              <w:t>9,268</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F126A6" w14:textId="77777777" w:rsidR="009D0E57" w:rsidRDefault="009D0E57" w:rsidP="009D0E57">
            <w:pPr>
              <w:jc w:val="center"/>
            </w:pPr>
            <w:r>
              <w:rPr>
                <w:color w:val="000000"/>
                <w:sz w:val="20"/>
              </w:rPr>
              <w:t>22.0</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6465D3" w14:textId="77777777" w:rsidR="009D0E57" w:rsidRDefault="009D0E57" w:rsidP="009D0E57">
            <w:pPr>
              <w:jc w:val="center"/>
            </w:pPr>
            <w:r>
              <w:rPr>
                <w:color w:val="000000"/>
                <w:sz w:val="20"/>
              </w:rPr>
              <w:t>42,072</w:t>
            </w:r>
          </w:p>
        </w:tc>
      </w:tr>
      <w:tr w:rsidR="009D0E57" w14:paraId="74DC915F" w14:textId="77777777" w:rsidTr="009D0E57">
        <w:trPr>
          <w:trHeight w:val="181"/>
        </w:trPr>
        <w:tc>
          <w:tcPr>
            <w:tcW w:w="1731"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AE85101" w14:textId="77777777" w:rsidR="009D0E57" w:rsidRDefault="009D0E57" w:rsidP="009D0E57">
            <w:pPr>
              <w:jc w:val="right"/>
            </w:pPr>
            <w:r>
              <w:rPr>
                <w:color w:val="000000"/>
                <w:sz w:val="20"/>
              </w:rPr>
              <w:t>2019</w:t>
            </w:r>
          </w:p>
        </w:tc>
        <w:tc>
          <w:tcPr>
            <w:tcW w:w="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784F76" w14:textId="77777777" w:rsidR="009D0E57" w:rsidRDefault="009D0E57" w:rsidP="009D0E57">
            <w:pPr>
              <w:jc w:val="center"/>
            </w:pPr>
            <w:r>
              <w:rPr>
                <w:color w:val="000000"/>
                <w:sz w:val="20"/>
              </w:rPr>
              <w:t>200</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8D08E7" w14:textId="77777777" w:rsidR="009D0E57" w:rsidRDefault="009D0E57" w:rsidP="009D0E57">
            <w:pPr>
              <w:jc w:val="center"/>
            </w:pPr>
            <w:r>
              <w:rPr>
                <w:color w:val="000000"/>
                <w:sz w:val="20"/>
              </w:rPr>
              <w:t>74.3</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9B781C" w14:textId="77777777" w:rsidR="009D0E57" w:rsidRDefault="009D0E57" w:rsidP="009D0E57">
            <w:pPr>
              <w:jc w:val="center"/>
            </w:pPr>
            <w:r>
              <w:rPr>
                <w:color w:val="000000"/>
                <w:sz w:val="20"/>
              </w:rPr>
              <w:t>69</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5B9D1F" w14:textId="77777777" w:rsidR="009D0E57" w:rsidRDefault="009D0E57" w:rsidP="009D0E57">
            <w:pPr>
              <w:jc w:val="center"/>
            </w:pPr>
            <w:r>
              <w:rPr>
                <w:color w:val="000000"/>
                <w:sz w:val="20"/>
              </w:rPr>
              <w:t>25.7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A764A8" w14:textId="77777777" w:rsidR="009D0E57" w:rsidRDefault="009D0E57" w:rsidP="009D0E57">
            <w:pPr>
              <w:jc w:val="center"/>
            </w:pPr>
            <w:r>
              <w:rPr>
                <w:color w:val="000000"/>
                <w:sz w:val="20"/>
              </w:rPr>
              <w:t>269</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CD7C49" w14:textId="77777777" w:rsidR="009D0E57" w:rsidRDefault="009D0E57" w:rsidP="009D0E57">
            <w:pPr>
              <w:jc w:val="center"/>
            </w:pPr>
            <w:r>
              <w:rPr>
                <w:color w:val="000000"/>
                <w:sz w:val="20"/>
              </w:rPr>
              <w:t>32,570</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25F515" w14:textId="77777777" w:rsidR="009D0E57" w:rsidRDefault="009D0E57" w:rsidP="009D0E57">
            <w:pPr>
              <w:jc w:val="center"/>
            </w:pPr>
            <w:r>
              <w:rPr>
                <w:color w:val="000000"/>
                <w:sz w:val="20"/>
              </w:rPr>
              <w:t>76.8</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7E426" w14:textId="77777777" w:rsidR="009D0E57" w:rsidRDefault="009D0E57" w:rsidP="009D0E57">
            <w:pPr>
              <w:jc w:val="center"/>
            </w:pPr>
            <w:r>
              <w:rPr>
                <w:color w:val="000000"/>
                <w:sz w:val="20"/>
              </w:rPr>
              <w:t>9,823</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383E26" w14:textId="77777777" w:rsidR="009D0E57" w:rsidRDefault="009D0E57" w:rsidP="009D0E57">
            <w:pPr>
              <w:jc w:val="center"/>
            </w:pPr>
            <w:r>
              <w:rPr>
                <w:color w:val="000000"/>
                <w:sz w:val="20"/>
              </w:rPr>
              <w:t>23.2</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5286C" w14:textId="77777777" w:rsidR="009D0E57" w:rsidRDefault="009D0E57" w:rsidP="009D0E57">
            <w:pPr>
              <w:jc w:val="center"/>
            </w:pPr>
            <w:r>
              <w:rPr>
                <w:color w:val="000000"/>
                <w:sz w:val="20"/>
              </w:rPr>
              <w:t>42,393</w:t>
            </w:r>
          </w:p>
        </w:tc>
      </w:tr>
      <w:tr w:rsidR="009D0E57" w14:paraId="0E70C6D0" w14:textId="77777777" w:rsidTr="009D0E57">
        <w:trPr>
          <w:trHeight w:val="210"/>
        </w:trPr>
        <w:tc>
          <w:tcPr>
            <w:tcW w:w="1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CC1D70E" w14:textId="5FA2A0B4" w:rsidR="009D0E57" w:rsidRDefault="00D8763B" w:rsidP="009D0E57">
            <w:r>
              <w:rPr>
                <w:b/>
                <w:color w:val="000000"/>
                <w:sz w:val="20"/>
              </w:rPr>
              <w:t>T</w:t>
            </w:r>
            <w:r w:rsidR="009D0E57">
              <w:rPr>
                <w:b/>
                <w:color w:val="000000"/>
                <w:sz w:val="20"/>
              </w:rPr>
              <w:t>otal</w:t>
            </w:r>
          </w:p>
        </w:tc>
        <w:tc>
          <w:tcPr>
            <w:tcW w:w="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3642381" w14:textId="77777777" w:rsidR="009D0E57" w:rsidRDefault="009D0E57" w:rsidP="009D0E57">
            <w:pPr>
              <w:jc w:val="center"/>
            </w:pPr>
            <w:r>
              <w:rPr>
                <w:b/>
                <w:color w:val="000000"/>
                <w:sz w:val="20"/>
              </w:rPr>
              <w:t>394</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B2E985" w14:textId="77777777" w:rsidR="009D0E57" w:rsidRDefault="009D0E57" w:rsidP="009D0E57">
            <w:pPr>
              <w:jc w:val="center"/>
            </w:pPr>
            <w:r>
              <w:rPr>
                <w:b/>
                <w:color w:val="000000"/>
                <w:sz w:val="20"/>
              </w:rPr>
              <w:t>74.8</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59578" w14:textId="77777777" w:rsidR="009D0E57" w:rsidRDefault="009D0E57" w:rsidP="009D0E57">
            <w:pPr>
              <w:jc w:val="center"/>
            </w:pPr>
            <w:r>
              <w:rPr>
                <w:b/>
                <w:color w:val="000000"/>
                <w:sz w:val="20"/>
              </w:rPr>
              <w:t>133</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33E3B4" w14:textId="77777777" w:rsidR="009D0E57" w:rsidRDefault="009D0E57" w:rsidP="009D0E57">
            <w:pPr>
              <w:jc w:val="center"/>
            </w:pPr>
            <w:r>
              <w:rPr>
                <w:b/>
                <w:color w:val="000000"/>
                <w:sz w:val="20"/>
              </w:rPr>
              <w:t>25.2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B33254" w14:textId="77777777" w:rsidR="009D0E57" w:rsidRDefault="009D0E57" w:rsidP="009D0E57">
            <w:pPr>
              <w:jc w:val="center"/>
            </w:pPr>
            <w:r>
              <w:rPr>
                <w:b/>
                <w:color w:val="000000"/>
                <w:sz w:val="20"/>
              </w:rPr>
              <w:t>527</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9E945C" w14:textId="77777777" w:rsidR="009D0E57" w:rsidRDefault="009D0E57" w:rsidP="009D0E57">
            <w:pPr>
              <w:jc w:val="center"/>
            </w:pPr>
            <w:r>
              <w:rPr>
                <w:b/>
                <w:color w:val="000000"/>
                <w:sz w:val="20"/>
              </w:rPr>
              <w:t>65,375</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EAE7114" w14:textId="77777777" w:rsidR="009D0E57" w:rsidRDefault="009D0E57" w:rsidP="009D0E57">
            <w:pPr>
              <w:jc w:val="center"/>
            </w:pPr>
            <w:r>
              <w:rPr>
                <w:b/>
                <w:color w:val="000000"/>
                <w:sz w:val="20"/>
              </w:rPr>
              <w:t>77.4</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34D612" w14:textId="77777777" w:rsidR="009D0E57" w:rsidRDefault="009D0E57" w:rsidP="009D0E57">
            <w:pPr>
              <w:jc w:val="center"/>
            </w:pPr>
            <w:r>
              <w:rPr>
                <w:b/>
                <w:color w:val="000000"/>
                <w:sz w:val="20"/>
              </w:rPr>
              <w:t>19,091</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054727" w14:textId="77777777" w:rsidR="009D0E57" w:rsidRDefault="009D0E57" w:rsidP="009D0E57">
            <w:pPr>
              <w:jc w:val="center"/>
            </w:pPr>
            <w:r>
              <w:rPr>
                <w:b/>
                <w:color w:val="000000"/>
                <w:sz w:val="20"/>
              </w:rPr>
              <w:t>22.6</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7A279" w14:textId="77777777" w:rsidR="009D0E57" w:rsidRDefault="009D0E57" w:rsidP="009D0E57">
            <w:pPr>
              <w:jc w:val="center"/>
            </w:pPr>
            <w:r>
              <w:rPr>
                <w:b/>
                <w:color w:val="000000"/>
                <w:sz w:val="20"/>
              </w:rPr>
              <w:t>84,465</w:t>
            </w:r>
          </w:p>
        </w:tc>
      </w:tr>
      <w:tr w:rsidR="009D0E57" w14:paraId="14EAA648" w14:textId="77777777" w:rsidTr="009D0E57">
        <w:trPr>
          <w:trHeight w:val="210"/>
        </w:trPr>
        <w:tc>
          <w:tcPr>
            <w:tcW w:w="1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87DEA6" w14:textId="77777777" w:rsidR="009D0E57" w:rsidRPr="00AD142A" w:rsidRDefault="009D0E57" w:rsidP="009D0E57">
            <w:pPr>
              <w:rPr>
                <w:color w:val="000000"/>
                <w:sz w:val="20"/>
              </w:rPr>
            </w:pPr>
            <w:r w:rsidRPr="00AD142A">
              <w:rPr>
                <w:color w:val="000000"/>
                <w:sz w:val="20"/>
              </w:rPr>
              <w:t>Consumer Lending</w:t>
            </w:r>
          </w:p>
        </w:tc>
        <w:tc>
          <w:tcPr>
            <w:tcW w:w="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754BEA" w14:textId="77777777" w:rsidR="009D0E57" w:rsidRDefault="009D0E57" w:rsidP="009D0E57">
            <w:pPr>
              <w:jc w:val="center"/>
              <w:rPr>
                <w:b/>
                <w:color w:val="000000"/>
                <w:sz w:val="20"/>
              </w:rPr>
            </w:pP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EE2007" w14:textId="77777777" w:rsidR="009D0E57" w:rsidRDefault="009D0E57" w:rsidP="009D0E57">
            <w:pPr>
              <w:jc w:val="center"/>
              <w:rPr>
                <w:b/>
                <w:color w:val="000000"/>
                <w:sz w:val="20"/>
              </w:rPr>
            </w:pP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4FAC72" w14:textId="77777777" w:rsidR="009D0E57" w:rsidRDefault="009D0E57" w:rsidP="009D0E57">
            <w:pPr>
              <w:jc w:val="center"/>
              <w:rPr>
                <w:b/>
                <w:color w:val="000000"/>
                <w:sz w:val="20"/>
              </w:rPr>
            </w:pP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5976DA7" w14:textId="77777777" w:rsidR="009D0E57" w:rsidRDefault="009D0E57" w:rsidP="009D0E57">
            <w:pPr>
              <w:jc w:val="center"/>
              <w:rPr>
                <w:b/>
                <w:color w:val="000000"/>
                <w:sz w:val="20"/>
              </w:rPr>
            </w:pP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566A26" w14:textId="77777777" w:rsidR="009D0E57" w:rsidRDefault="009D0E57" w:rsidP="009D0E57">
            <w:pPr>
              <w:jc w:val="center"/>
              <w:rPr>
                <w:b/>
                <w:color w:val="000000"/>
                <w:sz w:val="20"/>
              </w:rPr>
            </w:pP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32FC69" w14:textId="77777777" w:rsidR="009D0E57" w:rsidRDefault="009D0E57" w:rsidP="009D0E57">
            <w:pPr>
              <w:jc w:val="center"/>
              <w:rPr>
                <w:b/>
                <w:color w:val="000000"/>
                <w:sz w:val="20"/>
              </w:rPr>
            </w:pP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0A225C" w14:textId="77777777" w:rsidR="009D0E57" w:rsidRDefault="009D0E57" w:rsidP="009D0E57">
            <w:pPr>
              <w:jc w:val="center"/>
              <w:rPr>
                <w:b/>
                <w:color w:val="000000"/>
                <w:sz w:val="20"/>
              </w:rPr>
            </w:pP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D4F193" w14:textId="77777777" w:rsidR="009D0E57" w:rsidRDefault="009D0E57" w:rsidP="009D0E57">
            <w:pPr>
              <w:jc w:val="center"/>
              <w:rPr>
                <w:b/>
                <w:color w:val="000000"/>
                <w:sz w:val="20"/>
              </w:rPr>
            </w:pP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445930" w14:textId="77777777" w:rsidR="009D0E57" w:rsidRDefault="009D0E57" w:rsidP="009D0E57">
            <w:pPr>
              <w:jc w:val="center"/>
              <w:rPr>
                <w:b/>
                <w:color w:val="000000"/>
                <w:sz w:val="20"/>
              </w:rPr>
            </w:pP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1E5689" w14:textId="77777777" w:rsidR="009D0E57" w:rsidRDefault="009D0E57" w:rsidP="009D0E57">
            <w:pPr>
              <w:jc w:val="center"/>
              <w:rPr>
                <w:b/>
                <w:color w:val="000000"/>
                <w:sz w:val="20"/>
              </w:rPr>
            </w:pPr>
          </w:p>
        </w:tc>
      </w:tr>
      <w:tr w:rsidR="009D0E57" w14:paraId="3F336DF3" w14:textId="77777777" w:rsidTr="009D0E57">
        <w:trPr>
          <w:trHeight w:val="210"/>
        </w:trPr>
        <w:tc>
          <w:tcPr>
            <w:tcW w:w="1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8F9C9D6" w14:textId="77777777" w:rsidR="009D0E57" w:rsidRPr="00AD142A" w:rsidRDefault="009D0E57" w:rsidP="009D0E57">
            <w:pPr>
              <w:jc w:val="right"/>
              <w:rPr>
                <w:color w:val="000000"/>
                <w:sz w:val="20"/>
              </w:rPr>
            </w:pPr>
            <w:r>
              <w:rPr>
                <w:color w:val="000000"/>
                <w:sz w:val="20"/>
              </w:rPr>
              <w:t>2018</w:t>
            </w:r>
          </w:p>
        </w:tc>
        <w:tc>
          <w:tcPr>
            <w:tcW w:w="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C0DAA0" w14:textId="77777777" w:rsidR="009D0E57" w:rsidRPr="008A1075" w:rsidRDefault="009D0E57" w:rsidP="009D0E57">
            <w:pPr>
              <w:jc w:val="center"/>
              <w:rPr>
                <w:b/>
                <w:color w:val="000000"/>
                <w:sz w:val="20"/>
                <w:szCs w:val="20"/>
              </w:rPr>
            </w:pPr>
            <w:r w:rsidRPr="000711A1">
              <w:rPr>
                <w:sz w:val="20"/>
                <w:szCs w:val="20"/>
              </w:rPr>
              <w:t>15</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901BB2" w14:textId="77777777" w:rsidR="009D0E57" w:rsidRPr="008A1075" w:rsidRDefault="009D0E57" w:rsidP="009D0E57">
            <w:pPr>
              <w:jc w:val="center"/>
              <w:rPr>
                <w:b/>
                <w:color w:val="000000"/>
                <w:sz w:val="20"/>
                <w:szCs w:val="20"/>
              </w:rPr>
            </w:pPr>
            <w:r w:rsidRPr="000711A1">
              <w:rPr>
                <w:sz w:val="20"/>
                <w:szCs w:val="20"/>
              </w:rPr>
              <w:t>50.0</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8340F9" w14:textId="77777777" w:rsidR="009D0E57" w:rsidRPr="008A1075" w:rsidRDefault="009D0E57" w:rsidP="009D0E57">
            <w:pPr>
              <w:jc w:val="center"/>
              <w:rPr>
                <w:b/>
                <w:color w:val="000000"/>
                <w:sz w:val="20"/>
                <w:szCs w:val="20"/>
              </w:rPr>
            </w:pPr>
            <w:r w:rsidRPr="000711A1">
              <w:rPr>
                <w:sz w:val="20"/>
                <w:szCs w:val="20"/>
              </w:rPr>
              <w:t>15</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606AF8" w14:textId="77777777" w:rsidR="009D0E57" w:rsidRPr="008A1075" w:rsidRDefault="009D0E57" w:rsidP="009D0E57">
            <w:pPr>
              <w:jc w:val="center"/>
              <w:rPr>
                <w:b/>
                <w:color w:val="000000"/>
                <w:sz w:val="20"/>
                <w:szCs w:val="20"/>
              </w:rPr>
            </w:pPr>
            <w:r w:rsidRPr="000711A1">
              <w:rPr>
                <w:sz w:val="20"/>
                <w:szCs w:val="20"/>
              </w:rPr>
              <w:t>50.0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F4961E" w14:textId="77777777" w:rsidR="009D0E57" w:rsidRPr="008A1075" w:rsidRDefault="009D0E57" w:rsidP="009D0E57">
            <w:pPr>
              <w:jc w:val="center"/>
              <w:rPr>
                <w:b/>
                <w:color w:val="000000"/>
                <w:sz w:val="20"/>
                <w:szCs w:val="20"/>
              </w:rPr>
            </w:pPr>
            <w:r w:rsidRPr="000711A1">
              <w:rPr>
                <w:sz w:val="20"/>
                <w:szCs w:val="20"/>
              </w:rPr>
              <w:t>30</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E2FD78F" w14:textId="77777777" w:rsidR="009D0E57" w:rsidRPr="008A1075" w:rsidRDefault="009D0E57" w:rsidP="009D0E57">
            <w:pPr>
              <w:jc w:val="center"/>
              <w:rPr>
                <w:b/>
                <w:color w:val="000000"/>
                <w:sz w:val="20"/>
                <w:szCs w:val="20"/>
              </w:rPr>
            </w:pPr>
            <w:r w:rsidRPr="000711A1">
              <w:rPr>
                <w:sz w:val="20"/>
                <w:szCs w:val="20"/>
              </w:rPr>
              <w:t>248</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6D80E8" w14:textId="77777777" w:rsidR="009D0E57" w:rsidRPr="008A1075" w:rsidRDefault="009D0E57" w:rsidP="009D0E57">
            <w:pPr>
              <w:jc w:val="center"/>
              <w:rPr>
                <w:b/>
                <w:color w:val="000000"/>
                <w:sz w:val="20"/>
                <w:szCs w:val="20"/>
              </w:rPr>
            </w:pPr>
            <w:r w:rsidRPr="000711A1">
              <w:rPr>
                <w:sz w:val="20"/>
                <w:szCs w:val="20"/>
              </w:rPr>
              <w:t>45.6</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F73D11" w14:textId="77777777" w:rsidR="009D0E57" w:rsidRPr="008A1075" w:rsidRDefault="009D0E57" w:rsidP="009D0E57">
            <w:pPr>
              <w:jc w:val="center"/>
              <w:rPr>
                <w:b/>
                <w:color w:val="000000"/>
                <w:sz w:val="20"/>
                <w:szCs w:val="20"/>
              </w:rPr>
            </w:pPr>
            <w:r w:rsidRPr="000711A1">
              <w:rPr>
                <w:sz w:val="20"/>
                <w:szCs w:val="20"/>
              </w:rPr>
              <w:t>295</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E8787" w14:textId="77777777" w:rsidR="009D0E57" w:rsidRPr="008A1075" w:rsidRDefault="009D0E57" w:rsidP="009D0E57">
            <w:pPr>
              <w:jc w:val="center"/>
              <w:rPr>
                <w:b/>
                <w:color w:val="000000"/>
                <w:sz w:val="20"/>
                <w:szCs w:val="20"/>
              </w:rPr>
            </w:pPr>
            <w:r w:rsidRPr="000711A1">
              <w:rPr>
                <w:sz w:val="20"/>
                <w:szCs w:val="20"/>
              </w:rPr>
              <w:t>54.4</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D1EB0E" w14:textId="77777777" w:rsidR="009D0E57" w:rsidRPr="008A1075" w:rsidRDefault="009D0E57" w:rsidP="009D0E57">
            <w:pPr>
              <w:jc w:val="center"/>
              <w:rPr>
                <w:b/>
                <w:color w:val="000000"/>
                <w:sz w:val="20"/>
                <w:szCs w:val="20"/>
              </w:rPr>
            </w:pPr>
            <w:r w:rsidRPr="000711A1">
              <w:rPr>
                <w:sz w:val="20"/>
                <w:szCs w:val="20"/>
              </w:rPr>
              <w:t>543</w:t>
            </w:r>
          </w:p>
        </w:tc>
      </w:tr>
      <w:tr w:rsidR="009D0E57" w14:paraId="26B00209" w14:textId="77777777" w:rsidTr="009D0E57">
        <w:trPr>
          <w:trHeight w:val="210"/>
        </w:trPr>
        <w:tc>
          <w:tcPr>
            <w:tcW w:w="1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30DD27A" w14:textId="77777777" w:rsidR="009D0E57" w:rsidRPr="00AD142A" w:rsidRDefault="009D0E57" w:rsidP="009D0E57">
            <w:pPr>
              <w:jc w:val="right"/>
              <w:rPr>
                <w:color w:val="000000"/>
                <w:sz w:val="20"/>
              </w:rPr>
            </w:pPr>
            <w:r>
              <w:rPr>
                <w:color w:val="000000"/>
                <w:sz w:val="20"/>
              </w:rPr>
              <w:t>2019</w:t>
            </w:r>
          </w:p>
        </w:tc>
        <w:tc>
          <w:tcPr>
            <w:tcW w:w="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506BF0" w14:textId="77777777" w:rsidR="009D0E57" w:rsidRPr="008A1075" w:rsidRDefault="009D0E57" w:rsidP="009D0E57">
            <w:pPr>
              <w:jc w:val="center"/>
              <w:rPr>
                <w:b/>
                <w:color w:val="000000"/>
                <w:sz w:val="20"/>
                <w:szCs w:val="20"/>
              </w:rPr>
            </w:pPr>
            <w:r w:rsidRPr="000711A1">
              <w:rPr>
                <w:sz w:val="20"/>
                <w:szCs w:val="20"/>
              </w:rPr>
              <w:t>12</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4992F5" w14:textId="77777777" w:rsidR="009D0E57" w:rsidRPr="008A1075" w:rsidRDefault="009D0E57" w:rsidP="009D0E57">
            <w:pPr>
              <w:jc w:val="center"/>
              <w:rPr>
                <w:b/>
                <w:color w:val="000000"/>
                <w:sz w:val="20"/>
                <w:szCs w:val="20"/>
              </w:rPr>
            </w:pPr>
            <w:r w:rsidRPr="000711A1">
              <w:rPr>
                <w:sz w:val="20"/>
                <w:szCs w:val="20"/>
              </w:rPr>
              <w:t>40.0</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978064" w14:textId="77777777" w:rsidR="009D0E57" w:rsidRPr="008A1075" w:rsidRDefault="009D0E57" w:rsidP="009D0E57">
            <w:pPr>
              <w:jc w:val="center"/>
              <w:rPr>
                <w:b/>
                <w:color w:val="000000"/>
                <w:sz w:val="20"/>
                <w:szCs w:val="20"/>
              </w:rPr>
            </w:pPr>
            <w:r w:rsidRPr="000711A1">
              <w:rPr>
                <w:sz w:val="20"/>
                <w:szCs w:val="20"/>
              </w:rPr>
              <w:t>18</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256FCB" w14:textId="77777777" w:rsidR="009D0E57" w:rsidRPr="008A1075" w:rsidRDefault="009D0E57" w:rsidP="009D0E57">
            <w:pPr>
              <w:jc w:val="center"/>
              <w:rPr>
                <w:b/>
                <w:color w:val="000000"/>
                <w:sz w:val="20"/>
                <w:szCs w:val="20"/>
              </w:rPr>
            </w:pPr>
            <w:r w:rsidRPr="000711A1">
              <w:rPr>
                <w:sz w:val="20"/>
                <w:szCs w:val="20"/>
              </w:rPr>
              <w:t>60.0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3E9524" w14:textId="77777777" w:rsidR="009D0E57" w:rsidRPr="008A1075" w:rsidRDefault="009D0E57" w:rsidP="009D0E57">
            <w:pPr>
              <w:jc w:val="center"/>
              <w:rPr>
                <w:b/>
                <w:color w:val="000000"/>
                <w:sz w:val="20"/>
                <w:szCs w:val="20"/>
              </w:rPr>
            </w:pPr>
            <w:r w:rsidRPr="000711A1">
              <w:rPr>
                <w:sz w:val="20"/>
                <w:szCs w:val="20"/>
              </w:rPr>
              <w:t>30</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C4A1C" w14:textId="77777777" w:rsidR="009D0E57" w:rsidRPr="008A1075" w:rsidRDefault="009D0E57" w:rsidP="009D0E57">
            <w:pPr>
              <w:jc w:val="center"/>
              <w:rPr>
                <w:b/>
                <w:color w:val="000000"/>
                <w:sz w:val="20"/>
                <w:szCs w:val="20"/>
              </w:rPr>
            </w:pPr>
            <w:r w:rsidRPr="000711A1">
              <w:rPr>
                <w:sz w:val="20"/>
                <w:szCs w:val="20"/>
              </w:rPr>
              <w:t>248</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E411AC" w14:textId="77777777" w:rsidR="009D0E57" w:rsidRPr="008A1075" w:rsidRDefault="009D0E57" w:rsidP="009D0E57">
            <w:pPr>
              <w:jc w:val="center"/>
              <w:rPr>
                <w:b/>
                <w:color w:val="000000"/>
                <w:sz w:val="20"/>
                <w:szCs w:val="20"/>
              </w:rPr>
            </w:pPr>
            <w:r w:rsidRPr="000711A1">
              <w:rPr>
                <w:sz w:val="20"/>
                <w:szCs w:val="20"/>
              </w:rPr>
              <w:t>38.5</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86FD47" w14:textId="77777777" w:rsidR="009D0E57" w:rsidRPr="008A1075" w:rsidRDefault="009D0E57" w:rsidP="009D0E57">
            <w:pPr>
              <w:jc w:val="center"/>
              <w:rPr>
                <w:b/>
                <w:color w:val="000000"/>
                <w:sz w:val="20"/>
                <w:szCs w:val="20"/>
              </w:rPr>
            </w:pPr>
            <w:r w:rsidRPr="000711A1">
              <w:rPr>
                <w:sz w:val="20"/>
                <w:szCs w:val="20"/>
              </w:rPr>
              <w:t>396</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F6821" w14:textId="77777777" w:rsidR="009D0E57" w:rsidRPr="008A1075" w:rsidRDefault="009D0E57" w:rsidP="009D0E57">
            <w:pPr>
              <w:jc w:val="center"/>
              <w:rPr>
                <w:b/>
                <w:color w:val="000000"/>
                <w:sz w:val="20"/>
                <w:szCs w:val="20"/>
              </w:rPr>
            </w:pPr>
            <w:r w:rsidRPr="000711A1">
              <w:rPr>
                <w:sz w:val="20"/>
                <w:szCs w:val="20"/>
              </w:rPr>
              <w:t>61.5</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3AA3F0" w14:textId="77777777" w:rsidR="009D0E57" w:rsidRPr="008A1075" w:rsidRDefault="009D0E57" w:rsidP="009D0E57">
            <w:pPr>
              <w:jc w:val="center"/>
              <w:rPr>
                <w:b/>
                <w:color w:val="000000"/>
                <w:sz w:val="20"/>
                <w:szCs w:val="20"/>
              </w:rPr>
            </w:pPr>
            <w:r w:rsidRPr="000711A1">
              <w:rPr>
                <w:sz w:val="20"/>
                <w:szCs w:val="20"/>
              </w:rPr>
              <w:t>644</w:t>
            </w:r>
          </w:p>
        </w:tc>
      </w:tr>
      <w:tr w:rsidR="009D0E57" w:rsidRPr="00D8763B" w14:paraId="47CD2685" w14:textId="77777777" w:rsidTr="009D0E57">
        <w:trPr>
          <w:trHeight w:val="210"/>
        </w:trPr>
        <w:tc>
          <w:tcPr>
            <w:tcW w:w="17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4AD090" w14:textId="16D183E3" w:rsidR="009D0E57" w:rsidRPr="00D8763B" w:rsidRDefault="00D8763B" w:rsidP="009D0E57">
            <w:pPr>
              <w:rPr>
                <w:b/>
                <w:color w:val="000000"/>
                <w:sz w:val="20"/>
                <w:szCs w:val="20"/>
              </w:rPr>
            </w:pPr>
            <w:r w:rsidRPr="00D8763B">
              <w:rPr>
                <w:b/>
                <w:color w:val="000000"/>
                <w:sz w:val="20"/>
                <w:szCs w:val="20"/>
              </w:rPr>
              <w:t>T</w:t>
            </w:r>
            <w:r w:rsidR="009D0E57" w:rsidRPr="00D8763B">
              <w:rPr>
                <w:b/>
                <w:color w:val="000000"/>
                <w:sz w:val="20"/>
                <w:szCs w:val="20"/>
              </w:rPr>
              <w:t>otal</w:t>
            </w:r>
          </w:p>
        </w:tc>
        <w:tc>
          <w:tcPr>
            <w:tcW w:w="83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2FEE1E" w14:textId="77777777" w:rsidR="009D0E57" w:rsidRPr="00D8763B" w:rsidRDefault="009D0E57" w:rsidP="009D0E57">
            <w:pPr>
              <w:jc w:val="center"/>
              <w:rPr>
                <w:b/>
                <w:color w:val="000000"/>
                <w:sz w:val="20"/>
                <w:szCs w:val="20"/>
              </w:rPr>
            </w:pPr>
            <w:r w:rsidRPr="00D8763B">
              <w:rPr>
                <w:b/>
                <w:sz w:val="20"/>
                <w:szCs w:val="20"/>
              </w:rPr>
              <w:t>27</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ECB85" w14:textId="77777777" w:rsidR="009D0E57" w:rsidRPr="00D8763B" w:rsidRDefault="009D0E57" w:rsidP="009D0E57">
            <w:pPr>
              <w:jc w:val="center"/>
              <w:rPr>
                <w:b/>
                <w:color w:val="000000"/>
                <w:sz w:val="20"/>
                <w:szCs w:val="20"/>
              </w:rPr>
            </w:pPr>
            <w:r w:rsidRPr="00D8763B">
              <w:rPr>
                <w:b/>
                <w:sz w:val="20"/>
                <w:szCs w:val="20"/>
              </w:rPr>
              <w:t>45.0</w:t>
            </w:r>
          </w:p>
        </w:tc>
        <w:tc>
          <w:tcPr>
            <w:tcW w:w="83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625FE5" w14:textId="77777777" w:rsidR="009D0E57" w:rsidRPr="00D8763B" w:rsidRDefault="009D0E57" w:rsidP="009D0E57">
            <w:pPr>
              <w:jc w:val="center"/>
              <w:rPr>
                <w:b/>
                <w:color w:val="000000"/>
                <w:sz w:val="20"/>
                <w:szCs w:val="20"/>
              </w:rPr>
            </w:pPr>
            <w:r w:rsidRPr="00D8763B">
              <w:rPr>
                <w:b/>
                <w:sz w:val="20"/>
                <w:szCs w:val="20"/>
              </w:rPr>
              <w:t>33</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59EF9" w14:textId="77777777" w:rsidR="009D0E57" w:rsidRPr="00D8763B" w:rsidRDefault="009D0E57" w:rsidP="009D0E57">
            <w:pPr>
              <w:jc w:val="center"/>
              <w:rPr>
                <w:b/>
                <w:color w:val="000000"/>
                <w:sz w:val="20"/>
                <w:szCs w:val="20"/>
              </w:rPr>
            </w:pPr>
            <w:r w:rsidRPr="00D8763B">
              <w:rPr>
                <w:b/>
                <w:sz w:val="20"/>
                <w:szCs w:val="20"/>
              </w:rPr>
              <w:t>55.0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2B07493" w14:textId="77777777" w:rsidR="009D0E57" w:rsidRPr="00D8763B" w:rsidRDefault="009D0E57" w:rsidP="009D0E57">
            <w:pPr>
              <w:jc w:val="center"/>
              <w:rPr>
                <w:b/>
                <w:color w:val="000000"/>
                <w:sz w:val="20"/>
                <w:szCs w:val="20"/>
              </w:rPr>
            </w:pPr>
            <w:r w:rsidRPr="00D8763B">
              <w:rPr>
                <w:b/>
                <w:sz w:val="20"/>
                <w:szCs w:val="20"/>
              </w:rPr>
              <w:t>60</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74F523" w14:textId="77777777" w:rsidR="009D0E57" w:rsidRPr="00D8763B" w:rsidRDefault="009D0E57" w:rsidP="009D0E57">
            <w:pPr>
              <w:jc w:val="center"/>
              <w:rPr>
                <w:b/>
                <w:color w:val="000000"/>
                <w:sz w:val="20"/>
                <w:szCs w:val="20"/>
              </w:rPr>
            </w:pPr>
            <w:r w:rsidRPr="00D8763B">
              <w:rPr>
                <w:b/>
                <w:sz w:val="20"/>
                <w:szCs w:val="20"/>
              </w:rPr>
              <w:t>496</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CE900" w14:textId="77777777" w:rsidR="009D0E57" w:rsidRPr="00D8763B" w:rsidRDefault="009D0E57" w:rsidP="009D0E57">
            <w:pPr>
              <w:jc w:val="center"/>
              <w:rPr>
                <w:b/>
                <w:color w:val="000000"/>
                <w:sz w:val="20"/>
                <w:szCs w:val="20"/>
              </w:rPr>
            </w:pPr>
            <w:r w:rsidRPr="00D8763B">
              <w:rPr>
                <w:b/>
                <w:sz w:val="20"/>
                <w:szCs w:val="20"/>
              </w:rPr>
              <w:t>41.8</w:t>
            </w:r>
          </w:p>
        </w:tc>
        <w:tc>
          <w:tcPr>
            <w:tcW w:w="92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B3820F" w14:textId="77777777" w:rsidR="009D0E57" w:rsidRPr="00D8763B" w:rsidRDefault="009D0E57" w:rsidP="009D0E57">
            <w:pPr>
              <w:jc w:val="center"/>
              <w:rPr>
                <w:b/>
                <w:color w:val="000000"/>
                <w:sz w:val="20"/>
                <w:szCs w:val="20"/>
              </w:rPr>
            </w:pPr>
            <w:r w:rsidRPr="00D8763B">
              <w:rPr>
                <w:b/>
                <w:sz w:val="20"/>
                <w:szCs w:val="20"/>
              </w:rPr>
              <w:t>691</w:t>
            </w:r>
          </w:p>
        </w:tc>
        <w:tc>
          <w:tcPr>
            <w:tcW w:w="58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16A37" w14:textId="77777777" w:rsidR="009D0E57" w:rsidRPr="00D8763B" w:rsidRDefault="009D0E57" w:rsidP="009D0E57">
            <w:pPr>
              <w:jc w:val="center"/>
              <w:rPr>
                <w:b/>
                <w:color w:val="000000"/>
                <w:sz w:val="20"/>
                <w:szCs w:val="20"/>
              </w:rPr>
            </w:pPr>
            <w:r w:rsidRPr="00D8763B">
              <w:rPr>
                <w:b/>
                <w:sz w:val="20"/>
                <w:szCs w:val="20"/>
              </w:rPr>
              <w:t>58.2</w:t>
            </w:r>
          </w:p>
        </w:tc>
        <w:tc>
          <w:tcPr>
            <w:tcW w:w="90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0A4A7FC" w14:textId="77777777" w:rsidR="009D0E57" w:rsidRPr="00D8763B" w:rsidRDefault="009D0E57" w:rsidP="009D0E57">
            <w:pPr>
              <w:jc w:val="center"/>
              <w:rPr>
                <w:b/>
                <w:color w:val="000000"/>
                <w:sz w:val="20"/>
                <w:szCs w:val="20"/>
              </w:rPr>
            </w:pPr>
            <w:r w:rsidRPr="00D8763B">
              <w:rPr>
                <w:b/>
                <w:sz w:val="20"/>
                <w:szCs w:val="20"/>
              </w:rPr>
              <w:t>1,187</w:t>
            </w:r>
          </w:p>
        </w:tc>
      </w:tr>
      <w:tr w:rsidR="009D0E57" w14:paraId="1A502E19" w14:textId="77777777" w:rsidTr="009D0E57">
        <w:trPr>
          <w:trHeight w:val="374"/>
        </w:trPr>
        <w:tc>
          <w:tcPr>
            <w:tcW w:w="9342" w:type="dxa"/>
            <w:gridSpan w:val="11"/>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44B8A18" w14:textId="77777777" w:rsidR="009D0E57" w:rsidRDefault="009D0E57" w:rsidP="009D0E57">
            <w:r>
              <w:rPr>
                <w:i/>
                <w:color w:val="000000"/>
                <w:sz w:val="16"/>
              </w:rPr>
              <w:t>Source: Bank Data</w:t>
            </w:r>
          </w:p>
          <w:p w14:paraId="00FD8E7E" w14:textId="77777777" w:rsidR="009D0E57" w:rsidRDefault="009D0E57" w:rsidP="009D0E57">
            <w:r>
              <w:rPr>
                <w:i/>
                <w:color w:val="000000"/>
                <w:sz w:val="16"/>
              </w:rPr>
              <w:t>Due to rounding, totals may not equal 100.0%</w:t>
            </w:r>
          </w:p>
        </w:tc>
      </w:tr>
    </w:tbl>
    <w:p w14:paraId="11054303" w14:textId="77777777" w:rsidR="009D0E57" w:rsidRDefault="009D0E57" w:rsidP="009D0E57">
      <w:pPr>
        <w:ind w:right="-270"/>
      </w:pPr>
    </w:p>
    <w:p w14:paraId="11E88579" w14:textId="77777777" w:rsidR="009D0E57" w:rsidRDefault="009D0E57" w:rsidP="000711A1">
      <w:pPr>
        <w:jc w:val="both"/>
      </w:pPr>
    </w:p>
    <w:p w14:paraId="205537B5" w14:textId="77777777" w:rsidR="009D0E57" w:rsidRPr="00F07B16" w:rsidRDefault="009D0E57" w:rsidP="000711A1">
      <w:pPr>
        <w:jc w:val="both"/>
        <w:rPr>
          <w:b/>
          <w:bCs/>
          <w:u w:val="single"/>
        </w:rPr>
      </w:pPr>
      <w:r w:rsidRPr="00F07B16">
        <w:rPr>
          <w:b/>
          <w:bCs/>
          <w:u w:val="single"/>
        </w:rPr>
        <w:t>Geographic Distribution</w:t>
      </w:r>
    </w:p>
    <w:p w14:paraId="0046D431" w14:textId="77777777" w:rsidR="009D0E57" w:rsidRPr="00F07B16" w:rsidRDefault="009D0E57" w:rsidP="000711A1">
      <w:pPr>
        <w:jc w:val="both"/>
        <w:rPr>
          <w:b/>
          <w:bCs/>
          <w:u w:val="single"/>
        </w:rPr>
      </w:pPr>
    </w:p>
    <w:p w14:paraId="384704D3" w14:textId="77777777" w:rsidR="009D0E57" w:rsidRDefault="009D0E57" w:rsidP="000711A1">
      <w:pPr>
        <w:jc w:val="both"/>
      </w:pPr>
      <w:r w:rsidRPr="00F07B16">
        <w:t>Considering the credit union’s assessment area demographics, aggregate data, and performance context factors, the distribution of home mortgage loans</w:t>
      </w:r>
      <w:r>
        <w:t xml:space="preserve"> and consumer loans</w:t>
      </w:r>
      <w:r w:rsidRPr="00F07B16">
        <w:t xml:space="preserve"> </w:t>
      </w:r>
      <w:r>
        <w:t xml:space="preserve">shows </w:t>
      </w:r>
      <w:r w:rsidRPr="00F07B16">
        <w:t>reasonable penetration in the low- and moderate-income geographies.</w:t>
      </w:r>
      <w:r>
        <w:t xml:space="preserve">  </w:t>
      </w:r>
    </w:p>
    <w:p w14:paraId="1790EA83" w14:textId="77777777" w:rsidR="009D0E57" w:rsidRDefault="009D0E57" w:rsidP="000711A1">
      <w:pPr>
        <w:jc w:val="both"/>
      </w:pPr>
    </w:p>
    <w:p w14:paraId="2D815139" w14:textId="77777777" w:rsidR="009D0E57" w:rsidRPr="0035304F" w:rsidRDefault="009D0E57" w:rsidP="000711A1">
      <w:pPr>
        <w:jc w:val="both"/>
        <w:rPr>
          <w:b/>
          <w:i/>
        </w:rPr>
      </w:pPr>
      <w:r w:rsidRPr="0035304F">
        <w:rPr>
          <w:b/>
          <w:i/>
        </w:rPr>
        <w:t>Home Mortgage Lending</w:t>
      </w:r>
    </w:p>
    <w:p w14:paraId="68386809" w14:textId="77777777" w:rsidR="00877F63" w:rsidRDefault="009D0E57" w:rsidP="000711A1">
      <w:pPr>
        <w:jc w:val="both"/>
      </w:pPr>
      <w:r>
        <w:rPr>
          <w:bCs/>
        </w:rPr>
        <w:t xml:space="preserve">The geographic distribution of home mortgage loans reflects reasonable dispersion throughout the assessment </w:t>
      </w:r>
      <w:r w:rsidRPr="006763F4">
        <w:rPr>
          <w:bCs/>
        </w:rPr>
        <w:t>area</w:t>
      </w:r>
      <w:proofErr w:type="gramStart"/>
      <w:r w:rsidRPr="006763F4">
        <w:rPr>
          <w:bCs/>
        </w:rPr>
        <w:t xml:space="preserve">.  </w:t>
      </w:r>
      <w:proofErr w:type="gramEnd"/>
      <w:r w:rsidRPr="006763F4">
        <w:t>The following table shows the credit union’s lending in l</w:t>
      </w:r>
      <w:r w:rsidR="00877F63">
        <w:t>ow-income census tracts was</w:t>
      </w:r>
      <w:r w:rsidRPr="006763F4">
        <w:t xml:space="preserve"> below aggregate performance but in line with the percentage of owner-occupied housing units in 2018 and 2019</w:t>
      </w:r>
      <w:proofErr w:type="gramStart"/>
      <w:r w:rsidRPr="006763F4">
        <w:t xml:space="preserve">.  </w:t>
      </w:r>
      <w:proofErr w:type="gramEnd"/>
      <w:r w:rsidRPr="006763F4">
        <w:t xml:space="preserve">Lending in low-income tracts increased slightly by number and percentage in 2019.  </w:t>
      </w:r>
    </w:p>
    <w:p w14:paraId="3F79FF2E" w14:textId="77777777" w:rsidR="00877F63" w:rsidRDefault="00877F63" w:rsidP="000711A1">
      <w:pPr>
        <w:jc w:val="both"/>
      </w:pPr>
    </w:p>
    <w:p w14:paraId="53E411FB" w14:textId="7145321A" w:rsidR="00D8763B" w:rsidRDefault="009D0E57" w:rsidP="000711A1">
      <w:pPr>
        <w:jc w:val="both"/>
      </w:pPr>
      <w:r w:rsidRPr="006763F4">
        <w:t xml:space="preserve">The credit union’s lending in moderate-income census tracts </w:t>
      </w:r>
      <w:r w:rsidR="00877F63">
        <w:t>exceeded aggregate and demographic data in 2018</w:t>
      </w:r>
      <w:proofErr w:type="gramStart"/>
      <w:r w:rsidR="00877F63">
        <w:t xml:space="preserve">.  </w:t>
      </w:r>
      <w:proofErr w:type="gramEnd"/>
      <w:r w:rsidR="00877F63">
        <w:t>Lending fell below aggregate data in 2019, but remained comparable to the demographic of</w:t>
      </w:r>
      <w:r w:rsidR="008A1075">
        <w:t xml:space="preserve"> owner-occupied housing units</w:t>
      </w:r>
      <w:r w:rsidR="00877F63">
        <w:t xml:space="preserve"> in moderate-income census tracts.</w:t>
      </w:r>
    </w:p>
    <w:p w14:paraId="7151A5D9" w14:textId="77777777" w:rsidR="00D8763B" w:rsidRDefault="00D8763B" w:rsidP="000711A1">
      <w:pPr>
        <w:jc w:val="both"/>
      </w:pPr>
    </w:p>
    <w:p w14:paraId="5515C2EF" w14:textId="74DA8E6D" w:rsidR="009D0E57" w:rsidRDefault="00877F63" w:rsidP="000711A1">
      <w:pPr>
        <w:jc w:val="both"/>
      </w:pPr>
      <w:r>
        <w:t xml:space="preserve">The credit union’s geographic distribution </w:t>
      </w:r>
      <w:proofErr w:type="gramStart"/>
      <w:r>
        <w:t>is explained</w:t>
      </w:r>
      <w:proofErr w:type="gramEnd"/>
      <w:r w:rsidR="006A70A1">
        <w:t xml:space="preserve"> in part</w:t>
      </w:r>
      <w:r>
        <w:t xml:space="preserve"> by the composition of the assessment area. While the majority of the credit union’s branch structure and lending occurs in northern central Massachusetts, aggreg</w:t>
      </w:r>
      <w:r w:rsidR="006A70A1">
        <w:t xml:space="preserve">ate lenders exhibit proportionally greater </w:t>
      </w:r>
      <w:r>
        <w:t>lending in Worcester.</w:t>
      </w:r>
      <w:r w:rsidR="00224471">
        <w:t xml:space="preserve"> Approximately </w:t>
      </w:r>
      <w:r w:rsidR="006A70A1">
        <w:t>19.0 percent of the credit union’s lending occurs in Worcester, while for aggregate lenders that proportion increases to 24.6 percent</w:t>
      </w:r>
      <w:proofErr w:type="gramStart"/>
      <w:r w:rsidR="006A70A1">
        <w:t xml:space="preserve">.  </w:t>
      </w:r>
      <w:proofErr w:type="gramEnd"/>
      <w:r w:rsidR="006A70A1">
        <w:t>As Worcester comprises 59.5 percent of the entire assessment area’s population of low- and moderate-income census tracts, t</w:t>
      </w:r>
      <w:r w:rsidR="000552E0">
        <w:t>his difference in concentration contributes to a difference in geographic distribution</w:t>
      </w:r>
      <w:r w:rsidR="00E51D94">
        <w:t>.</w:t>
      </w:r>
    </w:p>
    <w:p w14:paraId="4E929BCB" w14:textId="5EB2A1A4" w:rsidR="009D0E57" w:rsidRDefault="009D0E57" w:rsidP="000711A1">
      <w:pPr>
        <w:jc w:val="both"/>
        <w:rPr>
          <w:bCs/>
        </w:rPr>
      </w:pPr>
    </w:p>
    <w:p w14:paraId="05F008C4" w14:textId="77777777" w:rsidR="00597B81" w:rsidRPr="006763F4" w:rsidRDefault="00597B81" w:rsidP="000711A1">
      <w:pPr>
        <w:jc w:val="both"/>
        <w:rPr>
          <w:bCs/>
        </w:rPr>
      </w:pPr>
    </w:p>
    <w:tbl>
      <w:tblPr>
        <w:tblW w:w="0" w:type="auto"/>
        <w:tblCellMar>
          <w:left w:w="0" w:type="dxa"/>
          <w:right w:w="0" w:type="dxa"/>
        </w:tblCellMar>
        <w:tblLook w:val="0000" w:firstRow="0" w:lastRow="0" w:firstColumn="0" w:lastColumn="0" w:noHBand="0" w:noVBand="0"/>
      </w:tblPr>
      <w:tblGrid>
        <w:gridCol w:w="2497"/>
        <w:gridCol w:w="1547"/>
        <w:gridCol w:w="1426"/>
        <w:gridCol w:w="1193"/>
        <w:gridCol w:w="851"/>
        <w:gridCol w:w="1010"/>
        <w:gridCol w:w="818"/>
      </w:tblGrid>
      <w:tr w:rsidR="009D0E57" w14:paraId="7BB4CCDB" w14:textId="77777777" w:rsidTr="009D0E57">
        <w:trPr>
          <w:trHeight w:val="282"/>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696FA90A" w14:textId="77777777" w:rsidR="009D0E57" w:rsidRDefault="009D0E57" w:rsidP="009D0E57">
            <w:pPr>
              <w:jc w:val="center"/>
            </w:pPr>
            <w:r>
              <w:rPr>
                <w:b/>
                <w:color w:val="000000"/>
                <w:sz w:val="20"/>
              </w:rPr>
              <w:lastRenderedPageBreak/>
              <w:t>Geographic Distribution of Home Mortgage Loans</w:t>
            </w:r>
          </w:p>
        </w:tc>
      </w:tr>
      <w:tr w:rsidR="009D0E57" w14:paraId="56538003" w14:textId="77777777" w:rsidTr="009D0E57">
        <w:trPr>
          <w:trHeight w:val="498"/>
        </w:trPr>
        <w:tc>
          <w:tcPr>
            <w:tcW w:w="2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223E0CC" w14:textId="77777777" w:rsidR="009D0E57" w:rsidRDefault="009D0E57" w:rsidP="009D0E57">
            <w:r>
              <w:rPr>
                <w:b/>
                <w:color w:val="000000"/>
                <w:sz w:val="20"/>
              </w:rPr>
              <w:t>Tract Income Level</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573DA0A" w14:textId="77777777" w:rsidR="009D0E57" w:rsidRDefault="009D0E57" w:rsidP="009D0E57">
            <w:pPr>
              <w:jc w:val="center"/>
            </w:pPr>
            <w:r>
              <w:rPr>
                <w:b/>
                <w:color w:val="000000"/>
                <w:sz w:val="20"/>
              </w:rPr>
              <w:t>% of  Owner-Occupied Housing Units</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8062A3" w14:textId="77777777" w:rsidR="009D0E57" w:rsidRDefault="009D0E57" w:rsidP="009D0E57">
            <w:pPr>
              <w:jc w:val="center"/>
            </w:pPr>
            <w:r>
              <w:rPr>
                <w:b/>
                <w:color w:val="000000"/>
                <w:sz w:val="20"/>
              </w:rPr>
              <w:t>Aggregate Performance</w:t>
            </w:r>
            <w:r>
              <w:rPr>
                <w:b/>
                <w:color w:val="000000"/>
                <w:sz w:val="20"/>
              </w:rPr>
              <w:br/>
              <w:t>% of #</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054D91D" w14:textId="77777777" w:rsidR="009D0E57" w:rsidRDefault="009D0E57" w:rsidP="009D0E57">
            <w:pPr>
              <w:jc w:val="center"/>
            </w:pPr>
            <w:r>
              <w:rPr>
                <w:b/>
                <w:color w:val="000000"/>
                <w:sz w:val="20"/>
              </w:rPr>
              <w:t>#</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219F578" w14:textId="77777777" w:rsidR="009D0E57" w:rsidRDefault="009D0E57" w:rsidP="009D0E57">
            <w:pPr>
              <w:jc w:val="center"/>
            </w:pPr>
            <w:r>
              <w:rPr>
                <w:b/>
                <w:color w:val="000000"/>
                <w:sz w:val="20"/>
              </w:rPr>
              <w:t>%</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8EABE74" w14:textId="77777777" w:rsidR="009D0E57" w:rsidRDefault="009D0E57" w:rsidP="009D0E57">
            <w:pPr>
              <w:jc w:val="center"/>
            </w:pPr>
            <w:r>
              <w:rPr>
                <w:b/>
                <w:color w:val="000000"/>
                <w:sz w:val="20"/>
              </w:rPr>
              <w:t>$(</w:t>
            </w:r>
            <w:proofErr w:type="spellStart"/>
            <w:r>
              <w:rPr>
                <w:b/>
                <w:color w:val="000000"/>
                <w:sz w:val="20"/>
              </w:rPr>
              <w:t>000s</w:t>
            </w:r>
            <w:proofErr w:type="spellEnd"/>
            <w:r>
              <w:rPr>
                <w:b/>
                <w:color w:val="000000"/>
                <w:sz w:val="20"/>
              </w:rPr>
              <w:t>)</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0995B61" w14:textId="77777777" w:rsidR="009D0E57" w:rsidRDefault="009D0E57" w:rsidP="009D0E57">
            <w:pPr>
              <w:jc w:val="center"/>
            </w:pPr>
            <w:r>
              <w:rPr>
                <w:b/>
                <w:color w:val="000000"/>
                <w:sz w:val="20"/>
              </w:rPr>
              <w:t>%</w:t>
            </w:r>
          </w:p>
        </w:tc>
      </w:tr>
      <w:tr w:rsidR="009D0E57" w14:paraId="12DC5BB5" w14:textId="77777777" w:rsidTr="009D0E57">
        <w:trPr>
          <w:trHeight w:val="195"/>
        </w:trPr>
        <w:tc>
          <w:tcPr>
            <w:tcW w:w="2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C62E2E2" w14:textId="77777777" w:rsidR="009D0E57" w:rsidRDefault="009D0E57" w:rsidP="009D0E57">
            <w:r>
              <w:rPr>
                <w:color w:val="000000"/>
                <w:sz w:val="20"/>
              </w:rPr>
              <w:t>Low</w:t>
            </w:r>
          </w:p>
        </w:tc>
        <w:tc>
          <w:tcPr>
            <w:tcW w:w="684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A6D23D" w14:textId="77777777" w:rsidR="009D0E57" w:rsidRDefault="009D0E57" w:rsidP="009D0E57"/>
        </w:tc>
      </w:tr>
      <w:tr w:rsidR="009D0E57" w14:paraId="250A8B25"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AB6F7A9" w14:textId="77777777" w:rsidR="009D0E57" w:rsidRDefault="009D0E57" w:rsidP="009D0E57">
            <w:pPr>
              <w:jc w:val="right"/>
            </w:pPr>
            <w:r>
              <w:rPr>
                <w:color w:val="000000"/>
                <w:sz w:val="20"/>
              </w:rPr>
              <w:t>2018</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7DE1E" w14:textId="77777777" w:rsidR="009D0E57" w:rsidRDefault="009D0E57" w:rsidP="009D0E57">
            <w:pPr>
              <w:jc w:val="center"/>
            </w:pPr>
            <w:r>
              <w:rPr>
                <w:color w:val="000000"/>
                <w:sz w:val="20"/>
              </w:rPr>
              <w:t>4.3</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2108EE" w14:textId="77777777" w:rsidR="009D0E57" w:rsidRDefault="009D0E57" w:rsidP="009D0E57">
            <w:pPr>
              <w:jc w:val="center"/>
            </w:pPr>
            <w:r>
              <w:rPr>
                <w:color w:val="000000"/>
                <w:sz w:val="20"/>
              </w:rPr>
              <w:t>6.3</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6058BE" w14:textId="77777777" w:rsidR="009D0E57" w:rsidRDefault="009D0E57" w:rsidP="009D0E57">
            <w:pPr>
              <w:jc w:val="center"/>
            </w:pPr>
            <w:r>
              <w:rPr>
                <w:color w:val="000000"/>
                <w:sz w:val="20"/>
              </w:rPr>
              <w:t>7</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395965" w14:textId="77777777" w:rsidR="009D0E57" w:rsidRDefault="009D0E57" w:rsidP="009D0E57">
            <w:pPr>
              <w:jc w:val="center"/>
            </w:pPr>
            <w:r>
              <w:rPr>
                <w:color w:val="000000"/>
                <w:sz w:val="20"/>
              </w:rPr>
              <w:t>3.6</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2778F1" w14:textId="77777777" w:rsidR="009D0E57" w:rsidRDefault="009D0E57" w:rsidP="009D0E57">
            <w:pPr>
              <w:jc w:val="center"/>
            </w:pPr>
            <w:r>
              <w:rPr>
                <w:color w:val="000000"/>
                <w:sz w:val="20"/>
              </w:rPr>
              <w:t>1,596</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579C0D" w14:textId="77777777" w:rsidR="009D0E57" w:rsidRDefault="009D0E57" w:rsidP="009D0E57">
            <w:pPr>
              <w:jc w:val="center"/>
            </w:pPr>
            <w:r>
              <w:rPr>
                <w:color w:val="000000"/>
                <w:sz w:val="20"/>
              </w:rPr>
              <w:t>4.9</w:t>
            </w:r>
          </w:p>
        </w:tc>
      </w:tr>
      <w:tr w:rsidR="009D0E57" w14:paraId="4E7861C5"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088DDFD" w14:textId="77777777" w:rsidR="009D0E57" w:rsidRDefault="009D0E57" w:rsidP="009D0E57">
            <w:pPr>
              <w:jc w:val="right"/>
            </w:pPr>
            <w:r>
              <w:rPr>
                <w:color w:val="000000"/>
                <w:sz w:val="20"/>
              </w:rPr>
              <w:t>2019</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B8FAB1" w14:textId="77777777" w:rsidR="009D0E57" w:rsidRDefault="009D0E57" w:rsidP="009D0E57">
            <w:pPr>
              <w:jc w:val="center"/>
            </w:pPr>
            <w:r>
              <w:rPr>
                <w:color w:val="000000"/>
                <w:sz w:val="20"/>
              </w:rPr>
              <w:t>4.3</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763296" w14:textId="77777777" w:rsidR="009D0E57" w:rsidRDefault="009D0E57" w:rsidP="009D0E57">
            <w:pPr>
              <w:jc w:val="center"/>
            </w:pPr>
            <w:r>
              <w:rPr>
                <w:color w:val="000000"/>
                <w:sz w:val="20"/>
              </w:rPr>
              <w:t>6.1</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D7F9FF9" w14:textId="77777777" w:rsidR="009D0E57" w:rsidRDefault="009D0E57" w:rsidP="009D0E57">
            <w:pPr>
              <w:jc w:val="center"/>
            </w:pPr>
            <w:r>
              <w:rPr>
                <w:color w:val="000000"/>
                <w:sz w:val="20"/>
              </w:rPr>
              <w:t>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28FA7D" w14:textId="77777777" w:rsidR="009D0E57" w:rsidRDefault="009D0E57" w:rsidP="009D0E57">
            <w:pPr>
              <w:jc w:val="center"/>
            </w:pPr>
            <w:r>
              <w:rPr>
                <w:color w:val="000000"/>
                <w:sz w:val="20"/>
              </w:rPr>
              <w:t>4.0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1E3785" w14:textId="77777777" w:rsidR="009D0E57" w:rsidRDefault="009D0E57" w:rsidP="009D0E57">
            <w:pPr>
              <w:jc w:val="center"/>
            </w:pPr>
            <w:r>
              <w:rPr>
                <w:color w:val="000000"/>
                <w:sz w:val="20"/>
              </w:rPr>
              <w:t>1,790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44C64E" w14:textId="77777777" w:rsidR="009D0E57" w:rsidRDefault="009D0E57" w:rsidP="009D0E57">
            <w:pPr>
              <w:jc w:val="center"/>
            </w:pPr>
            <w:r>
              <w:rPr>
                <w:color w:val="000000"/>
                <w:sz w:val="20"/>
              </w:rPr>
              <w:t>5.5</w:t>
            </w:r>
          </w:p>
        </w:tc>
      </w:tr>
      <w:tr w:rsidR="009D0E57" w14:paraId="4B601000" w14:textId="77777777" w:rsidTr="009D0E57">
        <w:trPr>
          <w:trHeight w:val="195"/>
        </w:trPr>
        <w:tc>
          <w:tcPr>
            <w:tcW w:w="2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4BAEAF" w14:textId="77777777" w:rsidR="009D0E57" w:rsidRDefault="009D0E57" w:rsidP="009D0E57">
            <w:r>
              <w:rPr>
                <w:color w:val="000000"/>
                <w:sz w:val="20"/>
              </w:rPr>
              <w:t>Moderate</w:t>
            </w:r>
          </w:p>
        </w:tc>
        <w:tc>
          <w:tcPr>
            <w:tcW w:w="684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7973E6" w14:textId="77777777" w:rsidR="009D0E57" w:rsidRDefault="009D0E57" w:rsidP="009D0E57"/>
        </w:tc>
      </w:tr>
      <w:tr w:rsidR="009D0E57" w14:paraId="7787CA95"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F52BAD9" w14:textId="77777777" w:rsidR="009D0E57" w:rsidRDefault="009D0E57" w:rsidP="009D0E57">
            <w:pPr>
              <w:jc w:val="right"/>
            </w:pPr>
            <w:r>
              <w:rPr>
                <w:color w:val="000000"/>
                <w:sz w:val="20"/>
              </w:rPr>
              <w:t>2018</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3D6F16B" w14:textId="77777777" w:rsidR="009D0E57" w:rsidRDefault="009D0E57" w:rsidP="009D0E57">
            <w:pPr>
              <w:jc w:val="center"/>
            </w:pPr>
            <w:r>
              <w:rPr>
                <w:color w:val="000000"/>
                <w:sz w:val="20"/>
              </w:rPr>
              <w:t>15.0</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F886DD" w14:textId="77777777" w:rsidR="009D0E57" w:rsidRDefault="009D0E57" w:rsidP="009D0E57">
            <w:pPr>
              <w:jc w:val="center"/>
            </w:pPr>
            <w:r>
              <w:rPr>
                <w:color w:val="000000"/>
                <w:sz w:val="20"/>
              </w:rPr>
              <w:t>16.7</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5AA2D4" w14:textId="77777777" w:rsidR="009D0E57" w:rsidRDefault="009D0E57" w:rsidP="009D0E57">
            <w:pPr>
              <w:jc w:val="center"/>
            </w:pPr>
            <w:r>
              <w:rPr>
                <w:color w:val="000000"/>
                <w:sz w:val="20"/>
              </w:rPr>
              <w:t>33</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2570FD" w14:textId="77777777" w:rsidR="009D0E57" w:rsidRDefault="009D0E57" w:rsidP="009D0E57">
            <w:pPr>
              <w:jc w:val="center"/>
            </w:pPr>
            <w:r>
              <w:rPr>
                <w:color w:val="000000"/>
                <w:sz w:val="20"/>
              </w:rPr>
              <w:t>17.0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B6C68CF" w14:textId="77777777" w:rsidR="009D0E57" w:rsidRDefault="009D0E57" w:rsidP="009D0E57">
            <w:pPr>
              <w:jc w:val="center"/>
            </w:pPr>
            <w:r>
              <w:rPr>
                <w:color w:val="000000"/>
                <w:sz w:val="20"/>
              </w:rPr>
              <w:t>4,649</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FDB14E" w14:textId="77777777" w:rsidR="009D0E57" w:rsidRDefault="009D0E57" w:rsidP="009D0E57">
            <w:pPr>
              <w:jc w:val="center"/>
            </w:pPr>
            <w:r>
              <w:rPr>
                <w:color w:val="000000"/>
                <w:sz w:val="20"/>
              </w:rPr>
              <w:t>14.2</w:t>
            </w:r>
          </w:p>
        </w:tc>
      </w:tr>
      <w:tr w:rsidR="009D0E57" w14:paraId="72E1A1DE"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F73C0BF" w14:textId="77777777" w:rsidR="009D0E57" w:rsidRDefault="009D0E57" w:rsidP="009D0E57">
            <w:pPr>
              <w:jc w:val="right"/>
            </w:pPr>
            <w:r>
              <w:rPr>
                <w:color w:val="000000"/>
                <w:sz w:val="20"/>
              </w:rPr>
              <w:t>2019</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B63ABA" w14:textId="77777777" w:rsidR="009D0E57" w:rsidRDefault="009D0E57" w:rsidP="009D0E57">
            <w:pPr>
              <w:jc w:val="center"/>
            </w:pPr>
            <w:r>
              <w:rPr>
                <w:color w:val="000000"/>
                <w:sz w:val="20"/>
              </w:rPr>
              <w:t>15.0</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F7B529" w14:textId="77777777" w:rsidR="009D0E57" w:rsidRDefault="009D0E57" w:rsidP="009D0E57">
            <w:pPr>
              <w:jc w:val="center"/>
            </w:pPr>
            <w:r>
              <w:rPr>
                <w:color w:val="000000"/>
                <w:sz w:val="20"/>
              </w:rPr>
              <w:t>16.2</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ED933B" w14:textId="77777777" w:rsidR="009D0E57" w:rsidRDefault="009D0E57" w:rsidP="009D0E57">
            <w:pPr>
              <w:jc w:val="center"/>
            </w:pPr>
            <w:r>
              <w:rPr>
                <w:color w:val="000000"/>
                <w:sz w:val="20"/>
              </w:rPr>
              <w:t>29</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35EDC9" w14:textId="77777777" w:rsidR="009D0E57" w:rsidRDefault="009D0E57" w:rsidP="009D0E57">
            <w:pPr>
              <w:jc w:val="center"/>
            </w:pPr>
            <w:r>
              <w:rPr>
                <w:color w:val="000000"/>
                <w:sz w:val="20"/>
              </w:rPr>
              <w:t>14.5</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F0306E" w14:textId="77777777" w:rsidR="009D0E57" w:rsidRDefault="009D0E57" w:rsidP="009D0E57">
            <w:pPr>
              <w:jc w:val="center"/>
            </w:pPr>
            <w:r>
              <w:rPr>
                <w:color w:val="000000"/>
                <w:sz w:val="20"/>
              </w:rPr>
              <w:t>4,319</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7EC1E8" w14:textId="77777777" w:rsidR="009D0E57" w:rsidRDefault="009D0E57" w:rsidP="009D0E57">
            <w:pPr>
              <w:jc w:val="center"/>
            </w:pPr>
            <w:r>
              <w:rPr>
                <w:color w:val="000000"/>
                <w:sz w:val="20"/>
              </w:rPr>
              <w:t>13.3</w:t>
            </w:r>
          </w:p>
        </w:tc>
      </w:tr>
      <w:tr w:rsidR="009D0E57" w14:paraId="45E066BE" w14:textId="77777777" w:rsidTr="009D0E57">
        <w:trPr>
          <w:trHeight w:val="195"/>
        </w:trPr>
        <w:tc>
          <w:tcPr>
            <w:tcW w:w="2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50BB184" w14:textId="77777777" w:rsidR="009D0E57" w:rsidRDefault="009D0E57" w:rsidP="009D0E57">
            <w:r>
              <w:rPr>
                <w:color w:val="000000"/>
                <w:sz w:val="20"/>
              </w:rPr>
              <w:t>Middle</w:t>
            </w:r>
          </w:p>
        </w:tc>
        <w:tc>
          <w:tcPr>
            <w:tcW w:w="684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A5F623" w14:textId="77777777" w:rsidR="009D0E57" w:rsidRDefault="009D0E57" w:rsidP="009D0E57"/>
        </w:tc>
      </w:tr>
      <w:tr w:rsidR="009D0E57" w14:paraId="07502648"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CD2728C" w14:textId="77777777" w:rsidR="009D0E57" w:rsidRDefault="009D0E57" w:rsidP="009D0E57">
            <w:pPr>
              <w:jc w:val="right"/>
            </w:pPr>
            <w:r>
              <w:rPr>
                <w:color w:val="000000"/>
                <w:sz w:val="20"/>
              </w:rPr>
              <w:t>2018</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813170" w14:textId="77777777" w:rsidR="009D0E57" w:rsidRDefault="009D0E57" w:rsidP="009D0E57">
            <w:pPr>
              <w:jc w:val="center"/>
            </w:pPr>
            <w:r>
              <w:rPr>
                <w:color w:val="000000"/>
                <w:sz w:val="20"/>
              </w:rPr>
              <w:t>43.7</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526197" w14:textId="77777777" w:rsidR="009D0E57" w:rsidRDefault="009D0E57" w:rsidP="009D0E57">
            <w:pPr>
              <w:jc w:val="center"/>
            </w:pPr>
            <w:r>
              <w:rPr>
                <w:color w:val="000000"/>
                <w:sz w:val="20"/>
              </w:rPr>
              <w:t>42.5</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76B7C4" w14:textId="77777777" w:rsidR="009D0E57" w:rsidRDefault="009D0E57" w:rsidP="009D0E57">
            <w:pPr>
              <w:jc w:val="center"/>
            </w:pPr>
            <w:r>
              <w:rPr>
                <w:color w:val="000000"/>
                <w:sz w:val="20"/>
              </w:rPr>
              <w:t>85</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74D935" w14:textId="77777777" w:rsidR="009D0E57" w:rsidRDefault="009D0E57" w:rsidP="009D0E57">
            <w:pPr>
              <w:jc w:val="center"/>
            </w:pPr>
            <w:r>
              <w:rPr>
                <w:color w:val="000000"/>
                <w:sz w:val="20"/>
              </w:rPr>
              <w:t>43.8</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BD9B99" w14:textId="77777777" w:rsidR="009D0E57" w:rsidRDefault="009D0E57" w:rsidP="009D0E57">
            <w:pPr>
              <w:jc w:val="center"/>
            </w:pPr>
            <w:r>
              <w:rPr>
                <w:color w:val="000000"/>
                <w:sz w:val="20"/>
              </w:rPr>
              <w:t>12,868</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1071228" w14:textId="77777777" w:rsidR="009D0E57" w:rsidRDefault="009D0E57" w:rsidP="009D0E57">
            <w:pPr>
              <w:jc w:val="center"/>
            </w:pPr>
            <w:r>
              <w:rPr>
                <w:color w:val="000000"/>
                <w:sz w:val="20"/>
              </w:rPr>
              <w:t>39.2</w:t>
            </w:r>
          </w:p>
        </w:tc>
      </w:tr>
      <w:tr w:rsidR="009D0E57" w14:paraId="4D7B9053"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8D94FE8" w14:textId="77777777" w:rsidR="009D0E57" w:rsidRDefault="009D0E57" w:rsidP="009D0E57">
            <w:pPr>
              <w:jc w:val="right"/>
            </w:pPr>
            <w:r>
              <w:rPr>
                <w:color w:val="000000"/>
                <w:sz w:val="20"/>
              </w:rPr>
              <w:t>2019</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DB3BA8" w14:textId="77777777" w:rsidR="009D0E57" w:rsidRDefault="009D0E57" w:rsidP="009D0E57">
            <w:pPr>
              <w:jc w:val="center"/>
            </w:pPr>
            <w:r>
              <w:rPr>
                <w:color w:val="000000"/>
                <w:sz w:val="20"/>
              </w:rPr>
              <w:t>43.7</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8C58FB" w14:textId="77777777" w:rsidR="009D0E57" w:rsidRDefault="009D0E57" w:rsidP="009D0E57">
            <w:pPr>
              <w:jc w:val="center"/>
            </w:pPr>
            <w:r>
              <w:rPr>
                <w:color w:val="000000"/>
                <w:sz w:val="20"/>
              </w:rPr>
              <w:t>41.3</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3E9F8A" w14:textId="77777777" w:rsidR="009D0E57" w:rsidRDefault="009D0E57" w:rsidP="009D0E57">
            <w:pPr>
              <w:jc w:val="center"/>
            </w:pPr>
            <w:r>
              <w:rPr>
                <w:color w:val="000000"/>
                <w:sz w:val="20"/>
              </w:rPr>
              <w:t>101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7B473B" w14:textId="77777777" w:rsidR="009D0E57" w:rsidRDefault="009D0E57" w:rsidP="009D0E57">
            <w:pPr>
              <w:jc w:val="center"/>
            </w:pPr>
            <w:r>
              <w:rPr>
                <w:color w:val="000000"/>
                <w:sz w:val="20"/>
              </w:rPr>
              <w:t>50.5</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684A98" w14:textId="77777777" w:rsidR="009D0E57" w:rsidRDefault="009D0E57" w:rsidP="009D0E57">
            <w:pPr>
              <w:jc w:val="center"/>
            </w:pPr>
            <w:r>
              <w:rPr>
                <w:color w:val="000000"/>
                <w:sz w:val="20"/>
              </w:rPr>
              <w:t>14,423</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0290D9" w14:textId="77777777" w:rsidR="009D0E57" w:rsidRDefault="009D0E57" w:rsidP="009D0E57">
            <w:pPr>
              <w:jc w:val="center"/>
            </w:pPr>
            <w:r>
              <w:rPr>
                <w:color w:val="000000"/>
                <w:sz w:val="20"/>
              </w:rPr>
              <w:t>44.3</w:t>
            </w:r>
          </w:p>
        </w:tc>
      </w:tr>
      <w:tr w:rsidR="009D0E57" w14:paraId="4A1722D7" w14:textId="77777777" w:rsidTr="009D0E57">
        <w:trPr>
          <w:trHeight w:val="195"/>
        </w:trPr>
        <w:tc>
          <w:tcPr>
            <w:tcW w:w="2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85CA289" w14:textId="77777777" w:rsidR="009D0E57" w:rsidRDefault="009D0E57" w:rsidP="009D0E57">
            <w:r>
              <w:rPr>
                <w:color w:val="000000"/>
                <w:sz w:val="20"/>
              </w:rPr>
              <w:t>Upper</w:t>
            </w:r>
          </w:p>
        </w:tc>
        <w:tc>
          <w:tcPr>
            <w:tcW w:w="684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D42834" w14:textId="77777777" w:rsidR="009D0E57" w:rsidRDefault="009D0E57" w:rsidP="009D0E57"/>
        </w:tc>
      </w:tr>
      <w:tr w:rsidR="009D0E57" w14:paraId="0253CBCB"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4A064AC" w14:textId="77777777" w:rsidR="009D0E57" w:rsidRDefault="009D0E57" w:rsidP="009D0E57">
            <w:pPr>
              <w:jc w:val="right"/>
            </w:pPr>
            <w:r>
              <w:rPr>
                <w:color w:val="000000"/>
                <w:sz w:val="20"/>
              </w:rPr>
              <w:t>2018</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432121" w14:textId="77777777" w:rsidR="009D0E57" w:rsidRDefault="009D0E57" w:rsidP="009D0E57">
            <w:pPr>
              <w:jc w:val="center"/>
            </w:pPr>
            <w:r>
              <w:rPr>
                <w:color w:val="000000"/>
                <w:sz w:val="20"/>
              </w:rPr>
              <w:t>36.9</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5AD890" w14:textId="77777777" w:rsidR="009D0E57" w:rsidRDefault="009D0E57" w:rsidP="009D0E57">
            <w:pPr>
              <w:jc w:val="center"/>
            </w:pPr>
            <w:r>
              <w:rPr>
                <w:color w:val="000000"/>
                <w:sz w:val="20"/>
              </w:rPr>
              <w:t>34.3</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232E388" w14:textId="77777777" w:rsidR="009D0E57" w:rsidRDefault="009D0E57" w:rsidP="009D0E57">
            <w:pPr>
              <w:jc w:val="center"/>
            </w:pPr>
            <w:r>
              <w:rPr>
                <w:color w:val="000000"/>
                <w:sz w:val="20"/>
              </w:rPr>
              <w:t>68</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54F9C5D" w14:textId="77777777" w:rsidR="009D0E57" w:rsidRDefault="009D0E57" w:rsidP="009D0E57">
            <w:pPr>
              <w:jc w:val="center"/>
            </w:pPr>
            <w:r>
              <w:rPr>
                <w:color w:val="000000"/>
                <w:sz w:val="20"/>
              </w:rPr>
              <w:t>35.1</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2E9254" w14:textId="77777777" w:rsidR="009D0E57" w:rsidRDefault="009D0E57" w:rsidP="009D0E57">
            <w:pPr>
              <w:jc w:val="center"/>
            </w:pPr>
            <w:r>
              <w:rPr>
                <w:color w:val="000000"/>
                <w:sz w:val="20"/>
              </w:rPr>
              <w:t>13,655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B05258" w14:textId="77777777" w:rsidR="009D0E57" w:rsidRDefault="009D0E57" w:rsidP="009D0E57">
            <w:pPr>
              <w:jc w:val="center"/>
            </w:pPr>
            <w:r>
              <w:rPr>
                <w:color w:val="000000"/>
                <w:sz w:val="20"/>
              </w:rPr>
              <w:t>41.6</w:t>
            </w:r>
          </w:p>
        </w:tc>
      </w:tr>
      <w:tr w:rsidR="009D0E57" w14:paraId="773ED184"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3BDEBB5" w14:textId="77777777" w:rsidR="009D0E57" w:rsidRDefault="009D0E57" w:rsidP="009D0E57">
            <w:pPr>
              <w:jc w:val="right"/>
            </w:pPr>
            <w:r>
              <w:rPr>
                <w:color w:val="000000"/>
                <w:sz w:val="20"/>
              </w:rPr>
              <w:t>2019</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086B1B" w14:textId="77777777" w:rsidR="009D0E57" w:rsidRDefault="009D0E57" w:rsidP="009D0E57">
            <w:pPr>
              <w:jc w:val="center"/>
            </w:pPr>
            <w:r>
              <w:rPr>
                <w:color w:val="000000"/>
                <w:sz w:val="20"/>
              </w:rPr>
              <w:t>36.9</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1A7F3" w14:textId="77777777" w:rsidR="009D0E57" w:rsidRDefault="009D0E57" w:rsidP="009D0E57">
            <w:pPr>
              <w:jc w:val="center"/>
            </w:pPr>
            <w:r>
              <w:rPr>
                <w:color w:val="000000"/>
                <w:sz w:val="20"/>
              </w:rPr>
              <w:t>36.2</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94F782" w14:textId="77777777" w:rsidR="009D0E57" w:rsidRDefault="009D0E57" w:rsidP="009D0E57">
            <w:pPr>
              <w:jc w:val="center"/>
            </w:pPr>
            <w:r>
              <w:rPr>
                <w:color w:val="000000"/>
                <w:sz w:val="20"/>
              </w:rPr>
              <w:t>62</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81517" w14:textId="77777777" w:rsidR="009D0E57" w:rsidRDefault="009D0E57" w:rsidP="009D0E57">
            <w:pPr>
              <w:jc w:val="center"/>
            </w:pPr>
            <w:r>
              <w:rPr>
                <w:color w:val="000000"/>
                <w:sz w:val="20"/>
              </w:rPr>
              <w:t>31.0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7DC530" w14:textId="77777777" w:rsidR="009D0E57" w:rsidRDefault="009D0E57" w:rsidP="009D0E57">
            <w:pPr>
              <w:jc w:val="center"/>
            </w:pPr>
            <w:r>
              <w:rPr>
                <w:color w:val="000000"/>
                <w:sz w:val="20"/>
              </w:rPr>
              <w:t>12,038</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26DE6" w14:textId="77777777" w:rsidR="009D0E57" w:rsidRDefault="009D0E57" w:rsidP="009D0E57">
            <w:pPr>
              <w:jc w:val="center"/>
            </w:pPr>
            <w:r>
              <w:rPr>
                <w:color w:val="000000"/>
                <w:sz w:val="20"/>
              </w:rPr>
              <w:t>37.0</w:t>
            </w:r>
          </w:p>
        </w:tc>
      </w:tr>
      <w:tr w:rsidR="009D0E57" w14:paraId="77D373FE" w14:textId="77777777" w:rsidTr="009D0E57">
        <w:trPr>
          <w:trHeight w:val="195"/>
        </w:trPr>
        <w:tc>
          <w:tcPr>
            <w:tcW w:w="2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FF8A14D" w14:textId="77777777" w:rsidR="009D0E57" w:rsidRDefault="009D0E57" w:rsidP="009D0E57">
            <w:r>
              <w:rPr>
                <w:color w:val="000000"/>
                <w:sz w:val="20"/>
              </w:rPr>
              <w:t>Not Available</w:t>
            </w:r>
          </w:p>
        </w:tc>
        <w:tc>
          <w:tcPr>
            <w:tcW w:w="684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50D3A0" w14:textId="77777777" w:rsidR="009D0E57" w:rsidRDefault="009D0E57" w:rsidP="009D0E57"/>
        </w:tc>
      </w:tr>
      <w:tr w:rsidR="009D0E57" w14:paraId="03FFC6B9"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615D36F" w14:textId="77777777" w:rsidR="009D0E57" w:rsidRDefault="009D0E57" w:rsidP="009D0E57">
            <w:pPr>
              <w:jc w:val="right"/>
            </w:pPr>
            <w:r>
              <w:rPr>
                <w:color w:val="000000"/>
                <w:sz w:val="20"/>
              </w:rPr>
              <w:t>2018</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5CFC0E" w14:textId="77777777" w:rsidR="009D0E57" w:rsidRDefault="009D0E57" w:rsidP="009D0E57">
            <w:pPr>
              <w:jc w:val="center"/>
            </w:pPr>
            <w:r>
              <w:rPr>
                <w:color w:val="000000"/>
                <w:sz w:val="20"/>
              </w:rPr>
              <w:t>0.1</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3E5771" w14:textId="77777777" w:rsidR="009D0E57" w:rsidRDefault="009D0E57" w:rsidP="009D0E57">
            <w:pPr>
              <w:jc w:val="center"/>
            </w:pPr>
            <w:r>
              <w:rPr>
                <w:color w:val="000000"/>
                <w:sz w:val="20"/>
              </w:rPr>
              <w:t>0.1</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AD3FED" w14:textId="77777777" w:rsidR="009D0E57" w:rsidRDefault="009D0E57" w:rsidP="009D0E57">
            <w:pPr>
              <w:jc w:val="center"/>
            </w:pPr>
            <w:r>
              <w:rPr>
                <w:color w:val="000000"/>
                <w:sz w:val="20"/>
              </w:rPr>
              <w:t>1</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7A3194" w14:textId="77777777" w:rsidR="009D0E57" w:rsidRDefault="009D0E57" w:rsidP="009D0E57">
            <w:pPr>
              <w:jc w:val="center"/>
            </w:pPr>
            <w:r>
              <w:rPr>
                <w:color w:val="000000"/>
                <w:sz w:val="20"/>
              </w:rPr>
              <w:t>0.5</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CCC35F" w14:textId="77777777" w:rsidR="009D0E57" w:rsidRDefault="009D0E57" w:rsidP="009D0E57">
            <w:pPr>
              <w:jc w:val="center"/>
            </w:pPr>
            <w:r>
              <w:rPr>
                <w:color w:val="000000"/>
                <w:sz w:val="20"/>
              </w:rPr>
              <w:t>36</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6FEDB9" w14:textId="77777777" w:rsidR="009D0E57" w:rsidRDefault="009D0E57" w:rsidP="009D0E57">
            <w:pPr>
              <w:jc w:val="center"/>
            </w:pPr>
            <w:r>
              <w:rPr>
                <w:color w:val="000000"/>
                <w:sz w:val="20"/>
              </w:rPr>
              <w:t>0.1</w:t>
            </w:r>
          </w:p>
        </w:tc>
      </w:tr>
      <w:tr w:rsidR="009D0E57" w14:paraId="1B6B54ED" w14:textId="77777777" w:rsidTr="009D0E57">
        <w:trPr>
          <w:trHeight w:val="181"/>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6776C12" w14:textId="77777777" w:rsidR="009D0E57" w:rsidRDefault="009D0E57" w:rsidP="009D0E57">
            <w:pPr>
              <w:jc w:val="right"/>
            </w:pPr>
            <w:r>
              <w:rPr>
                <w:color w:val="000000"/>
                <w:sz w:val="20"/>
              </w:rPr>
              <w:t>2019</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E799F3E" w14:textId="77777777" w:rsidR="009D0E57" w:rsidRDefault="009D0E57" w:rsidP="009D0E57">
            <w:pPr>
              <w:jc w:val="center"/>
            </w:pPr>
            <w:r>
              <w:rPr>
                <w:color w:val="000000"/>
                <w:sz w:val="20"/>
              </w:rPr>
              <w:t>0.1</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DEE9EA" w14:textId="77777777" w:rsidR="009D0E57" w:rsidRDefault="009D0E57" w:rsidP="009D0E57">
            <w:pPr>
              <w:jc w:val="center"/>
            </w:pPr>
            <w:r>
              <w:rPr>
                <w:color w:val="000000"/>
                <w:sz w:val="20"/>
              </w:rPr>
              <w:t>0.1</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4C06810" w14:textId="77777777" w:rsidR="009D0E57" w:rsidRDefault="009D0E57" w:rsidP="009D0E57">
            <w:pPr>
              <w:jc w:val="center"/>
            </w:pPr>
            <w:r>
              <w:rPr>
                <w:color w:val="000000"/>
                <w:sz w:val="20"/>
              </w:rPr>
              <w:t>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64EE2E" w14:textId="77777777" w:rsidR="009D0E57" w:rsidRDefault="009D0E57" w:rsidP="009D0E57">
            <w:pPr>
              <w:jc w:val="center"/>
            </w:pPr>
            <w:r>
              <w:rPr>
                <w:color w:val="000000"/>
                <w:sz w:val="20"/>
              </w:rPr>
              <w:t>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120F50" w14:textId="77777777" w:rsidR="009D0E57" w:rsidRDefault="009D0E57" w:rsidP="009D0E57">
            <w:pPr>
              <w:jc w:val="center"/>
            </w:pPr>
            <w:r>
              <w:rPr>
                <w:color w:val="000000"/>
                <w:sz w:val="20"/>
              </w:rPr>
              <w:t>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E2372B" w14:textId="77777777" w:rsidR="009D0E57" w:rsidRDefault="009D0E57" w:rsidP="009D0E57">
            <w:pPr>
              <w:jc w:val="center"/>
            </w:pPr>
            <w:r>
              <w:rPr>
                <w:color w:val="000000"/>
                <w:sz w:val="20"/>
              </w:rPr>
              <w:t>0.0</w:t>
            </w:r>
          </w:p>
        </w:tc>
      </w:tr>
      <w:tr w:rsidR="009D0E57" w14:paraId="461C4330" w14:textId="77777777" w:rsidTr="009D0E57">
        <w:trPr>
          <w:trHeight w:val="210"/>
        </w:trPr>
        <w:tc>
          <w:tcPr>
            <w:tcW w:w="249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FA5B593" w14:textId="77777777" w:rsidR="009D0E57" w:rsidRDefault="009D0E57" w:rsidP="009D0E57">
            <w:r>
              <w:rPr>
                <w:b/>
                <w:color w:val="000000"/>
                <w:sz w:val="20"/>
              </w:rPr>
              <w:t>Totals</w:t>
            </w:r>
          </w:p>
        </w:tc>
        <w:tc>
          <w:tcPr>
            <w:tcW w:w="6845"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33D26C" w14:textId="77777777" w:rsidR="009D0E57" w:rsidRDefault="009D0E57" w:rsidP="009D0E57"/>
        </w:tc>
      </w:tr>
      <w:tr w:rsidR="009D0E57" w14:paraId="5F327853" w14:textId="77777777" w:rsidTr="009D0E57">
        <w:trPr>
          <w:trHeight w:val="195"/>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54A6CFE" w14:textId="77777777" w:rsidR="009D0E57" w:rsidRDefault="009D0E57" w:rsidP="009D0E57">
            <w:pPr>
              <w:jc w:val="right"/>
            </w:pPr>
            <w:r>
              <w:rPr>
                <w:b/>
                <w:color w:val="000000"/>
                <w:sz w:val="20"/>
              </w:rPr>
              <w:t>2018</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441CF8" w14:textId="77777777" w:rsidR="009D0E57" w:rsidRDefault="009D0E57" w:rsidP="009D0E57">
            <w:pPr>
              <w:jc w:val="center"/>
            </w:pPr>
            <w:r>
              <w:rPr>
                <w:b/>
                <w:color w:val="000000"/>
                <w:sz w:val="20"/>
              </w:rPr>
              <w:t>100.0</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847FB" w14:textId="77777777" w:rsidR="009D0E57" w:rsidRDefault="009D0E57" w:rsidP="009D0E57">
            <w:pPr>
              <w:jc w:val="center"/>
            </w:pPr>
            <w:r>
              <w:rPr>
                <w:b/>
                <w:color w:val="000000"/>
                <w:sz w:val="20"/>
              </w:rPr>
              <w:t>100.0</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8E6BFB" w14:textId="77777777" w:rsidR="009D0E57" w:rsidRDefault="009D0E57" w:rsidP="009D0E57">
            <w:pPr>
              <w:jc w:val="center"/>
            </w:pPr>
            <w:r>
              <w:rPr>
                <w:b/>
                <w:color w:val="000000"/>
                <w:sz w:val="20"/>
              </w:rPr>
              <w:t>194</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D16980" w14:textId="77777777" w:rsidR="009D0E57" w:rsidRDefault="009D0E57" w:rsidP="009D0E57">
            <w:pPr>
              <w:jc w:val="center"/>
            </w:pPr>
            <w:r>
              <w:rPr>
                <w:b/>
                <w:color w:val="000000"/>
                <w:sz w:val="20"/>
              </w:rPr>
              <w:t>100.0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7C9544D" w14:textId="77777777" w:rsidR="009D0E57" w:rsidRDefault="009D0E57" w:rsidP="009D0E57">
            <w:pPr>
              <w:jc w:val="center"/>
            </w:pPr>
            <w:r>
              <w:rPr>
                <w:b/>
                <w:color w:val="000000"/>
                <w:sz w:val="20"/>
              </w:rPr>
              <w:t>32,805</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B3F107" w14:textId="77777777" w:rsidR="009D0E57" w:rsidRDefault="009D0E57" w:rsidP="009D0E57">
            <w:pPr>
              <w:jc w:val="center"/>
            </w:pPr>
            <w:r>
              <w:rPr>
                <w:b/>
                <w:color w:val="000000"/>
                <w:sz w:val="20"/>
              </w:rPr>
              <w:t>100.0</w:t>
            </w:r>
          </w:p>
        </w:tc>
      </w:tr>
      <w:tr w:rsidR="009D0E57" w14:paraId="212543B7" w14:textId="77777777" w:rsidTr="009D0E57">
        <w:trPr>
          <w:trHeight w:val="195"/>
        </w:trPr>
        <w:tc>
          <w:tcPr>
            <w:tcW w:w="2497"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E3EFFBD" w14:textId="77777777" w:rsidR="009D0E57" w:rsidRDefault="009D0E57" w:rsidP="009D0E57">
            <w:pPr>
              <w:jc w:val="right"/>
            </w:pPr>
            <w:r>
              <w:rPr>
                <w:b/>
                <w:color w:val="000000"/>
                <w:sz w:val="20"/>
              </w:rPr>
              <w:t>2019</w:t>
            </w:r>
          </w:p>
        </w:tc>
        <w:tc>
          <w:tcPr>
            <w:tcW w:w="15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E5CB9A" w14:textId="77777777" w:rsidR="009D0E57" w:rsidRDefault="009D0E57" w:rsidP="009D0E57">
            <w:pPr>
              <w:jc w:val="center"/>
            </w:pPr>
            <w:r>
              <w:rPr>
                <w:b/>
                <w:color w:val="000000"/>
                <w:sz w:val="20"/>
              </w:rPr>
              <w:t>100.0</w:t>
            </w:r>
          </w:p>
        </w:tc>
        <w:tc>
          <w:tcPr>
            <w:tcW w:w="142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C0B9E6" w14:textId="77777777" w:rsidR="009D0E57" w:rsidRDefault="009D0E57" w:rsidP="009D0E57">
            <w:pPr>
              <w:jc w:val="center"/>
            </w:pPr>
            <w:r>
              <w:rPr>
                <w:b/>
                <w:color w:val="000000"/>
                <w:sz w:val="20"/>
              </w:rPr>
              <w:t>100.0</w:t>
            </w:r>
          </w:p>
        </w:tc>
        <w:tc>
          <w:tcPr>
            <w:tcW w:w="119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A87610" w14:textId="77777777" w:rsidR="009D0E57" w:rsidRDefault="009D0E57" w:rsidP="009D0E57">
            <w:pPr>
              <w:jc w:val="center"/>
            </w:pPr>
            <w:r>
              <w:rPr>
                <w:b/>
                <w:color w:val="000000"/>
                <w:sz w:val="20"/>
              </w:rPr>
              <w:t>200</w:t>
            </w:r>
          </w:p>
        </w:tc>
        <w:tc>
          <w:tcPr>
            <w:tcW w:w="8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C5FE8F" w14:textId="77777777" w:rsidR="009D0E57" w:rsidRDefault="009D0E57" w:rsidP="009D0E57">
            <w:pPr>
              <w:jc w:val="center"/>
            </w:pPr>
            <w:r>
              <w:rPr>
                <w:b/>
                <w:color w:val="000000"/>
                <w:sz w:val="20"/>
              </w:rPr>
              <w:t>100.0</w:t>
            </w:r>
          </w:p>
        </w:tc>
        <w:tc>
          <w:tcPr>
            <w:tcW w:w="10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C37703" w14:textId="77777777" w:rsidR="009D0E57" w:rsidRDefault="009D0E57" w:rsidP="009D0E57">
            <w:pPr>
              <w:jc w:val="center"/>
            </w:pPr>
            <w:r>
              <w:rPr>
                <w:b/>
                <w:color w:val="000000"/>
                <w:sz w:val="20"/>
              </w:rPr>
              <w:t>32,570</w:t>
            </w:r>
          </w:p>
        </w:tc>
        <w:tc>
          <w:tcPr>
            <w:tcW w:w="81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B9775E" w14:textId="77777777" w:rsidR="009D0E57" w:rsidRDefault="009D0E57" w:rsidP="009D0E57">
            <w:pPr>
              <w:jc w:val="center"/>
            </w:pPr>
            <w:r>
              <w:rPr>
                <w:b/>
                <w:color w:val="000000"/>
                <w:sz w:val="20"/>
              </w:rPr>
              <w:t>100.0</w:t>
            </w:r>
          </w:p>
        </w:tc>
      </w:tr>
      <w:tr w:rsidR="009D0E57" w14:paraId="7EA98757" w14:textId="77777777" w:rsidTr="00250940">
        <w:trPr>
          <w:trHeight w:val="19"/>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2DA392FB" w14:textId="77777777" w:rsidR="009D0E57" w:rsidRDefault="009D0E57" w:rsidP="009D0E57">
            <w:proofErr w:type="gramStart"/>
            <w:r>
              <w:rPr>
                <w:i/>
                <w:color w:val="000000"/>
                <w:sz w:val="16"/>
              </w:rPr>
              <w:t>Source: 2015 ACS; Bank Data, 2018 &amp; 2019 HMDA Aggregate Data, "--" data not available.</w:t>
            </w:r>
            <w:proofErr w:type="gramEnd"/>
          </w:p>
          <w:p w14:paraId="774A764E" w14:textId="77777777" w:rsidR="009D0E57" w:rsidRDefault="009D0E57" w:rsidP="009D0E57">
            <w:r>
              <w:rPr>
                <w:i/>
                <w:color w:val="000000"/>
                <w:sz w:val="16"/>
              </w:rPr>
              <w:t>Due to rounding, totals may not equal 100.0%</w:t>
            </w:r>
          </w:p>
        </w:tc>
      </w:tr>
    </w:tbl>
    <w:p w14:paraId="48BA224B" w14:textId="77777777" w:rsidR="009D0E57" w:rsidRDefault="009D0E57" w:rsidP="00250940">
      <w:pPr>
        <w:jc w:val="both"/>
      </w:pPr>
    </w:p>
    <w:p w14:paraId="27C283AB" w14:textId="77777777" w:rsidR="009D0E57" w:rsidRPr="0035304F" w:rsidRDefault="009D0E57" w:rsidP="00250940">
      <w:pPr>
        <w:jc w:val="both"/>
        <w:rPr>
          <w:b/>
          <w:i/>
        </w:rPr>
      </w:pPr>
      <w:r w:rsidRPr="0035304F">
        <w:rPr>
          <w:b/>
          <w:i/>
        </w:rPr>
        <w:t>Consumer Lending</w:t>
      </w:r>
    </w:p>
    <w:p w14:paraId="7366B1D5" w14:textId="77777777" w:rsidR="003817A2" w:rsidRDefault="003817A2" w:rsidP="00250940">
      <w:pPr>
        <w:jc w:val="both"/>
      </w:pPr>
    </w:p>
    <w:p w14:paraId="6C420A97" w14:textId="5EDB94D0" w:rsidR="009D0E57" w:rsidRDefault="009D0E57" w:rsidP="00250940">
      <w:pPr>
        <w:jc w:val="both"/>
      </w:pPr>
      <w:r>
        <w:t>The geographic distribution of sampled consumer loans reflects reasonable dispersion</w:t>
      </w:r>
      <w:proofErr w:type="gramStart"/>
      <w:r>
        <w:t xml:space="preserve">.  </w:t>
      </w:r>
      <w:proofErr w:type="gramEnd"/>
      <w:r>
        <w:t>Examiners compared the credit u</w:t>
      </w:r>
      <w:r w:rsidR="003817A2">
        <w:t xml:space="preserve">nion’s lending activity to the </w:t>
      </w:r>
      <w:r>
        <w:t>demographic data</w:t>
      </w:r>
      <w:r w:rsidR="003817A2">
        <w:t xml:space="preserve"> of households</w:t>
      </w:r>
      <w:proofErr w:type="gramStart"/>
      <w:r>
        <w:t xml:space="preserve">.  </w:t>
      </w:r>
      <w:proofErr w:type="gramEnd"/>
      <w:r w:rsidR="003817A2">
        <w:t>The credit unions sampled loans exhibited only one origination in 2018 and no loans originated in 2019</w:t>
      </w:r>
      <w:r w:rsidR="008A1075">
        <w:t xml:space="preserve"> to low-income tracts</w:t>
      </w:r>
      <w:proofErr w:type="gramStart"/>
      <w:r>
        <w:t xml:space="preserve">.  </w:t>
      </w:r>
      <w:proofErr w:type="gramEnd"/>
      <w:r>
        <w:t xml:space="preserve">The credit union </w:t>
      </w:r>
      <w:r w:rsidR="003817A2">
        <w:t>originated one of the sampled loans in a moderate-income census tract in 2018</w:t>
      </w:r>
      <w:proofErr w:type="gramStart"/>
      <w:r>
        <w:t>.</w:t>
      </w:r>
      <w:r w:rsidR="003817A2">
        <w:t xml:space="preserve">  </w:t>
      </w:r>
      <w:proofErr w:type="gramEnd"/>
      <w:r w:rsidR="003817A2">
        <w:t>In 2019</w:t>
      </w:r>
      <w:r w:rsidR="008A1075">
        <w:t>,</w:t>
      </w:r>
      <w:r w:rsidR="003817A2">
        <w:t xml:space="preserve"> </w:t>
      </w:r>
      <w:r w:rsidR="008A1075">
        <w:t>five</w:t>
      </w:r>
      <w:r w:rsidR="003817A2">
        <w:t xml:space="preserve"> of the sampled loans were originations in moderate</w:t>
      </w:r>
      <w:r w:rsidR="008A1075">
        <w:t>-</w:t>
      </w:r>
      <w:r w:rsidR="003817A2">
        <w:t xml:space="preserve">income census tracts, far above the demographic distribution of households. </w:t>
      </w:r>
    </w:p>
    <w:p w14:paraId="3C9D2A08" w14:textId="34B5BB4F" w:rsidR="00597B81" w:rsidRDefault="00597B81">
      <w:pPr>
        <w:spacing w:after="160" w:line="259" w:lineRule="auto"/>
      </w:pPr>
      <w:r>
        <w:br w:type="page"/>
      </w:r>
    </w:p>
    <w:p w14:paraId="3ADFA169" w14:textId="77777777" w:rsidR="009D0E57" w:rsidRDefault="009D0E57" w:rsidP="00250940">
      <w:pPr>
        <w:jc w:val="both"/>
      </w:pPr>
    </w:p>
    <w:tbl>
      <w:tblPr>
        <w:tblW w:w="0" w:type="auto"/>
        <w:tblCellMar>
          <w:left w:w="0" w:type="dxa"/>
          <w:right w:w="0" w:type="dxa"/>
        </w:tblCellMar>
        <w:tblLook w:val="0000" w:firstRow="0" w:lastRow="0" w:firstColumn="0" w:lastColumn="0" w:noHBand="0" w:noVBand="0"/>
      </w:tblPr>
      <w:tblGrid>
        <w:gridCol w:w="2130"/>
        <w:gridCol w:w="1548"/>
        <w:gridCol w:w="1345"/>
        <w:gridCol w:w="1410"/>
        <w:gridCol w:w="1451"/>
        <w:gridCol w:w="1412"/>
      </w:tblGrid>
      <w:tr w:rsidR="009D0E57" w:rsidRPr="009D0E57" w14:paraId="7B25FF09" w14:textId="77777777" w:rsidTr="00250940">
        <w:trPr>
          <w:trHeight w:val="215"/>
        </w:trPr>
        <w:tc>
          <w:tcPr>
            <w:tcW w:w="9296" w:type="dxa"/>
            <w:gridSpan w:val="6"/>
            <w:tcBorders>
              <w:top w:val="single" w:sz="7" w:space="0" w:color="000000"/>
              <w:left w:val="single" w:sz="7" w:space="0" w:color="000000"/>
              <w:right w:val="single" w:sz="7" w:space="0" w:color="000000"/>
            </w:tcBorders>
            <w:tcMar>
              <w:top w:w="39" w:type="dxa"/>
              <w:left w:w="39" w:type="dxa"/>
              <w:bottom w:w="39" w:type="dxa"/>
              <w:right w:w="39" w:type="dxa"/>
            </w:tcMar>
          </w:tcPr>
          <w:p w14:paraId="74625363" w14:textId="77777777" w:rsidR="009D0E57" w:rsidRPr="009D0E57" w:rsidRDefault="009D0E57" w:rsidP="009D0E57">
            <w:pPr>
              <w:jc w:val="center"/>
              <w:rPr>
                <w:sz w:val="20"/>
                <w:szCs w:val="20"/>
              </w:rPr>
            </w:pPr>
            <w:r w:rsidRPr="009D0E57">
              <w:rPr>
                <w:b/>
                <w:color w:val="000000"/>
                <w:sz w:val="20"/>
                <w:szCs w:val="20"/>
              </w:rPr>
              <w:t>Geographic Distribution of Consumer Loans</w:t>
            </w:r>
          </w:p>
        </w:tc>
      </w:tr>
      <w:tr w:rsidR="009D0E57" w:rsidRPr="009D0E57" w14:paraId="25CA0812" w14:textId="77777777" w:rsidTr="00250940">
        <w:trPr>
          <w:trHeight w:val="380"/>
        </w:trPr>
        <w:tc>
          <w:tcPr>
            <w:tcW w:w="21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BB6090E" w14:textId="77777777" w:rsidR="009D0E57" w:rsidRPr="009D0E57" w:rsidRDefault="009D0E57" w:rsidP="009D0E57">
            <w:pPr>
              <w:rPr>
                <w:sz w:val="20"/>
                <w:szCs w:val="20"/>
              </w:rPr>
            </w:pPr>
            <w:r w:rsidRPr="009D0E57">
              <w:rPr>
                <w:b/>
                <w:color w:val="000000"/>
                <w:sz w:val="20"/>
                <w:szCs w:val="20"/>
              </w:rPr>
              <w:t>Tract Income Level</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18669FB" w14:textId="77777777" w:rsidR="009D0E57" w:rsidRPr="009D0E57" w:rsidRDefault="009D0E57" w:rsidP="009D0E57">
            <w:pPr>
              <w:jc w:val="center"/>
              <w:rPr>
                <w:sz w:val="20"/>
                <w:szCs w:val="20"/>
              </w:rPr>
            </w:pPr>
            <w:r w:rsidRPr="009D0E57">
              <w:rPr>
                <w:b/>
                <w:color w:val="000000"/>
                <w:sz w:val="20"/>
                <w:szCs w:val="20"/>
              </w:rPr>
              <w:t>% of  Households</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C9C7A74" w14:textId="77777777" w:rsidR="009D0E57" w:rsidRPr="009D0E57" w:rsidRDefault="009D0E57" w:rsidP="009D0E57">
            <w:pPr>
              <w:jc w:val="center"/>
              <w:rPr>
                <w:sz w:val="20"/>
                <w:szCs w:val="20"/>
              </w:rPr>
            </w:pPr>
            <w:r w:rsidRPr="009D0E57">
              <w:rPr>
                <w:b/>
                <w:color w:val="000000"/>
                <w:sz w:val="20"/>
                <w:szCs w:val="20"/>
              </w:rPr>
              <w:t>#</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A129DCA" w14:textId="77777777" w:rsidR="009D0E57" w:rsidRPr="009D0E57" w:rsidRDefault="009D0E57" w:rsidP="009D0E57">
            <w:pPr>
              <w:jc w:val="center"/>
              <w:rPr>
                <w:sz w:val="20"/>
                <w:szCs w:val="20"/>
              </w:rPr>
            </w:pPr>
            <w:r w:rsidRPr="009D0E57">
              <w:rPr>
                <w:b/>
                <w:color w:val="000000"/>
                <w:sz w:val="20"/>
                <w:szCs w:val="20"/>
              </w:rPr>
              <w:t>%</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73C2CB8" w14:textId="77777777" w:rsidR="009D0E57" w:rsidRPr="009D0E57" w:rsidRDefault="009D0E57" w:rsidP="009D0E57">
            <w:pPr>
              <w:jc w:val="center"/>
              <w:rPr>
                <w:sz w:val="20"/>
                <w:szCs w:val="20"/>
              </w:rPr>
            </w:pPr>
            <w:r w:rsidRPr="009D0E57">
              <w:rPr>
                <w:b/>
                <w:color w:val="000000"/>
                <w:sz w:val="20"/>
                <w:szCs w:val="20"/>
              </w:rPr>
              <w:t>$(</w:t>
            </w:r>
            <w:proofErr w:type="spellStart"/>
            <w:r w:rsidRPr="009D0E57">
              <w:rPr>
                <w:b/>
                <w:color w:val="000000"/>
                <w:sz w:val="20"/>
                <w:szCs w:val="20"/>
              </w:rPr>
              <w:t>000s</w:t>
            </w:r>
            <w:proofErr w:type="spellEnd"/>
            <w:r w:rsidRPr="009D0E57">
              <w:rPr>
                <w:b/>
                <w:color w:val="000000"/>
                <w:sz w:val="20"/>
                <w:szCs w:val="20"/>
              </w:rPr>
              <w:t>)</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8C5C9E" w14:textId="77777777" w:rsidR="009D0E57" w:rsidRPr="009D0E57" w:rsidRDefault="009D0E57" w:rsidP="009D0E57">
            <w:pPr>
              <w:jc w:val="center"/>
              <w:rPr>
                <w:sz w:val="20"/>
                <w:szCs w:val="20"/>
              </w:rPr>
            </w:pPr>
            <w:r w:rsidRPr="009D0E57">
              <w:rPr>
                <w:b/>
                <w:color w:val="000000"/>
                <w:sz w:val="20"/>
                <w:szCs w:val="20"/>
              </w:rPr>
              <w:t>%</w:t>
            </w:r>
          </w:p>
        </w:tc>
      </w:tr>
      <w:tr w:rsidR="009D0E57" w:rsidRPr="009D0E57" w14:paraId="454CBC29" w14:textId="77777777" w:rsidTr="00250940">
        <w:trPr>
          <w:trHeight w:val="138"/>
        </w:trPr>
        <w:tc>
          <w:tcPr>
            <w:tcW w:w="21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A458E1" w14:textId="77777777" w:rsidR="009D0E57" w:rsidRPr="009D0E57" w:rsidRDefault="009D0E57" w:rsidP="009D0E57">
            <w:pPr>
              <w:rPr>
                <w:sz w:val="20"/>
                <w:szCs w:val="20"/>
              </w:rPr>
            </w:pPr>
            <w:r w:rsidRPr="009D0E57">
              <w:rPr>
                <w:color w:val="000000"/>
                <w:sz w:val="20"/>
                <w:szCs w:val="20"/>
              </w:rPr>
              <w:t>Low</w:t>
            </w:r>
          </w:p>
        </w:tc>
        <w:tc>
          <w:tcPr>
            <w:tcW w:w="7166"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F28E60" w14:textId="77777777" w:rsidR="009D0E57" w:rsidRPr="009D0E57" w:rsidRDefault="009D0E57" w:rsidP="009D0E57">
            <w:pPr>
              <w:rPr>
                <w:sz w:val="20"/>
                <w:szCs w:val="20"/>
              </w:rPr>
            </w:pPr>
          </w:p>
        </w:tc>
      </w:tr>
      <w:tr w:rsidR="009D0E57" w:rsidRPr="009D0E57" w14:paraId="27559D91"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DB4F15" w14:textId="77777777" w:rsidR="009D0E57" w:rsidRPr="009D0E57" w:rsidRDefault="009D0E57" w:rsidP="009D0E57">
            <w:pPr>
              <w:jc w:val="right"/>
              <w:rPr>
                <w:sz w:val="20"/>
                <w:szCs w:val="20"/>
              </w:rPr>
            </w:pPr>
            <w:r w:rsidRPr="009D0E57">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759878" w14:textId="77777777" w:rsidR="009D0E57" w:rsidRPr="009D0E57" w:rsidRDefault="009D0E57" w:rsidP="009D0E57">
            <w:pPr>
              <w:jc w:val="center"/>
              <w:rPr>
                <w:sz w:val="20"/>
                <w:szCs w:val="20"/>
              </w:rPr>
            </w:pPr>
            <w:r w:rsidRPr="009D0E57">
              <w:rPr>
                <w:color w:val="000000"/>
                <w:sz w:val="20"/>
                <w:szCs w:val="20"/>
              </w:rPr>
              <w:t>13.2</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670425" w14:textId="77777777" w:rsidR="009D0E57" w:rsidRPr="009D0E57" w:rsidRDefault="009D0E57" w:rsidP="009D0E57">
            <w:pPr>
              <w:jc w:val="center"/>
              <w:rPr>
                <w:sz w:val="20"/>
                <w:szCs w:val="20"/>
              </w:rPr>
            </w:pPr>
            <w:r w:rsidRPr="009D0E57">
              <w:rPr>
                <w:sz w:val="20"/>
                <w:szCs w:val="20"/>
              </w:rPr>
              <w:t>1</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16BD09" w14:textId="77777777" w:rsidR="009D0E57" w:rsidRPr="009D0E57" w:rsidRDefault="009D0E57" w:rsidP="009D0E57">
            <w:pPr>
              <w:jc w:val="center"/>
              <w:rPr>
                <w:sz w:val="20"/>
                <w:szCs w:val="20"/>
              </w:rPr>
            </w:pPr>
            <w:r w:rsidRPr="009D0E57">
              <w:rPr>
                <w:sz w:val="20"/>
                <w:szCs w:val="20"/>
              </w:rPr>
              <w:t>6.7</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5EC195" w14:textId="77777777" w:rsidR="009D0E57" w:rsidRPr="009D0E57" w:rsidRDefault="009D0E57" w:rsidP="009D0E57">
            <w:pPr>
              <w:jc w:val="center"/>
              <w:rPr>
                <w:sz w:val="20"/>
                <w:szCs w:val="20"/>
              </w:rPr>
            </w:pPr>
            <w:r w:rsidRPr="009D0E57">
              <w:rPr>
                <w:sz w:val="20"/>
                <w:szCs w:val="20"/>
              </w:rPr>
              <w:t>22</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355D9F" w14:textId="77777777" w:rsidR="009D0E57" w:rsidRPr="009D0E57" w:rsidRDefault="009D0E57" w:rsidP="009D0E57">
            <w:pPr>
              <w:jc w:val="center"/>
              <w:rPr>
                <w:sz w:val="20"/>
                <w:szCs w:val="20"/>
              </w:rPr>
            </w:pPr>
            <w:r w:rsidRPr="009D0E57">
              <w:rPr>
                <w:sz w:val="20"/>
                <w:szCs w:val="20"/>
              </w:rPr>
              <w:t>8.8</w:t>
            </w:r>
          </w:p>
        </w:tc>
      </w:tr>
      <w:tr w:rsidR="009D0E57" w:rsidRPr="009D0E57" w14:paraId="5D786E35"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A8A8072" w14:textId="77777777" w:rsidR="009D0E57" w:rsidRPr="009D0E57" w:rsidRDefault="009D0E57" w:rsidP="009D0E57">
            <w:pPr>
              <w:jc w:val="right"/>
              <w:rPr>
                <w:sz w:val="20"/>
                <w:szCs w:val="20"/>
              </w:rPr>
            </w:pPr>
            <w:r w:rsidRPr="009D0E57">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E6E54CE" w14:textId="77777777" w:rsidR="009D0E57" w:rsidRPr="009D0E57" w:rsidRDefault="009D0E57" w:rsidP="009D0E57">
            <w:pPr>
              <w:jc w:val="center"/>
              <w:rPr>
                <w:sz w:val="20"/>
                <w:szCs w:val="20"/>
              </w:rPr>
            </w:pPr>
            <w:r w:rsidRPr="009D0E57">
              <w:rPr>
                <w:color w:val="000000"/>
                <w:sz w:val="20"/>
                <w:szCs w:val="20"/>
              </w:rPr>
              <w:t>13.2</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9B82FEF" w14:textId="77777777" w:rsidR="009D0E57" w:rsidRPr="009D0E57" w:rsidRDefault="009D0E57" w:rsidP="009D0E57">
            <w:pPr>
              <w:jc w:val="center"/>
              <w:rPr>
                <w:sz w:val="20"/>
                <w:szCs w:val="20"/>
              </w:rPr>
            </w:pPr>
            <w:r w:rsidRPr="009D0E57">
              <w:rPr>
                <w:sz w:val="20"/>
                <w:szCs w:val="20"/>
              </w:rPr>
              <w:t>0</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A13E082" w14:textId="77777777" w:rsidR="009D0E57" w:rsidRPr="009D0E57" w:rsidRDefault="009D0E57" w:rsidP="009D0E57">
            <w:pPr>
              <w:jc w:val="center"/>
              <w:rPr>
                <w:sz w:val="20"/>
                <w:szCs w:val="20"/>
              </w:rPr>
            </w:pPr>
            <w:r w:rsidRPr="009D0E57">
              <w:rPr>
                <w:sz w:val="20"/>
                <w:szCs w:val="20"/>
              </w:rPr>
              <w:t>0.0</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98984B" w14:textId="77777777" w:rsidR="009D0E57" w:rsidRPr="009D0E57" w:rsidRDefault="009D0E57" w:rsidP="009D0E57">
            <w:pPr>
              <w:jc w:val="center"/>
              <w:rPr>
                <w:sz w:val="20"/>
                <w:szCs w:val="20"/>
              </w:rPr>
            </w:pPr>
            <w:r w:rsidRPr="009D0E57">
              <w:rPr>
                <w:sz w:val="20"/>
                <w:szCs w:val="20"/>
              </w:rPr>
              <w:t>0</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175083" w14:textId="77777777" w:rsidR="009D0E57" w:rsidRPr="009D0E57" w:rsidRDefault="009D0E57" w:rsidP="009D0E57">
            <w:pPr>
              <w:jc w:val="center"/>
              <w:rPr>
                <w:sz w:val="20"/>
                <w:szCs w:val="20"/>
              </w:rPr>
            </w:pPr>
            <w:r w:rsidRPr="009D0E57">
              <w:rPr>
                <w:sz w:val="20"/>
                <w:szCs w:val="20"/>
              </w:rPr>
              <w:t>0.0</w:t>
            </w:r>
          </w:p>
        </w:tc>
      </w:tr>
      <w:tr w:rsidR="009D0E57" w:rsidRPr="009D0E57" w14:paraId="63DDB5BE" w14:textId="77777777" w:rsidTr="00250940">
        <w:trPr>
          <w:trHeight w:val="138"/>
        </w:trPr>
        <w:tc>
          <w:tcPr>
            <w:tcW w:w="21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28BF11" w14:textId="77777777" w:rsidR="009D0E57" w:rsidRPr="009D0E57" w:rsidRDefault="009D0E57" w:rsidP="009D0E57">
            <w:pPr>
              <w:rPr>
                <w:sz w:val="20"/>
                <w:szCs w:val="20"/>
              </w:rPr>
            </w:pPr>
            <w:r w:rsidRPr="009D0E57">
              <w:rPr>
                <w:color w:val="000000"/>
                <w:sz w:val="20"/>
                <w:szCs w:val="20"/>
              </w:rPr>
              <w:t>Moderate</w:t>
            </w:r>
          </w:p>
        </w:tc>
        <w:tc>
          <w:tcPr>
            <w:tcW w:w="7166"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36EAE1" w14:textId="77777777" w:rsidR="009D0E57" w:rsidRPr="009D0E57" w:rsidRDefault="009D0E57" w:rsidP="009D0E57">
            <w:pPr>
              <w:rPr>
                <w:sz w:val="20"/>
                <w:szCs w:val="20"/>
              </w:rPr>
            </w:pPr>
          </w:p>
        </w:tc>
      </w:tr>
      <w:tr w:rsidR="009D0E57" w:rsidRPr="009D0E57" w14:paraId="1D93F97C"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B922B77" w14:textId="77777777" w:rsidR="009D0E57" w:rsidRPr="009D0E57" w:rsidRDefault="009D0E57" w:rsidP="009D0E57">
            <w:pPr>
              <w:jc w:val="right"/>
              <w:rPr>
                <w:sz w:val="20"/>
                <w:szCs w:val="20"/>
              </w:rPr>
            </w:pPr>
            <w:r w:rsidRPr="009D0E57">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9A4E38" w14:textId="77777777" w:rsidR="009D0E57" w:rsidRPr="009D0E57" w:rsidRDefault="009D0E57" w:rsidP="009D0E57">
            <w:pPr>
              <w:jc w:val="center"/>
              <w:rPr>
                <w:sz w:val="20"/>
                <w:szCs w:val="20"/>
              </w:rPr>
            </w:pPr>
            <w:r w:rsidRPr="009D0E57">
              <w:rPr>
                <w:color w:val="000000"/>
                <w:sz w:val="20"/>
                <w:szCs w:val="20"/>
              </w:rPr>
              <w:t>20.0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B799F3" w14:textId="77777777" w:rsidR="009D0E57" w:rsidRPr="009D0E57" w:rsidRDefault="009D0E57" w:rsidP="009D0E57">
            <w:pPr>
              <w:jc w:val="center"/>
              <w:rPr>
                <w:sz w:val="20"/>
                <w:szCs w:val="20"/>
              </w:rPr>
            </w:pPr>
            <w:r w:rsidRPr="009D0E57">
              <w:rPr>
                <w:sz w:val="20"/>
                <w:szCs w:val="20"/>
              </w:rPr>
              <w:t>1</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99F6CA" w14:textId="77777777" w:rsidR="009D0E57" w:rsidRPr="009D0E57" w:rsidRDefault="009D0E57" w:rsidP="009D0E57">
            <w:pPr>
              <w:jc w:val="center"/>
              <w:rPr>
                <w:sz w:val="20"/>
                <w:szCs w:val="20"/>
              </w:rPr>
            </w:pPr>
            <w:r w:rsidRPr="009D0E57">
              <w:rPr>
                <w:sz w:val="20"/>
                <w:szCs w:val="20"/>
              </w:rPr>
              <w:t>6.7</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9D725B" w14:textId="77777777" w:rsidR="009D0E57" w:rsidRPr="009D0E57" w:rsidRDefault="009D0E57" w:rsidP="009D0E57">
            <w:pPr>
              <w:jc w:val="center"/>
              <w:rPr>
                <w:sz w:val="20"/>
                <w:szCs w:val="20"/>
              </w:rPr>
            </w:pPr>
            <w:r w:rsidRPr="009D0E57">
              <w:rPr>
                <w:sz w:val="20"/>
                <w:szCs w:val="20"/>
              </w:rPr>
              <w:t>5</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8F821" w14:textId="77777777" w:rsidR="009D0E57" w:rsidRPr="009D0E57" w:rsidRDefault="009D0E57" w:rsidP="009D0E57">
            <w:pPr>
              <w:jc w:val="center"/>
              <w:rPr>
                <w:sz w:val="20"/>
                <w:szCs w:val="20"/>
              </w:rPr>
            </w:pPr>
            <w:r w:rsidRPr="009D0E57">
              <w:rPr>
                <w:sz w:val="20"/>
                <w:szCs w:val="20"/>
              </w:rPr>
              <w:t>2.2</w:t>
            </w:r>
          </w:p>
        </w:tc>
      </w:tr>
      <w:tr w:rsidR="009D0E57" w:rsidRPr="009D0E57" w14:paraId="05128094"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0D6C850" w14:textId="77777777" w:rsidR="009D0E57" w:rsidRPr="009D0E57" w:rsidRDefault="009D0E57" w:rsidP="009D0E57">
            <w:pPr>
              <w:jc w:val="right"/>
              <w:rPr>
                <w:sz w:val="20"/>
                <w:szCs w:val="20"/>
              </w:rPr>
            </w:pPr>
            <w:r w:rsidRPr="009D0E57">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CF7CBA" w14:textId="77777777" w:rsidR="009D0E57" w:rsidRPr="009D0E57" w:rsidRDefault="009D0E57" w:rsidP="009D0E57">
            <w:pPr>
              <w:jc w:val="center"/>
              <w:rPr>
                <w:sz w:val="20"/>
                <w:szCs w:val="20"/>
              </w:rPr>
            </w:pPr>
            <w:r w:rsidRPr="009D0E57">
              <w:rPr>
                <w:color w:val="000000"/>
                <w:sz w:val="20"/>
                <w:szCs w:val="20"/>
              </w:rPr>
              <w:t>20.0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4F0D957" w14:textId="77777777" w:rsidR="009D0E57" w:rsidRPr="009D0E57" w:rsidRDefault="009D0E57" w:rsidP="009D0E57">
            <w:pPr>
              <w:jc w:val="center"/>
              <w:rPr>
                <w:sz w:val="20"/>
                <w:szCs w:val="20"/>
              </w:rPr>
            </w:pPr>
            <w:r w:rsidRPr="009D0E57">
              <w:rPr>
                <w:sz w:val="20"/>
                <w:szCs w:val="20"/>
              </w:rPr>
              <w:t>5</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6CEBC6B" w14:textId="77777777" w:rsidR="009D0E57" w:rsidRPr="009D0E57" w:rsidRDefault="009D0E57" w:rsidP="009D0E57">
            <w:pPr>
              <w:jc w:val="center"/>
              <w:rPr>
                <w:sz w:val="20"/>
                <w:szCs w:val="20"/>
              </w:rPr>
            </w:pPr>
            <w:r w:rsidRPr="009D0E57">
              <w:rPr>
                <w:sz w:val="20"/>
                <w:szCs w:val="20"/>
              </w:rPr>
              <w:t>41.7</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1F183B" w14:textId="77777777" w:rsidR="009D0E57" w:rsidRPr="009D0E57" w:rsidRDefault="009D0E57" w:rsidP="009D0E57">
            <w:pPr>
              <w:jc w:val="center"/>
              <w:rPr>
                <w:sz w:val="20"/>
                <w:szCs w:val="20"/>
              </w:rPr>
            </w:pPr>
            <w:r w:rsidRPr="009D0E57">
              <w:rPr>
                <w:sz w:val="20"/>
                <w:szCs w:val="20"/>
              </w:rPr>
              <w:t>103</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F17495" w14:textId="77777777" w:rsidR="009D0E57" w:rsidRPr="009D0E57" w:rsidRDefault="009D0E57" w:rsidP="009D0E57">
            <w:pPr>
              <w:jc w:val="center"/>
              <w:rPr>
                <w:sz w:val="20"/>
                <w:szCs w:val="20"/>
              </w:rPr>
            </w:pPr>
            <w:r w:rsidRPr="009D0E57">
              <w:rPr>
                <w:sz w:val="20"/>
                <w:szCs w:val="20"/>
              </w:rPr>
              <w:t>41.6</w:t>
            </w:r>
          </w:p>
        </w:tc>
      </w:tr>
      <w:tr w:rsidR="009D0E57" w:rsidRPr="009D0E57" w14:paraId="60ABDD74" w14:textId="77777777" w:rsidTr="00250940">
        <w:trPr>
          <w:trHeight w:val="138"/>
        </w:trPr>
        <w:tc>
          <w:tcPr>
            <w:tcW w:w="21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DB5867" w14:textId="77777777" w:rsidR="009D0E57" w:rsidRPr="009D0E57" w:rsidRDefault="009D0E57" w:rsidP="009D0E57">
            <w:pPr>
              <w:rPr>
                <w:sz w:val="20"/>
                <w:szCs w:val="20"/>
              </w:rPr>
            </w:pPr>
            <w:r w:rsidRPr="009D0E57">
              <w:rPr>
                <w:color w:val="000000"/>
                <w:sz w:val="20"/>
                <w:szCs w:val="20"/>
              </w:rPr>
              <w:t>Middle</w:t>
            </w:r>
          </w:p>
        </w:tc>
        <w:tc>
          <w:tcPr>
            <w:tcW w:w="7166"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DB2875" w14:textId="77777777" w:rsidR="009D0E57" w:rsidRPr="009D0E57" w:rsidRDefault="009D0E57" w:rsidP="009D0E57">
            <w:pPr>
              <w:rPr>
                <w:sz w:val="20"/>
                <w:szCs w:val="20"/>
              </w:rPr>
            </w:pPr>
          </w:p>
        </w:tc>
      </w:tr>
      <w:tr w:rsidR="009D0E57" w:rsidRPr="009D0E57" w14:paraId="2AD91F98"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C5B99E3" w14:textId="77777777" w:rsidR="009D0E57" w:rsidRPr="009D0E57" w:rsidRDefault="009D0E57" w:rsidP="009D0E57">
            <w:pPr>
              <w:jc w:val="right"/>
              <w:rPr>
                <w:sz w:val="20"/>
                <w:szCs w:val="20"/>
              </w:rPr>
            </w:pPr>
            <w:r w:rsidRPr="009D0E57">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2B5EC7" w14:textId="77777777" w:rsidR="009D0E57" w:rsidRPr="009D0E57" w:rsidRDefault="009D0E57" w:rsidP="009D0E57">
            <w:pPr>
              <w:jc w:val="center"/>
              <w:rPr>
                <w:sz w:val="20"/>
                <w:szCs w:val="20"/>
              </w:rPr>
            </w:pPr>
            <w:r w:rsidRPr="009D0E57">
              <w:rPr>
                <w:color w:val="000000"/>
                <w:sz w:val="20"/>
                <w:szCs w:val="20"/>
              </w:rPr>
              <w:t>39.0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DFAC72" w14:textId="77777777" w:rsidR="009D0E57" w:rsidRPr="009D0E57" w:rsidRDefault="009D0E57" w:rsidP="009D0E57">
            <w:pPr>
              <w:jc w:val="center"/>
              <w:rPr>
                <w:sz w:val="20"/>
                <w:szCs w:val="20"/>
              </w:rPr>
            </w:pPr>
            <w:r w:rsidRPr="009D0E57">
              <w:rPr>
                <w:sz w:val="20"/>
                <w:szCs w:val="20"/>
              </w:rPr>
              <w:t>11</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E75512" w14:textId="77777777" w:rsidR="009D0E57" w:rsidRPr="009D0E57" w:rsidRDefault="009D0E57" w:rsidP="009D0E57">
            <w:pPr>
              <w:jc w:val="center"/>
              <w:rPr>
                <w:sz w:val="20"/>
                <w:szCs w:val="20"/>
              </w:rPr>
            </w:pPr>
            <w:r w:rsidRPr="009D0E57">
              <w:rPr>
                <w:sz w:val="20"/>
                <w:szCs w:val="20"/>
              </w:rPr>
              <w:t>73.3</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7B79492" w14:textId="77777777" w:rsidR="009D0E57" w:rsidRPr="009D0E57" w:rsidRDefault="009D0E57" w:rsidP="009D0E57">
            <w:pPr>
              <w:jc w:val="center"/>
              <w:rPr>
                <w:sz w:val="20"/>
                <w:szCs w:val="20"/>
              </w:rPr>
            </w:pPr>
            <w:r w:rsidRPr="009D0E57">
              <w:rPr>
                <w:sz w:val="20"/>
                <w:szCs w:val="20"/>
              </w:rPr>
              <w:t>166</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8CB506B" w14:textId="77777777" w:rsidR="009D0E57" w:rsidRPr="009D0E57" w:rsidRDefault="009D0E57" w:rsidP="009D0E57">
            <w:pPr>
              <w:jc w:val="center"/>
              <w:rPr>
                <w:sz w:val="20"/>
                <w:szCs w:val="20"/>
              </w:rPr>
            </w:pPr>
            <w:r w:rsidRPr="009D0E57">
              <w:rPr>
                <w:sz w:val="20"/>
                <w:szCs w:val="20"/>
              </w:rPr>
              <w:t>67.1</w:t>
            </w:r>
          </w:p>
        </w:tc>
      </w:tr>
      <w:tr w:rsidR="009D0E57" w:rsidRPr="009D0E57" w14:paraId="69795DBB"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69DD478" w14:textId="77777777" w:rsidR="009D0E57" w:rsidRPr="009D0E57" w:rsidRDefault="009D0E57" w:rsidP="009D0E57">
            <w:pPr>
              <w:jc w:val="right"/>
              <w:rPr>
                <w:sz w:val="20"/>
                <w:szCs w:val="20"/>
              </w:rPr>
            </w:pPr>
            <w:r w:rsidRPr="009D0E57">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ED0005" w14:textId="77777777" w:rsidR="009D0E57" w:rsidRPr="009D0E57" w:rsidRDefault="009D0E57" w:rsidP="009D0E57">
            <w:pPr>
              <w:jc w:val="center"/>
              <w:rPr>
                <w:sz w:val="20"/>
                <w:szCs w:val="20"/>
              </w:rPr>
            </w:pPr>
            <w:r w:rsidRPr="009D0E57">
              <w:rPr>
                <w:color w:val="000000"/>
                <w:sz w:val="20"/>
                <w:szCs w:val="20"/>
              </w:rPr>
              <w:t>39.0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226A664" w14:textId="77777777" w:rsidR="009D0E57" w:rsidRPr="009D0E57" w:rsidRDefault="009D0E57" w:rsidP="009D0E57">
            <w:pPr>
              <w:jc w:val="center"/>
              <w:rPr>
                <w:sz w:val="20"/>
                <w:szCs w:val="20"/>
              </w:rPr>
            </w:pPr>
            <w:r w:rsidRPr="009D0E57">
              <w:rPr>
                <w:sz w:val="20"/>
                <w:szCs w:val="20"/>
              </w:rPr>
              <w:t>4</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CA3DB8" w14:textId="77777777" w:rsidR="009D0E57" w:rsidRPr="009D0E57" w:rsidRDefault="009D0E57" w:rsidP="009D0E57">
            <w:pPr>
              <w:jc w:val="center"/>
              <w:rPr>
                <w:sz w:val="20"/>
                <w:szCs w:val="20"/>
              </w:rPr>
            </w:pPr>
            <w:r w:rsidRPr="009D0E57">
              <w:rPr>
                <w:sz w:val="20"/>
                <w:szCs w:val="20"/>
              </w:rPr>
              <w:t>33.3</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AE8B30" w14:textId="77777777" w:rsidR="009D0E57" w:rsidRPr="009D0E57" w:rsidRDefault="009D0E57" w:rsidP="009D0E57">
            <w:pPr>
              <w:jc w:val="center"/>
              <w:rPr>
                <w:sz w:val="20"/>
                <w:szCs w:val="20"/>
              </w:rPr>
            </w:pPr>
            <w:r w:rsidRPr="009D0E57">
              <w:rPr>
                <w:sz w:val="20"/>
                <w:szCs w:val="20"/>
              </w:rPr>
              <w:t>90</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F1EBE5A" w14:textId="77777777" w:rsidR="009D0E57" w:rsidRPr="009D0E57" w:rsidRDefault="009D0E57" w:rsidP="009D0E57">
            <w:pPr>
              <w:jc w:val="center"/>
              <w:rPr>
                <w:sz w:val="20"/>
                <w:szCs w:val="20"/>
              </w:rPr>
            </w:pPr>
            <w:r w:rsidRPr="009D0E57">
              <w:rPr>
                <w:sz w:val="20"/>
                <w:szCs w:val="20"/>
              </w:rPr>
              <w:t>36.4</w:t>
            </w:r>
          </w:p>
        </w:tc>
      </w:tr>
      <w:tr w:rsidR="009D0E57" w:rsidRPr="009D0E57" w14:paraId="1B871599" w14:textId="77777777" w:rsidTr="00250940">
        <w:trPr>
          <w:trHeight w:val="138"/>
        </w:trPr>
        <w:tc>
          <w:tcPr>
            <w:tcW w:w="21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00DC35F" w14:textId="77777777" w:rsidR="009D0E57" w:rsidRPr="009D0E57" w:rsidRDefault="009D0E57" w:rsidP="009D0E57">
            <w:pPr>
              <w:rPr>
                <w:sz w:val="20"/>
                <w:szCs w:val="20"/>
              </w:rPr>
            </w:pPr>
            <w:r w:rsidRPr="009D0E57">
              <w:rPr>
                <w:color w:val="000000"/>
                <w:sz w:val="20"/>
                <w:szCs w:val="20"/>
              </w:rPr>
              <w:t>Upper</w:t>
            </w:r>
          </w:p>
        </w:tc>
        <w:tc>
          <w:tcPr>
            <w:tcW w:w="7166"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0CF7B1" w14:textId="77777777" w:rsidR="009D0E57" w:rsidRPr="009D0E57" w:rsidRDefault="009D0E57" w:rsidP="009D0E57">
            <w:pPr>
              <w:rPr>
                <w:sz w:val="20"/>
                <w:szCs w:val="20"/>
              </w:rPr>
            </w:pPr>
          </w:p>
        </w:tc>
      </w:tr>
      <w:tr w:rsidR="009D0E57" w:rsidRPr="009D0E57" w14:paraId="70DD870C"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8544F52" w14:textId="77777777" w:rsidR="009D0E57" w:rsidRPr="009D0E57" w:rsidRDefault="009D0E57" w:rsidP="009D0E57">
            <w:pPr>
              <w:jc w:val="right"/>
              <w:rPr>
                <w:sz w:val="20"/>
                <w:szCs w:val="20"/>
              </w:rPr>
            </w:pPr>
            <w:r w:rsidRPr="009D0E57">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73D43B" w14:textId="77777777" w:rsidR="009D0E57" w:rsidRPr="009D0E57" w:rsidRDefault="009D0E57" w:rsidP="009D0E57">
            <w:pPr>
              <w:jc w:val="center"/>
              <w:rPr>
                <w:sz w:val="20"/>
                <w:szCs w:val="20"/>
              </w:rPr>
            </w:pPr>
            <w:r w:rsidRPr="009D0E57">
              <w:rPr>
                <w:color w:val="000000"/>
                <w:sz w:val="20"/>
                <w:szCs w:val="20"/>
              </w:rPr>
              <w:t>27.2</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A1B44D" w14:textId="77777777" w:rsidR="009D0E57" w:rsidRPr="009D0E57" w:rsidRDefault="009D0E57" w:rsidP="009D0E57">
            <w:pPr>
              <w:jc w:val="center"/>
              <w:rPr>
                <w:sz w:val="20"/>
                <w:szCs w:val="20"/>
              </w:rPr>
            </w:pPr>
            <w:r w:rsidRPr="009D0E57">
              <w:rPr>
                <w:sz w:val="20"/>
                <w:szCs w:val="20"/>
              </w:rPr>
              <w:t>2</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EB1C8" w14:textId="77777777" w:rsidR="009D0E57" w:rsidRPr="009D0E57" w:rsidRDefault="009D0E57" w:rsidP="009D0E57">
            <w:pPr>
              <w:jc w:val="center"/>
              <w:rPr>
                <w:sz w:val="20"/>
                <w:szCs w:val="20"/>
              </w:rPr>
            </w:pPr>
            <w:r w:rsidRPr="009D0E57">
              <w:rPr>
                <w:sz w:val="20"/>
                <w:szCs w:val="20"/>
              </w:rPr>
              <w:t>13.3</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A472E42" w14:textId="77777777" w:rsidR="009D0E57" w:rsidRPr="009D0E57" w:rsidRDefault="009D0E57" w:rsidP="009D0E57">
            <w:pPr>
              <w:jc w:val="center"/>
              <w:rPr>
                <w:sz w:val="20"/>
                <w:szCs w:val="20"/>
              </w:rPr>
            </w:pPr>
            <w:r w:rsidRPr="009D0E57">
              <w:rPr>
                <w:sz w:val="20"/>
                <w:szCs w:val="20"/>
              </w:rPr>
              <w:t>54</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C66355" w14:textId="77777777" w:rsidR="009D0E57" w:rsidRPr="009D0E57" w:rsidRDefault="009D0E57" w:rsidP="009D0E57">
            <w:pPr>
              <w:jc w:val="center"/>
              <w:rPr>
                <w:sz w:val="20"/>
                <w:szCs w:val="20"/>
              </w:rPr>
            </w:pPr>
            <w:r w:rsidRPr="009D0E57">
              <w:rPr>
                <w:sz w:val="20"/>
                <w:szCs w:val="20"/>
              </w:rPr>
              <w:t>21.9</w:t>
            </w:r>
          </w:p>
        </w:tc>
      </w:tr>
      <w:tr w:rsidR="009D0E57" w:rsidRPr="009D0E57" w14:paraId="43DD8E0D"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D92C906" w14:textId="77777777" w:rsidR="009D0E57" w:rsidRPr="009D0E57" w:rsidRDefault="009D0E57" w:rsidP="009D0E57">
            <w:pPr>
              <w:jc w:val="right"/>
              <w:rPr>
                <w:sz w:val="20"/>
                <w:szCs w:val="20"/>
              </w:rPr>
            </w:pPr>
            <w:r w:rsidRPr="009D0E57">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36DA27" w14:textId="77777777" w:rsidR="009D0E57" w:rsidRPr="009D0E57" w:rsidRDefault="009D0E57" w:rsidP="009D0E57">
            <w:pPr>
              <w:jc w:val="center"/>
              <w:rPr>
                <w:sz w:val="20"/>
                <w:szCs w:val="20"/>
              </w:rPr>
            </w:pPr>
            <w:r w:rsidRPr="009D0E57">
              <w:rPr>
                <w:color w:val="000000"/>
                <w:sz w:val="20"/>
                <w:szCs w:val="20"/>
              </w:rPr>
              <w:t>27.2</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A5BBE17" w14:textId="77777777" w:rsidR="009D0E57" w:rsidRPr="009D0E57" w:rsidRDefault="009D0E57" w:rsidP="009D0E57">
            <w:pPr>
              <w:jc w:val="center"/>
              <w:rPr>
                <w:sz w:val="20"/>
                <w:szCs w:val="20"/>
              </w:rPr>
            </w:pPr>
            <w:r w:rsidRPr="009D0E57">
              <w:rPr>
                <w:sz w:val="20"/>
                <w:szCs w:val="20"/>
              </w:rPr>
              <w:t>3</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9873D7" w14:textId="77777777" w:rsidR="009D0E57" w:rsidRPr="009D0E57" w:rsidRDefault="009D0E57" w:rsidP="009D0E57">
            <w:pPr>
              <w:jc w:val="center"/>
              <w:rPr>
                <w:sz w:val="20"/>
                <w:szCs w:val="20"/>
              </w:rPr>
            </w:pPr>
            <w:r w:rsidRPr="009D0E57">
              <w:rPr>
                <w:sz w:val="20"/>
                <w:szCs w:val="20"/>
              </w:rPr>
              <w:t>25.0</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A0D6C5" w14:textId="77777777" w:rsidR="009D0E57" w:rsidRPr="009D0E57" w:rsidRDefault="009D0E57" w:rsidP="009D0E57">
            <w:pPr>
              <w:jc w:val="center"/>
              <w:rPr>
                <w:sz w:val="20"/>
                <w:szCs w:val="20"/>
              </w:rPr>
            </w:pPr>
            <w:r w:rsidRPr="009D0E57">
              <w:rPr>
                <w:sz w:val="20"/>
                <w:szCs w:val="20"/>
              </w:rPr>
              <w:t>55</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85C3156" w14:textId="77777777" w:rsidR="009D0E57" w:rsidRPr="009D0E57" w:rsidRDefault="009D0E57" w:rsidP="009D0E57">
            <w:pPr>
              <w:jc w:val="center"/>
              <w:rPr>
                <w:sz w:val="20"/>
                <w:szCs w:val="20"/>
              </w:rPr>
            </w:pPr>
            <w:r w:rsidRPr="009D0E57">
              <w:rPr>
                <w:sz w:val="20"/>
                <w:szCs w:val="20"/>
              </w:rPr>
              <w:t>22.0</w:t>
            </w:r>
          </w:p>
        </w:tc>
      </w:tr>
      <w:tr w:rsidR="009D0E57" w:rsidRPr="009D0E57" w14:paraId="377CF0C2" w14:textId="77777777" w:rsidTr="00250940">
        <w:trPr>
          <w:trHeight w:val="138"/>
        </w:trPr>
        <w:tc>
          <w:tcPr>
            <w:tcW w:w="21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59F7273" w14:textId="77777777" w:rsidR="009D0E57" w:rsidRPr="009D0E57" w:rsidRDefault="009D0E57" w:rsidP="009D0E57">
            <w:pPr>
              <w:rPr>
                <w:sz w:val="20"/>
                <w:szCs w:val="20"/>
              </w:rPr>
            </w:pPr>
            <w:r w:rsidRPr="009D0E57">
              <w:rPr>
                <w:color w:val="000000"/>
                <w:sz w:val="20"/>
                <w:szCs w:val="20"/>
              </w:rPr>
              <w:t>Not Available</w:t>
            </w:r>
          </w:p>
        </w:tc>
        <w:tc>
          <w:tcPr>
            <w:tcW w:w="7166"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F66491" w14:textId="77777777" w:rsidR="009D0E57" w:rsidRPr="009D0E57" w:rsidRDefault="009D0E57" w:rsidP="009D0E57">
            <w:pPr>
              <w:rPr>
                <w:sz w:val="20"/>
                <w:szCs w:val="20"/>
              </w:rPr>
            </w:pPr>
          </w:p>
        </w:tc>
      </w:tr>
      <w:tr w:rsidR="009D0E57" w:rsidRPr="009D0E57" w14:paraId="14C109EF"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F2D1379" w14:textId="77777777" w:rsidR="009D0E57" w:rsidRPr="009D0E57" w:rsidRDefault="009D0E57" w:rsidP="009D0E57">
            <w:pPr>
              <w:jc w:val="right"/>
              <w:rPr>
                <w:sz w:val="20"/>
                <w:szCs w:val="20"/>
              </w:rPr>
            </w:pPr>
            <w:r w:rsidRPr="009D0E57">
              <w:rPr>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F50F05D" w14:textId="77777777" w:rsidR="009D0E57" w:rsidRPr="009D0E57" w:rsidRDefault="009D0E57" w:rsidP="009D0E57">
            <w:pPr>
              <w:jc w:val="center"/>
              <w:rPr>
                <w:sz w:val="20"/>
                <w:szCs w:val="20"/>
              </w:rPr>
            </w:pPr>
            <w:r w:rsidRPr="009D0E57">
              <w:rPr>
                <w:color w:val="000000"/>
                <w:sz w:val="20"/>
                <w:szCs w:val="20"/>
              </w:rPr>
              <w:t>0.6</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F21C660" w14:textId="77777777" w:rsidR="009D0E57" w:rsidRPr="009D0E57" w:rsidRDefault="009D0E57" w:rsidP="009D0E57">
            <w:pPr>
              <w:jc w:val="center"/>
              <w:rPr>
                <w:sz w:val="20"/>
                <w:szCs w:val="20"/>
              </w:rPr>
            </w:pPr>
            <w:r w:rsidRPr="009D0E57">
              <w:rPr>
                <w:sz w:val="20"/>
                <w:szCs w:val="20"/>
              </w:rPr>
              <w:t>0</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C41942" w14:textId="77777777" w:rsidR="009D0E57" w:rsidRPr="009D0E57" w:rsidRDefault="009D0E57" w:rsidP="009D0E57">
            <w:pPr>
              <w:jc w:val="center"/>
              <w:rPr>
                <w:sz w:val="20"/>
                <w:szCs w:val="20"/>
              </w:rPr>
            </w:pPr>
            <w:r w:rsidRPr="009D0E57">
              <w:rPr>
                <w:sz w:val="20"/>
                <w:szCs w:val="20"/>
              </w:rPr>
              <w:t>0.0</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09BE49" w14:textId="77777777" w:rsidR="009D0E57" w:rsidRPr="009D0E57" w:rsidRDefault="009D0E57" w:rsidP="009D0E57">
            <w:pPr>
              <w:jc w:val="center"/>
              <w:rPr>
                <w:sz w:val="20"/>
                <w:szCs w:val="20"/>
              </w:rPr>
            </w:pPr>
            <w:r w:rsidRPr="009D0E57">
              <w:rPr>
                <w:sz w:val="20"/>
                <w:szCs w:val="20"/>
              </w:rPr>
              <w:t>0</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5D109" w14:textId="77777777" w:rsidR="009D0E57" w:rsidRPr="009D0E57" w:rsidRDefault="009D0E57" w:rsidP="009D0E57">
            <w:pPr>
              <w:jc w:val="center"/>
              <w:rPr>
                <w:sz w:val="20"/>
                <w:szCs w:val="20"/>
              </w:rPr>
            </w:pPr>
            <w:r w:rsidRPr="009D0E57">
              <w:rPr>
                <w:sz w:val="20"/>
                <w:szCs w:val="20"/>
              </w:rPr>
              <w:t>0.0</w:t>
            </w:r>
          </w:p>
        </w:tc>
      </w:tr>
      <w:tr w:rsidR="009D0E57" w:rsidRPr="009D0E57" w14:paraId="66908276" w14:textId="77777777" w:rsidTr="00250940">
        <w:trPr>
          <w:trHeight w:val="126"/>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CA6CA20" w14:textId="77777777" w:rsidR="009D0E57" w:rsidRPr="009D0E57" w:rsidRDefault="009D0E57" w:rsidP="009D0E57">
            <w:pPr>
              <w:jc w:val="right"/>
              <w:rPr>
                <w:sz w:val="20"/>
                <w:szCs w:val="20"/>
              </w:rPr>
            </w:pPr>
            <w:r w:rsidRPr="009D0E57">
              <w:rPr>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A4FF39" w14:textId="77777777" w:rsidR="009D0E57" w:rsidRPr="009D0E57" w:rsidRDefault="009D0E57" w:rsidP="009D0E57">
            <w:pPr>
              <w:jc w:val="center"/>
              <w:rPr>
                <w:sz w:val="20"/>
                <w:szCs w:val="20"/>
              </w:rPr>
            </w:pPr>
            <w:r w:rsidRPr="009D0E57">
              <w:rPr>
                <w:color w:val="000000"/>
                <w:sz w:val="20"/>
                <w:szCs w:val="20"/>
              </w:rPr>
              <w:t>0.6</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5E00022" w14:textId="77777777" w:rsidR="009D0E57" w:rsidRPr="009D0E57" w:rsidRDefault="009D0E57" w:rsidP="009D0E57">
            <w:pPr>
              <w:jc w:val="center"/>
              <w:rPr>
                <w:sz w:val="20"/>
                <w:szCs w:val="20"/>
              </w:rPr>
            </w:pPr>
            <w:r w:rsidRPr="009D0E57">
              <w:rPr>
                <w:sz w:val="20"/>
                <w:szCs w:val="20"/>
              </w:rPr>
              <w:t>0</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71C455" w14:textId="77777777" w:rsidR="009D0E57" w:rsidRPr="009D0E57" w:rsidRDefault="009D0E57" w:rsidP="009D0E57">
            <w:pPr>
              <w:jc w:val="center"/>
              <w:rPr>
                <w:sz w:val="20"/>
                <w:szCs w:val="20"/>
              </w:rPr>
            </w:pPr>
            <w:r w:rsidRPr="009D0E57">
              <w:rPr>
                <w:sz w:val="20"/>
                <w:szCs w:val="20"/>
              </w:rPr>
              <w:t>0.0</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85E29F" w14:textId="77777777" w:rsidR="009D0E57" w:rsidRPr="009D0E57" w:rsidRDefault="009D0E57" w:rsidP="009D0E57">
            <w:pPr>
              <w:jc w:val="center"/>
              <w:rPr>
                <w:sz w:val="20"/>
                <w:szCs w:val="20"/>
              </w:rPr>
            </w:pPr>
            <w:r w:rsidRPr="009D0E57">
              <w:rPr>
                <w:sz w:val="20"/>
                <w:szCs w:val="20"/>
              </w:rPr>
              <w:t>0</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53BD43" w14:textId="77777777" w:rsidR="009D0E57" w:rsidRPr="009D0E57" w:rsidRDefault="009D0E57" w:rsidP="009D0E57">
            <w:pPr>
              <w:jc w:val="center"/>
              <w:rPr>
                <w:sz w:val="20"/>
                <w:szCs w:val="20"/>
              </w:rPr>
            </w:pPr>
            <w:r w:rsidRPr="009D0E57">
              <w:rPr>
                <w:sz w:val="20"/>
                <w:szCs w:val="20"/>
              </w:rPr>
              <w:t>0.0</w:t>
            </w:r>
          </w:p>
        </w:tc>
      </w:tr>
      <w:tr w:rsidR="009D0E57" w:rsidRPr="009D0E57" w14:paraId="72952080" w14:textId="77777777" w:rsidTr="00250940">
        <w:trPr>
          <w:trHeight w:val="138"/>
        </w:trPr>
        <w:tc>
          <w:tcPr>
            <w:tcW w:w="213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0E9E1E0" w14:textId="77777777" w:rsidR="009D0E57" w:rsidRPr="009D0E57" w:rsidRDefault="009D0E57" w:rsidP="009D0E57">
            <w:pPr>
              <w:rPr>
                <w:sz w:val="20"/>
                <w:szCs w:val="20"/>
              </w:rPr>
            </w:pPr>
            <w:r w:rsidRPr="009D0E57">
              <w:rPr>
                <w:b/>
                <w:color w:val="000000"/>
                <w:sz w:val="20"/>
                <w:szCs w:val="20"/>
              </w:rPr>
              <w:t>Totals</w:t>
            </w:r>
          </w:p>
        </w:tc>
        <w:tc>
          <w:tcPr>
            <w:tcW w:w="7166"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8B35A1" w14:textId="77777777" w:rsidR="009D0E57" w:rsidRPr="009D0E57" w:rsidRDefault="009D0E57" w:rsidP="009D0E57">
            <w:pPr>
              <w:rPr>
                <w:sz w:val="20"/>
                <w:szCs w:val="20"/>
              </w:rPr>
            </w:pPr>
          </w:p>
        </w:tc>
      </w:tr>
      <w:tr w:rsidR="009D0E57" w:rsidRPr="009D0E57" w14:paraId="739124E6" w14:textId="77777777" w:rsidTr="00250940">
        <w:trPr>
          <w:trHeight w:val="138"/>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E0CC57C" w14:textId="77777777" w:rsidR="009D0E57" w:rsidRPr="009D0E57" w:rsidRDefault="009D0E57" w:rsidP="009D0E57">
            <w:pPr>
              <w:jc w:val="right"/>
              <w:rPr>
                <w:sz w:val="20"/>
                <w:szCs w:val="20"/>
              </w:rPr>
            </w:pPr>
            <w:r w:rsidRPr="009D0E57">
              <w:rPr>
                <w:b/>
                <w:color w:val="000000"/>
                <w:sz w:val="20"/>
                <w:szCs w:val="20"/>
              </w:rPr>
              <w:t>2018</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0110F9" w14:textId="77777777" w:rsidR="009D0E57" w:rsidRPr="009D0E57" w:rsidRDefault="009D0E57" w:rsidP="009D0E57">
            <w:pPr>
              <w:jc w:val="center"/>
              <w:rPr>
                <w:sz w:val="20"/>
                <w:szCs w:val="20"/>
              </w:rPr>
            </w:pPr>
            <w:r w:rsidRPr="009D0E57">
              <w:rPr>
                <w:b/>
                <w:color w:val="000000"/>
                <w:sz w:val="20"/>
                <w:szCs w:val="20"/>
              </w:rPr>
              <w:t>100.0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2F4DBA6" w14:textId="77777777" w:rsidR="009D0E57" w:rsidRPr="009D0E57" w:rsidRDefault="009D0E57" w:rsidP="009D0E57">
            <w:pPr>
              <w:jc w:val="center"/>
              <w:rPr>
                <w:sz w:val="20"/>
                <w:szCs w:val="20"/>
              </w:rPr>
            </w:pPr>
            <w:r w:rsidRPr="009D0E57">
              <w:rPr>
                <w:b/>
                <w:color w:val="000000"/>
                <w:sz w:val="20"/>
                <w:szCs w:val="20"/>
              </w:rPr>
              <w:t>15</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9B5C2C" w14:textId="77777777" w:rsidR="009D0E57" w:rsidRPr="009D0E57" w:rsidRDefault="009D0E57" w:rsidP="009D0E57">
            <w:pPr>
              <w:jc w:val="center"/>
              <w:rPr>
                <w:sz w:val="20"/>
                <w:szCs w:val="20"/>
              </w:rPr>
            </w:pPr>
            <w:r w:rsidRPr="009D0E57">
              <w:rPr>
                <w:b/>
                <w:color w:val="000000"/>
                <w:sz w:val="20"/>
                <w:szCs w:val="20"/>
              </w:rPr>
              <w:t>100.0</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2C0143" w14:textId="77777777" w:rsidR="009D0E57" w:rsidRPr="009D0E57" w:rsidRDefault="009D0E57" w:rsidP="009D0E57">
            <w:pPr>
              <w:jc w:val="center"/>
              <w:rPr>
                <w:b/>
                <w:sz w:val="20"/>
                <w:szCs w:val="20"/>
              </w:rPr>
            </w:pPr>
            <w:r w:rsidRPr="009D0E57">
              <w:rPr>
                <w:b/>
                <w:sz w:val="20"/>
                <w:szCs w:val="20"/>
              </w:rPr>
              <w:t>247</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395C27" w14:textId="77777777" w:rsidR="009D0E57" w:rsidRPr="009D0E57" w:rsidRDefault="009D0E57" w:rsidP="009D0E57">
            <w:pPr>
              <w:jc w:val="center"/>
              <w:rPr>
                <w:sz w:val="20"/>
                <w:szCs w:val="20"/>
              </w:rPr>
            </w:pPr>
            <w:r w:rsidRPr="009D0E57">
              <w:rPr>
                <w:b/>
                <w:color w:val="000000"/>
                <w:sz w:val="20"/>
                <w:szCs w:val="20"/>
              </w:rPr>
              <w:t>100.0</w:t>
            </w:r>
          </w:p>
        </w:tc>
      </w:tr>
      <w:tr w:rsidR="009D0E57" w:rsidRPr="009D0E57" w14:paraId="68CF5632" w14:textId="77777777" w:rsidTr="00250940">
        <w:trPr>
          <w:trHeight w:val="138"/>
        </w:trPr>
        <w:tc>
          <w:tcPr>
            <w:tcW w:w="2130"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2417881" w14:textId="77777777" w:rsidR="009D0E57" w:rsidRPr="009D0E57" w:rsidRDefault="009D0E57" w:rsidP="009D0E57">
            <w:pPr>
              <w:jc w:val="right"/>
              <w:rPr>
                <w:sz w:val="20"/>
                <w:szCs w:val="20"/>
              </w:rPr>
            </w:pPr>
            <w:r w:rsidRPr="009D0E57">
              <w:rPr>
                <w:b/>
                <w:color w:val="000000"/>
                <w:sz w:val="20"/>
                <w:szCs w:val="20"/>
              </w:rPr>
              <w:t>2019</w:t>
            </w:r>
          </w:p>
        </w:tc>
        <w:tc>
          <w:tcPr>
            <w:tcW w:w="1548"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B8A489" w14:textId="77777777" w:rsidR="009D0E57" w:rsidRPr="009D0E57" w:rsidRDefault="009D0E57" w:rsidP="009D0E57">
            <w:pPr>
              <w:jc w:val="center"/>
              <w:rPr>
                <w:sz w:val="20"/>
                <w:szCs w:val="20"/>
              </w:rPr>
            </w:pPr>
            <w:r w:rsidRPr="009D0E57">
              <w:rPr>
                <w:b/>
                <w:color w:val="000000"/>
                <w:sz w:val="20"/>
                <w:szCs w:val="20"/>
              </w:rPr>
              <w:t>100.0</w:t>
            </w:r>
          </w:p>
        </w:tc>
        <w:tc>
          <w:tcPr>
            <w:tcW w:w="134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A8CF408" w14:textId="77777777" w:rsidR="009D0E57" w:rsidRPr="009D0E57" w:rsidRDefault="009D0E57" w:rsidP="009D0E57">
            <w:pPr>
              <w:jc w:val="center"/>
              <w:rPr>
                <w:b/>
                <w:sz w:val="20"/>
                <w:szCs w:val="20"/>
              </w:rPr>
            </w:pPr>
            <w:r w:rsidRPr="009D0E57">
              <w:rPr>
                <w:b/>
                <w:sz w:val="20"/>
                <w:szCs w:val="20"/>
              </w:rPr>
              <w:t>12</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C7AD610" w14:textId="77777777" w:rsidR="009D0E57" w:rsidRPr="009D0E57" w:rsidRDefault="009D0E57" w:rsidP="009D0E57">
            <w:pPr>
              <w:jc w:val="center"/>
              <w:rPr>
                <w:b/>
                <w:sz w:val="20"/>
                <w:szCs w:val="20"/>
              </w:rPr>
            </w:pPr>
            <w:r w:rsidRPr="009D0E57">
              <w:rPr>
                <w:b/>
                <w:color w:val="000000"/>
                <w:sz w:val="20"/>
                <w:szCs w:val="20"/>
              </w:rPr>
              <w:t>100.0</w:t>
            </w:r>
          </w:p>
        </w:tc>
        <w:tc>
          <w:tcPr>
            <w:tcW w:w="145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F72E0BA" w14:textId="77777777" w:rsidR="009D0E57" w:rsidRPr="009D0E57" w:rsidRDefault="009D0E57" w:rsidP="009D0E57">
            <w:pPr>
              <w:jc w:val="center"/>
              <w:rPr>
                <w:b/>
                <w:sz w:val="20"/>
                <w:szCs w:val="20"/>
              </w:rPr>
            </w:pPr>
            <w:r w:rsidRPr="009D0E57">
              <w:rPr>
                <w:b/>
                <w:sz w:val="20"/>
                <w:szCs w:val="20"/>
              </w:rPr>
              <w:t>248</w:t>
            </w:r>
          </w:p>
        </w:tc>
        <w:tc>
          <w:tcPr>
            <w:tcW w:w="1410"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243342" w14:textId="77777777" w:rsidR="009D0E57" w:rsidRPr="009D0E57" w:rsidRDefault="009D0E57" w:rsidP="009D0E57">
            <w:pPr>
              <w:jc w:val="center"/>
              <w:rPr>
                <w:sz w:val="20"/>
                <w:szCs w:val="20"/>
              </w:rPr>
            </w:pPr>
            <w:r w:rsidRPr="009D0E57">
              <w:rPr>
                <w:b/>
                <w:color w:val="000000"/>
                <w:sz w:val="20"/>
                <w:szCs w:val="20"/>
              </w:rPr>
              <w:t>100.0</w:t>
            </w:r>
          </w:p>
        </w:tc>
      </w:tr>
      <w:tr w:rsidR="009D0E57" w:rsidRPr="009D0E57" w14:paraId="51688ACC" w14:textId="77777777" w:rsidTr="00250940">
        <w:trPr>
          <w:trHeight w:val="374"/>
        </w:trPr>
        <w:tc>
          <w:tcPr>
            <w:tcW w:w="9296" w:type="dxa"/>
            <w:gridSpan w:val="6"/>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52AB997" w14:textId="77777777" w:rsidR="009D0E57" w:rsidRPr="00250940" w:rsidRDefault="009D0E57" w:rsidP="009D0E57">
            <w:pPr>
              <w:rPr>
                <w:sz w:val="16"/>
                <w:szCs w:val="16"/>
              </w:rPr>
            </w:pPr>
            <w:r w:rsidRPr="00250940">
              <w:rPr>
                <w:i/>
                <w:color w:val="000000"/>
                <w:sz w:val="16"/>
                <w:szCs w:val="16"/>
              </w:rPr>
              <w:t>Source: 2015 ACS; Bank Data.</w:t>
            </w:r>
          </w:p>
          <w:p w14:paraId="031ED89C" w14:textId="77777777" w:rsidR="009D0E57" w:rsidRPr="009D0E57" w:rsidRDefault="009D0E57" w:rsidP="009D0E57">
            <w:pPr>
              <w:rPr>
                <w:sz w:val="20"/>
                <w:szCs w:val="20"/>
              </w:rPr>
            </w:pPr>
            <w:r w:rsidRPr="00250940">
              <w:rPr>
                <w:i/>
                <w:color w:val="000000"/>
                <w:sz w:val="16"/>
                <w:szCs w:val="16"/>
              </w:rPr>
              <w:t>Due to rounding, totals may not equal 100.0%</w:t>
            </w:r>
          </w:p>
        </w:tc>
      </w:tr>
    </w:tbl>
    <w:p w14:paraId="7DC949AD" w14:textId="77777777" w:rsidR="009D0E57" w:rsidRDefault="009D0E57" w:rsidP="00250940">
      <w:pPr>
        <w:jc w:val="both"/>
      </w:pPr>
    </w:p>
    <w:tbl>
      <w:tblPr>
        <w:tblW w:w="0" w:type="auto"/>
        <w:tblCellMar>
          <w:left w:w="0" w:type="dxa"/>
          <w:right w:w="0" w:type="dxa"/>
        </w:tblCellMar>
        <w:tblLook w:val="04A0" w:firstRow="1" w:lastRow="0" w:firstColumn="1" w:lastColumn="0" w:noHBand="0" w:noVBand="1"/>
      </w:tblPr>
      <w:tblGrid>
        <w:gridCol w:w="8138"/>
        <w:gridCol w:w="1222"/>
      </w:tblGrid>
      <w:tr w:rsidR="009D0E57" w:rsidRPr="000E4EDF" w14:paraId="473BF5FD" w14:textId="77777777" w:rsidTr="009D0E57">
        <w:tc>
          <w:tcPr>
            <w:tcW w:w="8138" w:type="dxa"/>
            <w:hideMark/>
          </w:tcPr>
          <w:p w14:paraId="2E1C7CFE" w14:textId="77777777" w:rsidR="009D0E57" w:rsidRPr="000E4EDF" w:rsidRDefault="009D0E57" w:rsidP="00250940">
            <w:pPr>
              <w:jc w:val="both"/>
              <w:rPr>
                <w:highlight w:val="yellow"/>
              </w:rPr>
            </w:pPr>
          </w:p>
        </w:tc>
        <w:tc>
          <w:tcPr>
            <w:tcW w:w="1222" w:type="dxa"/>
          </w:tcPr>
          <w:p w14:paraId="15F3DB97" w14:textId="77777777" w:rsidR="009D0E57" w:rsidRPr="000E4EDF" w:rsidRDefault="009D0E57" w:rsidP="00250940">
            <w:pPr>
              <w:pStyle w:val="EmptyCellLayoutStyle"/>
              <w:spacing w:after="0" w:line="240" w:lineRule="auto"/>
              <w:jc w:val="both"/>
              <w:rPr>
                <w:highlight w:val="yellow"/>
              </w:rPr>
            </w:pPr>
          </w:p>
        </w:tc>
      </w:tr>
    </w:tbl>
    <w:p w14:paraId="6258C559" w14:textId="77777777" w:rsidR="009D0E57" w:rsidRPr="000E4EDF" w:rsidRDefault="009D0E57" w:rsidP="00250940">
      <w:pPr>
        <w:jc w:val="both"/>
        <w:rPr>
          <w:b/>
          <w:bCs/>
          <w:u w:val="single"/>
        </w:rPr>
      </w:pPr>
      <w:r w:rsidRPr="000E4EDF">
        <w:rPr>
          <w:b/>
          <w:bCs/>
          <w:u w:val="single"/>
        </w:rPr>
        <w:t>Borrower Profile</w:t>
      </w:r>
    </w:p>
    <w:p w14:paraId="0297CA64" w14:textId="77777777" w:rsidR="009D0E57" w:rsidRPr="000E4EDF" w:rsidRDefault="009D0E57" w:rsidP="00250940">
      <w:pPr>
        <w:jc w:val="both"/>
        <w:rPr>
          <w:b/>
          <w:bCs/>
          <w:u w:val="single"/>
        </w:rPr>
      </w:pPr>
    </w:p>
    <w:p w14:paraId="143C16C1" w14:textId="20FAE616" w:rsidR="009D0E57" w:rsidRDefault="009D0E57" w:rsidP="00250940">
      <w:pPr>
        <w:jc w:val="both"/>
        <w:rPr>
          <w:bCs/>
        </w:rPr>
      </w:pPr>
      <w:r>
        <w:rPr>
          <w:bCs/>
        </w:rPr>
        <w:t>The distribution of borrowers reflects good penetration among individuals of different incomes levels</w:t>
      </w:r>
      <w:proofErr w:type="gramStart"/>
      <w:r>
        <w:rPr>
          <w:bCs/>
        </w:rPr>
        <w:t xml:space="preserve">.  </w:t>
      </w:r>
      <w:proofErr w:type="gramEnd"/>
      <w:r>
        <w:rPr>
          <w:bCs/>
        </w:rPr>
        <w:t xml:space="preserve">The credit union’s good performance in home mortgage and </w:t>
      </w:r>
      <w:r w:rsidR="00C830A8">
        <w:rPr>
          <w:bCs/>
        </w:rPr>
        <w:t>reasonable</w:t>
      </w:r>
      <w:r>
        <w:rPr>
          <w:bCs/>
        </w:rPr>
        <w:t xml:space="preserve"> performance in consumer lending supports this conclusion</w:t>
      </w:r>
      <w:proofErr w:type="gramStart"/>
      <w:r>
        <w:rPr>
          <w:bCs/>
        </w:rPr>
        <w:t xml:space="preserve">.   </w:t>
      </w:r>
      <w:proofErr w:type="gramEnd"/>
      <w:r>
        <w:rPr>
          <w:bCs/>
        </w:rPr>
        <w:t>Examiners focused on percentage, by number, of home mortgage loans to low- and moderate-income borrowers.</w:t>
      </w:r>
    </w:p>
    <w:p w14:paraId="604194F9" w14:textId="77777777" w:rsidR="009D0E57" w:rsidRDefault="009D0E57" w:rsidP="00250940">
      <w:pPr>
        <w:jc w:val="both"/>
        <w:rPr>
          <w:bCs/>
        </w:rPr>
      </w:pPr>
    </w:p>
    <w:p w14:paraId="4EFD0167" w14:textId="77777777" w:rsidR="009D0E57" w:rsidRPr="00145851" w:rsidRDefault="009D0E57" w:rsidP="00250940">
      <w:pPr>
        <w:jc w:val="both"/>
        <w:rPr>
          <w:b/>
          <w:bCs/>
          <w:i/>
        </w:rPr>
      </w:pPr>
      <w:r w:rsidRPr="00145851">
        <w:rPr>
          <w:b/>
          <w:bCs/>
          <w:i/>
        </w:rPr>
        <w:t>Home Mortgage Loans</w:t>
      </w:r>
    </w:p>
    <w:p w14:paraId="648FEB72" w14:textId="77777777" w:rsidR="00C830A8" w:rsidRDefault="00C830A8" w:rsidP="00250940">
      <w:pPr>
        <w:jc w:val="both"/>
        <w:rPr>
          <w:bCs/>
        </w:rPr>
      </w:pPr>
    </w:p>
    <w:p w14:paraId="339466F5" w14:textId="28E8C728" w:rsidR="00C830A8" w:rsidRDefault="009D0E57" w:rsidP="00250940">
      <w:pPr>
        <w:jc w:val="both"/>
        <w:rPr>
          <w:bCs/>
        </w:rPr>
      </w:pPr>
      <w:r>
        <w:rPr>
          <w:bCs/>
        </w:rPr>
        <w:t>The distribution of borrowers</w:t>
      </w:r>
      <w:r w:rsidRPr="000E4EDF">
        <w:rPr>
          <w:bCs/>
        </w:rPr>
        <w:t xml:space="preserve"> reflects </w:t>
      </w:r>
      <w:r>
        <w:rPr>
          <w:bCs/>
        </w:rPr>
        <w:t>good</w:t>
      </w:r>
      <w:r w:rsidRPr="000E4EDF">
        <w:rPr>
          <w:bCs/>
        </w:rPr>
        <w:t xml:space="preserve"> penetration </w:t>
      </w:r>
      <w:r>
        <w:rPr>
          <w:bCs/>
        </w:rPr>
        <w:t>among</w:t>
      </w:r>
      <w:r w:rsidRPr="000E4EDF">
        <w:rPr>
          <w:bCs/>
        </w:rPr>
        <w:t xml:space="preserve"> individuals o</w:t>
      </w:r>
      <w:r>
        <w:rPr>
          <w:bCs/>
        </w:rPr>
        <w:t xml:space="preserve">f different income levels, including low- and moderate-income </w:t>
      </w:r>
      <w:r w:rsidRPr="001978AD">
        <w:rPr>
          <w:bCs/>
        </w:rPr>
        <w:t>borrowers</w:t>
      </w:r>
      <w:proofErr w:type="gramStart"/>
      <w:r w:rsidRPr="001978AD">
        <w:rPr>
          <w:bCs/>
        </w:rPr>
        <w:t xml:space="preserve">.  </w:t>
      </w:r>
      <w:proofErr w:type="gramEnd"/>
      <w:r w:rsidRPr="001978AD">
        <w:rPr>
          <w:bCs/>
        </w:rPr>
        <w:t xml:space="preserve">As shown in the following table, the credit union’s lending to low-income borrowers exceeded aggregate data in both 2018 </w:t>
      </w:r>
      <w:r w:rsidR="00C830A8">
        <w:rPr>
          <w:bCs/>
        </w:rPr>
        <w:t>and 2019</w:t>
      </w:r>
      <w:proofErr w:type="gramStart"/>
      <w:r w:rsidR="00C830A8">
        <w:rPr>
          <w:bCs/>
        </w:rPr>
        <w:t xml:space="preserve">.  </w:t>
      </w:r>
      <w:proofErr w:type="gramEnd"/>
      <w:r w:rsidR="00C830A8">
        <w:rPr>
          <w:bCs/>
        </w:rPr>
        <w:t xml:space="preserve">Performance improved </w:t>
      </w:r>
      <w:r w:rsidRPr="001978AD">
        <w:rPr>
          <w:bCs/>
        </w:rPr>
        <w:t>in 2019</w:t>
      </w:r>
      <w:proofErr w:type="gramStart"/>
      <w:r w:rsidRPr="001978AD">
        <w:rPr>
          <w:bCs/>
        </w:rPr>
        <w:t xml:space="preserve">.  </w:t>
      </w:r>
      <w:proofErr w:type="gramEnd"/>
      <w:r w:rsidRPr="001978AD">
        <w:rPr>
          <w:bCs/>
        </w:rPr>
        <w:t xml:space="preserve">The percentage of low-income families is typically higher than </w:t>
      </w:r>
      <w:r w:rsidR="00575CD1">
        <w:rPr>
          <w:bCs/>
        </w:rPr>
        <w:t xml:space="preserve">aggregate </w:t>
      </w:r>
      <w:r w:rsidRPr="001978AD">
        <w:rPr>
          <w:bCs/>
        </w:rPr>
        <w:t>lending to these families</w:t>
      </w:r>
      <w:proofErr w:type="gramStart"/>
      <w:r w:rsidR="00575CD1">
        <w:rPr>
          <w:bCs/>
        </w:rPr>
        <w:t xml:space="preserve">.  </w:t>
      </w:r>
      <w:proofErr w:type="gramEnd"/>
      <w:r w:rsidR="00575CD1">
        <w:rPr>
          <w:bCs/>
        </w:rPr>
        <w:t xml:space="preserve">A </w:t>
      </w:r>
      <w:r w:rsidRPr="001978AD">
        <w:rPr>
          <w:bCs/>
        </w:rPr>
        <w:t xml:space="preserve">low-income family in the assessment area, earning less than $55,150 or $57,750, may have difficulty qualifying for a mortgage under conventional underwriting standards, considering the median housing value of $238,064. </w:t>
      </w:r>
    </w:p>
    <w:p w14:paraId="57D96944" w14:textId="77777777" w:rsidR="00C830A8" w:rsidRDefault="00C830A8" w:rsidP="00250940">
      <w:pPr>
        <w:jc w:val="both"/>
        <w:rPr>
          <w:bCs/>
        </w:rPr>
      </w:pPr>
    </w:p>
    <w:p w14:paraId="5B2BAA4D" w14:textId="300FC56F" w:rsidR="009D0E57" w:rsidRDefault="009D0E57" w:rsidP="00250940">
      <w:pPr>
        <w:jc w:val="both"/>
        <w:rPr>
          <w:bCs/>
        </w:rPr>
      </w:pPr>
      <w:r w:rsidRPr="001978AD">
        <w:rPr>
          <w:bCs/>
        </w:rPr>
        <w:lastRenderedPageBreak/>
        <w:t>The credit union’s lending to moderate</w:t>
      </w:r>
      <w:r w:rsidR="00C830A8">
        <w:rPr>
          <w:bCs/>
        </w:rPr>
        <w:t xml:space="preserve">-income borrowers exceeded </w:t>
      </w:r>
      <w:r w:rsidRPr="001978AD">
        <w:rPr>
          <w:bCs/>
        </w:rPr>
        <w:t xml:space="preserve">aggregate data for 2018 </w:t>
      </w:r>
      <w:r w:rsidRPr="0004322E">
        <w:rPr>
          <w:bCs/>
        </w:rPr>
        <w:t>and 2019</w:t>
      </w:r>
      <w:r w:rsidR="00EE6216">
        <w:rPr>
          <w:bCs/>
        </w:rPr>
        <w:t>,</w:t>
      </w:r>
      <w:r w:rsidRPr="0004322E">
        <w:rPr>
          <w:bCs/>
        </w:rPr>
        <w:t xml:space="preserve"> though the credit union’s</w:t>
      </w:r>
      <w:r w:rsidR="00C830A8">
        <w:rPr>
          <w:bCs/>
        </w:rPr>
        <w:t xml:space="preserve"> performance declined in 2019</w:t>
      </w:r>
      <w:proofErr w:type="gramStart"/>
      <w:r w:rsidR="00C830A8">
        <w:rPr>
          <w:bCs/>
        </w:rPr>
        <w:t xml:space="preserve">.  </w:t>
      </w:r>
      <w:proofErr w:type="gramEnd"/>
      <w:r w:rsidR="00C830A8">
        <w:rPr>
          <w:bCs/>
        </w:rPr>
        <w:t>Similarly, the credit union consistently exceeds the demographic of moderate-income families in the assessment area.</w:t>
      </w:r>
    </w:p>
    <w:p w14:paraId="665C41DC" w14:textId="202A3658" w:rsidR="003817A2" w:rsidRDefault="003817A2" w:rsidP="00250940">
      <w:pPr>
        <w:jc w:val="both"/>
        <w:rPr>
          <w:bCs/>
        </w:rPr>
      </w:pPr>
    </w:p>
    <w:p w14:paraId="0E7396E1" w14:textId="3E2A2735" w:rsidR="003817A2" w:rsidRPr="00C830A8" w:rsidRDefault="003817A2" w:rsidP="00250940">
      <w:pPr>
        <w:pStyle w:val="Default"/>
        <w:jc w:val="both"/>
        <w:rPr>
          <w:color w:val="auto"/>
        </w:rPr>
      </w:pPr>
      <w:r w:rsidRPr="002F3DF3">
        <w:rPr>
          <w:color w:val="auto"/>
        </w:rPr>
        <w:t>Market share data from 2019 further supports the credit union’s good performance</w:t>
      </w:r>
      <w:proofErr w:type="gramStart"/>
      <w:r w:rsidRPr="002F3DF3">
        <w:rPr>
          <w:color w:val="auto"/>
        </w:rPr>
        <w:t xml:space="preserve">.  </w:t>
      </w:r>
      <w:proofErr w:type="gramEnd"/>
      <w:r>
        <w:rPr>
          <w:color w:val="auto"/>
        </w:rPr>
        <w:t>Leominster Credit Union ranked 18</w:t>
      </w:r>
      <w:r w:rsidRPr="00692C1E">
        <w:rPr>
          <w:color w:val="auto"/>
          <w:vertAlign w:val="superscript"/>
        </w:rPr>
        <w:t>th</w:t>
      </w:r>
      <w:r>
        <w:rPr>
          <w:color w:val="auto"/>
        </w:rPr>
        <w:t xml:space="preserve"> out of 185 lenders with a 1.4 percent market share in lending to low-income borrowers, and ranked 23</w:t>
      </w:r>
      <w:r w:rsidRPr="00692C1E">
        <w:rPr>
          <w:color w:val="auto"/>
          <w:vertAlign w:val="superscript"/>
        </w:rPr>
        <w:t>rd</w:t>
      </w:r>
      <w:r>
        <w:rPr>
          <w:color w:val="auto"/>
        </w:rPr>
        <w:t xml:space="preserve"> of 230 lenders with 1.0 market share in lending to moderate-income borrowers</w:t>
      </w:r>
      <w:proofErr w:type="gramStart"/>
      <w:r>
        <w:rPr>
          <w:color w:val="auto"/>
        </w:rPr>
        <w:t xml:space="preserve">.  </w:t>
      </w:r>
      <w:proofErr w:type="gramEnd"/>
      <w:r>
        <w:rPr>
          <w:color w:val="auto"/>
        </w:rPr>
        <w:t>In both cases the credit union’s rank exceeded its overall rank of 27</w:t>
      </w:r>
      <w:r w:rsidRPr="003817A2">
        <w:rPr>
          <w:color w:val="auto"/>
          <w:vertAlign w:val="superscript"/>
        </w:rPr>
        <w:t>th</w:t>
      </w:r>
      <w:r>
        <w:rPr>
          <w:color w:val="auto"/>
        </w:rPr>
        <w:t>, exhibiting a concentration of lending to low- and moderate-income borrowers.</w:t>
      </w:r>
    </w:p>
    <w:p w14:paraId="35313CAA" w14:textId="77777777" w:rsidR="009D0E57" w:rsidRPr="0004322E" w:rsidRDefault="009D0E57" w:rsidP="00250940">
      <w:pPr>
        <w:jc w:val="both"/>
        <w:rPr>
          <w:bCs/>
        </w:rPr>
      </w:pPr>
    </w:p>
    <w:p w14:paraId="3CF126CA" w14:textId="70EFEFB7" w:rsidR="009D0E57" w:rsidRPr="002F3DF3" w:rsidRDefault="009D0E57" w:rsidP="00250940">
      <w:pPr>
        <w:jc w:val="both"/>
        <w:rPr>
          <w:bCs/>
        </w:rPr>
      </w:pPr>
      <w:r>
        <w:rPr>
          <w:bCs/>
        </w:rPr>
        <w:t xml:space="preserve">The credit union </w:t>
      </w:r>
      <w:r w:rsidR="003817A2">
        <w:rPr>
          <w:bCs/>
        </w:rPr>
        <w:t>extended</w:t>
      </w:r>
      <w:r w:rsidRPr="0004322E">
        <w:rPr>
          <w:bCs/>
        </w:rPr>
        <w:t xml:space="preserve"> </w:t>
      </w:r>
      <w:r w:rsidR="00597B81">
        <w:rPr>
          <w:bCs/>
        </w:rPr>
        <w:t xml:space="preserve">credit to </w:t>
      </w:r>
      <w:r w:rsidRPr="0004322E">
        <w:rPr>
          <w:bCs/>
        </w:rPr>
        <w:t xml:space="preserve">low- and moderate-income </w:t>
      </w:r>
      <w:r>
        <w:rPr>
          <w:bCs/>
        </w:rPr>
        <w:t>borrowers</w:t>
      </w:r>
      <w:r w:rsidRPr="0004322E">
        <w:rPr>
          <w:bCs/>
        </w:rPr>
        <w:t xml:space="preserve"> thro</w:t>
      </w:r>
      <w:r>
        <w:rPr>
          <w:bCs/>
        </w:rPr>
        <w:t>ugh a variety of programs during the review period</w:t>
      </w:r>
      <w:proofErr w:type="gramStart"/>
      <w:r>
        <w:rPr>
          <w:bCs/>
        </w:rPr>
        <w:t xml:space="preserve">.  </w:t>
      </w:r>
      <w:proofErr w:type="gramEnd"/>
      <w:r w:rsidR="00597B81">
        <w:rPr>
          <w:bCs/>
        </w:rPr>
        <w:t>The c</w:t>
      </w:r>
      <w:r>
        <w:rPr>
          <w:bCs/>
        </w:rPr>
        <w:t xml:space="preserve">redit </w:t>
      </w:r>
      <w:r w:rsidR="00597B81">
        <w:rPr>
          <w:bCs/>
        </w:rPr>
        <w:t>u</w:t>
      </w:r>
      <w:r>
        <w:rPr>
          <w:bCs/>
        </w:rPr>
        <w:t>nion’</w:t>
      </w:r>
      <w:r w:rsidRPr="0004322E">
        <w:rPr>
          <w:bCs/>
        </w:rPr>
        <w:t>s First-</w:t>
      </w:r>
      <w:r w:rsidR="00EE6216">
        <w:rPr>
          <w:bCs/>
        </w:rPr>
        <w:t>T</w:t>
      </w:r>
      <w:r w:rsidRPr="0004322E">
        <w:rPr>
          <w:bCs/>
        </w:rPr>
        <w:t>ime Home Buyer program offers reduced closing costs and low down payment options</w:t>
      </w:r>
      <w:r w:rsidR="003817A2">
        <w:rPr>
          <w:bCs/>
        </w:rPr>
        <w:t>, particularly for the benefit of low- and moderate-income borrowers</w:t>
      </w:r>
      <w:proofErr w:type="gramStart"/>
      <w:r w:rsidR="003817A2">
        <w:rPr>
          <w:bCs/>
        </w:rPr>
        <w:t>.</w:t>
      </w:r>
      <w:r>
        <w:rPr>
          <w:bCs/>
        </w:rPr>
        <w:t xml:space="preserve">  </w:t>
      </w:r>
      <w:proofErr w:type="gramEnd"/>
      <w:r w:rsidRPr="00221DE8">
        <w:rPr>
          <w:bCs/>
        </w:rPr>
        <w:t>The</w:t>
      </w:r>
      <w:r>
        <w:rPr>
          <w:bCs/>
        </w:rPr>
        <w:t xml:space="preserve"> credit union </w:t>
      </w:r>
      <w:r w:rsidR="003817A2">
        <w:rPr>
          <w:bCs/>
        </w:rPr>
        <w:t xml:space="preserve">also </w:t>
      </w:r>
      <w:r>
        <w:rPr>
          <w:bCs/>
        </w:rPr>
        <w:t>participated in the</w:t>
      </w:r>
      <w:r w:rsidRPr="00221DE8">
        <w:rPr>
          <w:bCs/>
        </w:rPr>
        <w:t xml:space="preserve"> Federal Home Loan</w:t>
      </w:r>
      <w:r w:rsidR="00E51D94">
        <w:rPr>
          <w:bCs/>
        </w:rPr>
        <w:t xml:space="preserve"> Bank’s </w:t>
      </w:r>
      <w:r w:rsidRPr="00221DE8">
        <w:rPr>
          <w:bCs/>
        </w:rPr>
        <w:t xml:space="preserve"> Equity Builder </w:t>
      </w:r>
      <w:r w:rsidR="00E51D94">
        <w:rPr>
          <w:bCs/>
        </w:rPr>
        <w:t>and Housing Our workforce programs,</w:t>
      </w:r>
      <w:r>
        <w:rPr>
          <w:bCs/>
        </w:rPr>
        <w:t xml:space="preserve"> </w:t>
      </w:r>
      <w:r w:rsidRPr="00221DE8">
        <w:rPr>
          <w:bCs/>
        </w:rPr>
        <w:t xml:space="preserve">designed </w:t>
      </w:r>
      <w:r w:rsidR="00E51D94">
        <w:rPr>
          <w:bCs/>
        </w:rPr>
        <w:t xml:space="preserve">to help low- and moderate-income buyers </w:t>
      </w:r>
      <w:r w:rsidRPr="00221DE8">
        <w:rPr>
          <w:bCs/>
        </w:rPr>
        <w:t>with down-payment, closing cost, and home rehabilitation assistance</w:t>
      </w:r>
      <w:proofErr w:type="gramStart"/>
      <w:r w:rsidR="003817A2">
        <w:rPr>
          <w:bCs/>
        </w:rPr>
        <w:t>.</w:t>
      </w:r>
      <w:r w:rsidRPr="00221DE8">
        <w:rPr>
          <w:bCs/>
        </w:rPr>
        <w:t xml:space="preserve">  </w:t>
      </w:r>
      <w:proofErr w:type="gramEnd"/>
      <w:r w:rsidRPr="002F3DF3">
        <w:rPr>
          <w:bCs/>
        </w:rPr>
        <w:t>Additionally, t</w:t>
      </w:r>
      <w:r>
        <w:rPr>
          <w:bCs/>
        </w:rPr>
        <w:t xml:space="preserve">he credit union did </w:t>
      </w:r>
      <w:r w:rsidRPr="002F3DF3">
        <w:rPr>
          <w:bCs/>
        </w:rPr>
        <w:t xml:space="preserve">not charge for </w:t>
      </w:r>
      <w:r>
        <w:rPr>
          <w:bCs/>
        </w:rPr>
        <w:t xml:space="preserve">annual </w:t>
      </w:r>
      <w:r w:rsidRPr="002F3DF3">
        <w:rPr>
          <w:bCs/>
        </w:rPr>
        <w:t>servicing on twelve</w:t>
      </w:r>
      <w:r>
        <w:rPr>
          <w:bCs/>
        </w:rPr>
        <w:t xml:space="preserve"> Habitat for Humanity home mortgage</w:t>
      </w:r>
      <w:r w:rsidRPr="002F3DF3">
        <w:rPr>
          <w:bCs/>
        </w:rPr>
        <w:t xml:space="preserve"> loans </w:t>
      </w:r>
      <w:r>
        <w:rPr>
          <w:bCs/>
        </w:rPr>
        <w:t xml:space="preserve">on homes </w:t>
      </w:r>
      <w:r w:rsidRPr="002F3DF3">
        <w:rPr>
          <w:bCs/>
        </w:rPr>
        <w:t xml:space="preserve">built for income-qualified </w:t>
      </w:r>
      <w:proofErr w:type="gramStart"/>
      <w:r w:rsidRPr="002F3DF3">
        <w:rPr>
          <w:bCs/>
        </w:rPr>
        <w:t>home-buyers</w:t>
      </w:r>
      <w:proofErr w:type="gramEnd"/>
      <w:r w:rsidRPr="002F3DF3">
        <w:rPr>
          <w:bCs/>
        </w:rPr>
        <w:t xml:space="preserve">. </w:t>
      </w:r>
    </w:p>
    <w:p w14:paraId="5B4B750D" w14:textId="77777777" w:rsidR="009D0E57" w:rsidRPr="00081FCD" w:rsidRDefault="009D0E57" w:rsidP="00250940">
      <w:pPr>
        <w:pStyle w:val="Default"/>
        <w:jc w:val="both"/>
        <w:rPr>
          <w:color w:val="FF0000"/>
        </w:rPr>
      </w:pPr>
    </w:p>
    <w:tbl>
      <w:tblPr>
        <w:tblW w:w="0" w:type="auto"/>
        <w:tblCellMar>
          <w:left w:w="0" w:type="dxa"/>
          <w:right w:w="0" w:type="dxa"/>
        </w:tblCellMar>
        <w:tblLook w:val="0000" w:firstRow="0" w:lastRow="0" w:firstColumn="0" w:lastColumn="0" w:noHBand="0" w:noVBand="0"/>
      </w:tblPr>
      <w:tblGrid>
        <w:gridCol w:w="2253"/>
        <w:gridCol w:w="1417"/>
        <w:gridCol w:w="1431"/>
        <w:gridCol w:w="1124"/>
        <w:gridCol w:w="991"/>
        <w:gridCol w:w="1135"/>
        <w:gridCol w:w="991"/>
      </w:tblGrid>
      <w:tr w:rsidR="009D0E57" w14:paraId="5521A8AB" w14:textId="77777777" w:rsidTr="00250940">
        <w:trPr>
          <w:trHeight w:val="24"/>
        </w:trPr>
        <w:tc>
          <w:tcPr>
            <w:tcW w:w="9342" w:type="dxa"/>
            <w:gridSpan w:val="7"/>
            <w:tcBorders>
              <w:top w:val="single" w:sz="7" w:space="0" w:color="000000"/>
              <w:left w:val="single" w:sz="7" w:space="0" w:color="000000"/>
              <w:right w:val="single" w:sz="7" w:space="0" w:color="000000"/>
            </w:tcBorders>
            <w:tcMar>
              <w:top w:w="39" w:type="dxa"/>
              <w:left w:w="39" w:type="dxa"/>
              <w:bottom w:w="39" w:type="dxa"/>
              <w:right w:w="39" w:type="dxa"/>
            </w:tcMar>
          </w:tcPr>
          <w:p w14:paraId="78D66D07" w14:textId="77777777" w:rsidR="009D0E57" w:rsidRDefault="009D0E57" w:rsidP="009D0E57">
            <w:pPr>
              <w:jc w:val="center"/>
            </w:pPr>
            <w:r>
              <w:rPr>
                <w:b/>
                <w:color w:val="000000"/>
                <w:sz w:val="20"/>
              </w:rPr>
              <w:t>Distribution of Home Mortgage Loans by Borrower Income Level</w:t>
            </w:r>
          </w:p>
        </w:tc>
      </w:tr>
      <w:tr w:rsidR="009D0E57" w14:paraId="68BA8594" w14:textId="77777777" w:rsidTr="009D0E57">
        <w:trPr>
          <w:trHeight w:val="498"/>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7507D2B" w14:textId="77777777" w:rsidR="009D0E57" w:rsidRDefault="009D0E57" w:rsidP="009D0E57">
            <w:r>
              <w:rPr>
                <w:b/>
                <w:color w:val="000000"/>
                <w:sz w:val="20"/>
              </w:rPr>
              <w:t>Borrower Income Level</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5DE9451" w14:textId="77777777" w:rsidR="009D0E57" w:rsidRDefault="009D0E57" w:rsidP="009D0E57">
            <w:pPr>
              <w:jc w:val="center"/>
            </w:pPr>
            <w:r>
              <w:rPr>
                <w:b/>
                <w:color w:val="000000"/>
                <w:sz w:val="20"/>
              </w:rPr>
              <w:t>% of  Families</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ECBC05" w14:textId="77777777" w:rsidR="009D0E57" w:rsidRDefault="009D0E57" w:rsidP="009D0E57">
            <w:pPr>
              <w:jc w:val="center"/>
            </w:pPr>
            <w:r>
              <w:rPr>
                <w:b/>
                <w:color w:val="000000"/>
                <w:sz w:val="20"/>
              </w:rPr>
              <w:t>Aggregate Performance</w:t>
            </w:r>
            <w:r>
              <w:rPr>
                <w:b/>
                <w:color w:val="000000"/>
                <w:sz w:val="20"/>
              </w:rPr>
              <w:br/>
              <w:t>% of #</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2F5E86E" w14:textId="77777777" w:rsidR="009D0E57" w:rsidRDefault="009D0E57" w:rsidP="009D0E57">
            <w:pPr>
              <w:jc w:val="center"/>
            </w:pPr>
            <w:r>
              <w:rPr>
                <w:b/>
                <w:color w:val="000000"/>
                <w:sz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EE28AEC" w14:textId="77777777" w:rsidR="009D0E57" w:rsidRDefault="009D0E57" w:rsidP="009D0E57">
            <w:pPr>
              <w:jc w:val="center"/>
            </w:pPr>
            <w:r>
              <w:rPr>
                <w:b/>
                <w:color w:val="000000"/>
                <w:sz w:val="20"/>
              </w:rPr>
              <w:t>%</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3F833BB" w14:textId="77777777" w:rsidR="009D0E57" w:rsidRDefault="009D0E57" w:rsidP="009D0E57">
            <w:pPr>
              <w:jc w:val="center"/>
            </w:pPr>
            <w:r>
              <w:rPr>
                <w:b/>
                <w:color w:val="000000"/>
                <w:sz w:val="20"/>
              </w:rPr>
              <w:t>$(</w:t>
            </w:r>
            <w:proofErr w:type="spellStart"/>
            <w:r>
              <w:rPr>
                <w:b/>
                <w:color w:val="000000"/>
                <w:sz w:val="20"/>
              </w:rPr>
              <w:t>000s</w:t>
            </w:r>
            <w:proofErr w:type="spellEnd"/>
            <w:r>
              <w:rPr>
                <w:b/>
                <w:color w:val="000000"/>
                <w:sz w:val="20"/>
              </w:rPr>
              <w:t>)</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3E58F63" w14:textId="77777777" w:rsidR="009D0E57" w:rsidRDefault="009D0E57" w:rsidP="009D0E57">
            <w:pPr>
              <w:jc w:val="center"/>
            </w:pPr>
            <w:r>
              <w:rPr>
                <w:b/>
                <w:color w:val="000000"/>
                <w:sz w:val="20"/>
              </w:rPr>
              <w:t>%</w:t>
            </w:r>
          </w:p>
        </w:tc>
      </w:tr>
      <w:tr w:rsidR="009D0E57" w14:paraId="028B2A8C" w14:textId="77777777" w:rsidTr="009D0E57">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6A37CF2" w14:textId="77777777" w:rsidR="009D0E57" w:rsidRDefault="009D0E57" w:rsidP="009D0E57">
            <w:r>
              <w:rPr>
                <w:color w:val="000000"/>
                <w:sz w:val="20"/>
              </w:rPr>
              <w:t>Low</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8FD2542" w14:textId="77777777" w:rsidR="009D0E57" w:rsidRDefault="009D0E57" w:rsidP="009D0E57"/>
        </w:tc>
      </w:tr>
      <w:tr w:rsidR="009D0E57" w14:paraId="72B27F9C"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FEC00F8" w14:textId="77777777" w:rsidR="009D0E57" w:rsidRDefault="009D0E57" w:rsidP="009D0E57">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EE0836" w14:textId="77777777" w:rsidR="009D0E57" w:rsidRDefault="009D0E57" w:rsidP="009D0E57">
            <w:pPr>
              <w:jc w:val="center"/>
            </w:pPr>
            <w:r>
              <w:rPr>
                <w:color w:val="000000"/>
                <w:sz w:val="20"/>
              </w:rPr>
              <w:t>23.9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BDA921" w14:textId="77777777" w:rsidR="009D0E57" w:rsidRDefault="009D0E57" w:rsidP="009D0E57">
            <w:pPr>
              <w:jc w:val="center"/>
            </w:pPr>
            <w:r>
              <w:rPr>
                <w:color w:val="000000"/>
                <w:sz w:val="20"/>
              </w:rPr>
              <w:t>7.0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0E2298" w14:textId="77777777" w:rsidR="009D0E57" w:rsidRDefault="009D0E57" w:rsidP="009D0E57">
            <w:pPr>
              <w:jc w:val="center"/>
            </w:pPr>
            <w:r>
              <w:rPr>
                <w:color w:val="000000"/>
                <w:sz w:val="20"/>
              </w:rPr>
              <w:t>15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151DF42" w14:textId="77777777" w:rsidR="009D0E57" w:rsidRDefault="009D0E57" w:rsidP="009D0E57">
            <w:pPr>
              <w:jc w:val="center"/>
            </w:pPr>
            <w:r>
              <w:rPr>
                <w:color w:val="000000"/>
                <w:sz w:val="20"/>
              </w:rPr>
              <w:t>7.7</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EED019" w14:textId="77777777" w:rsidR="009D0E57" w:rsidRDefault="009D0E57" w:rsidP="009D0E57">
            <w:pPr>
              <w:jc w:val="center"/>
            </w:pPr>
            <w:r>
              <w:rPr>
                <w:color w:val="000000"/>
                <w:sz w:val="20"/>
              </w:rPr>
              <w:t>1,287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0B2494B" w14:textId="77777777" w:rsidR="009D0E57" w:rsidRDefault="009D0E57" w:rsidP="009D0E57">
            <w:pPr>
              <w:jc w:val="center"/>
            </w:pPr>
            <w:r>
              <w:rPr>
                <w:color w:val="000000"/>
                <w:sz w:val="20"/>
              </w:rPr>
              <w:t>3.9</w:t>
            </w:r>
          </w:p>
        </w:tc>
      </w:tr>
      <w:tr w:rsidR="009D0E57" w14:paraId="0B407202"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4D67ACF" w14:textId="77777777" w:rsidR="009D0E57" w:rsidRDefault="009D0E57" w:rsidP="009D0E57">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3229D8" w14:textId="77777777" w:rsidR="009D0E57" w:rsidRDefault="009D0E57" w:rsidP="009D0E57">
            <w:pPr>
              <w:jc w:val="center"/>
            </w:pPr>
            <w:r>
              <w:rPr>
                <w:color w:val="000000"/>
                <w:sz w:val="20"/>
              </w:rPr>
              <w:t>23.9</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7C2AB8" w14:textId="77777777" w:rsidR="009D0E57" w:rsidRDefault="009D0E57" w:rsidP="009D0E57">
            <w:pPr>
              <w:jc w:val="center"/>
            </w:pPr>
            <w:r>
              <w:rPr>
                <w:color w:val="000000"/>
                <w:sz w:val="20"/>
              </w:rPr>
              <w:t>7.5</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47FBA5F" w14:textId="77777777" w:rsidR="009D0E57" w:rsidRDefault="009D0E57" w:rsidP="009D0E57">
            <w:pPr>
              <w:jc w:val="center"/>
            </w:pPr>
            <w:r>
              <w:rPr>
                <w:color w:val="000000"/>
                <w:sz w:val="20"/>
              </w:rPr>
              <w:t>23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1DAD12" w14:textId="77777777" w:rsidR="009D0E57" w:rsidRDefault="009D0E57" w:rsidP="009D0E57">
            <w:pPr>
              <w:jc w:val="center"/>
            </w:pPr>
            <w:r>
              <w:rPr>
                <w:color w:val="000000"/>
                <w:sz w:val="20"/>
              </w:rPr>
              <w:t>11.5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856E38" w14:textId="77777777" w:rsidR="009D0E57" w:rsidRDefault="009D0E57" w:rsidP="009D0E57">
            <w:pPr>
              <w:jc w:val="center"/>
            </w:pPr>
            <w:r>
              <w:rPr>
                <w:color w:val="000000"/>
                <w:sz w:val="20"/>
              </w:rPr>
              <w:t>1,866</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23CBA" w14:textId="77777777" w:rsidR="009D0E57" w:rsidRDefault="009D0E57" w:rsidP="009D0E57">
            <w:pPr>
              <w:jc w:val="center"/>
            </w:pPr>
            <w:r>
              <w:rPr>
                <w:color w:val="000000"/>
                <w:sz w:val="20"/>
              </w:rPr>
              <w:t>5.7</w:t>
            </w:r>
          </w:p>
        </w:tc>
      </w:tr>
      <w:tr w:rsidR="009D0E57" w14:paraId="01FFBA23" w14:textId="77777777" w:rsidTr="009D0E57">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2626050" w14:textId="77777777" w:rsidR="009D0E57" w:rsidRDefault="009D0E57" w:rsidP="009D0E57">
            <w:r>
              <w:rPr>
                <w:color w:val="000000"/>
                <w:sz w:val="20"/>
              </w:rPr>
              <w:t>Moderate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15AFA2" w14:textId="77777777" w:rsidR="009D0E57" w:rsidRDefault="009D0E57" w:rsidP="009D0E57"/>
        </w:tc>
      </w:tr>
      <w:tr w:rsidR="009D0E57" w14:paraId="58D88DA1"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A9493DA" w14:textId="77777777" w:rsidR="009D0E57" w:rsidRDefault="009D0E57" w:rsidP="009D0E57">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0F8E272" w14:textId="77777777" w:rsidR="009D0E57" w:rsidRDefault="009D0E57" w:rsidP="009D0E57">
            <w:pPr>
              <w:jc w:val="center"/>
            </w:pPr>
            <w:r>
              <w:rPr>
                <w:color w:val="000000"/>
                <w:sz w:val="20"/>
              </w:rPr>
              <w:t>17.3</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7140E80" w14:textId="77777777" w:rsidR="009D0E57" w:rsidRDefault="009D0E57" w:rsidP="009D0E57">
            <w:pPr>
              <w:jc w:val="center"/>
            </w:pPr>
            <w:r>
              <w:rPr>
                <w:color w:val="000000"/>
                <w:sz w:val="20"/>
              </w:rPr>
              <w:t>22.3</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77D0B3B" w14:textId="77777777" w:rsidR="009D0E57" w:rsidRDefault="009D0E57" w:rsidP="009D0E57">
            <w:pPr>
              <w:jc w:val="center"/>
            </w:pPr>
            <w:r>
              <w:rPr>
                <w:color w:val="000000"/>
                <w:sz w:val="20"/>
              </w:rPr>
              <w:t>58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24C242" w14:textId="77777777" w:rsidR="009D0E57" w:rsidRDefault="009D0E57" w:rsidP="009D0E57">
            <w:pPr>
              <w:jc w:val="center"/>
            </w:pPr>
            <w:r>
              <w:rPr>
                <w:color w:val="000000"/>
                <w:sz w:val="20"/>
              </w:rPr>
              <w:t>29.9</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3D2010" w14:textId="77777777" w:rsidR="009D0E57" w:rsidRDefault="009D0E57" w:rsidP="009D0E57">
            <w:pPr>
              <w:jc w:val="center"/>
            </w:pPr>
            <w:r>
              <w:rPr>
                <w:color w:val="000000"/>
                <w:sz w:val="20"/>
              </w:rPr>
              <w:t>7,410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803E798" w14:textId="77777777" w:rsidR="009D0E57" w:rsidRDefault="009D0E57" w:rsidP="009D0E57">
            <w:pPr>
              <w:jc w:val="center"/>
            </w:pPr>
            <w:r>
              <w:rPr>
                <w:color w:val="000000"/>
                <w:sz w:val="20"/>
              </w:rPr>
              <w:t>22.6</w:t>
            </w:r>
          </w:p>
        </w:tc>
      </w:tr>
      <w:tr w:rsidR="009D0E57" w14:paraId="063D5B9E"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6BE4A69" w14:textId="77777777" w:rsidR="009D0E57" w:rsidRDefault="009D0E57" w:rsidP="009D0E57">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39475B" w14:textId="77777777" w:rsidR="009D0E57" w:rsidRDefault="009D0E57" w:rsidP="009D0E57">
            <w:pPr>
              <w:jc w:val="center"/>
            </w:pPr>
            <w:r>
              <w:rPr>
                <w:color w:val="000000"/>
                <w:sz w:val="20"/>
              </w:rPr>
              <w:t>17.3</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734427" w14:textId="77777777" w:rsidR="009D0E57" w:rsidRDefault="009D0E57" w:rsidP="009D0E57">
            <w:pPr>
              <w:jc w:val="center"/>
            </w:pPr>
            <w:r>
              <w:rPr>
                <w:color w:val="000000"/>
                <w:sz w:val="20"/>
              </w:rPr>
              <w:t>23.4</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A5AB1" w14:textId="77777777" w:rsidR="009D0E57" w:rsidRDefault="009D0E57" w:rsidP="009D0E57">
            <w:pPr>
              <w:jc w:val="center"/>
            </w:pPr>
            <w:r>
              <w:rPr>
                <w:color w:val="000000"/>
                <w:sz w:val="20"/>
              </w:rPr>
              <w:t>48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6461FEE" w14:textId="77777777" w:rsidR="009D0E57" w:rsidRDefault="009D0E57" w:rsidP="009D0E57">
            <w:pPr>
              <w:jc w:val="center"/>
            </w:pPr>
            <w:r>
              <w:rPr>
                <w:color w:val="000000"/>
                <w:sz w:val="20"/>
              </w:rPr>
              <w:t>24.0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B43A8F5" w14:textId="77777777" w:rsidR="009D0E57" w:rsidRDefault="009D0E57" w:rsidP="009D0E57">
            <w:pPr>
              <w:jc w:val="center"/>
            </w:pPr>
            <w:r>
              <w:rPr>
                <w:color w:val="000000"/>
                <w:sz w:val="20"/>
              </w:rPr>
              <w:t>6,514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DB57B06" w14:textId="77777777" w:rsidR="009D0E57" w:rsidRDefault="009D0E57" w:rsidP="009D0E57">
            <w:pPr>
              <w:jc w:val="center"/>
            </w:pPr>
            <w:r>
              <w:rPr>
                <w:color w:val="000000"/>
                <w:sz w:val="20"/>
              </w:rPr>
              <w:t>20.0</w:t>
            </w:r>
          </w:p>
        </w:tc>
      </w:tr>
      <w:tr w:rsidR="009D0E57" w14:paraId="5B062A54" w14:textId="77777777" w:rsidTr="009D0E57">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F065FB" w14:textId="77777777" w:rsidR="009D0E57" w:rsidRDefault="009D0E57" w:rsidP="009D0E57">
            <w:r>
              <w:rPr>
                <w:color w:val="000000"/>
                <w:sz w:val="20"/>
              </w:rPr>
              <w:t>Middle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385471D" w14:textId="77777777" w:rsidR="009D0E57" w:rsidRDefault="009D0E57" w:rsidP="009D0E57"/>
        </w:tc>
      </w:tr>
      <w:tr w:rsidR="009D0E57" w14:paraId="55C2616B"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692D007" w14:textId="77777777" w:rsidR="009D0E57" w:rsidRDefault="009D0E57" w:rsidP="009D0E57">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436B85" w14:textId="77777777" w:rsidR="009D0E57" w:rsidRDefault="009D0E57" w:rsidP="009D0E57">
            <w:pPr>
              <w:jc w:val="center"/>
            </w:pPr>
            <w:r>
              <w:rPr>
                <w:color w:val="000000"/>
                <w:sz w:val="20"/>
              </w:rPr>
              <w:t>20.3</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A809206" w14:textId="77777777" w:rsidR="009D0E57" w:rsidRDefault="009D0E57" w:rsidP="009D0E57">
            <w:pPr>
              <w:jc w:val="center"/>
            </w:pPr>
            <w:r>
              <w:rPr>
                <w:color w:val="000000"/>
                <w:sz w:val="20"/>
              </w:rPr>
              <w:t>25.4</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16EDFAC" w14:textId="77777777" w:rsidR="009D0E57" w:rsidRDefault="009D0E57" w:rsidP="009D0E57">
            <w:pPr>
              <w:jc w:val="center"/>
            </w:pPr>
            <w:r>
              <w:rPr>
                <w:color w:val="000000"/>
                <w:sz w:val="20"/>
              </w:rPr>
              <w:t>58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87AE1D" w14:textId="77777777" w:rsidR="009D0E57" w:rsidRDefault="009D0E57" w:rsidP="009D0E57">
            <w:pPr>
              <w:jc w:val="center"/>
            </w:pPr>
            <w:r>
              <w:rPr>
                <w:color w:val="000000"/>
                <w:sz w:val="20"/>
              </w:rPr>
              <w:t>29.9</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2F6633" w14:textId="77777777" w:rsidR="009D0E57" w:rsidRDefault="009D0E57" w:rsidP="009D0E57">
            <w:pPr>
              <w:jc w:val="center"/>
            </w:pPr>
            <w:r>
              <w:rPr>
                <w:color w:val="000000"/>
                <w:sz w:val="20"/>
              </w:rPr>
              <w:t>9,978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70A04D" w14:textId="77777777" w:rsidR="009D0E57" w:rsidRDefault="009D0E57" w:rsidP="009D0E57">
            <w:pPr>
              <w:jc w:val="center"/>
            </w:pPr>
            <w:r>
              <w:rPr>
                <w:color w:val="000000"/>
                <w:sz w:val="20"/>
              </w:rPr>
              <w:t>30.4</w:t>
            </w:r>
          </w:p>
        </w:tc>
      </w:tr>
      <w:tr w:rsidR="009D0E57" w14:paraId="5B444C9B"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D202F99" w14:textId="77777777" w:rsidR="009D0E57" w:rsidRDefault="009D0E57" w:rsidP="009D0E57">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CEBF5E" w14:textId="77777777" w:rsidR="009D0E57" w:rsidRDefault="009D0E57" w:rsidP="009D0E57">
            <w:pPr>
              <w:jc w:val="center"/>
            </w:pPr>
            <w:r>
              <w:rPr>
                <w:color w:val="000000"/>
                <w:sz w:val="20"/>
              </w:rPr>
              <w:t>20.3</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908197" w14:textId="77777777" w:rsidR="009D0E57" w:rsidRDefault="009D0E57" w:rsidP="009D0E57">
            <w:pPr>
              <w:jc w:val="center"/>
            </w:pPr>
            <w:r>
              <w:rPr>
                <w:color w:val="000000"/>
                <w:sz w:val="20"/>
              </w:rPr>
              <w:t>23.7</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6C87537" w14:textId="77777777" w:rsidR="009D0E57" w:rsidRDefault="009D0E57" w:rsidP="009D0E57">
            <w:pPr>
              <w:jc w:val="center"/>
            </w:pPr>
            <w:r>
              <w:rPr>
                <w:color w:val="000000"/>
                <w:sz w:val="20"/>
              </w:rPr>
              <w:t>57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345A675" w14:textId="77777777" w:rsidR="009D0E57" w:rsidRDefault="009D0E57" w:rsidP="009D0E57">
            <w:pPr>
              <w:jc w:val="center"/>
            </w:pPr>
            <w:r>
              <w:rPr>
                <w:color w:val="000000"/>
                <w:sz w:val="20"/>
              </w:rPr>
              <w:t>28.5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0FAA6D" w14:textId="77777777" w:rsidR="009D0E57" w:rsidRDefault="009D0E57" w:rsidP="009D0E57">
            <w:pPr>
              <w:jc w:val="center"/>
            </w:pPr>
            <w:r>
              <w:rPr>
                <w:color w:val="000000"/>
                <w:sz w:val="20"/>
              </w:rPr>
              <w:t>10,190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09DBDB" w14:textId="77777777" w:rsidR="009D0E57" w:rsidRDefault="009D0E57" w:rsidP="009D0E57">
            <w:pPr>
              <w:jc w:val="center"/>
            </w:pPr>
            <w:r>
              <w:rPr>
                <w:color w:val="000000"/>
                <w:sz w:val="20"/>
              </w:rPr>
              <w:t>31.3</w:t>
            </w:r>
          </w:p>
        </w:tc>
      </w:tr>
      <w:tr w:rsidR="009D0E57" w14:paraId="543104A5" w14:textId="77777777" w:rsidTr="009D0E57">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63BAD73" w14:textId="77777777" w:rsidR="009D0E57" w:rsidRDefault="009D0E57" w:rsidP="009D0E57">
            <w:r>
              <w:rPr>
                <w:color w:val="000000"/>
                <w:sz w:val="20"/>
              </w:rPr>
              <w:t>Upper</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79F823" w14:textId="77777777" w:rsidR="009D0E57" w:rsidRDefault="009D0E57" w:rsidP="009D0E57"/>
        </w:tc>
      </w:tr>
      <w:tr w:rsidR="009D0E57" w14:paraId="79105B1B"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78C150A" w14:textId="77777777" w:rsidR="009D0E57" w:rsidRDefault="009D0E57" w:rsidP="009D0E57">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4101E70" w14:textId="77777777" w:rsidR="009D0E57" w:rsidRDefault="009D0E57" w:rsidP="009D0E57">
            <w:pPr>
              <w:jc w:val="center"/>
            </w:pPr>
            <w:r>
              <w:rPr>
                <w:color w:val="000000"/>
                <w:sz w:val="20"/>
              </w:rPr>
              <w:t>38.5</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6C87A2" w14:textId="77777777" w:rsidR="009D0E57" w:rsidRDefault="009D0E57" w:rsidP="009D0E57">
            <w:pPr>
              <w:jc w:val="center"/>
            </w:pPr>
            <w:r>
              <w:rPr>
                <w:color w:val="000000"/>
                <w:sz w:val="20"/>
              </w:rPr>
              <w:t>32.1</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39BF645" w14:textId="77777777" w:rsidR="009D0E57" w:rsidRDefault="009D0E57" w:rsidP="009D0E57">
            <w:pPr>
              <w:jc w:val="center"/>
            </w:pPr>
            <w:r>
              <w:rPr>
                <w:color w:val="000000"/>
                <w:sz w:val="20"/>
              </w:rPr>
              <w:t>55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43732F" w14:textId="77777777" w:rsidR="009D0E57" w:rsidRDefault="009D0E57" w:rsidP="009D0E57">
            <w:pPr>
              <w:jc w:val="center"/>
            </w:pPr>
            <w:r>
              <w:rPr>
                <w:color w:val="000000"/>
                <w:sz w:val="20"/>
              </w:rPr>
              <w:t>28.4</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A69BCF" w14:textId="77777777" w:rsidR="009D0E57" w:rsidRDefault="009D0E57" w:rsidP="009D0E57">
            <w:pPr>
              <w:jc w:val="center"/>
            </w:pPr>
            <w:r>
              <w:rPr>
                <w:color w:val="000000"/>
                <w:sz w:val="20"/>
              </w:rPr>
              <w:t>11,958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9B3FD7D" w14:textId="77777777" w:rsidR="009D0E57" w:rsidRDefault="009D0E57" w:rsidP="009D0E57">
            <w:pPr>
              <w:jc w:val="center"/>
            </w:pPr>
            <w:r>
              <w:rPr>
                <w:color w:val="000000"/>
                <w:sz w:val="20"/>
              </w:rPr>
              <w:t>36.5</w:t>
            </w:r>
          </w:p>
        </w:tc>
      </w:tr>
      <w:tr w:rsidR="009D0E57" w14:paraId="7916CB84"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3840B94" w14:textId="77777777" w:rsidR="009D0E57" w:rsidRDefault="009D0E57" w:rsidP="009D0E57">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BCEE79" w14:textId="77777777" w:rsidR="009D0E57" w:rsidRDefault="009D0E57" w:rsidP="009D0E57">
            <w:pPr>
              <w:jc w:val="center"/>
            </w:pPr>
            <w:r>
              <w:rPr>
                <w:color w:val="000000"/>
                <w:sz w:val="20"/>
              </w:rPr>
              <w:t>38.5</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15A3A0" w14:textId="77777777" w:rsidR="009D0E57" w:rsidRDefault="009D0E57" w:rsidP="009D0E57">
            <w:pPr>
              <w:jc w:val="center"/>
            </w:pPr>
            <w:r>
              <w:rPr>
                <w:color w:val="000000"/>
                <w:sz w:val="20"/>
              </w:rPr>
              <w:t>30.3</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B32FAC7" w14:textId="77777777" w:rsidR="009D0E57" w:rsidRDefault="009D0E57" w:rsidP="009D0E57">
            <w:pPr>
              <w:jc w:val="center"/>
            </w:pPr>
            <w:r>
              <w:rPr>
                <w:color w:val="000000"/>
                <w:sz w:val="20"/>
              </w:rPr>
              <w:t>65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CB9355" w14:textId="77777777" w:rsidR="009D0E57" w:rsidRDefault="009D0E57" w:rsidP="009D0E57">
            <w:pPr>
              <w:jc w:val="center"/>
            </w:pPr>
            <w:r>
              <w:rPr>
                <w:color w:val="000000"/>
                <w:sz w:val="20"/>
              </w:rPr>
              <w:t>32.5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E02B6E" w14:textId="77777777" w:rsidR="009D0E57" w:rsidRDefault="009D0E57" w:rsidP="009D0E57">
            <w:pPr>
              <w:jc w:val="center"/>
            </w:pPr>
            <w:r>
              <w:rPr>
                <w:color w:val="000000"/>
                <w:sz w:val="20"/>
              </w:rPr>
              <w:t>12,653</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EEBEB5" w14:textId="77777777" w:rsidR="009D0E57" w:rsidRDefault="009D0E57" w:rsidP="009D0E57">
            <w:pPr>
              <w:jc w:val="center"/>
            </w:pPr>
            <w:r>
              <w:rPr>
                <w:color w:val="000000"/>
                <w:sz w:val="20"/>
              </w:rPr>
              <w:t>38.8</w:t>
            </w:r>
          </w:p>
        </w:tc>
      </w:tr>
      <w:tr w:rsidR="009D0E57" w14:paraId="016C1C99" w14:textId="77777777" w:rsidTr="009D0E57">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A8A75C5" w14:textId="77777777" w:rsidR="009D0E57" w:rsidRDefault="009D0E57" w:rsidP="009D0E57">
            <w:r>
              <w:rPr>
                <w:color w:val="000000"/>
                <w:sz w:val="20"/>
              </w:rPr>
              <w:t>Not Available</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D4F948" w14:textId="77777777" w:rsidR="009D0E57" w:rsidRDefault="009D0E57" w:rsidP="009D0E57"/>
        </w:tc>
      </w:tr>
      <w:tr w:rsidR="009D0E57" w14:paraId="59735188"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B91BA1A" w14:textId="77777777" w:rsidR="009D0E57" w:rsidRDefault="009D0E57" w:rsidP="009D0E57">
            <w:pPr>
              <w:jc w:val="right"/>
            </w:pPr>
            <w:r>
              <w:rPr>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9D4AD8" w14:textId="77777777" w:rsidR="009D0E57" w:rsidRDefault="009D0E57" w:rsidP="009D0E57">
            <w:pPr>
              <w:jc w:val="center"/>
            </w:pPr>
            <w:r>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D4D05D0" w14:textId="77777777" w:rsidR="009D0E57" w:rsidRDefault="009D0E57" w:rsidP="009D0E57">
            <w:pPr>
              <w:jc w:val="center"/>
            </w:pPr>
            <w:r>
              <w:rPr>
                <w:color w:val="000000"/>
                <w:sz w:val="20"/>
              </w:rPr>
              <w:t>13.1</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E4EDBF" w14:textId="77777777" w:rsidR="009D0E57" w:rsidRDefault="009D0E57" w:rsidP="009D0E57">
            <w:pPr>
              <w:jc w:val="center"/>
            </w:pPr>
            <w:r>
              <w:rPr>
                <w:color w:val="000000"/>
                <w:sz w:val="20"/>
              </w:rPr>
              <w:t>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F8166EA" w14:textId="77777777" w:rsidR="009D0E57" w:rsidRDefault="009D0E57" w:rsidP="009D0E57">
            <w:pPr>
              <w:jc w:val="center"/>
            </w:pPr>
            <w:r>
              <w:rPr>
                <w:color w:val="000000"/>
                <w:sz w:val="20"/>
              </w:rPr>
              <w:t>4.1</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256177F" w14:textId="77777777" w:rsidR="009D0E57" w:rsidRDefault="009D0E57" w:rsidP="009D0E57">
            <w:pPr>
              <w:jc w:val="center"/>
            </w:pPr>
            <w:r>
              <w:rPr>
                <w:color w:val="000000"/>
                <w:sz w:val="20"/>
              </w:rPr>
              <w:t>2,172</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D0199C" w14:textId="77777777" w:rsidR="009D0E57" w:rsidRDefault="009D0E57" w:rsidP="009D0E57">
            <w:pPr>
              <w:jc w:val="center"/>
            </w:pPr>
            <w:r>
              <w:rPr>
                <w:color w:val="000000"/>
                <w:sz w:val="20"/>
              </w:rPr>
              <w:t>6.6</w:t>
            </w:r>
          </w:p>
        </w:tc>
      </w:tr>
      <w:tr w:rsidR="009D0E57" w14:paraId="0DFD8A5B" w14:textId="77777777" w:rsidTr="009D0E57">
        <w:trPr>
          <w:trHeight w:val="166"/>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80BC2C5" w14:textId="77777777" w:rsidR="009D0E57" w:rsidRDefault="009D0E57" w:rsidP="009D0E57">
            <w:pPr>
              <w:jc w:val="right"/>
            </w:pPr>
            <w:r>
              <w:rPr>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63BDCC7" w14:textId="77777777" w:rsidR="009D0E57" w:rsidRDefault="009D0E57" w:rsidP="009D0E57">
            <w:pPr>
              <w:jc w:val="center"/>
            </w:pPr>
            <w:r>
              <w:rPr>
                <w:color w:val="000000"/>
                <w:sz w:val="20"/>
              </w:rPr>
              <w:t>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19196A2" w14:textId="77777777" w:rsidR="009D0E57" w:rsidRDefault="009D0E57" w:rsidP="009D0E57">
            <w:pPr>
              <w:jc w:val="center"/>
            </w:pPr>
            <w:r>
              <w:rPr>
                <w:color w:val="000000"/>
                <w:sz w:val="20"/>
              </w:rPr>
              <w:t>15.0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4CA49C" w14:textId="77777777" w:rsidR="009D0E57" w:rsidRDefault="009D0E57" w:rsidP="009D0E57">
            <w:pPr>
              <w:jc w:val="center"/>
            </w:pPr>
            <w:r>
              <w:rPr>
                <w:color w:val="000000"/>
                <w:sz w:val="20"/>
              </w:rPr>
              <w:t>7</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C53D3C1" w14:textId="77777777" w:rsidR="009D0E57" w:rsidRDefault="009D0E57" w:rsidP="009D0E57">
            <w:pPr>
              <w:jc w:val="center"/>
            </w:pPr>
            <w:r>
              <w:rPr>
                <w:color w:val="000000"/>
                <w:sz w:val="20"/>
              </w:rPr>
              <w:t>3.5</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EF8035" w14:textId="77777777" w:rsidR="009D0E57" w:rsidRDefault="009D0E57" w:rsidP="009D0E57">
            <w:pPr>
              <w:jc w:val="center"/>
            </w:pPr>
            <w:r>
              <w:rPr>
                <w:color w:val="000000"/>
                <w:sz w:val="20"/>
              </w:rPr>
              <w:t>1,348</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D165D13" w14:textId="77777777" w:rsidR="009D0E57" w:rsidRDefault="009D0E57" w:rsidP="009D0E57">
            <w:pPr>
              <w:jc w:val="center"/>
            </w:pPr>
            <w:r>
              <w:rPr>
                <w:color w:val="000000"/>
                <w:sz w:val="20"/>
              </w:rPr>
              <w:t>4.1</w:t>
            </w:r>
          </w:p>
        </w:tc>
      </w:tr>
      <w:tr w:rsidR="009D0E57" w14:paraId="6A1501A1" w14:textId="77777777" w:rsidTr="009D0E57">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2B180A0" w14:textId="77777777" w:rsidR="009D0E57" w:rsidRDefault="009D0E57" w:rsidP="009D0E57">
            <w:r>
              <w:rPr>
                <w:b/>
                <w:color w:val="000000"/>
                <w:sz w:val="20"/>
              </w:rPr>
              <w:t>Totals</w:t>
            </w:r>
          </w:p>
        </w:tc>
        <w:tc>
          <w:tcPr>
            <w:tcW w:w="7089" w:type="dxa"/>
            <w:gridSpan w:val="6"/>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EA06378" w14:textId="77777777" w:rsidR="009D0E57" w:rsidRDefault="009D0E57" w:rsidP="009D0E57"/>
        </w:tc>
      </w:tr>
      <w:tr w:rsidR="009D0E57" w14:paraId="1881A006" w14:textId="77777777" w:rsidTr="009D0E57">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2EC7440" w14:textId="77777777" w:rsidR="009D0E57" w:rsidRDefault="009D0E57" w:rsidP="009D0E57">
            <w:pPr>
              <w:jc w:val="right"/>
            </w:pPr>
            <w:r>
              <w:rPr>
                <w:b/>
                <w:color w:val="000000"/>
                <w:sz w:val="20"/>
              </w:rPr>
              <w:t>2018</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349146" w14:textId="77777777" w:rsidR="009D0E57" w:rsidRDefault="009D0E57" w:rsidP="009D0E57">
            <w:pPr>
              <w:jc w:val="center"/>
            </w:pPr>
            <w:r>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FB5CB9F" w14:textId="77777777" w:rsidR="009D0E57" w:rsidRDefault="009D0E57" w:rsidP="009D0E57">
            <w:pPr>
              <w:jc w:val="center"/>
            </w:pPr>
            <w:r>
              <w:rPr>
                <w:b/>
                <w:color w:val="000000"/>
                <w:sz w:val="20"/>
              </w:rPr>
              <w:t>100.0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517E83" w14:textId="77777777" w:rsidR="009D0E57" w:rsidRDefault="009D0E57" w:rsidP="009D0E57">
            <w:pPr>
              <w:jc w:val="center"/>
            </w:pPr>
            <w:r>
              <w:rPr>
                <w:b/>
                <w:color w:val="000000"/>
                <w:sz w:val="20"/>
              </w:rPr>
              <w:t>194</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6F22DC" w14:textId="77777777" w:rsidR="009D0E57" w:rsidRDefault="009D0E57" w:rsidP="009D0E57">
            <w:pPr>
              <w:jc w:val="center"/>
            </w:pPr>
            <w:r>
              <w:rPr>
                <w:b/>
                <w:color w:val="000000"/>
                <w:sz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991F66" w14:textId="77777777" w:rsidR="009D0E57" w:rsidRDefault="009D0E57" w:rsidP="009D0E57">
            <w:pPr>
              <w:jc w:val="center"/>
            </w:pPr>
            <w:r>
              <w:rPr>
                <w:b/>
                <w:color w:val="000000"/>
                <w:sz w:val="20"/>
              </w:rPr>
              <w:t>32,805</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C565ED9" w14:textId="77777777" w:rsidR="009D0E57" w:rsidRDefault="009D0E57" w:rsidP="009D0E57">
            <w:pPr>
              <w:jc w:val="center"/>
            </w:pPr>
            <w:r>
              <w:rPr>
                <w:b/>
                <w:color w:val="000000"/>
                <w:sz w:val="20"/>
              </w:rPr>
              <w:t>100.0</w:t>
            </w:r>
          </w:p>
        </w:tc>
      </w:tr>
      <w:tr w:rsidR="009D0E57" w14:paraId="4FAFF8CE" w14:textId="77777777" w:rsidTr="009D0E57">
        <w:trPr>
          <w:trHeight w:val="181"/>
        </w:trPr>
        <w:tc>
          <w:tcPr>
            <w:tcW w:w="2253"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FE4BCF4" w14:textId="77777777" w:rsidR="009D0E57" w:rsidRDefault="009D0E57" w:rsidP="009D0E57">
            <w:pPr>
              <w:jc w:val="right"/>
            </w:pPr>
            <w:r>
              <w:rPr>
                <w:b/>
                <w:color w:val="000000"/>
                <w:sz w:val="20"/>
              </w:rPr>
              <w:t>2019</w:t>
            </w:r>
          </w:p>
        </w:tc>
        <w:tc>
          <w:tcPr>
            <w:tcW w:w="141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531AE03" w14:textId="77777777" w:rsidR="009D0E57" w:rsidRDefault="009D0E57" w:rsidP="009D0E57">
            <w:pPr>
              <w:jc w:val="center"/>
            </w:pPr>
            <w:r>
              <w:rPr>
                <w:b/>
                <w:color w:val="000000"/>
                <w:sz w:val="20"/>
              </w:rPr>
              <w:t>100.0</w:t>
            </w:r>
          </w:p>
        </w:tc>
        <w:tc>
          <w:tcPr>
            <w:tcW w:w="143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DED8CF9" w14:textId="77777777" w:rsidR="009D0E57" w:rsidRDefault="009D0E57" w:rsidP="009D0E57">
            <w:pPr>
              <w:jc w:val="center"/>
            </w:pPr>
            <w:r>
              <w:rPr>
                <w:b/>
                <w:color w:val="000000"/>
                <w:sz w:val="20"/>
              </w:rPr>
              <w:t>100.0</w:t>
            </w:r>
          </w:p>
        </w:tc>
        <w:tc>
          <w:tcPr>
            <w:tcW w:w="112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45E4CE" w14:textId="77777777" w:rsidR="009D0E57" w:rsidRDefault="009D0E57" w:rsidP="009D0E57">
            <w:pPr>
              <w:jc w:val="center"/>
            </w:pPr>
            <w:r>
              <w:rPr>
                <w:b/>
                <w:color w:val="000000"/>
                <w:sz w:val="20"/>
              </w:rPr>
              <w:t>200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D677D17" w14:textId="77777777" w:rsidR="009D0E57" w:rsidRDefault="009D0E57" w:rsidP="009D0E57">
            <w:pPr>
              <w:jc w:val="center"/>
            </w:pPr>
            <w:r>
              <w:rPr>
                <w:b/>
                <w:color w:val="000000"/>
                <w:sz w:val="20"/>
              </w:rPr>
              <w:t>100.0</w:t>
            </w:r>
          </w:p>
        </w:tc>
        <w:tc>
          <w:tcPr>
            <w:tcW w:w="1135"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36B56B" w14:textId="77777777" w:rsidR="009D0E57" w:rsidRDefault="009D0E57" w:rsidP="009D0E57">
            <w:pPr>
              <w:jc w:val="center"/>
            </w:pPr>
            <w:r>
              <w:rPr>
                <w:b/>
                <w:color w:val="000000"/>
                <w:sz w:val="20"/>
              </w:rPr>
              <w:t>32,570</w:t>
            </w:r>
          </w:p>
        </w:tc>
        <w:tc>
          <w:tcPr>
            <w:tcW w:w="991"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DAB073" w14:textId="77777777" w:rsidR="009D0E57" w:rsidRDefault="009D0E57" w:rsidP="009D0E57">
            <w:pPr>
              <w:jc w:val="center"/>
            </w:pPr>
            <w:r>
              <w:rPr>
                <w:b/>
                <w:color w:val="000000"/>
                <w:sz w:val="20"/>
              </w:rPr>
              <w:t>100.0</w:t>
            </w:r>
          </w:p>
        </w:tc>
      </w:tr>
      <w:tr w:rsidR="009D0E57" w14:paraId="3E413503" w14:textId="77777777" w:rsidTr="00250940">
        <w:trPr>
          <w:trHeight w:val="19"/>
        </w:trPr>
        <w:tc>
          <w:tcPr>
            <w:tcW w:w="9342" w:type="dxa"/>
            <w:gridSpan w:val="7"/>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7907E09F" w14:textId="3FCC363E" w:rsidR="009D0E57" w:rsidRDefault="009D0E57" w:rsidP="00DC1D20">
            <w:proofErr w:type="gramStart"/>
            <w:r>
              <w:rPr>
                <w:i/>
                <w:color w:val="000000"/>
                <w:sz w:val="16"/>
              </w:rPr>
              <w:t>Source: 2015 ACS; Bank Data, 2018 &amp; 2019 HMDA Aggregate Data, "--" data not available.</w:t>
            </w:r>
            <w:proofErr w:type="gramEnd"/>
            <w:r w:rsidR="00DC1D20">
              <w:rPr>
                <w:i/>
                <w:color w:val="000000"/>
                <w:sz w:val="16"/>
              </w:rPr>
              <w:t xml:space="preserve"> </w:t>
            </w:r>
            <w:r>
              <w:rPr>
                <w:i/>
                <w:color w:val="000000"/>
                <w:sz w:val="16"/>
              </w:rPr>
              <w:t>Due to rounding, totals may not equal 100.0%</w:t>
            </w:r>
          </w:p>
        </w:tc>
      </w:tr>
    </w:tbl>
    <w:p w14:paraId="7A895F25" w14:textId="7371DC62" w:rsidR="009D0E57" w:rsidRPr="0035304F" w:rsidRDefault="009D0E57" w:rsidP="00250940">
      <w:pPr>
        <w:ind w:right="-270"/>
        <w:jc w:val="both"/>
        <w:rPr>
          <w:b/>
          <w:i/>
        </w:rPr>
      </w:pPr>
      <w:r w:rsidRPr="0035304F">
        <w:rPr>
          <w:b/>
          <w:i/>
        </w:rPr>
        <w:lastRenderedPageBreak/>
        <w:t>Consumer Lending</w:t>
      </w:r>
    </w:p>
    <w:p w14:paraId="2A938633" w14:textId="77777777" w:rsidR="00C830A8" w:rsidRDefault="00C830A8" w:rsidP="00250940">
      <w:pPr>
        <w:pStyle w:val="Default"/>
        <w:jc w:val="both"/>
      </w:pPr>
    </w:p>
    <w:p w14:paraId="03140428" w14:textId="0054A44B" w:rsidR="009D0E57" w:rsidRPr="006F02D7" w:rsidRDefault="009D0E57" w:rsidP="00250940">
      <w:pPr>
        <w:pStyle w:val="Default"/>
        <w:jc w:val="both"/>
        <w:rPr>
          <w:color w:val="auto"/>
        </w:rPr>
      </w:pPr>
      <w:r>
        <w:t xml:space="preserve">The distribution of sampled consumer loans </w:t>
      </w:r>
      <w:r w:rsidRPr="00AC74C1">
        <w:rPr>
          <w:color w:val="auto"/>
        </w:rPr>
        <w:t xml:space="preserve">reflects </w:t>
      </w:r>
      <w:r w:rsidR="00C830A8">
        <w:rPr>
          <w:color w:val="auto"/>
        </w:rPr>
        <w:t>reasonable</w:t>
      </w:r>
      <w:r w:rsidRPr="00AC74C1">
        <w:rPr>
          <w:color w:val="auto"/>
        </w:rPr>
        <w:t xml:space="preserve"> penetration </w:t>
      </w:r>
      <w:r>
        <w:t xml:space="preserve">to individuals of different </w:t>
      </w:r>
      <w:r w:rsidRPr="006F02D7">
        <w:rPr>
          <w:color w:val="auto"/>
        </w:rPr>
        <w:t>income levels</w:t>
      </w:r>
      <w:proofErr w:type="gramStart"/>
      <w:r w:rsidRPr="006F02D7">
        <w:rPr>
          <w:color w:val="auto"/>
        </w:rPr>
        <w:t xml:space="preserve">.  </w:t>
      </w:r>
      <w:proofErr w:type="gramEnd"/>
      <w:r w:rsidRPr="006F02D7">
        <w:rPr>
          <w:color w:val="auto"/>
        </w:rPr>
        <w:t xml:space="preserve">Examiners compared the credit union’s consumer lending activity to the </w:t>
      </w:r>
      <w:r>
        <w:rPr>
          <w:color w:val="auto"/>
        </w:rPr>
        <w:t>P</w:t>
      </w:r>
      <w:r w:rsidRPr="006F02D7">
        <w:rPr>
          <w:color w:val="auto"/>
        </w:rPr>
        <w:t xml:space="preserve">ercentage of </w:t>
      </w:r>
      <w:r>
        <w:rPr>
          <w:color w:val="auto"/>
        </w:rPr>
        <w:t>H</w:t>
      </w:r>
      <w:r w:rsidRPr="006F02D7">
        <w:rPr>
          <w:color w:val="auto"/>
        </w:rPr>
        <w:t>ouseholds demographic data</w:t>
      </w:r>
      <w:proofErr w:type="gramStart"/>
      <w:r w:rsidRPr="006F02D7">
        <w:rPr>
          <w:color w:val="auto"/>
        </w:rPr>
        <w:t xml:space="preserve">.  </w:t>
      </w:r>
      <w:proofErr w:type="gramEnd"/>
      <w:r w:rsidRPr="006F02D7">
        <w:rPr>
          <w:color w:val="auto"/>
        </w:rPr>
        <w:t>In 2018, the credit union’s percentage of consumer loans among low-income borrowers was below demographic data, with no loans in 2019</w:t>
      </w:r>
      <w:proofErr w:type="gramStart"/>
      <w:r w:rsidRPr="006F02D7">
        <w:rPr>
          <w:color w:val="auto"/>
        </w:rPr>
        <w:t xml:space="preserve">.  </w:t>
      </w:r>
      <w:proofErr w:type="gramEnd"/>
      <w:r w:rsidRPr="006F02D7">
        <w:rPr>
          <w:color w:val="auto"/>
        </w:rPr>
        <w:t>The credit union’s consumer loans among moderate-income borrowers significantly exceeded the</w:t>
      </w:r>
      <w:r w:rsidR="00997298">
        <w:rPr>
          <w:color w:val="auto"/>
        </w:rPr>
        <w:t xml:space="preserve"> demographic in both 2018 and 2019.</w:t>
      </w:r>
    </w:p>
    <w:p w14:paraId="31F033CC" w14:textId="77777777" w:rsidR="009D0E57" w:rsidRPr="006F02D7" w:rsidRDefault="009D0E57" w:rsidP="009D0E57">
      <w:pPr>
        <w:rPr>
          <w:iCs/>
          <w:highlight w:val="yellow"/>
        </w:rPr>
      </w:pPr>
    </w:p>
    <w:tbl>
      <w:tblPr>
        <w:tblW w:w="0" w:type="auto"/>
        <w:tblCellMar>
          <w:left w:w="0" w:type="dxa"/>
          <w:right w:w="0" w:type="dxa"/>
        </w:tblCellMar>
        <w:tblLook w:val="0000" w:firstRow="0" w:lastRow="0" w:firstColumn="0" w:lastColumn="0" w:noHBand="0" w:noVBand="0"/>
      </w:tblPr>
      <w:tblGrid>
        <w:gridCol w:w="2149"/>
        <w:gridCol w:w="1554"/>
        <w:gridCol w:w="1347"/>
        <w:gridCol w:w="1413"/>
        <w:gridCol w:w="1466"/>
        <w:gridCol w:w="1413"/>
      </w:tblGrid>
      <w:tr w:rsidR="009D0E57" w:rsidRPr="006F02D7" w14:paraId="7F8C1153" w14:textId="77777777" w:rsidTr="009D0E57">
        <w:trPr>
          <w:trHeight w:val="282"/>
        </w:trPr>
        <w:tc>
          <w:tcPr>
            <w:tcW w:w="9342" w:type="dxa"/>
            <w:gridSpan w:val="6"/>
            <w:tcBorders>
              <w:top w:val="single" w:sz="7" w:space="0" w:color="000000"/>
              <w:left w:val="single" w:sz="7" w:space="0" w:color="000000"/>
              <w:right w:val="single" w:sz="7" w:space="0" w:color="000000"/>
            </w:tcBorders>
            <w:tcMar>
              <w:top w:w="39" w:type="dxa"/>
              <w:left w:w="39" w:type="dxa"/>
              <w:bottom w:w="39" w:type="dxa"/>
              <w:right w:w="39" w:type="dxa"/>
            </w:tcMar>
          </w:tcPr>
          <w:p w14:paraId="66FFD49A" w14:textId="77777777" w:rsidR="009D0E57" w:rsidRPr="006F02D7" w:rsidRDefault="009D0E57" w:rsidP="009D0E57">
            <w:pPr>
              <w:jc w:val="center"/>
              <w:rPr>
                <w:sz w:val="20"/>
                <w:szCs w:val="20"/>
              </w:rPr>
            </w:pPr>
            <w:r w:rsidRPr="006F02D7">
              <w:rPr>
                <w:b/>
                <w:sz w:val="20"/>
                <w:szCs w:val="20"/>
              </w:rPr>
              <w:t>Distribution of Consumer Loans by Borrower Income Level</w:t>
            </w:r>
          </w:p>
        </w:tc>
      </w:tr>
      <w:tr w:rsidR="009D0E57" w:rsidRPr="00FA5A7B" w14:paraId="554E4DD5" w14:textId="77777777" w:rsidTr="009D0E57">
        <w:trPr>
          <w:trHeight w:val="498"/>
        </w:trPr>
        <w:tc>
          <w:tcPr>
            <w:tcW w:w="2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B81A73F" w14:textId="77777777" w:rsidR="009D0E57" w:rsidRPr="00FA5A7B" w:rsidRDefault="009D0E57" w:rsidP="009D0E57">
            <w:pPr>
              <w:rPr>
                <w:sz w:val="20"/>
                <w:szCs w:val="20"/>
              </w:rPr>
            </w:pPr>
            <w:r w:rsidRPr="00FA5A7B">
              <w:rPr>
                <w:b/>
                <w:color w:val="000000"/>
                <w:sz w:val="20"/>
                <w:szCs w:val="20"/>
              </w:rPr>
              <w:t>Borrower Income Level</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77F9ECBB" w14:textId="77777777" w:rsidR="009D0E57" w:rsidRPr="00FA5A7B" w:rsidRDefault="009D0E57" w:rsidP="009D0E57">
            <w:pPr>
              <w:jc w:val="center"/>
              <w:rPr>
                <w:sz w:val="20"/>
                <w:szCs w:val="20"/>
              </w:rPr>
            </w:pPr>
            <w:r w:rsidRPr="00FA5A7B">
              <w:rPr>
                <w:b/>
                <w:color w:val="000000"/>
                <w:sz w:val="20"/>
                <w:szCs w:val="20"/>
              </w:rPr>
              <w:t>% of  Households</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49FBC1C3" w14:textId="77777777" w:rsidR="009D0E57" w:rsidRPr="00FA5A7B" w:rsidRDefault="009D0E57" w:rsidP="009D0E57">
            <w:pPr>
              <w:jc w:val="center"/>
              <w:rPr>
                <w:sz w:val="20"/>
                <w:szCs w:val="20"/>
              </w:rPr>
            </w:pPr>
            <w:r w:rsidRPr="00FA5A7B">
              <w:rPr>
                <w:b/>
                <w:color w:val="000000"/>
                <w:sz w:val="20"/>
                <w:szCs w:val="20"/>
              </w:rPr>
              <w:t>#</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5A452B2F" w14:textId="77777777" w:rsidR="009D0E57" w:rsidRPr="00FA5A7B" w:rsidRDefault="009D0E57" w:rsidP="009D0E57">
            <w:pPr>
              <w:jc w:val="center"/>
              <w:rPr>
                <w:sz w:val="20"/>
                <w:szCs w:val="20"/>
              </w:rPr>
            </w:pPr>
            <w:r w:rsidRPr="00FA5A7B">
              <w:rPr>
                <w:b/>
                <w:color w:val="000000"/>
                <w:sz w:val="20"/>
                <w:szCs w:val="20"/>
              </w:rPr>
              <w:t>%</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2A967FA5" w14:textId="77777777" w:rsidR="009D0E57" w:rsidRPr="00FA5A7B" w:rsidRDefault="009D0E57" w:rsidP="009D0E57">
            <w:pPr>
              <w:jc w:val="center"/>
              <w:rPr>
                <w:sz w:val="20"/>
                <w:szCs w:val="20"/>
              </w:rPr>
            </w:pPr>
            <w:r w:rsidRPr="00FA5A7B">
              <w:rPr>
                <w:b/>
                <w:color w:val="000000"/>
                <w:sz w:val="20"/>
                <w:szCs w:val="20"/>
              </w:rPr>
              <w:t>$(</w:t>
            </w:r>
            <w:proofErr w:type="spellStart"/>
            <w:r w:rsidRPr="00FA5A7B">
              <w:rPr>
                <w:b/>
                <w:color w:val="000000"/>
                <w:sz w:val="20"/>
                <w:szCs w:val="20"/>
              </w:rPr>
              <w:t>000s</w:t>
            </w:r>
            <w:proofErr w:type="spellEnd"/>
            <w:r w:rsidRPr="00FA5A7B">
              <w:rPr>
                <w:b/>
                <w:color w:val="000000"/>
                <w:sz w:val="20"/>
                <w:szCs w:val="20"/>
              </w:rPr>
              <w:t>)</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AABA10D" w14:textId="77777777" w:rsidR="009D0E57" w:rsidRPr="00FA5A7B" w:rsidRDefault="009D0E57" w:rsidP="009D0E57">
            <w:pPr>
              <w:jc w:val="center"/>
              <w:rPr>
                <w:sz w:val="20"/>
                <w:szCs w:val="20"/>
              </w:rPr>
            </w:pPr>
            <w:r w:rsidRPr="00FA5A7B">
              <w:rPr>
                <w:b/>
                <w:color w:val="000000"/>
                <w:sz w:val="20"/>
                <w:szCs w:val="20"/>
              </w:rPr>
              <w:t>%</w:t>
            </w:r>
          </w:p>
        </w:tc>
      </w:tr>
      <w:tr w:rsidR="009D0E57" w:rsidRPr="00FA5A7B" w14:paraId="47DB06F8" w14:textId="77777777" w:rsidTr="009D0E57">
        <w:trPr>
          <w:trHeight w:val="181"/>
        </w:trPr>
        <w:tc>
          <w:tcPr>
            <w:tcW w:w="2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80CC39D" w14:textId="77777777" w:rsidR="009D0E57" w:rsidRPr="00FA5A7B" w:rsidRDefault="009D0E57" w:rsidP="009D0E57">
            <w:pPr>
              <w:rPr>
                <w:sz w:val="20"/>
                <w:szCs w:val="20"/>
              </w:rPr>
            </w:pPr>
            <w:r w:rsidRPr="00FA5A7B">
              <w:rPr>
                <w:color w:val="000000"/>
                <w:sz w:val="20"/>
                <w:szCs w:val="20"/>
              </w:rPr>
              <w:t>Low</w:t>
            </w:r>
          </w:p>
        </w:tc>
        <w:tc>
          <w:tcPr>
            <w:tcW w:w="719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B932B4" w14:textId="77777777" w:rsidR="009D0E57" w:rsidRPr="00FA5A7B" w:rsidRDefault="009D0E57" w:rsidP="009D0E57">
            <w:pPr>
              <w:rPr>
                <w:sz w:val="20"/>
                <w:szCs w:val="20"/>
              </w:rPr>
            </w:pPr>
          </w:p>
        </w:tc>
      </w:tr>
      <w:tr w:rsidR="009D0E57" w:rsidRPr="00FA5A7B" w14:paraId="6FC86223"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8A7414B" w14:textId="77777777" w:rsidR="009D0E57" w:rsidRPr="00FA5A7B" w:rsidRDefault="009D0E57" w:rsidP="009D0E57">
            <w:pPr>
              <w:jc w:val="right"/>
              <w:rPr>
                <w:sz w:val="20"/>
                <w:szCs w:val="20"/>
              </w:rPr>
            </w:pPr>
            <w:r w:rsidRPr="00FA5A7B">
              <w:rPr>
                <w:color w:val="000000"/>
                <w:sz w:val="20"/>
                <w:szCs w:val="20"/>
              </w:rPr>
              <w:t>2018</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380B4FD" w14:textId="77777777" w:rsidR="009D0E57" w:rsidRPr="00FA5A7B" w:rsidRDefault="009D0E57" w:rsidP="009D0E57">
            <w:pPr>
              <w:jc w:val="center"/>
              <w:rPr>
                <w:sz w:val="20"/>
                <w:szCs w:val="20"/>
              </w:rPr>
            </w:pPr>
            <w:r w:rsidRPr="00FA5A7B">
              <w:rPr>
                <w:color w:val="000000"/>
                <w:sz w:val="20"/>
                <w:szCs w:val="20"/>
              </w:rPr>
              <w:t>27.7</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AC001C" w14:textId="77777777" w:rsidR="009D0E57" w:rsidRPr="00FA5A7B" w:rsidRDefault="009D0E57" w:rsidP="009D0E57">
            <w:pPr>
              <w:jc w:val="center"/>
              <w:rPr>
                <w:sz w:val="20"/>
                <w:szCs w:val="20"/>
              </w:rPr>
            </w:pPr>
            <w:r w:rsidRPr="00FA5A7B">
              <w:rPr>
                <w:sz w:val="20"/>
                <w:szCs w:val="20"/>
              </w:rPr>
              <w:t>1</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08D26D7" w14:textId="77777777" w:rsidR="009D0E57" w:rsidRPr="00FA5A7B" w:rsidRDefault="009D0E57" w:rsidP="009D0E57">
            <w:pPr>
              <w:jc w:val="center"/>
              <w:rPr>
                <w:sz w:val="20"/>
                <w:szCs w:val="20"/>
              </w:rPr>
            </w:pPr>
            <w:r w:rsidRPr="00FA5A7B">
              <w:rPr>
                <w:sz w:val="20"/>
                <w:szCs w:val="20"/>
              </w:rPr>
              <w:t>6.7</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17B28B" w14:textId="77777777" w:rsidR="009D0E57" w:rsidRPr="00FA5A7B" w:rsidRDefault="009D0E57" w:rsidP="009D0E57">
            <w:pPr>
              <w:jc w:val="center"/>
              <w:rPr>
                <w:sz w:val="20"/>
                <w:szCs w:val="20"/>
              </w:rPr>
            </w:pPr>
            <w:r>
              <w:rPr>
                <w:sz w:val="20"/>
                <w:szCs w:val="20"/>
              </w:rPr>
              <w:t>16</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926F5" w14:textId="77777777" w:rsidR="009D0E57" w:rsidRPr="00FA5A7B" w:rsidRDefault="009D0E57" w:rsidP="009D0E57">
            <w:pPr>
              <w:jc w:val="center"/>
              <w:rPr>
                <w:sz w:val="20"/>
                <w:szCs w:val="20"/>
              </w:rPr>
            </w:pPr>
            <w:r w:rsidRPr="00FA5A7B">
              <w:rPr>
                <w:sz w:val="20"/>
                <w:szCs w:val="20"/>
              </w:rPr>
              <w:t>6.6</w:t>
            </w:r>
          </w:p>
        </w:tc>
      </w:tr>
      <w:tr w:rsidR="009D0E57" w:rsidRPr="00FA5A7B" w14:paraId="4E566D04"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569D073" w14:textId="77777777" w:rsidR="009D0E57" w:rsidRPr="00FA5A7B" w:rsidRDefault="009D0E57" w:rsidP="009D0E57">
            <w:pPr>
              <w:jc w:val="right"/>
              <w:rPr>
                <w:sz w:val="20"/>
                <w:szCs w:val="20"/>
              </w:rPr>
            </w:pPr>
            <w:r w:rsidRPr="00FA5A7B">
              <w:rPr>
                <w:color w:val="000000"/>
                <w:sz w:val="20"/>
                <w:szCs w:val="20"/>
              </w:rPr>
              <w:t>2019</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6EAFCE" w14:textId="77777777" w:rsidR="009D0E57" w:rsidRPr="00FA5A7B" w:rsidRDefault="009D0E57" w:rsidP="009D0E57">
            <w:pPr>
              <w:jc w:val="center"/>
              <w:rPr>
                <w:sz w:val="20"/>
                <w:szCs w:val="20"/>
              </w:rPr>
            </w:pPr>
            <w:r w:rsidRPr="00FA5A7B">
              <w:rPr>
                <w:color w:val="000000"/>
                <w:sz w:val="20"/>
                <w:szCs w:val="20"/>
              </w:rPr>
              <w:t>27.7</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5B5E8E" w14:textId="77777777" w:rsidR="009D0E57" w:rsidRPr="00FA5A7B" w:rsidRDefault="009D0E57" w:rsidP="009D0E57">
            <w:pPr>
              <w:jc w:val="center"/>
              <w:rPr>
                <w:sz w:val="20"/>
                <w:szCs w:val="20"/>
              </w:rPr>
            </w:pPr>
            <w:r w:rsidRPr="00FA5A7B">
              <w:rPr>
                <w:sz w:val="20"/>
                <w:szCs w:val="20"/>
              </w:rPr>
              <w:t>0</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8475D02" w14:textId="77777777" w:rsidR="009D0E57" w:rsidRPr="00FA5A7B" w:rsidRDefault="009D0E57" w:rsidP="009D0E57">
            <w:pPr>
              <w:jc w:val="center"/>
              <w:rPr>
                <w:sz w:val="20"/>
                <w:szCs w:val="20"/>
              </w:rPr>
            </w:pPr>
            <w:r w:rsidRPr="00FA5A7B">
              <w:rPr>
                <w:sz w:val="20"/>
                <w:szCs w:val="20"/>
              </w:rPr>
              <w:t>0.0</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4C7CD19" w14:textId="77777777" w:rsidR="009D0E57" w:rsidRPr="00FA5A7B" w:rsidRDefault="009D0E57" w:rsidP="009D0E57">
            <w:pPr>
              <w:jc w:val="center"/>
              <w:rPr>
                <w:sz w:val="20"/>
                <w:szCs w:val="20"/>
              </w:rPr>
            </w:pPr>
            <w:r w:rsidRPr="00FA5A7B">
              <w:rPr>
                <w:sz w:val="20"/>
                <w:szCs w:val="20"/>
              </w:rPr>
              <w:t>0</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41AD6" w14:textId="77777777" w:rsidR="009D0E57" w:rsidRPr="00FA5A7B" w:rsidRDefault="009D0E57" w:rsidP="009D0E57">
            <w:pPr>
              <w:jc w:val="center"/>
              <w:rPr>
                <w:sz w:val="20"/>
                <w:szCs w:val="20"/>
              </w:rPr>
            </w:pPr>
            <w:r w:rsidRPr="00FA5A7B">
              <w:rPr>
                <w:sz w:val="20"/>
                <w:szCs w:val="20"/>
              </w:rPr>
              <w:t>0.0</w:t>
            </w:r>
          </w:p>
        </w:tc>
      </w:tr>
      <w:tr w:rsidR="009D0E57" w:rsidRPr="00FA5A7B" w14:paraId="0A776B2D" w14:textId="77777777" w:rsidTr="009D0E57">
        <w:trPr>
          <w:trHeight w:val="181"/>
        </w:trPr>
        <w:tc>
          <w:tcPr>
            <w:tcW w:w="2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64A1143C" w14:textId="77777777" w:rsidR="009D0E57" w:rsidRPr="00FA5A7B" w:rsidRDefault="009D0E57" w:rsidP="009D0E57">
            <w:pPr>
              <w:rPr>
                <w:sz w:val="20"/>
                <w:szCs w:val="20"/>
              </w:rPr>
            </w:pPr>
            <w:r w:rsidRPr="00FA5A7B">
              <w:rPr>
                <w:color w:val="000000"/>
                <w:sz w:val="20"/>
                <w:szCs w:val="20"/>
              </w:rPr>
              <w:t>Moderate</w:t>
            </w:r>
          </w:p>
        </w:tc>
        <w:tc>
          <w:tcPr>
            <w:tcW w:w="719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2921D36" w14:textId="77777777" w:rsidR="009D0E57" w:rsidRPr="00FA5A7B" w:rsidRDefault="009D0E57" w:rsidP="009D0E57">
            <w:pPr>
              <w:rPr>
                <w:sz w:val="20"/>
                <w:szCs w:val="20"/>
              </w:rPr>
            </w:pPr>
          </w:p>
        </w:tc>
      </w:tr>
      <w:tr w:rsidR="009D0E57" w:rsidRPr="00FA5A7B" w14:paraId="3B8F476F"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257468F" w14:textId="77777777" w:rsidR="009D0E57" w:rsidRPr="00FA5A7B" w:rsidRDefault="009D0E57" w:rsidP="009D0E57">
            <w:pPr>
              <w:jc w:val="right"/>
              <w:rPr>
                <w:sz w:val="20"/>
                <w:szCs w:val="20"/>
              </w:rPr>
            </w:pPr>
            <w:r w:rsidRPr="00FA5A7B">
              <w:rPr>
                <w:color w:val="000000"/>
                <w:sz w:val="20"/>
                <w:szCs w:val="20"/>
              </w:rPr>
              <w:t>2018</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93AB20C" w14:textId="77777777" w:rsidR="009D0E57" w:rsidRPr="00FA5A7B" w:rsidRDefault="009D0E57" w:rsidP="009D0E57">
            <w:pPr>
              <w:jc w:val="center"/>
              <w:rPr>
                <w:sz w:val="20"/>
                <w:szCs w:val="20"/>
              </w:rPr>
            </w:pPr>
            <w:r w:rsidRPr="00FA5A7B">
              <w:rPr>
                <w:color w:val="000000"/>
                <w:sz w:val="20"/>
                <w:szCs w:val="20"/>
              </w:rPr>
              <w:t>15.1</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BCD1E86" w14:textId="77777777" w:rsidR="009D0E57" w:rsidRPr="00FA5A7B" w:rsidRDefault="009D0E57" w:rsidP="009D0E57">
            <w:pPr>
              <w:jc w:val="center"/>
              <w:rPr>
                <w:sz w:val="20"/>
                <w:szCs w:val="20"/>
              </w:rPr>
            </w:pPr>
            <w:r w:rsidRPr="00FA5A7B">
              <w:rPr>
                <w:sz w:val="20"/>
                <w:szCs w:val="20"/>
              </w:rPr>
              <w:t>5</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718BBF0" w14:textId="77777777" w:rsidR="009D0E57" w:rsidRPr="00FA5A7B" w:rsidRDefault="009D0E57" w:rsidP="009D0E57">
            <w:pPr>
              <w:jc w:val="center"/>
              <w:rPr>
                <w:sz w:val="20"/>
                <w:szCs w:val="20"/>
              </w:rPr>
            </w:pPr>
            <w:r w:rsidRPr="00FA5A7B">
              <w:rPr>
                <w:sz w:val="20"/>
                <w:szCs w:val="20"/>
              </w:rPr>
              <w:t>33.3</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AEEEE69" w14:textId="77777777" w:rsidR="009D0E57" w:rsidRPr="00FA5A7B" w:rsidRDefault="009D0E57" w:rsidP="009D0E57">
            <w:pPr>
              <w:jc w:val="center"/>
              <w:rPr>
                <w:sz w:val="20"/>
                <w:szCs w:val="20"/>
              </w:rPr>
            </w:pPr>
            <w:r>
              <w:rPr>
                <w:sz w:val="20"/>
                <w:szCs w:val="20"/>
              </w:rPr>
              <w:t>77</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3CEE51" w14:textId="77777777" w:rsidR="009D0E57" w:rsidRPr="00FA5A7B" w:rsidRDefault="009D0E57" w:rsidP="009D0E57">
            <w:pPr>
              <w:jc w:val="center"/>
              <w:rPr>
                <w:sz w:val="20"/>
                <w:szCs w:val="20"/>
              </w:rPr>
            </w:pPr>
            <w:r w:rsidRPr="00FA5A7B">
              <w:rPr>
                <w:sz w:val="20"/>
                <w:szCs w:val="20"/>
              </w:rPr>
              <w:t>31.2</w:t>
            </w:r>
          </w:p>
        </w:tc>
      </w:tr>
      <w:tr w:rsidR="009D0E57" w:rsidRPr="00FA5A7B" w14:paraId="74F8A437"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02B43509" w14:textId="77777777" w:rsidR="009D0E57" w:rsidRPr="00FA5A7B" w:rsidRDefault="009D0E57" w:rsidP="009D0E57">
            <w:pPr>
              <w:jc w:val="right"/>
              <w:rPr>
                <w:sz w:val="20"/>
                <w:szCs w:val="20"/>
              </w:rPr>
            </w:pPr>
            <w:r w:rsidRPr="00FA5A7B">
              <w:rPr>
                <w:color w:val="000000"/>
                <w:sz w:val="20"/>
                <w:szCs w:val="20"/>
              </w:rPr>
              <w:t>2019</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63473A" w14:textId="77777777" w:rsidR="009D0E57" w:rsidRPr="00FA5A7B" w:rsidRDefault="009D0E57" w:rsidP="009D0E57">
            <w:pPr>
              <w:jc w:val="center"/>
              <w:rPr>
                <w:sz w:val="20"/>
                <w:szCs w:val="20"/>
              </w:rPr>
            </w:pPr>
            <w:r w:rsidRPr="00FA5A7B">
              <w:rPr>
                <w:color w:val="000000"/>
                <w:sz w:val="20"/>
                <w:szCs w:val="20"/>
              </w:rPr>
              <w:t>15.1</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9B05550" w14:textId="77777777" w:rsidR="009D0E57" w:rsidRPr="00FA5A7B" w:rsidRDefault="009D0E57" w:rsidP="009D0E57">
            <w:pPr>
              <w:jc w:val="center"/>
              <w:rPr>
                <w:sz w:val="20"/>
                <w:szCs w:val="20"/>
              </w:rPr>
            </w:pPr>
            <w:r w:rsidRPr="00FA5A7B">
              <w:rPr>
                <w:sz w:val="20"/>
                <w:szCs w:val="20"/>
              </w:rPr>
              <w:t>6</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CC5B55B" w14:textId="77777777" w:rsidR="009D0E57" w:rsidRPr="00FA5A7B" w:rsidRDefault="009D0E57" w:rsidP="009D0E57">
            <w:pPr>
              <w:jc w:val="center"/>
              <w:rPr>
                <w:sz w:val="20"/>
                <w:szCs w:val="20"/>
              </w:rPr>
            </w:pPr>
            <w:r w:rsidRPr="00FA5A7B">
              <w:rPr>
                <w:sz w:val="20"/>
                <w:szCs w:val="20"/>
              </w:rPr>
              <w:t>50.0</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CB2EFE" w14:textId="77777777" w:rsidR="009D0E57" w:rsidRPr="00FA5A7B" w:rsidRDefault="009D0E57" w:rsidP="009D0E57">
            <w:pPr>
              <w:jc w:val="center"/>
              <w:rPr>
                <w:sz w:val="20"/>
                <w:szCs w:val="20"/>
              </w:rPr>
            </w:pPr>
            <w:r>
              <w:rPr>
                <w:sz w:val="20"/>
                <w:szCs w:val="20"/>
              </w:rPr>
              <w:t>156</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8D66BF7" w14:textId="77777777" w:rsidR="009D0E57" w:rsidRPr="00FA5A7B" w:rsidRDefault="009D0E57" w:rsidP="009D0E57">
            <w:pPr>
              <w:jc w:val="center"/>
              <w:rPr>
                <w:sz w:val="20"/>
                <w:szCs w:val="20"/>
              </w:rPr>
            </w:pPr>
            <w:r w:rsidRPr="00FA5A7B">
              <w:rPr>
                <w:sz w:val="20"/>
                <w:szCs w:val="20"/>
              </w:rPr>
              <w:t>62.9</w:t>
            </w:r>
          </w:p>
        </w:tc>
      </w:tr>
      <w:tr w:rsidR="009D0E57" w:rsidRPr="00FA5A7B" w14:paraId="06D2086E" w14:textId="77777777" w:rsidTr="009D0E57">
        <w:trPr>
          <w:trHeight w:val="181"/>
        </w:trPr>
        <w:tc>
          <w:tcPr>
            <w:tcW w:w="2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01C0C8BF" w14:textId="77777777" w:rsidR="009D0E57" w:rsidRPr="00FA5A7B" w:rsidRDefault="009D0E57" w:rsidP="009D0E57">
            <w:pPr>
              <w:rPr>
                <w:sz w:val="20"/>
                <w:szCs w:val="20"/>
              </w:rPr>
            </w:pPr>
            <w:r w:rsidRPr="00FA5A7B">
              <w:rPr>
                <w:color w:val="000000"/>
                <w:sz w:val="20"/>
                <w:szCs w:val="20"/>
              </w:rPr>
              <w:t>Middle</w:t>
            </w:r>
          </w:p>
        </w:tc>
        <w:tc>
          <w:tcPr>
            <w:tcW w:w="719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BE1F71D" w14:textId="77777777" w:rsidR="009D0E57" w:rsidRPr="00FA5A7B" w:rsidRDefault="009D0E57" w:rsidP="009D0E57">
            <w:pPr>
              <w:rPr>
                <w:sz w:val="20"/>
                <w:szCs w:val="20"/>
              </w:rPr>
            </w:pPr>
          </w:p>
        </w:tc>
      </w:tr>
      <w:tr w:rsidR="009D0E57" w:rsidRPr="00FA5A7B" w14:paraId="34668EF1"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29A15DD" w14:textId="77777777" w:rsidR="009D0E57" w:rsidRPr="00FA5A7B" w:rsidRDefault="009D0E57" w:rsidP="009D0E57">
            <w:pPr>
              <w:jc w:val="right"/>
              <w:rPr>
                <w:sz w:val="20"/>
                <w:szCs w:val="20"/>
              </w:rPr>
            </w:pPr>
            <w:r w:rsidRPr="00FA5A7B">
              <w:rPr>
                <w:color w:val="000000"/>
                <w:sz w:val="20"/>
                <w:szCs w:val="20"/>
              </w:rPr>
              <w:t>2018</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C459814" w14:textId="77777777" w:rsidR="009D0E57" w:rsidRPr="00FA5A7B" w:rsidRDefault="009D0E57" w:rsidP="009D0E57">
            <w:pPr>
              <w:jc w:val="center"/>
              <w:rPr>
                <w:sz w:val="20"/>
                <w:szCs w:val="20"/>
              </w:rPr>
            </w:pPr>
            <w:r w:rsidRPr="00FA5A7B">
              <w:rPr>
                <w:color w:val="000000"/>
                <w:sz w:val="20"/>
                <w:szCs w:val="20"/>
              </w:rPr>
              <w:t>17.3</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4E7F41D" w14:textId="77777777" w:rsidR="009D0E57" w:rsidRPr="00FA5A7B" w:rsidRDefault="009D0E57" w:rsidP="009D0E57">
            <w:pPr>
              <w:jc w:val="center"/>
              <w:rPr>
                <w:sz w:val="20"/>
                <w:szCs w:val="20"/>
              </w:rPr>
            </w:pPr>
            <w:r w:rsidRPr="00FA5A7B">
              <w:rPr>
                <w:sz w:val="20"/>
                <w:szCs w:val="20"/>
              </w:rPr>
              <w:t>6</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18C9C87" w14:textId="77777777" w:rsidR="009D0E57" w:rsidRPr="00FA5A7B" w:rsidRDefault="009D0E57" w:rsidP="009D0E57">
            <w:pPr>
              <w:jc w:val="center"/>
              <w:rPr>
                <w:sz w:val="20"/>
                <w:szCs w:val="20"/>
              </w:rPr>
            </w:pPr>
            <w:r w:rsidRPr="00FA5A7B">
              <w:rPr>
                <w:sz w:val="20"/>
                <w:szCs w:val="20"/>
              </w:rPr>
              <w:t>40.0</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5DD664" w14:textId="77777777" w:rsidR="009D0E57" w:rsidRPr="00FA5A7B" w:rsidRDefault="009D0E57" w:rsidP="009D0E57">
            <w:pPr>
              <w:jc w:val="center"/>
              <w:rPr>
                <w:sz w:val="20"/>
                <w:szCs w:val="20"/>
              </w:rPr>
            </w:pPr>
            <w:r>
              <w:rPr>
                <w:sz w:val="20"/>
                <w:szCs w:val="20"/>
              </w:rPr>
              <w:t>90</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66AA9" w14:textId="77777777" w:rsidR="009D0E57" w:rsidRPr="00FA5A7B" w:rsidRDefault="009D0E57" w:rsidP="009D0E57">
            <w:pPr>
              <w:jc w:val="center"/>
              <w:rPr>
                <w:sz w:val="20"/>
                <w:szCs w:val="20"/>
              </w:rPr>
            </w:pPr>
            <w:r w:rsidRPr="00FA5A7B">
              <w:rPr>
                <w:sz w:val="20"/>
                <w:szCs w:val="20"/>
              </w:rPr>
              <w:t>36.2</w:t>
            </w:r>
          </w:p>
        </w:tc>
      </w:tr>
      <w:tr w:rsidR="009D0E57" w:rsidRPr="00FA5A7B" w14:paraId="310BEF79"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5D867A35" w14:textId="77777777" w:rsidR="009D0E57" w:rsidRPr="00FA5A7B" w:rsidRDefault="009D0E57" w:rsidP="009D0E57">
            <w:pPr>
              <w:jc w:val="right"/>
              <w:rPr>
                <w:sz w:val="20"/>
                <w:szCs w:val="20"/>
              </w:rPr>
            </w:pPr>
            <w:r w:rsidRPr="00FA5A7B">
              <w:rPr>
                <w:color w:val="000000"/>
                <w:sz w:val="20"/>
                <w:szCs w:val="20"/>
              </w:rPr>
              <w:t>2019</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B0B281C" w14:textId="77777777" w:rsidR="009D0E57" w:rsidRPr="00FA5A7B" w:rsidRDefault="009D0E57" w:rsidP="009D0E57">
            <w:pPr>
              <w:jc w:val="center"/>
              <w:rPr>
                <w:sz w:val="20"/>
                <w:szCs w:val="20"/>
              </w:rPr>
            </w:pPr>
            <w:r w:rsidRPr="00FA5A7B">
              <w:rPr>
                <w:color w:val="000000"/>
                <w:sz w:val="20"/>
                <w:szCs w:val="20"/>
              </w:rPr>
              <w:t>17.3</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60E8061" w14:textId="77777777" w:rsidR="009D0E57" w:rsidRPr="00FA5A7B" w:rsidRDefault="009D0E57" w:rsidP="009D0E57">
            <w:pPr>
              <w:jc w:val="center"/>
              <w:rPr>
                <w:sz w:val="20"/>
                <w:szCs w:val="20"/>
              </w:rPr>
            </w:pPr>
            <w:r w:rsidRPr="00FA5A7B">
              <w:rPr>
                <w:sz w:val="20"/>
                <w:szCs w:val="20"/>
              </w:rPr>
              <w:t>2</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55FEAA5" w14:textId="77777777" w:rsidR="009D0E57" w:rsidRPr="00FA5A7B" w:rsidRDefault="009D0E57" w:rsidP="009D0E57">
            <w:pPr>
              <w:jc w:val="center"/>
              <w:rPr>
                <w:sz w:val="20"/>
                <w:szCs w:val="20"/>
              </w:rPr>
            </w:pPr>
            <w:r w:rsidRPr="00FA5A7B">
              <w:rPr>
                <w:sz w:val="20"/>
                <w:szCs w:val="20"/>
              </w:rPr>
              <w:t>16.7</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BB99AE0" w14:textId="77777777" w:rsidR="009D0E57" w:rsidRPr="00FA5A7B" w:rsidRDefault="009D0E57" w:rsidP="009D0E57">
            <w:pPr>
              <w:jc w:val="center"/>
              <w:rPr>
                <w:sz w:val="20"/>
                <w:szCs w:val="20"/>
              </w:rPr>
            </w:pPr>
            <w:r>
              <w:rPr>
                <w:sz w:val="20"/>
                <w:szCs w:val="20"/>
              </w:rPr>
              <w:t>35</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776288" w14:textId="77777777" w:rsidR="009D0E57" w:rsidRPr="00FA5A7B" w:rsidRDefault="009D0E57" w:rsidP="009D0E57">
            <w:pPr>
              <w:jc w:val="center"/>
              <w:rPr>
                <w:sz w:val="20"/>
                <w:szCs w:val="20"/>
              </w:rPr>
            </w:pPr>
            <w:r w:rsidRPr="00FA5A7B">
              <w:rPr>
                <w:sz w:val="20"/>
                <w:szCs w:val="20"/>
              </w:rPr>
              <w:t>13.9</w:t>
            </w:r>
          </w:p>
        </w:tc>
      </w:tr>
      <w:tr w:rsidR="009D0E57" w:rsidRPr="00FA5A7B" w14:paraId="434444CD" w14:textId="77777777" w:rsidTr="009D0E57">
        <w:trPr>
          <w:trHeight w:val="181"/>
        </w:trPr>
        <w:tc>
          <w:tcPr>
            <w:tcW w:w="2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1EEB64C" w14:textId="77777777" w:rsidR="009D0E57" w:rsidRPr="00FA5A7B" w:rsidRDefault="009D0E57" w:rsidP="009D0E57">
            <w:pPr>
              <w:rPr>
                <w:sz w:val="20"/>
                <w:szCs w:val="20"/>
              </w:rPr>
            </w:pPr>
            <w:r w:rsidRPr="00FA5A7B">
              <w:rPr>
                <w:color w:val="000000"/>
                <w:sz w:val="20"/>
                <w:szCs w:val="20"/>
              </w:rPr>
              <w:t>Upper</w:t>
            </w:r>
          </w:p>
        </w:tc>
        <w:tc>
          <w:tcPr>
            <w:tcW w:w="719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DD44412" w14:textId="77777777" w:rsidR="009D0E57" w:rsidRPr="00FA5A7B" w:rsidRDefault="009D0E57" w:rsidP="009D0E57">
            <w:pPr>
              <w:rPr>
                <w:sz w:val="20"/>
                <w:szCs w:val="20"/>
              </w:rPr>
            </w:pPr>
          </w:p>
        </w:tc>
      </w:tr>
      <w:tr w:rsidR="009D0E57" w:rsidRPr="00FA5A7B" w14:paraId="74843ED3"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2D103348" w14:textId="77777777" w:rsidR="009D0E57" w:rsidRPr="00FA5A7B" w:rsidRDefault="009D0E57" w:rsidP="009D0E57">
            <w:pPr>
              <w:jc w:val="right"/>
              <w:rPr>
                <w:sz w:val="20"/>
                <w:szCs w:val="20"/>
              </w:rPr>
            </w:pPr>
            <w:r w:rsidRPr="00FA5A7B">
              <w:rPr>
                <w:color w:val="000000"/>
                <w:sz w:val="20"/>
                <w:szCs w:val="20"/>
              </w:rPr>
              <w:t>2018</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18C1D95" w14:textId="77777777" w:rsidR="009D0E57" w:rsidRPr="00FA5A7B" w:rsidRDefault="009D0E57" w:rsidP="009D0E57">
            <w:pPr>
              <w:jc w:val="center"/>
              <w:rPr>
                <w:sz w:val="20"/>
                <w:szCs w:val="20"/>
              </w:rPr>
            </w:pPr>
            <w:r w:rsidRPr="00FA5A7B">
              <w:rPr>
                <w:color w:val="000000"/>
                <w:sz w:val="20"/>
                <w:szCs w:val="20"/>
              </w:rPr>
              <w:t>39.9</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757C175" w14:textId="77777777" w:rsidR="009D0E57" w:rsidRPr="00FA5A7B" w:rsidRDefault="009D0E57" w:rsidP="009D0E57">
            <w:pPr>
              <w:jc w:val="center"/>
              <w:rPr>
                <w:sz w:val="20"/>
                <w:szCs w:val="20"/>
              </w:rPr>
            </w:pPr>
            <w:r w:rsidRPr="00FA5A7B">
              <w:rPr>
                <w:sz w:val="20"/>
                <w:szCs w:val="20"/>
              </w:rPr>
              <w:t>3</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CA587A9" w14:textId="77777777" w:rsidR="009D0E57" w:rsidRPr="00FA5A7B" w:rsidRDefault="009D0E57" w:rsidP="009D0E57">
            <w:pPr>
              <w:jc w:val="center"/>
              <w:rPr>
                <w:sz w:val="20"/>
                <w:szCs w:val="20"/>
              </w:rPr>
            </w:pPr>
            <w:r w:rsidRPr="00FA5A7B">
              <w:rPr>
                <w:sz w:val="20"/>
                <w:szCs w:val="20"/>
              </w:rPr>
              <w:t>20.0</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5523649" w14:textId="77777777" w:rsidR="009D0E57" w:rsidRPr="00FA5A7B" w:rsidRDefault="009D0E57" w:rsidP="009D0E57">
            <w:pPr>
              <w:jc w:val="center"/>
              <w:rPr>
                <w:sz w:val="20"/>
                <w:szCs w:val="20"/>
              </w:rPr>
            </w:pPr>
            <w:r>
              <w:rPr>
                <w:sz w:val="20"/>
                <w:szCs w:val="20"/>
              </w:rPr>
              <w:t>65</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DF96AD5" w14:textId="77777777" w:rsidR="009D0E57" w:rsidRPr="00FA5A7B" w:rsidRDefault="009D0E57" w:rsidP="009D0E57">
            <w:pPr>
              <w:jc w:val="center"/>
              <w:rPr>
                <w:sz w:val="20"/>
                <w:szCs w:val="20"/>
              </w:rPr>
            </w:pPr>
            <w:r w:rsidRPr="00FA5A7B">
              <w:rPr>
                <w:sz w:val="20"/>
                <w:szCs w:val="20"/>
              </w:rPr>
              <w:t>26.1</w:t>
            </w:r>
          </w:p>
        </w:tc>
      </w:tr>
      <w:tr w:rsidR="009D0E57" w:rsidRPr="00FA5A7B" w14:paraId="0F4DCBD5"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106B0F81" w14:textId="77777777" w:rsidR="009D0E57" w:rsidRPr="00FA5A7B" w:rsidRDefault="009D0E57" w:rsidP="009D0E57">
            <w:pPr>
              <w:jc w:val="right"/>
              <w:rPr>
                <w:sz w:val="20"/>
                <w:szCs w:val="20"/>
              </w:rPr>
            </w:pPr>
            <w:r w:rsidRPr="00FA5A7B">
              <w:rPr>
                <w:color w:val="000000"/>
                <w:sz w:val="20"/>
                <w:szCs w:val="20"/>
              </w:rPr>
              <w:t>2019</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63E7C3C" w14:textId="77777777" w:rsidR="009D0E57" w:rsidRPr="00FA5A7B" w:rsidRDefault="009D0E57" w:rsidP="009D0E57">
            <w:pPr>
              <w:jc w:val="center"/>
              <w:rPr>
                <w:sz w:val="20"/>
                <w:szCs w:val="20"/>
              </w:rPr>
            </w:pPr>
            <w:r w:rsidRPr="00FA5A7B">
              <w:rPr>
                <w:color w:val="000000"/>
                <w:sz w:val="20"/>
                <w:szCs w:val="20"/>
              </w:rPr>
              <w:t>39.9</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63108B9" w14:textId="77777777" w:rsidR="009D0E57" w:rsidRPr="00FA5A7B" w:rsidRDefault="009D0E57" w:rsidP="009D0E57">
            <w:pPr>
              <w:jc w:val="center"/>
              <w:rPr>
                <w:sz w:val="20"/>
                <w:szCs w:val="20"/>
              </w:rPr>
            </w:pPr>
            <w:r w:rsidRPr="00FA5A7B">
              <w:rPr>
                <w:sz w:val="20"/>
                <w:szCs w:val="20"/>
              </w:rPr>
              <w:t>4</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2289605" w14:textId="77777777" w:rsidR="009D0E57" w:rsidRPr="00FA5A7B" w:rsidRDefault="009D0E57" w:rsidP="009D0E57">
            <w:pPr>
              <w:jc w:val="center"/>
              <w:rPr>
                <w:sz w:val="20"/>
                <w:szCs w:val="20"/>
              </w:rPr>
            </w:pPr>
            <w:r w:rsidRPr="00FA5A7B">
              <w:rPr>
                <w:sz w:val="20"/>
                <w:szCs w:val="20"/>
              </w:rPr>
              <w:t>33.3</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A101E79" w14:textId="77777777" w:rsidR="009D0E57" w:rsidRPr="00FA5A7B" w:rsidRDefault="009D0E57" w:rsidP="009D0E57">
            <w:pPr>
              <w:jc w:val="center"/>
              <w:rPr>
                <w:sz w:val="20"/>
                <w:szCs w:val="20"/>
              </w:rPr>
            </w:pPr>
            <w:r>
              <w:rPr>
                <w:sz w:val="20"/>
                <w:szCs w:val="20"/>
              </w:rPr>
              <w:t>57</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76DEDEF" w14:textId="77777777" w:rsidR="009D0E57" w:rsidRPr="00FA5A7B" w:rsidRDefault="009D0E57" w:rsidP="009D0E57">
            <w:pPr>
              <w:jc w:val="center"/>
              <w:rPr>
                <w:sz w:val="20"/>
                <w:szCs w:val="20"/>
              </w:rPr>
            </w:pPr>
            <w:r w:rsidRPr="00FA5A7B">
              <w:rPr>
                <w:sz w:val="20"/>
                <w:szCs w:val="20"/>
              </w:rPr>
              <w:t>23.2</w:t>
            </w:r>
          </w:p>
        </w:tc>
      </w:tr>
      <w:tr w:rsidR="009D0E57" w:rsidRPr="00FA5A7B" w14:paraId="082B0407" w14:textId="77777777" w:rsidTr="009D0E57">
        <w:trPr>
          <w:trHeight w:val="181"/>
        </w:trPr>
        <w:tc>
          <w:tcPr>
            <w:tcW w:w="2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36917456" w14:textId="77777777" w:rsidR="009D0E57" w:rsidRPr="00FA5A7B" w:rsidRDefault="009D0E57" w:rsidP="009D0E57">
            <w:pPr>
              <w:rPr>
                <w:sz w:val="20"/>
                <w:szCs w:val="20"/>
              </w:rPr>
            </w:pPr>
            <w:r w:rsidRPr="00FA5A7B">
              <w:rPr>
                <w:color w:val="000000"/>
                <w:sz w:val="20"/>
                <w:szCs w:val="20"/>
              </w:rPr>
              <w:t>Not Available</w:t>
            </w:r>
          </w:p>
        </w:tc>
        <w:tc>
          <w:tcPr>
            <w:tcW w:w="719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528C570" w14:textId="77777777" w:rsidR="009D0E57" w:rsidRPr="00FA5A7B" w:rsidRDefault="009D0E57" w:rsidP="009D0E57">
            <w:pPr>
              <w:rPr>
                <w:sz w:val="20"/>
                <w:szCs w:val="20"/>
              </w:rPr>
            </w:pPr>
          </w:p>
        </w:tc>
      </w:tr>
      <w:tr w:rsidR="009D0E57" w:rsidRPr="00FA5A7B" w14:paraId="5EB0A69A"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754625B4" w14:textId="77777777" w:rsidR="009D0E57" w:rsidRPr="00FA5A7B" w:rsidRDefault="009D0E57" w:rsidP="009D0E57">
            <w:pPr>
              <w:jc w:val="right"/>
              <w:rPr>
                <w:sz w:val="20"/>
                <w:szCs w:val="20"/>
              </w:rPr>
            </w:pPr>
            <w:r w:rsidRPr="00FA5A7B">
              <w:rPr>
                <w:color w:val="000000"/>
                <w:sz w:val="20"/>
                <w:szCs w:val="20"/>
              </w:rPr>
              <w:t>2018</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216E31" w14:textId="77777777" w:rsidR="009D0E57" w:rsidRPr="00FA5A7B" w:rsidRDefault="009D0E57" w:rsidP="009D0E57">
            <w:pPr>
              <w:jc w:val="center"/>
              <w:rPr>
                <w:sz w:val="20"/>
                <w:szCs w:val="20"/>
              </w:rPr>
            </w:pPr>
            <w:r w:rsidRPr="00FA5A7B">
              <w:rPr>
                <w:color w:val="000000"/>
                <w:sz w:val="20"/>
                <w:szCs w:val="20"/>
              </w:rPr>
              <w:t>0.0</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08D14C2" w14:textId="77777777" w:rsidR="009D0E57" w:rsidRPr="00FA5A7B" w:rsidRDefault="009D0E57" w:rsidP="009D0E57">
            <w:pPr>
              <w:jc w:val="center"/>
              <w:rPr>
                <w:color w:val="000000"/>
                <w:sz w:val="20"/>
                <w:szCs w:val="20"/>
              </w:rPr>
            </w:pPr>
            <w:r w:rsidRPr="00FA5A7B">
              <w:rPr>
                <w:color w:val="000000"/>
                <w:sz w:val="20"/>
                <w:szCs w:val="20"/>
              </w:rPr>
              <w:t>0</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F6230D8" w14:textId="77777777" w:rsidR="009D0E57" w:rsidRPr="00FA5A7B" w:rsidRDefault="009D0E57" w:rsidP="009D0E57">
            <w:pPr>
              <w:jc w:val="center"/>
              <w:rPr>
                <w:sz w:val="20"/>
                <w:szCs w:val="20"/>
              </w:rPr>
            </w:pPr>
            <w:r w:rsidRPr="00FA5A7B">
              <w:rPr>
                <w:color w:val="000000"/>
                <w:sz w:val="20"/>
                <w:szCs w:val="20"/>
              </w:rPr>
              <w:t>0.0</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4F88432" w14:textId="77777777" w:rsidR="009D0E57" w:rsidRPr="00FA5A7B" w:rsidRDefault="009D0E57" w:rsidP="009D0E57">
            <w:pPr>
              <w:jc w:val="center"/>
              <w:rPr>
                <w:color w:val="000000"/>
                <w:sz w:val="20"/>
                <w:szCs w:val="20"/>
              </w:rPr>
            </w:pPr>
            <w:r w:rsidRPr="00FA5A7B">
              <w:rPr>
                <w:color w:val="000000"/>
                <w:sz w:val="20"/>
                <w:szCs w:val="20"/>
              </w:rPr>
              <w:t>0</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CF42EB5" w14:textId="77777777" w:rsidR="009D0E57" w:rsidRPr="00FA5A7B" w:rsidRDefault="009D0E57" w:rsidP="009D0E57">
            <w:pPr>
              <w:jc w:val="center"/>
              <w:rPr>
                <w:sz w:val="20"/>
                <w:szCs w:val="20"/>
              </w:rPr>
            </w:pPr>
            <w:r w:rsidRPr="00FA5A7B">
              <w:rPr>
                <w:color w:val="000000"/>
                <w:sz w:val="20"/>
                <w:szCs w:val="20"/>
              </w:rPr>
              <w:t>0.0</w:t>
            </w:r>
          </w:p>
        </w:tc>
      </w:tr>
      <w:tr w:rsidR="009D0E57" w:rsidRPr="00FA5A7B" w14:paraId="19456E1B" w14:textId="77777777" w:rsidTr="009D0E57">
        <w:trPr>
          <w:trHeight w:val="166"/>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39F43B69" w14:textId="77777777" w:rsidR="009D0E57" w:rsidRPr="00FA5A7B" w:rsidRDefault="009D0E57" w:rsidP="009D0E57">
            <w:pPr>
              <w:jc w:val="right"/>
              <w:rPr>
                <w:sz w:val="20"/>
                <w:szCs w:val="20"/>
              </w:rPr>
            </w:pPr>
            <w:r w:rsidRPr="00FA5A7B">
              <w:rPr>
                <w:color w:val="000000"/>
                <w:sz w:val="20"/>
                <w:szCs w:val="20"/>
              </w:rPr>
              <w:t>2019</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9980056" w14:textId="77777777" w:rsidR="009D0E57" w:rsidRPr="00FA5A7B" w:rsidRDefault="009D0E57" w:rsidP="009D0E57">
            <w:pPr>
              <w:jc w:val="center"/>
              <w:rPr>
                <w:sz w:val="20"/>
                <w:szCs w:val="20"/>
              </w:rPr>
            </w:pPr>
            <w:r w:rsidRPr="00FA5A7B">
              <w:rPr>
                <w:color w:val="000000"/>
                <w:sz w:val="20"/>
                <w:szCs w:val="20"/>
              </w:rPr>
              <w:t>0.0</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751D13E" w14:textId="77777777" w:rsidR="009D0E57" w:rsidRPr="00FA5A7B" w:rsidRDefault="009D0E57" w:rsidP="009D0E57">
            <w:pPr>
              <w:jc w:val="center"/>
              <w:rPr>
                <w:sz w:val="20"/>
                <w:szCs w:val="20"/>
              </w:rPr>
            </w:pPr>
            <w:r w:rsidRPr="00FA5A7B">
              <w:rPr>
                <w:color w:val="000000"/>
                <w:sz w:val="20"/>
                <w:szCs w:val="20"/>
              </w:rPr>
              <w:t>0</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8D4DD83" w14:textId="77777777" w:rsidR="009D0E57" w:rsidRPr="00FA5A7B" w:rsidRDefault="009D0E57" w:rsidP="009D0E57">
            <w:pPr>
              <w:jc w:val="center"/>
              <w:rPr>
                <w:sz w:val="20"/>
                <w:szCs w:val="20"/>
              </w:rPr>
            </w:pPr>
            <w:r w:rsidRPr="00FA5A7B">
              <w:rPr>
                <w:color w:val="000000"/>
                <w:sz w:val="20"/>
                <w:szCs w:val="20"/>
              </w:rPr>
              <w:t>0.0</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4942C7F3" w14:textId="77777777" w:rsidR="009D0E57" w:rsidRPr="00FA5A7B" w:rsidRDefault="009D0E57" w:rsidP="009D0E57">
            <w:pPr>
              <w:jc w:val="center"/>
              <w:rPr>
                <w:sz w:val="20"/>
                <w:szCs w:val="20"/>
              </w:rPr>
            </w:pPr>
            <w:r w:rsidRPr="00FA5A7B">
              <w:rPr>
                <w:color w:val="000000"/>
                <w:sz w:val="20"/>
                <w:szCs w:val="20"/>
              </w:rPr>
              <w:t>0</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21FD9B8E" w14:textId="77777777" w:rsidR="009D0E57" w:rsidRPr="00FA5A7B" w:rsidRDefault="009D0E57" w:rsidP="009D0E57">
            <w:pPr>
              <w:jc w:val="center"/>
              <w:rPr>
                <w:sz w:val="20"/>
                <w:szCs w:val="20"/>
              </w:rPr>
            </w:pPr>
            <w:r w:rsidRPr="00FA5A7B">
              <w:rPr>
                <w:color w:val="000000"/>
                <w:sz w:val="20"/>
                <w:szCs w:val="20"/>
              </w:rPr>
              <w:t>0.0</w:t>
            </w:r>
          </w:p>
        </w:tc>
      </w:tr>
      <w:tr w:rsidR="009D0E57" w:rsidRPr="00FA5A7B" w14:paraId="73F6DF71" w14:textId="77777777" w:rsidTr="009D0E57">
        <w:trPr>
          <w:trHeight w:val="181"/>
        </w:trPr>
        <w:tc>
          <w:tcPr>
            <w:tcW w:w="2149"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vAlign w:val="center"/>
          </w:tcPr>
          <w:p w14:paraId="179DBB48" w14:textId="77777777" w:rsidR="009D0E57" w:rsidRPr="00FA5A7B" w:rsidRDefault="009D0E57" w:rsidP="009D0E57">
            <w:pPr>
              <w:rPr>
                <w:sz w:val="20"/>
                <w:szCs w:val="20"/>
              </w:rPr>
            </w:pPr>
            <w:r w:rsidRPr="00FA5A7B">
              <w:rPr>
                <w:b/>
                <w:color w:val="000000"/>
                <w:sz w:val="20"/>
                <w:szCs w:val="20"/>
              </w:rPr>
              <w:t>Totals</w:t>
            </w:r>
          </w:p>
        </w:tc>
        <w:tc>
          <w:tcPr>
            <w:tcW w:w="7193" w:type="dxa"/>
            <w:gridSpan w:val="5"/>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92678D9" w14:textId="77777777" w:rsidR="009D0E57" w:rsidRPr="00FA5A7B" w:rsidRDefault="009D0E57" w:rsidP="009D0E57">
            <w:pPr>
              <w:rPr>
                <w:sz w:val="20"/>
                <w:szCs w:val="20"/>
              </w:rPr>
            </w:pPr>
          </w:p>
        </w:tc>
      </w:tr>
      <w:tr w:rsidR="009D0E57" w:rsidRPr="00FA5A7B" w14:paraId="7E9F611C" w14:textId="77777777" w:rsidTr="009D0E57">
        <w:trPr>
          <w:trHeight w:val="181"/>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60E6DE3F" w14:textId="77777777" w:rsidR="009D0E57" w:rsidRPr="00FA5A7B" w:rsidRDefault="009D0E57" w:rsidP="009D0E57">
            <w:pPr>
              <w:jc w:val="right"/>
              <w:rPr>
                <w:sz w:val="20"/>
                <w:szCs w:val="20"/>
              </w:rPr>
            </w:pPr>
            <w:r w:rsidRPr="00FA5A7B">
              <w:rPr>
                <w:b/>
                <w:color w:val="000000"/>
                <w:sz w:val="20"/>
                <w:szCs w:val="20"/>
              </w:rPr>
              <w:t>2018</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3E8FBD1" w14:textId="77777777" w:rsidR="009D0E57" w:rsidRPr="00FA5A7B" w:rsidRDefault="009D0E57" w:rsidP="009D0E57">
            <w:pPr>
              <w:jc w:val="center"/>
              <w:rPr>
                <w:sz w:val="20"/>
                <w:szCs w:val="20"/>
              </w:rPr>
            </w:pPr>
            <w:r w:rsidRPr="00FA5A7B">
              <w:rPr>
                <w:b/>
                <w:color w:val="000000"/>
                <w:sz w:val="20"/>
                <w:szCs w:val="20"/>
              </w:rPr>
              <w:t>100.0</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C114E19" w14:textId="77777777" w:rsidR="009D0E57" w:rsidRPr="00FA5A7B" w:rsidRDefault="009D0E57" w:rsidP="009D0E57">
            <w:pPr>
              <w:jc w:val="center"/>
              <w:rPr>
                <w:b/>
                <w:sz w:val="20"/>
                <w:szCs w:val="20"/>
              </w:rPr>
            </w:pPr>
            <w:r w:rsidRPr="00FA5A7B">
              <w:rPr>
                <w:b/>
                <w:sz w:val="20"/>
                <w:szCs w:val="20"/>
              </w:rPr>
              <w:t>15</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6EEE18BA" w14:textId="77777777" w:rsidR="009D0E57" w:rsidRPr="00FA5A7B" w:rsidRDefault="009D0E57" w:rsidP="009D0E57">
            <w:pPr>
              <w:jc w:val="center"/>
              <w:rPr>
                <w:b/>
                <w:sz w:val="20"/>
                <w:szCs w:val="20"/>
              </w:rPr>
            </w:pPr>
            <w:r w:rsidRPr="00FA5A7B">
              <w:rPr>
                <w:b/>
                <w:color w:val="000000"/>
                <w:sz w:val="20"/>
                <w:szCs w:val="20"/>
              </w:rPr>
              <w:t>100.0</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3F379D51" w14:textId="77777777" w:rsidR="009D0E57" w:rsidRPr="00FA5A7B" w:rsidRDefault="009D0E57" w:rsidP="009D0E57">
            <w:pPr>
              <w:jc w:val="center"/>
              <w:rPr>
                <w:b/>
                <w:sz w:val="20"/>
                <w:szCs w:val="20"/>
              </w:rPr>
            </w:pPr>
            <w:r>
              <w:rPr>
                <w:b/>
                <w:sz w:val="20"/>
                <w:szCs w:val="20"/>
              </w:rPr>
              <w:t>248</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539B0F1B" w14:textId="77777777" w:rsidR="009D0E57" w:rsidRPr="00FA5A7B" w:rsidRDefault="009D0E57" w:rsidP="009D0E57">
            <w:pPr>
              <w:jc w:val="center"/>
              <w:rPr>
                <w:sz w:val="20"/>
                <w:szCs w:val="20"/>
              </w:rPr>
            </w:pPr>
            <w:r w:rsidRPr="00FA5A7B">
              <w:rPr>
                <w:b/>
                <w:color w:val="000000"/>
                <w:sz w:val="20"/>
                <w:szCs w:val="20"/>
              </w:rPr>
              <w:t>100.0</w:t>
            </w:r>
          </w:p>
        </w:tc>
      </w:tr>
      <w:tr w:rsidR="009D0E57" w:rsidRPr="00FA5A7B" w14:paraId="434DA476" w14:textId="77777777" w:rsidTr="009D0E57">
        <w:trPr>
          <w:trHeight w:val="181"/>
        </w:trPr>
        <w:tc>
          <w:tcPr>
            <w:tcW w:w="2149" w:type="dxa"/>
            <w:tcBorders>
              <w:top w:val="single" w:sz="7" w:space="0" w:color="000000"/>
              <w:left w:val="single" w:sz="7" w:space="0" w:color="000000"/>
              <w:bottom w:val="single" w:sz="7" w:space="0" w:color="000000"/>
              <w:right w:val="single" w:sz="7" w:space="0" w:color="000000"/>
            </w:tcBorders>
            <w:tcMar>
              <w:top w:w="39" w:type="dxa"/>
              <w:left w:w="239" w:type="dxa"/>
              <w:bottom w:w="39" w:type="dxa"/>
              <w:right w:w="39" w:type="dxa"/>
            </w:tcMar>
            <w:vAlign w:val="center"/>
          </w:tcPr>
          <w:p w14:paraId="435D7B5D" w14:textId="77777777" w:rsidR="009D0E57" w:rsidRPr="00FA5A7B" w:rsidRDefault="009D0E57" w:rsidP="009D0E57">
            <w:pPr>
              <w:jc w:val="right"/>
              <w:rPr>
                <w:sz w:val="20"/>
                <w:szCs w:val="20"/>
              </w:rPr>
            </w:pPr>
            <w:r w:rsidRPr="00FA5A7B">
              <w:rPr>
                <w:b/>
                <w:color w:val="000000"/>
                <w:sz w:val="20"/>
                <w:szCs w:val="20"/>
              </w:rPr>
              <w:t>2019</w:t>
            </w:r>
          </w:p>
        </w:tc>
        <w:tc>
          <w:tcPr>
            <w:tcW w:w="1554"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45272ED" w14:textId="77777777" w:rsidR="009D0E57" w:rsidRPr="00FA5A7B" w:rsidRDefault="009D0E57" w:rsidP="009D0E57">
            <w:pPr>
              <w:jc w:val="center"/>
              <w:rPr>
                <w:sz w:val="20"/>
                <w:szCs w:val="20"/>
              </w:rPr>
            </w:pPr>
            <w:r w:rsidRPr="00FA5A7B">
              <w:rPr>
                <w:b/>
                <w:color w:val="000000"/>
                <w:sz w:val="20"/>
                <w:szCs w:val="20"/>
              </w:rPr>
              <w:t>100.0</w:t>
            </w:r>
          </w:p>
        </w:tc>
        <w:tc>
          <w:tcPr>
            <w:tcW w:w="1347"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1A0FEDA1" w14:textId="77777777" w:rsidR="009D0E57" w:rsidRPr="00FA5A7B" w:rsidRDefault="009D0E57" w:rsidP="009D0E57">
            <w:pPr>
              <w:jc w:val="center"/>
              <w:rPr>
                <w:b/>
                <w:sz w:val="20"/>
                <w:szCs w:val="20"/>
              </w:rPr>
            </w:pPr>
            <w:r w:rsidRPr="00FA5A7B">
              <w:rPr>
                <w:b/>
                <w:sz w:val="20"/>
                <w:szCs w:val="20"/>
              </w:rPr>
              <w:t>12</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01BF2F5" w14:textId="77777777" w:rsidR="009D0E57" w:rsidRPr="00FA5A7B" w:rsidRDefault="009D0E57" w:rsidP="009D0E57">
            <w:pPr>
              <w:jc w:val="center"/>
              <w:rPr>
                <w:b/>
                <w:sz w:val="20"/>
                <w:szCs w:val="20"/>
              </w:rPr>
            </w:pPr>
            <w:r w:rsidRPr="00FA5A7B">
              <w:rPr>
                <w:b/>
                <w:color w:val="000000"/>
                <w:sz w:val="20"/>
                <w:szCs w:val="20"/>
              </w:rPr>
              <w:t>100.0</w:t>
            </w:r>
          </w:p>
        </w:tc>
        <w:tc>
          <w:tcPr>
            <w:tcW w:w="1466"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7B44870E" w14:textId="77777777" w:rsidR="009D0E57" w:rsidRPr="00FA5A7B" w:rsidRDefault="009D0E57" w:rsidP="009D0E57">
            <w:pPr>
              <w:jc w:val="center"/>
              <w:rPr>
                <w:b/>
                <w:sz w:val="20"/>
                <w:szCs w:val="20"/>
              </w:rPr>
            </w:pPr>
            <w:r>
              <w:rPr>
                <w:b/>
                <w:sz w:val="20"/>
                <w:szCs w:val="20"/>
              </w:rPr>
              <w:t>248</w:t>
            </w:r>
          </w:p>
        </w:tc>
        <w:tc>
          <w:tcPr>
            <w:tcW w:w="1413" w:type="dxa"/>
            <w:tcBorders>
              <w:top w:val="single" w:sz="7" w:space="0" w:color="000000"/>
              <w:left w:val="single" w:sz="7" w:space="0" w:color="000000"/>
              <w:bottom w:val="single" w:sz="7" w:space="0" w:color="000000"/>
              <w:right w:val="single" w:sz="7" w:space="0" w:color="000000"/>
            </w:tcBorders>
            <w:tcMar>
              <w:top w:w="39" w:type="dxa"/>
              <w:left w:w="39" w:type="dxa"/>
              <w:bottom w:w="39" w:type="dxa"/>
              <w:right w:w="39" w:type="dxa"/>
            </w:tcMar>
          </w:tcPr>
          <w:p w14:paraId="0EFE0D37" w14:textId="77777777" w:rsidR="009D0E57" w:rsidRPr="00FA5A7B" w:rsidRDefault="009D0E57" w:rsidP="009D0E57">
            <w:pPr>
              <w:jc w:val="center"/>
              <w:rPr>
                <w:sz w:val="20"/>
                <w:szCs w:val="20"/>
              </w:rPr>
            </w:pPr>
            <w:r w:rsidRPr="00FA5A7B">
              <w:rPr>
                <w:b/>
                <w:color w:val="000000"/>
                <w:sz w:val="20"/>
                <w:szCs w:val="20"/>
              </w:rPr>
              <w:t>100.0</w:t>
            </w:r>
          </w:p>
        </w:tc>
      </w:tr>
      <w:tr w:rsidR="009D0E57" w:rsidRPr="00FA5A7B" w14:paraId="4672E7AA" w14:textId="77777777" w:rsidTr="00250940">
        <w:trPr>
          <w:trHeight w:val="19"/>
        </w:trPr>
        <w:tc>
          <w:tcPr>
            <w:tcW w:w="9342" w:type="dxa"/>
            <w:gridSpan w:val="6"/>
            <w:tcBorders>
              <w:top w:val="single" w:sz="7" w:space="0" w:color="000000"/>
              <w:left w:val="single" w:sz="7" w:space="0" w:color="000000"/>
              <w:bottom w:val="single" w:sz="7" w:space="0" w:color="000000"/>
              <w:right w:val="single" w:sz="7" w:space="0" w:color="000000"/>
            </w:tcBorders>
            <w:tcMar>
              <w:top w:w="59" w:type="dxa"/>
              <w:left w:w="39" w:type="dxa"/>
              <w:bottom w:w="39" w:type="dxa"/>
              <w:right w:w="39" w:type="dxa"/>
            </w:tcMar>
          </w:tcPr>
          <w:p w14:paraId="14AB2686" w14:textId="77777777" w:rsidR="009D0E57" w:rsidRPr="00250940" w:rsidRDefault="009D0E57" w:rsidP="009D0E57">
            <w:pPr>
              <w:rPr>
                <w:sz w:val="16"/>
                <w:szCs w:val="16"/>
              </w:rPr>
            </w:pPr>
            <w:r w:rsidRPr="00250940">
              <w:rPr>
                <w:i/>
                <w:color w:val="000000"/>
                <w:sz w:val="16"/>
                <w:szCs w:val="16"/>
              </w:rPr>
              <w:t>Source: 2015 ACS; Bank Data.</w:t>
            </w:r>
          </w:p>
          <w:p w14:paraId="04F1AC7D" w14:textId="77777777" w:rsidR="009D0E57" w:rsidRPr="00FA5A7B" w:rsidRDefault="009D0E57" w:rsidP="009D0E57">
            <w:pPr>
              <w:rPr>
                <w:sz w:val="20"/>
                <w:szCs w:val="20"/>
              </w:rPr>
            </w:pPr>
            <w:r w:rsidRPr="00250940">
              <w:rPr>
                <w:i/>
                <w:color w:val="000000"/>
                <w:sz w:val="16"/>
                <w:szCs w:val="16"/>
              </w:rPr>
              <w:t>Due to rounding, totals may not equal 100.0%</w:t>
            </w:r>
          </w:p>
        </w:tc>
      </w:tr>
    </w:tbl>
    <w:p w14:paraId="412E3DB3" w14:textId="77777777" w:rsidR="009D0E57" w:rsidRPr="00FA5A7B" w:rsidRDefault="009D0E57" w:rsidP="009D0E57">
      <w:pPr>
        <w:rPr>
          <w:i/>
          <w:iCs/>
          <w:color w:val="FF0000"/>
          <w:sz w:val="20"/>
          <w:szCs w:val="20"/>
          <w:highlight w:val="yellow"/>
        </w:rPr>
      </w:pPr>
    </w:p>
    <w:p w14:paraId="644A72EE" w14:textId="77777777" w:rsidR="005E4F45" w:rsidRPr="00AC55EF" w:rsidRDefault="005E4F45" w:rsidP="00250940">
      <w:pPr>
        <w:jc w:val="both"/>
        <w:rPr>
          <w:i/>
          <w:iCs/>
          <w:color w:val="000000"/>
          <w:highlight w:val="yellow"/>
        </w:rPr>
      </w:pPr>
    </w:p>
    <w:p w14:paraId="1727F9D7" w14:textId="77777777" w:rsidR="003912CC" w:rsidRPr="002768B8" w:rsidRDefault="003912CC" w:rsidP="00250940">
      <w:pPr>
        <w:pStyle w:val="QuickFormat1"/>
        <w:jc w:val="both"/>
        <w:rPr>
          <w:sz w:val="24"/>
          <w:szCs w:val="24"/>
          <w:u w:val="single"/>
        </w:rPr>
      </w:pPr>
      <w:r w:rsidRPr="002768B8">
        <w:rPr>
          <w:sz w:val="24"/>
          <w:szCs w:val="24"/>
          <w:u w:val="single"/>
        </w:rPr>
        <w:t>Response to Complaints</w:t>
      </w:r>
    </w:p>
    <w:p w14:paraId="73A87DBA" w14:textId="77777777" w:rsidR="003912CC" w:rsidRPr="002768B8" w:rsidRDefault="003912CC" w:rsidP="00250940">
      <w:pPr>
        <w:pStyle w:val="QuickFormat1"/>
        <w:jc w:val="both"/>
        <w:rPr>
          <w:sz w:val="24"/>
          <w:szCs w:val="24"/>
        </w:rPr>
      </w:pPr>
    </w:p>
    <w:p w14:paraId="21EC337F" w14:textId="77777777" w:rsidR="003912CC" w:rsidRPr="00F001BB" w:rsidRDefault="00BB1B65" w:rsidP="00250940">
      <w:pPr>
        <w:jc w:val="both"/>
        <w:rPr>
          <w:highlight w:val="yellow"/>
        </w:rPr>
      </w:pPr>
      <w:r w:rsidRPr="002768B8">
        <w:t>The c</w:t>
      </w:r>
      <w:r w:rsidR="003912CC" w:rsidRPr="002768B8">
        <w:t xml:space="preserve">redit </w:t>
      </w:r>
      <w:r w:rsidRPr="002768B8">
        <w:t>u</w:t>
      </w:r>
      <w:r w:rsidR="003912CC" w:rsidRPr="002768B8">
        <w:t xml:space="preserve">nion did not receive any CRA-related complaints during the evaluation </w:t>
      </w:r>
      <w:r w:rsidR="003912CC" w:rsidRPr="00F001BB">
        <w:t>period.</w:t>
      </w:r>
    </w:p>
    <w:p w14:paraId="7D804A67" w14:textId="77777777" w:rsidR="003912CC" w:rsidRPr="00F746E9" w:rsidRDefault="003912CC" w:rsidP="00250940">
      <w:pPr>
        <w:jc w:val="both"/>
        <w:rPr>
          <w:highlight w:val="yellow"/>
        </w:rPr>
      </w:pPr>
    </w:p>
    <w:p w14:paraId="3DB34542" w14:textId="2F2DA1E5" w:rsidR="00416B86" w:rsidRPr="00F001BB" w:rsidRDefault="00416B86" w:rsidP="00250940">
      <w:pPr>
        <w:pStyle w:val="QuickFormat1"/>
        <w:jc w:val="both"/>
        <w:rPr>
          <w:sz w:val="24"/>
          <w:szCs w:val="24"/>
          <w:u w:val="single"/>
        </w:rPr>
      </w:pPr>
      <w:r w:rsidRPr="00F001BB">
        <w:rPr>
          <w:sz w:val="24"/>
          <w:szCs w:val="24"/>
          <w:u w:val="single"/>
        </w:rPr>
        <w:t>Discriminatory or Other Illegal Credit Practices</w:t>
      </w:r>
      <w:r w:rsidR="00CE3B84" w:rsidRPr="00F001BB">
        <w:rPr>
          <w:sz w:val="24"/>
          <w:szCs w:val="24"/>
          <w:u w:val="single"/>
          <w:lang w:val="en-US"/>
        </w:rPr>
        <w:t xml:space="preserve"> – Fair Lending Policies and Procedures</w:t>
      </w:r>
      <w:r w:rsidRPr="00F001BB">
        <w:rPr>
          <w:sz w:val="24"/>
          <w:szCs w:val="24"/>
          <w:u w:val="single"/>
        </w:rPr>
        <w:t xml:space="preserve"> </w:t>
      </w:r>
    </w:p>
    <w:p w14:paraId="2174C7ED" w14:textId="77777777" w:rsidR="00416B86" w:rsidRPr="00F001BB" w:rsidRDefault="00416B86" w:rsidP="00250940">
      <w:pPr>
        <w:keepLines/>
        <w:ind w:left="-144" w:right="-144"/>
        <w:jc w:val="both"/>
        <w:rPr>
          <w:i/>
          <w:iCs/>
        </w:rPr>
      </w:pPr>
    </w:p>
    <w:p w14:paraId="18268580" w14:textId="424589E0" w:rsidR="00416B86" w:rsidRPr="0056477D" w:rsidRDefault="00416B86" w:rsidP="00250940">
      <w:pPr>
        <w:keepLines/>
        <w:ind w:right="-144"/>
        <w:jc w:val="both"/>
        <w:rPr>
          <w:b/>
          <w:bCs/>
          <w:sz w:val="28"/>
          <w:szCs w:val="28"/>
        </w:rPr>
      </w:pPr>
      <w:r w:rsidRPr="00F001BB">
        <w:rPr>
          <w:bCs/>
          <w:szCs w:val="28"/>
        </w:rPr>
        <w:t>Examiners did not identify any evidence of discriminatory or other illegal credit practices; therefore, t</w:t>
      </w:r>
      <w:r w:rsidR="00CE3B84" w:rsidRPr="00F001BB">
        <w:rPr>
          <w:bCs/>
          <w:szCs w:val="28"/>
        </w:rPr>
        <w:t xml:space="preserve">his consideration did not </w:t>
      </w:r>
      <w:proofErr w:type="gramStart"/>
      <w:r w:rsidR="00CE3B84" w:rsidRPr="00F001BB">
        <w:rPr>
          <w:bCs/>
          <w:szCs w:val="28"/>
        </w:rPr>
        <w:t>impact</w:t>
      </w:r>
      <w:proofErr w:type="gramEnd"/>
      <w:r w:rsidRPr="00F001BB">
        <w:rPr>
          <w:bCs/>
          <w:szCs w:val="28"/>
        </w:rPr>
        <w:t xml:space="preserve"> the credit union’s overall rating.</w:t>
      </w:r>
    </w:p>
    <w:p w14:paraId="68B9D861" w14:textId="12EFA711" w:rsidR="00416B86" w:rsidRPr="00484658" w:rsidRDefault="00416B86" w:rsidP="00250940">
      <w:pPr>
        <w:tabs>
          <w:tab w:val="center" w:pos="4680"/>
        </w:tabs>
        <w:jc w:val="both"/>
        <w:rPr>
          <w:b/>
          <w:spacing w:val="-4"/>
        </w:rPr>
      </w:pPr>
    </w:p>
    <w:p w14:paraId="3CAEDD1A" w14:textId="77777777" w:rsidR="00416B86" w:rsidRPr="00484658" w:rsidRDefault="00416B86" w:rsidP="00250940">
      <w:pPr>
        <w:jc w:val="both"/>
      </w:pPr>
      <w:r w:rsidRPr="00484658">
        <w:lastRenderedPageBreak/>
        <w:t>The Division of Banks provides comments regarding the institution’s fair lending policies and procedures pursuant to Regulatory Bulletin 1.3-106. The fair lending review was conducted in accordance with the Federal Financial Institutions Examination Council (</w:t>
      </w:r>
      <w:proofErr w:type="spellStart"/>
      <w:r w:rsidRPr="00484658">
        <w:t>FFIEC</w:t>
      </w:r>
      <w:proofErr w:type="spellEnd"/>
      <w:r w:rsidRPr="00484658">
        <w:t>) Interagency Fair Lending Examination Procedures</w:t>
      </w:r>
      <w:proofErr w:type="gramStart"/>
      <w:r w:rsidRPr="00484658">
        <w:t xml:space="preserve">.  </w:t>
      </w:r>
      <w:proofErr w:type="gramEnd"/>
      <w:r w:rsidRPr="00484658">
        <w:t>Based on these proce</w:t>
      </w:r>
      <w:r>
        <w:t xml:space="preserve">dures, no evidence of discriminatory practices </w:t>
      </w:r>
      <w:proofErr w:type="gramStart"/>
      <w:r>
        <w:t>were</w:t>
      </w:r>
      <w:proofErr w:type="gramEnd"/>
      <w:r>
        <w:t xml:space="preserve"> </w:t>
      </w:r>
      <w:r w:rsidRPr="00484658">
        <w:t>noted.</w:t>
      </w:r>
    </w:p>
    <w:p w14:paraId="1B64FC73" w14:textId="77777777" w:rsidR="00416B86" w:rsidRPr="00AC55EF" w:rsidRDefault="00416B86" w:rsidP="00250940">
      <w:pPr>
        <w:tabs>
          <w:tab w:val="center" w:pos="4680"/>
        </w:tabs>
        <w:jc w:val="both"/>
        <w:rPr>
          <w:b/>
          <w:spacing w:val="-4"/>
          <w:highlight w:val="yellow"/>
        </w:rPr>
      </w:pPr>
    </w:p>
    <w:p w14:paraId="6F41C3D8" w14:textId="6DDA29AD" w:rsidR="002F39DE" w:rsidRPr="002F39DE" w:rsidRDefault="002F39DE" w:rsidP="00250940">
      <w:pPr>
        <w:autoSpaceDE w:val="0"/>
        <w:autoSpaceDN w:val="0"/>
        <w:adjustRightInd w:val="0"/>
        <w:jc w:val="both"/>
        <w:rPr>
          <w:b/>
          <w:i/>
          <w:spacing w:val="-4"/>
        </w:rPr>
      </w:pPr>
      <w:r>
        <w:rPr>
          <w:b/>
          <w:i/>
          <w:spacing w:val="-4"/>
        </w:rPr>
        <w:t>Minority Application Flow</w:t>
      </w:r>
    </w:p>
    <w:p w14:paraId="490315D4" w14:textId="1849BE9E" w:rsidR="002F39DE" w:rsidRDefault="002F39DE" w:rsidP="00250940">
      <w:pPr>
        <w:autoSpaceDE w:val="0"/>
        <w:autoSpaceDN w:val="0"/>
        <w:adjustRightInd w:val="0"/>
        <w:jc w:val="both"/>
        <w:rPr>
          <w:color w:val="000000"/>
        </w:rPr>
      </w:pPr>
      <w:r>
        <w:rPr>
          <w:color w:val="000000"/>
        </w:rPr>
        <w:t>The credit union</w:t>
      </w:r>
      <w:r w:rsidRPr="00B075D6">
        <w:rPr>
          <w:color w:val="000000"/>
        </w:rPr>
        <w:t xml:space="preserve">’s </w:t>
      </w:r>
      <w:r>
        <w:rPr>
          <w:color w:val="000000"/>
        </w:rPr>
        <w:t>level of lending</w:t>
      </w:r>
      <w:r w:rsidRPr="00B075D6">
        <w:rPr>
          <w:color w:val="000000"/>
        </w:rPr>
        <w:t xml:space="preserve"> </w:t>
      </w:r>
      <w:proofErr w:type="gramStart"/>
      <w:r w:rsidR="00EC1EED">
        <w:rPr>
          <w:color w:val="000000"/>
        </w:rPr>
        <w:t>was</w:t>
      </w:r>
      <w:r w:rsidR="00EC1EED" w:rsidRPr="00B075D6">
        <w:rPr>
          <w:color w:val="000000"/>
        </w:rPr>
        <w:t xml:space="preserve"> </w:t>
      </w:r>
      <w:r w:rsidRPr="00B075D6">
        <w:rPr>
          <w:color w:val="000000"/>
        </w:rPr>
        <w:t>reviewed</w:t>
      </w:r>
      <w:proofErr w:type="gramEnd"/>
      <w:r w:rsidRPr="00B075D6">
        <w:rPr>
          <w:color w:val="000000"/>
        </w:rPr>
        <w:t xml:space="preserve"> to determine if the application flow from the different </w:t>
      </w:r>
      <w:r>
        <w:rPr>
          <w:color w:val="000000"/>
        </w:rPr>
        <w:t>racial groups within the credit union</w:t>
      </w:r>
      <w:r w:rsidRPr="00B075D6">
        <w:rPr>
          <w:color w:val="000000"/>
        </w:rPr>
        <w:t>’s assessment area was reflective of the assessment area’s demographics.</w:t>
      </w:r>
    </w:p>
    <w:p w14:paraId="4E7B8613" w14:textId="77777777" w:rsidR="002F39DE" w:rsidRPr="00B075D6" w:rsidRDefault="002F39DE" w:rsidP="00250940">
      <w:pPr>
        <w:autoSpaceDE w:val="0"/>
        <w:autoSpaceDN w:val="0"/>
        <w:adjustRightInd w:val="0"/>
        <w:jc w:val="both"/>
        <w:rPr>
          <w:color w:val="000000"/>
        </w:rPr>
      </w:pPr>
    </w:p>
    <w:p w14:paraId="16693046" w14:textId="3711822C" w:rsidR="002F39DE" w:rsidRDefault="002F39DE" w:rsidP="00250940">
      <w:pPr>
        <w:autoSpaceDE w:val="0"/>
        <w:autoSpaceDN w:val="0"/>
        <w:adjustRightInd w:val="0"/>
        <w:jc w:val="both"/>
        <w:rPr>
          <w:color w:val="000000"/>
        </w:rPr>
      </w:pPr>
      <w:r w:rsidRPr="00B075D6">
        <w:rPr>
          <w:color w:val="000000"/>
        </w:rPr>
        <w:t>According to th</w:t>
      </w:r>
      <w:r>
        <w:rPr>
          <w:color w:val="000000"/>
        </w:rPr>
        <w:t>e 2015 ACS Census Data, the credit union’</w:t>
      </w:r>
      <w:r w:rsidRPr="00B075D6">
        <w:rPr>
          <w:color w:val="000000"/>
        </w:rPr>
        <w:t>s assessment area con</w:t>
      </w:r>
      <w:r>
        <w:rPr>
          <w:color w:val="000000"/>
        </w:rPr>
        <w:t>tained a total population of 539,463 individuals, of which 23.2</w:t>
      </w:r>
      <w:r w:rsidRPr="00B075D6">
        <w:rPr>
          <w:color w:val="000000"/>
        </w:rPr>
        <w:t xml:space="preserve"> percent are minorities</w:t>
      </w:r>
      <w:proofErr w:type="gramStart"/>
      <w:r w:rsidRPr="00B075D6">
        <w:rPr>
          <w:color w:val="000000"/>
        </w:rPr>
        <w:t xml:space="preserve">.  </w:t>
      </w:r>
      <w:proofErr w:type="gramEnd"/>
      <w:r w:rsidRPr="00B075D6">
        <w:rPr>
          <w:color w:val="000000"/>
        </w:rPr>
        <w:t>The minori</w:t>
      </w:r>
      <w:r>
        <w:rPr>
          <w:color w:val="000000"/>
        </w:rPr>
        <w:t>ty population represented is 5.1</w:t>
      </w:r>
      <w:r w:rsidRPr="00B075D6">
        <w:rPr>
          <w:color w:val="000000"/>
        </w:rPr>
        <w:t xml:space="preserve"> per</w:t>
      </w:r>
      <w:r>
        <w:rPr>
          <w:color w:val="000000"/>
        </w:rPr>
        <w:t>cent Black/African American, 4.4</w:t>
      </w:r>
      <w:r w:rsidRPr="00B075D6">
        <w:rPr>
          <w:color w:val="000000"/>
        </w:rPr>
        <w:t xml:space="preserve"> percent Asian, </w:t>
      </w:r>
      <w:r>
        <w:rPr>
          <w:color w:val="000000"/>
        </w:rPr>
        <w:t>0.1 percent American Indian, 11.3</w:t>
      </w:r>
      <w:r w:rsidRPr="00B075D6">
        <w:rPr>
          <w:color w:val="000000"/>
        </w:rPr>
        <w:t xml:space="preserve"> per</w:t>
      </w:r>
      <w:r>
        <w:rPr>
          <w:color w:val="000000"/>
        </w:rPr>
        <w:t>cent Hispanic or Latino, and 2.3</w:t>
      </w:r>
      <w:r w:rsidRPr="00B075D6">
        <w:rPr>
          <w:color w:val="000000"/>
        </w:rPr>
        <w:t xml:space="preserve"> percent other.  </w:t>
      </w:r>
    </w:p>
    <w:p w14:paraId="35BB90DA" w14:textId="204A55B7" w:rsidR="002F39DE" w:rsidRDefault="002F39DE" w:rsidP="00250940">
      <w:pPr>
        <w:autoSpaceDE w:val="0"/>
        <w:autoSpaceDN w:val="0"/>
        <w:adjustRightInd w:val="0"/>
        <w:jc w:val="both"/>
        <w:rPr>
          <w:color w:val="000000"/>
        </w:rPr>
      </w:pPr>
    </w:p>
    <w:p w14:paraId="61E11ED2" w14:textId="602281EC" w:rsidR="008913A3" w:rsidRDefault="002F39DE" w:rsidP="00250940">
      <w:pPr>
        <w:autoSpaceDE w:val="0"/>
        <w:autoSpaceDN w:val="0"/>
        <w:adjustRightInd w:val="0"/>
        <w:jc w:val="both"/>
        <w:rPr>
          <w:color w:val="000000"/>
        </w:rPr>
      </w:pPr>
      <w:r>
        <w:rPr>
          <w:color w:val="000000"/>
        </w:rPr>
        <w:t>The credit union</w:t>
      </w:r>
      <w:r w:rsidRPr="00B075D6">
        <w:rPr>
          <w:color w:val="000000"/>
        </w:rPr>
        <w:t xml:space="preserve">’s </w:t>
      </w:r>
      <w:r>
        <w:rPr>
          <w:color w:val="000000"/>
        </w:rPr>
        <w:t xml:space="preserve">HMDA </w:t>
      </w:r>
      <w:proofErr w:type="spellStart"/>
      <w:r>
        <w:rPr>
          <w:color w:val="000000"/>
        </w:rPr>
        <w:t>LARs</w:t>
      </w:r>
      <w:proofErr w:type="spellEnd"/>
      <w:r>
        <w:rPr>
          <w:color w:val="000000"/>
        </w:rPr>
        <w:t xml:space="preserve"> in 2018 and 2019 were compared with </w:t>
      </w:r>
      <w:r w:rsidRPr="00B075D6">
        <w:rPr>
          <w:color w:val="000000"/>
        </w:rPr>
        <w:t>the aggregate lending performance</w:t>
      </w:r>
      <w:r>
        <w:rPr>
          <w:color w:val="000000"/>
        </w:rPr>
        <w:t xml:space="preserve"> for the same years</w:t>
      </w:r>
      <w:proofErr w:type="gramStart"/>
      <w:r w:rsidRPr="00B075D6">
        <w:rPr>
          <w:color w:val="000000"/>
        </w:rPr>
        <w:t xml:space="preserve">.  </w:t>
      </w:r>
      <w:proofErr w:type="gramEnd"/>
      <w:r w:rsidRPr="00B075D6">
        <w:rPr>
          <w:color w:val="000000"/>
        </w:rPr>
        <w:t>The comparison of this data assists in deriving reasonable expectations for t</w:t>
      </w:r>
      <w:r>
        <w:rPr>
          <w:color w:val="000000"/>
        </w:rPr>
        <w:t>he rate of applications the credit union</w:t>
      </w:r>
      <w:r w:rsidRPr="00B075D6">
        <w:rPr>
          <w:color w:val="000000"/>
        </w:rPr>
        <w:t xml:space="preserve"> received from </w:t>
      </w:r>
      <w:proofErr w:type="gramStart"/>
      <w:r w:rsidRPr="00B075D6">
        <w:rPr>
          <w:color w:val="000000"/>
        </w:rPr>
        <w:t xml:space="preserve">minority </w:t>
      </w:r>
      <w:r w:rsidR="008913A3">
        <w:rPr>
          <w:color w:val="000000"/>
        </w:rPr>
        <w:t>home mortgage loan applicants</w:t>
      </w:r>
      <w:proofErr w:type="gramEnd"/>
      <w:r w:rsidR="008913A3">
        <w:rPr>
          <w:color w:val="000000"/>
        </w:rPr>
        <w:t xml:space="preserve">. </w:t>
      </w:r>
      <w:r w:rsidR="008913A3" w:rsidRPr="00B075D6">
        <w:rPr>
          <w:color w:val="000000"/>
        </w:rPr>
        <w:t>Refer to the table below for informatio</w:t>
      </w:r>
      <w:r w:rsidR="008913A3">
        <w:rPr>
          <w:color w:val="000000"/>
        </w:rPr>
        <w:t>n on the credit union</w:t>
      </w:r>
      <w:r w:rsidR="008913A3" w:rsidRPr="00B075D6">
        <w:rPr>
          <w:color w:val="000000"/>
        </w:rPr>
        <w:t>’s minority application flow as well as t</w:t>
      </w:r>
      <w:r w:rsidR="008913A3">
        <w:rPr>
          <w:color w:val="000000"/>
        </w:rPr>
        <w:t>he aggregate lenders in the credit union’</w:t>
      </w:r>
      <w:r w:rsidR="008913A3" w:rsidRPr="00B075D6">
        <w:rPr>
          <w:color w:val="000000"/>
        </w:rPr>
        <w:t>s assessment area.</w:t>
      </w:r>
    </w:p>
    <w:p w14:paraId="53352627" w14:textId="1309778A" w:rsidR="002F39DE" w:rsidRDefault="002F39DE" w:rsidP="002F39DE">
      <w:pPr>
        <w:autoSpaceDE w:val="0"/>
        <w:autoSpaceDN w:val="0"/>
        <w:adjustRightInd w:val="0"/>
        <w:rPr>
          <w:color w:val="000000"/>
        </w:rPr>
      </w:pP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3"/>
        <w:gridCol w:w="823"/>
        <w:gridCol w:w="975"/>
        <w:gridCol w:w="1219"/>
        <w:gridCol w:w="951"/>
        <w:gridCol w:w="825"/>
        <w:gridCol w:w="1259"/>
      </w:tblGrid>
      <w:tr w:rsidR="002F39DE" w:rsidRPr="00B075D6" w14:paraId="274295FE" w14:textId="77777777" w:rsidTr="00250940">
        <w:trPr>
          <w:trHeight w:val="390"/>
          <w:jc w:val="center"/>
        </w:trPr>
        <w:tc>
          <w:tcPr>
            <w:tcW w:w="9355" w:type="dxa"/>
            <w:gridSpan w:val="7"/>
            <w:hideMark/>
          </w:tcPr>
          <w:p w14:paraId="3CCC0790" w14:textId="77777777" w:rsidR="002F39DE" w:rsidRPr="00B075D6" w:rsidRDefault="002F39DE" w:rsidP="008544CA">
            <w:pPr>
              <w:spacing w:line="256" w:lineRule="auto"/>
              <w:jc w:val="center"/>
              <w:rPr>
                <w:rFonts w:eastAsia="Calibri"/>
                <w:b/>
                <w:sz w:val="20"/>
                <w:szCs w:val="20"/>
              </w:rPr>
            </w:pPr>
            <w:r w:rsidRPr="00B075D6">
              <w:rPr>
                <w:rFonts w:eastAsia="Calibri"/>
                <w:b/>
                <w:sz w:val="20"/>
                <w:szCs w:val="20"/>
              </w:rPr>
              <w:t>MINORITY APPLICATION FLOW</w:t>
            </w:r>
          </w:p>
          <w:p w14:paraId="7A4AEBBC" w14:textId="77777777" w:rsidR="002F39DE" w:rsidRPr="00B075D6" w:rsidRDefault="002F39DE" w:rsidP="008544CA">
            <w:pPr>
              <w:spacing w:line="256" w:lineRule="auto"/>
              <w:jc w:val="center"/>
              <w:rPr>
                <w:rFonts w:eastAsia="Calibri"/>
                <w:b/>
                <w:sz w:val="20"/>
                <w:szCs w:val="20"/>
              </w:rPr>
            </w:pPr>
          </w:p>
        </w:tc>
      </w:tr>
      <w:tr w:rsidR="002F39DE" w:rsidRPr="00B075D6" w14:paraId="2F812A88" w14:textId="77777777" w:rsidTr="00250940">
        <w:trPr>
          <w:cantSplit/>
          <w:trHeight w:val="710"/>
          <w:jc w:val="center"/>
        </w:trPr>
        <w:tc>
          <w:tcPr>
            <w:tcW w:w="3303" w:type="dxa"/>
            <w:vMerge w:val="restart"/>
          </w:tcPr>
          <w:p w14:paraId="4080ED24" w14:textId="77777777" w:rsidR="002F39DE" w:rsidRPr="00B075D6" w:rsidRDefault="002F39DE" w:rsidP="008544CA">
            <w:pPr>
              <w:keepNext/>
              <w:tabs>
                <w:tab w:val="left" w:pos="480"/>
                <w:tab w:val="left" w:pos="960"/>
                <w:tab w:val="left" w:pos="6840"/>
              </w:tabs>
              <w:spacing w:line="256" w:lineRule="auto"/>
              <w:jc w:val="both"/>
              <w:outlineLvl w:val="0"/>
              <w:rPr>
                <w:rFonts w:eastAsia="Calibri"/>
                <w:spacing w:val="-3"/>
                <w:sz w:val="20"/>
                <w:szCs w:val="20"/>
              </w:rPr>
            </w:pPr>
          </w:p>
          <w:p w14:paraId="2D165CF0"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RACE</w:t>
            </w:r>
          </w:p>
        </w:tc>
        <w:tc>
          <w:tcPr>
            <w:tcW w:w="1798" w:type="dxa"/>
            <w:gridSpan w:val="2"/>
            <w:hideMark/>
          </w:tcPr>
          <w:p w14:paraId="4DF83B61" w14:textId="77777777" w:rsidR="002F39DE" w:rsidRPr="00B075D6" w:rsidRDefault="002F39DE" w:rsidP="008544CA">
            <w:pPr>
              <w:spacing w:line="256" w:lineRule="auto"/>
              <w:jc w:val="center"/>
              <w:rPr>
                <w:rFonts w:eastAsia="Calibri"/>
                <w:b/>
                <w:sz w:val="20"/>
                <w:szCs w:val="20"/>
              </w:rPr>
            </w:pPr>
            <w:r>
              <w:rPr>
                <w:rFonts w:eastAsia="Calibri"/>
                <w:b/>
                <w:sz w:val="20"/>
                <w:szCs w:val="20"/>
              </w:rPr>
              <w:t>Credit Union</w:t>
            </w:r>
            <w:r w:rsidRPr="00B075D6">
              <w:rPr>
                <w:rFonts w:eastAsia="Calibri"/>
                <w:b/>
                <w:sz w:val="20"/>
                <w:szCs w:val="20"/>
              </w:rPr>
              <w:t xml:space="preserve"> </w:t>
            </w:r>
          </w:p>
          <w:p w14:paraId="470ACA0F" w14:textId="77777777" w:rsidR="002F39DE" w:rsidRPr="00B075D6" w:rsidRDefault="002F39DE" w:rsidP="008544CA">
            <w:pPr>
              <w:spacing w:line="256" w:lineRule="auto"/>
              <w:jc w:val="center"/>
              <w:rPr>
                <w:rFonts w:eastAsia="Calibri"/>
                <w:b/>
                <w:sz w:val="20"/>
                <w:szCs w:val="20"/>
              </w:rPr>
            </w:pPr>
            <w:r w:rsidRPr="00B075D6">
              <w:rPr>
                <w:rFonts w:eastAsia="Calibri"/>
                <w:b/>
                <w:sz w:val="20"/>
                <w:szCs w:val="20"/>
              </w:rPr>
              <w:t xml:space="preserve"> 2018</w:t>
            </w:r>
          </w:p>
        </w:tc>
        <w:tc>
          <w:tcPr>
            <w:tcW w:w="1219" w:type="dxa"/>
            <w:shd w:val="pct12" w:color="000000" w:fill="FFFFFF"/>
            <w:hideMark/>
          </w:tcPr>
          <w:p w14:paraId="03F688C8"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2018 Aggregate Data</w:t>
            </w:r>
          </w:p>
        </w:tc>
        <w:tc>
          <w:tcPr>
            <w:tcW w:w="1776" w:type="dxa"/>
            <w:gridSpan w:val="2"/>
            <w:shd w:val="clear" w:color="auto" w:fill="auto"/>
            <w:hideMark/>
          </w:tcPr>
          <w:p w14:paraId="23EA0047"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Credit Union</w:t>
            </w:r>
          </w:p>
          <w:p w14:paraId="6319704B"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 xml:space="preserve"> 2019</w:t>
            </w:r>
          </w:p>
        </w:tc>
        <w:tc>
          <w:tcPr>
            <w:tcW w:w="1259" w:type="dxa"/>
            <w:shd w:val="clear" w:color="auto" w:fill="D9D9D9"/>
          </w:tcPr>
          <w:p w14:paraId="61F5D88B"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2019 Aggregate Data</w:t>
            </w:r>
          </w:p>
        </w:tc>
      </w:tr>
      <w:tr w:rsidR="002F39DE" w:rsidRPr="00B075D6" w14:paraId="1745B1A0" w14:textId="77777777" w:rsidTr="00250940">
        <w:trPr>
          <w:cantSplit/>
          <w:trHeight w:val="245"/>
          <w:jc w:val="center"/>
        </w:trPr>
        <w:tc>
          <w:tcPr>
            <w:tcW w:w="3303" w:type="dxa"/>
            <w:vMerge/>
            <w:vAlign w:val="center"/>
            <w:hideMark/>
          </w:tcPr>
          <w:p w14:paraId="09497BAD" w14:textId="77777777" w:rsidR="002F39DE" w:rsidRPr="00B075D6" w:rsidRDefault="002F39DE" w:rsidP="008544CA">
            <w:pPr>
              <w:spacing w:line="256" w:lineRule="auto"/>
              <w:rPr>
                <w:rFonts w:eastAsia="Calibri"/>
                <w:b/>
                <w:spacing w:val="-3"/>
                <w:sz w:val="20"/>
                <w:szCs w:val="20"/>
              </w:rPr>
            </w:pPr>
          </w:p>
        </w:tc>
        <w:tc>
          <w:tcPr>
            <w:tcW w:w="823" w:type="dxa"/>
            <w:hideMark/>
          </w:tcPr>
          <w:p w14:paraId="631A4E46"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w:t>
            </w:r>
          </w:p>
        </w:tc>
        <w:tc>
          <w:tcPr>
            <w:tcW w:w="975" w:type="dxa"/>
            <w:hideMark/>
          </w:tcPr>
          <w:p w14:paraId="0339B6A4"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w:t>
            </w:r>
          </w:p>
        </w:tc>
        <w:tc>
          <w:tcPr>
            <w:tcW w:w="1219" w:type="dxa"/>
            <w:shd w:val="pct12" w:color="000000" w:fill="FFFFFF"/>
            <w:hideMark/>
          </w:tcPr>
          <w:p w14:paraId="58205192"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w:t>
            </w:r>
          </w:p>
        </w:tc>
        <w:tc>
          <w:tcPr>
            <w:tcW w:w="951" w:type="dxa"/>
            <w:shd w:val="clear" w:color="auto" w:fill="auto"/>
            <w:hideMark/>
          </w:tcPr>
          <w:p w14:paraId="6AE63D62"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w:t>
            </w:r>
          </w:p>
        </w:tc>
        <w:tc>
          <w:tcPr>
            <w:tcW w:w="825" w:type="dxa"/>
            <w:shd w:val="clear" w:color="auto" w:fill="FFFFFF"/>
            <w:hideMark/>
          </w:tcPr>
          <w:p w14:paraId="1DCDC64D"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w:t>
            </w:r>
          </w:p>
        </w:tc>
        <w:tc>
          <w:tcPr>
            <w:tcW w:w="1259" w:type="dxa"/>
            <w:shd w:val="clear" w:color="auto" w:fill="D9D9D9"/>
          </w:tcPr>
          <w:p w14:paraId="7A3D2873"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w:t>
            </w:r>
          </w:p>
        </w:tc>
      </w:tr>
      <w:tr w:rsidR="002F39DE" w:rsidRPr="00B075D6" w14:paraId="3AC13AA9" w14:textId="77777777" w:rsidTr="00250940">
        <w:trPr>
          <w:trHeight w:val="232"/>
          <w:jc w:val="center"/>
        </w:trPr>
        <w:tc>
          <w:tcPr>
            <w:tcW w:w="3303" w:type="dxa"/>
            <w:hideMark/>
          </w:tcPr>
          <w:p w14:paraId="67BC05B0"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American Indian/ Alaska Native</w:t>
            </w:r>
          </w:p>
        </w:tc>
        <w:tc>
          <w:tcPr>
            <w:tcW w:w="823" w:type="dxa"/>
            <w:hideMark/>
          </w:tcPr>
          <w:p w14:paraId="3333247A"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0</w:t>
            </w:r>
          </w:p>
        </w:tc>
        <w:tc>
          <w:tcPr>
            <w:tcW w:w="975" w:type="dxa"/>
            <w:hideMark/>
          </w:tcPr>
          <w:p w14:paraId="4C0B399B"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0.0</w:t>
            </w:r>
          </w:p>
        </w:tc>
        <w:tc>
          <w:tcPr>
            <w:tcW w:w="1219" w:type="dxa"/>
            <w:shd w:val="pct12" w:color="000000" w:fill="FFFFFF"/>
            <w:hideMark/>
          </w:tcPr>
          <w:p w14:paraId="65ADCE9E" w14:textId="77777777" w:rsidR="002F39DE" w:rsidRPr="00B075D6" w:rsidRDefault="002F39DE" w:rsidP="008544CA">
            <w:pPr>
              <w:tabs>
                <w:tab w:val="left" w:pos="180"/>
              </w:tabs>
              <w:spacing w:line="256" w:lineRule="auto"/>
              <w:jc w:val="center"/>
              <w:rPr>
                <w:rFonts w:eastAsia="Calibri"/>
                <w:spacing w:val="-3"/>
                <w:sz w:val="20"/>
                <w:szCs w:val="20"/>
              </w:rPr>
            </w:pPr>
            <w:r>
              <w:rPr>
                <w:rFonts w:eastAsia="Calibri"/>
                <w:spacing w:val="-3"/>
                <w:sz w:val="20"/>
                <w:szCs w:val="20"/>
              </w:rPr>
              <w:t>0.3</w:t>
            </w:r>
          </w:p>
        </w:tc>
        <w:tc>
          <w:tcPr>
            <w:tcW w:w="951" w:type="dxa"/>
            <w:shd w:val="clear" w:color="auto" w:fill="auto"/>
            <w:hideMark/>
          </w:tcPr>
          <w:p w14:paraId="57DC5F09"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w:t>
            </w:r>
          </w:p>
        </w:tc>
        <w:tc>
          <w:tcPr>
            <w:tcW w:w="825" w:type="dxa"/>
            <w:shd w:val="clear" w:color="auto" w:fill="auto"/>
            <w:hideMark/>
          </w:tcPr>
          <w:p w14:paraId="3C36BBBB"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0.3</w:t>
            </w:r>
          </w:p>
        </w:tc>
        <w:tc>
          <w:tcPr>
            <w:tcW w:w="1259" w:type="dxa"/>
            <w:shd w:val="clear" w:color="auto" w:fill="D9D9D9"/>
          </w:tcPr>
          <w:p w14:paraId="1ACCB826"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0.2</w:t>
            </w:r>
          </w:p>
        </w:tc>
      </w:tr>
      <w:tr w:rsidR="002F39DE" w:rsidRPr="00B075D6" w14:paraId="0CE20DAD" w14:textId="77777777" w:rsidTr="00250940">
        <w:trPr>
          <w:trHeight w:val="232"/>
          <w:jc w:val="center"/>
        </w:trPr>
        <w:tc>
          <w:tcPr>
            <w:tcW w:w="3303" w:type="dxa"/>
            <w:hideMark/>
          </w:tcPr>
          <w:p w14:paraId="21F4295B"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Asian</w:t>
            </w:r>
          </w:p>
        </w:tc>
        <w:tc>
          <w:tcPr>
            <w:tcW w:w="823" w:type="dxa"/>
            <w:hideMark/>
          </w:tcPr>
          <w:p w14:paraId="2EE3583C"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7</w:t>
            </w:r>
          </w:p>
        </w:tc>
        <w:tc>
          <w:tcPr>
            <w:tcW w:w="975" w:type="dxa"/>
            <w:hideMark/>
          </w:tcPr>
          <w:p w14:paraId="62BCB6E8"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2.3</w:t>
            </w:r>
          </w:p>
        </w:tc>
        <w:tc>
          <w:tcPr>
            <w:tcW w:w="1219" w:type="dxa"/>
            <w:shd w:val="pct12" w:color="000000" w:fill="FFFFFF"/>
            <w:hideMark/>
          </w:tcPr>
          <w:p w14:paraId="7CC1DC90"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5.1</w:t>
            </w:r>
          </w:p>
        </w:tc>
        <w:tc>
          <w:tcPr>
            <w:tcW w:w="951" w:type="dxa"/>
            <w:shd w:val="clear" w:color="auto" w:fill="auto"/>
            <w:hideMark/>
          </w:tcPr>
          <w:p w14:paraId="34376AF0"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7</w:t>
            </w:r>
          </w:p>
        </w:tc>
        <w:tc>
          <w:tcPr>
            <w:tcW w:w="825" w:type="dxa"/>
            <w:shd w:val="clear" w:color="auto" w:fill="auto"/>
            <w:hideMark/>
          </w:tcPr>
          <w:p w14:paraId="4D0E3EF2"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1.9</w:t>
            </w:r>
          </w:p>
        </w:tc>
        <w:tc>
          <w:tcPr>
            <w:tcW w:w="1259" w:type="dxa"/>
            <w:shd w:val="clear" w:color="auto" w:fill="D9D9D9"/>
          </w:tcPr>
          <w:p w14:paraId="3691A7E0"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5.6</w:t>
            </w:r>
          </w:p>
        </w:tc>
      </w:tr>
      <w:tr w:rsidR="002F39DE" w:rsidRPr="00B075D6" w14:paraId="53B9D010" w14:textId="77777777" w:rsidTr="00250940">
        <w:trPr>
          <w:trHeight w:val="302"/>
          <w:jc w:val="center"/>
        </w:trPr>
        <w:tc>
          <w:tcPr>
            <w:tcW w:w="3303" w:type="dxa"/>
            <w:hideMark/>
          </w:tcPr>
          <w:p w14:paraId="57335C65"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Black/ African American</w:t>
            </w:r>
          </w:p>
        </w:tc>
        <w:tc>
          <w:tcPr>
            <w:tcW w:w="823" w:type="dxa"/>
            <w:hideMark/>
          </w:tcPr>
          <w:p w14:paraId="686C7185"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9</w:t>
            </w:r>
          </w:p>
        </w:tc>
        <w:tc>
          <w:tcPr>
            <w:tcW w:w="975" w:type="dxa"/>
            <w:hideMark/>
          </w:tcPr>
          <w:p w14:paraId="234BEB90"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3</w:t>
            </w:r>
            <w:r w:rsidRPr="00B075D6">
              <w:rPr>
                <w:rFonts w:eastAsia="Calibri"/>
                <w:spacing w:val="-3"/>
                <w:sz w:val="20"/>
                <w:szCs w:val="20"/>
              </w:rPr>
              <w:t>.0</w:t>
            </w:r>
          </w:p>
        </w:tc>
        <w:tc>
          <w:tcPr>
            <w:tcW w:w="1219" w:type="dxa"/>
            <w:shd w:val="pct12" w:color="000000" w:fill="FFFFFF"/>
            <w:hideMark/>
          </w:tcPr>
          <w:p w14:paraId="3298AA89" w14:textId="77777777" w:rsidR="002F39DE" w:rsidRPr="00B075D6" w:rsidRDefault="002F39DE" w:rsidP="008544CA">
            <w:pPr>
              <w:spacing w:line="256" w:lineRule="auto"/>
              <w:jc w:val="center"/>
              <w:rPr>
                <w:rFonts w:eastAsia="Calibri"/>
                <w:spacing w:val="-3"/>
                <w:sz w:val="20"/>
                <w:szCs w:val="20"/>
                <w:highlight w:val="yellow"/>
              </w:rPr>
            </w:pPr>
            <w:r>
              <w:rPr>
                <w:rFonts w:eastAsia="Calibri"/>
                <w:spacing w:val="-3"/>
                <w:sz w:val="20"/>
                <w:szCs w:val="20"/>
              </w:rPr>
              <w:t>4.4</w:t>
            </w:r>
          </w:p>
        </w:tc>
        <w:tc>
          <w:tcPr>
            <w:tcW w:w="951" w:type="dxa"/>
            <w:shd w:val="clear" w:color="auto" w:fill="auto"/>
            <w:hideMark/>
          </w:tcPr>
          <w:p w14:paraId="25D31E97"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10</w:t>
            </w:r>
          </w:p>
        </w:tc>
        <w:tc>
          <w:tcPr>
            <w:tcW w:w="825" w:type="dxa"/>
            <w:shd w:val="clear" w:color="auto" w:fill="auto"/>
            <w:hideMark/>
          </w:tcPr>
          <w:p w14:paraId="2F495203"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2.7</w:t>
            </w:r>
          </w:p>
        </w:tc>
        <w:tc>
          <w:tcPr>
            <w:tcW w:w="1259" w:type="dxa"/>
            <w:shd w:val="clear" w:color="auto" w:fill="D9D9D9"/>
          </w:tcPr>
          <w:p w14:paraId="2ADBF7AF"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4.8</w:t>
            </w:r>
          </w:p>
        </w:tc>
      </w:tr>
      <w:tr w:rsidR="002F39DE" w:rsidRPr="00B075D6" w14:paraId="0CE4C4A5" w14:textId="77777777" w:rsidTr="00250940">
        <w:trPr>
          <w:trHeight w:val="232"/>
          <w:jc w:val="center"/>
        </w:trPr>
        <w:tc>
          <w:tcPr>
            <w:tcW w:w="3303" w:type="dxa"/>
            <w:hideMark/>
          </w:tcPr>
          <w:p w14:paraId="1A6FC756"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Hawaiian/Pacific Islander</w:t>
            </w:r>
          </w:p>
        </w:tc>
        <w:tc>
          <w:tcPr>
            <w:tcW w:w="823" w:type="dxa"/>
            <w:hideMark/>
          </w:tcPr>
          <w:p w14:paraId="4D3EF9B2"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0</w:t>
            </w:r>
          </w:p>
        </w:tc>
        <w:tc>
          <w:tcPr>
            <w:tcW w:w="975" w:type="dxa"/>
            <w:hideMark/>
          </w:tcPr>
          <w:p w14:paraId="03FDF823" w14:textId="77777777" w:rsidR="002F39DE" w:rsidRPr="00B075D6" w:rsidRDefault="002F39DE" w:rsidP="008544CA">
            <w:pPr>
              <w:spacing w:line="256" w:lineRule="auto"/>
              <w:jc w:val="center"/>
              <w:rPr>
                <w:rFonts w:eastAsia="Calibri"/>
                <w:spacing w:val="-3"/>
                <w:sz w:val="20"/>
                <w:szCs w:val="20"/>
              </w:rPr>
            </w:pPr>
            <w:r w:rsidRPr="00B075D6">
              <w:rPr>
                <w:rFonts w:eastAsia="Calibri"/>
                <w:spacing w:val="-3"/>
                <w:sz w:val="20"/>
                <w:szCs w:val="20"/>
              </w:rPr>
              <w:t>0.0</w:t>
            </w:r>
          </w:p>
        </w:tc>
        <w:tc>
          <w:tcPr>
            <w:tcW w:w="1219" w:type="dxa"/>
            <w:shd w:val="pct12" w:color="000000" w:fill="FFFFFF"/>
            <w:hideMark/>
          </w:tcPr>
          <w:p w14:paraId="4124FB5B" w14:textId="77777777" w:rsidR="002F39DE" w:rsidRPr="00B075D6" w:rsidRDefault="002F39DE" w:rsidP="008544CA">
            <w:pPr>
              <w:spacing w:line="256" w:lineRule="auto"/>
              <w:jc w:val="center"/>
              <w:rPr>
                <w:rFonts w:eastAsia="Calibri"/>
                <w:spacing w:val="-3"/>
                <w:sz w:val="20"/>
                <w:szCs w:val="20"/>
                <w:highlight w:val="yellow"/>
              </w:rPr>
            </w:pPr>
            <w:r>
              <w:rPr>
                <w:rFonts w:eastAsia="Calibri"/>
                <w:spacing w:val="-3"/>
                <w:sz w:val="20"/>
                <w:szCs w:val="20"/>
              </w:rPr>
              <w:t>0.2</w:t>
            </w:r>
          </w:p>
        </w:tc>
        <w:tc>
          <w:tcPr>
            <w:tcW w:w="951" w:type="dxa"/>
            <w:shd w:val="clear" w:color="auto" w:fill="auto"/>
            <w:hideMark/>
          </w:tcPr>
          <w:p w14:paraId="42CBA514"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w:t>
            </w:r>
          </w:p>
        </w:tc>
        <w:tc>
          <w:tcPr>
            <w:tcW w:w="825" w:type="dxa"/>
            <w:shd w:val="clear" w:color="auto" w:fill="auto"/>
            <w:hideMark/>
          </w:tcPr>
          <w:p w14:paraId="1988D3FF"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0.3</w:t>
            </w:r>
          </w:p>
        </w:tc>
        <w:tc>
          <w:tcPr>
            <w:tcW w:w="1259" w:type="dxa"/>
            <w:shd w:val="clear" w:color="auto" w:fill="D9D9D9"/>
          </w:tcPr>
          <w:p w14:paraId="3139AE69"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0.2</w:t>
            </w:r>
          </w:p>
        </w:tc>
      </w:tr>
      <w:tr w:rsidR="002F39DE" w:rsidRPr="00B075D6" w14:paraId="3117B5DF" w14:textId="77777777" w:rsidTr="00250940">
        <w:trPr>
          <w:trHeight w:val="232"/>
          <w:jc w:val="center"/>
        </w:trPr>
        <w:tc>
          <w:tcPr>
            <w:tcW w:w="3303" w:type="dxa"/>
            <w:hideMark/>
          </w:tcPr>
          <w:p w14:paraId="3F58A0E5"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2 or more Minority</w:t>
            </w:r>
          </w:p>
        </w:tc>
        <w:tc>
          <w:tcPr>
            <w:tcW w:w="823" w:type="dxa"/>
            <w:hideMark/>
          </w:tcPr>
          <w:p w14:paraId="46213873"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w:t>
            </w:r>
          </w:p>
        </w:tc>
        <w:tc>
          <w:tcPr>
            <w:tcW w:w="975" w:type="dxa"/>
            <w:hideMark/>
          </w:tcPr>
          <w:p w14:paraId="037F63A8"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0.3</w:t>
            </w:r>
          </w:p>
        </w:tc>
        <w:tc>
          <w:tcPr>
            <w:tcW w:w="1219" w:type="dxa"/>
            <w:shd w:val="pct12" w:color="000000" w:fill="FFFFFF"/>
            <w:hideMark/>
          </w:tcPr>
          <w:p w14:paraId="491EC945" w14:textId="77777777" w:rsidR="002F39DE" w:rsidRPr="00B075D6" w:rsidRDefault="002F39DE" w:rsidP="008544CA">
            <w:pPr>
              <w:spacing w:line="256" w:lineRule="auto"/>
              <w:jc w:val="center"/>
              <w:rPr>
                <w:rFonts w:eastAsia="Calibri"/>
                <w:spacing w:val="-3"/>
                <w:sz w:val="20"/>
                <w:szCs w:val="20"/>
                <w:highlight w:val="yellow"/>
              </w:rPr>
            </w:pPr>
            <w:r w:rsidRPr="00B075D6">
              <w:rPr>
                <w:rFonts w:eastAsia="Calibri"/>
                <w:spacing w:val="-3"/>
                <w:sz w:val="20"/>
                <w:szCs w:val="20"/>
              </w:rPr>
              <w:t>0.1</w:t>
            </w:r>
          </w:p>
        </w:tc>
        <w:tc>
          <w:tcPr>
            <w:tcW w:w="951" w:type="dxa"/>
            <w:shd w:val="clear" w:color="auto" w:fill="auto"/>
            <w:hideMark/>
          </w:tcPr>
          <w:p w14:paraId="3D1C4079"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w:t>
            </w:r>
          </w:p>
        </w:tc>
        <w:tc>
          <w:tcPr>
            <w:tcW w:w="825" w:type="dxa"/>
            <w:shd w:val="clear" w:color="auto" w:fill="auto"/>
            <w:hideMark/>
          </w:tcPr>
          <w:p w14:paraId="7FE224B7"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0.3</w:t>
            </w:r>
          </w:p>
        </w:tc>
        <w:tc>
          <w:tcPr>
            <w:tcW w:w="1259" w:type="dxa"/>
            <w:shd w:val="clear" w:color="auto" w:fill="D9D9D9"/>
          </w:tcPr>
          <w:p w14:paraId="21A77A9E"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0.1</w:t>
            </w:r>
          </w:p>
        </w:tc>
      </w:tr>
      <w:tr w:rsidR="002F39DE" w:rsidRPr="00B075D6" w14:paraId="3A4A457D" w14:textId="77777777" w:rsidTr="00250940">
        <w:trPr>
          <w:trHeight w:val="232"/>
          <w:jc w:val="center"/>
        </w:trPr>
        <w:tc>
          <w:tcPr>
            <w:tcW w:w="3303" w:type="dxa"/>
            <w:hideMark/>
          </w:tcPr>
          <w:p w14:paraId="75A907DF"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Joint Race (White/Minority)</w:t>
            </w:r>
          </w:p>
        </w:tc>
        <w:tc>
          <w:tcPr>
            <w:tcW w:w="823" w:type="dxa"/>
            <w:hideMark/>
          </w:tcPr>
          <w:p w14:paraId="709FEA5F"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3</w:t>
            </w:r>
          </w:p>
        </w:tc>
        <w:tc>
          <w:tcPr>
            <w:tcW w:w="975" w:type="dxa"/>
            <w:hideMark/>
          </w:tcPr>
          <w:p w14:paraId="41EF4229"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1.0</w:t>
            </w:r>
          </w:p>
        </w:tc>
        <w:tc>
          <w:tcPr>
            <w:tcW w:w="1219" w:type="dxa"/>
            <w:shd w:val="pct12" w:color="000000" w:fill="FFFFFF"/>
            <w:hideMark/>
          </w:tcPr>
          <w:p w14:paraId="12C9FE48" w14:textId="77777777" w:rsidR="002F39DE" w:rsidRPr="00B075D6" w:rsidRDefault="002F39DE" w:rsidP="008544CA">
            <w:pPr>
              <w:spacing w:line="256" w:lineRule="auto"/>
              <w:jc w:val="center"/>
              <w:rPr>
                <w:rFonts w:eastAsia="Calibri"/>
                <w:spacing w:val="-3"/>
                <w:sz w:val="20"/>
                <w:szCs w:val="20"/>
                <w:highlight w:val="yellow"/>
              </w:rPr>
            </w:pPr>
            <w:r>
              <w:rPr>
                <w:rFonts w:eastAsia="Calibri"/>
                <w:spacing w:val="-3"/>
                <w:sz w:val="20"/>
                <w:szCs w:val="20"/>
              </w:rPr>
              <w:t>1.3</w:t>
            </w:r>
          </w:p>
        </w:tc>
        <w:tc>
          <w:tcPr>
            <w:tcW w:w="951" w:type="dxa"/>
            <w:shd w:val="clear" w:color="auto" w:fill="auto"/>
            <w:hideMark/>
          </w:tcPr>
          <w:p w14:paraId="6A2CCC65"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10</w:t>
            </w:r>
          </w:p>
        </w:tc>
        <w:tc>
          <w:tcPr>
            <w:tcW w:w="825" w:type="dxa"/>
            <w:shd w:val="clear" w:color="auto" w:fill="auto"/>
            <w:hideMark/>
          </w:tcPr>
          <w:p w14:paraId="53AA4064"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2.7</w:t>
            </w:r>
          </w:p>
        </w:tc>
        <w:tc>
          <w:tcPr>
            <w:tcW w:w="1259" w:type="dxa"/>
            <w:shd w:val="clear" w:color="auto" w:fill="D9D9D9"/>
          </w:tcPr>
          <w:p w14:paraId="45752647"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1.3</w:t>
            </w:r>
          </w:p>
        </w:tc>
      </w:tr>
      <w:tr w:rsidR="002F39DE" w:rsidRPr="00B075D6" w14:paraId="622569E2" w14:textId="77777777" w:rsidTr="00250940">
        <w:trPr>
          <w:trHeight w:val="232"/>
          <w:jc w:val="center"/>
        </w:trPr>
        <w:tc>
          <w:tcPr>
            <w:tcW w:w="3303" w:type="dxa"/>
            <w:hideMark/>
          </w:tcPr>
          <w:p w14:paraId="4E58A221" w14:textId="05596CD9"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 xml:space="preserve">Total </w:t>
            </w:r>
            <w:r>
              <w:rPr>
                <w:rFonts w:eastAsia="Calibri"/>
                <w:b/>
                <w:spacing w:val="-3"/>
                <w:sz w:val="20"/>
                <w:szCs w:val="20"/>
              </w:rPr>
              <w:t xml:space="preserve">Racial </w:t>
            </w:r>
            <w:r w:rsidRPr="00B075D6">
              <w:rPr>
                <w:rFonts w:eastAsia="Calibri"/>
                <w:b/>
                <w:spacing w:val="-3"/>
                <w:sz w:val="20"/>
                <w:szCs w:val="20"/>
              </w:rPr>
              <w:t>Minority</w:t>
            </w:r>
          </w:p>
        </w:tc>
        <w:tc>
          <w:tcPr>
            <w:tcW w:w="823" w:type="dxa"/>
            <w:hideMark/>
          </w:tcPr>
          <w:p w14:paraId="39509E09" w14:textId="77777777" w:rsidR="002F39DE" w:rsidRPr="00B075D6" w:rsidRDefault="002F39DE" w:rsidP="008544CA">
            <w:pPr>
              <w:spacing w:line="256" w:lineRule="auto"/>
              <w:jc w:val="center"/>
              <w:rPr>
                <w:rFonts w:eastAsia="Calibri"/>
                <w:b/>
                <w:sz w:val="20"/>
                <w:szCs w:val="20"/>
              </w:rPr>
            </w:pPr>
            <w:r>
              <w:rPr>
                <w:rFonts w:eastAsia="Calibri"/>
                <w:b/>
                <w:sz w:val="20"/>
                <w:szCs w:val="20"/>
              </w:rPr>
              <w:t>20</w:t>
            </w:r>
          </w:p>
        </w:tc>
        <w:tc>
          <w:tcPr>
            <w:tcW w:w="975" w:type="dxa"/>
            <w:hideMark/>
          </w:tcPr>
          <w:p w14:paraId="64CB9523"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6.6</w:t>
            </w:r>
          </w:p>
        </w:tc>
        <w:tc>
          <w:tcPr>
            <w:tcW w:w="1219" w:type="dxa"/>
            <w:shd w:val="pct12" w:color="000000" w:fill="FFFFFF"/>
            <w:hideMark/>
          </w:tcPr>
          <w:p w14:paraId="71253FB2" w14:textId="77777777" w:rsidR="002F39DE" w:rsidRPr="00B075D6" w:rsidRDefault="002F39DE" w:rsidP="008544CA">
            <w:pPr>
              <w:spacing w:line="256" w:lineRule="auto"/>
              <w:jc w:val="center"/>
              <w:rPr>
                <w:rFonts w:eastAsia="Calibri"/>
                <w:b/>
                <w:spacing w:val="-3"/>
                <w:sz w:val="20"/>
                <w:szCs w:val="20"/>
                <w:highlight w:val="yellow"/>
              </w:rPr>
            </w:pPr>
            <w:r>
              <w:rPr>
                <w:rFonts w:eastAsia="Calibri"/>
                <w:b/>
                <w:spacing w:val="-3"/>
                <w:sz w:val="20"/>
                <w:szCs w:val="20"/>
              </w:rPr>
              <w:t>11.4</w:t>
            </w:r>
          </w:p>
        </w:tc>
        <w:tc>
          <w:tcPr>
            <w:tcW w:w="951" w:type="dxa"/>
            <w:shd w:val="clear" w:color="auto" w:fill="auto"/>
            <w:hideMark/>
          </w:tcPr>
          <w:p w14:paraId="3D0983A7"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30</w:t>
            </w:r>
          </w:p>
        </w:tc>
        <w:tc>
          <w:tcPr>
            <w:tcW w:w="825" w:type="dxa"/>
            <w:shd w:val="clear" w:color="auto" w:fill="auto"/>
            <w:hideMark/>
          </w:tcPr>
          <w:p w14:paraId="310C7E67"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8.2</w:t>
            </w:r>
          </w:p>
        </w:tc>
        <w:tc>
          <w:tcPr>
            <w:tcW w:w="1259" w:type="dxa"/>
            <w:shd w:val="clear" w:color="auto" w:fill="D9D9D9"/>
          </w:tcPr>
          <w:p w14:paraId="4759FC00"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12.2</w:t>
            </w:r>
          </w:p>
        </w:tc>
      </w:tr>
      <w:tr w:rsidR="002F39DE" w:rsidRPr="00B075D6" w14:paraId="58CE2CAC" w14:textId="77777777" w:rsidTr="00250940">
        <w:trPr>
          <w:trHeight w:val="232"/>
          <w:jc w:val="center"/>
        </w:trPr>
        <w:tc>
          <w:tcPr>
            <w:tcW w:w="3303" w:type="dxa"/>
            <w:hideMark/>
          </w:tcPr>
          <w:p w14:paraId="505BF3CB"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White</w:t>
            </w:r>
          </w:p>
        </w:tc>
        <w:tc>
          <w:tcPr>
            <w:tcW w:w="823" w:type="dxa"/>
            <w:hideMark/>
          </w:tcPr>
          <w:p w14:paraId="72A493C7"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250</w:t>
            </w:r>
          </w:p>
        </w:tc>
        <w:tc>
          <w:tcPr>
            <w:tcW w:w="975" w:type="dxa"/>
            <w:hideMark/>
          </w:tcPr>
          <w:p w14:paraId="2EC61BC0"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83.1</w:t>
            </w:r>
          </w:p>
        </w:tc>
        <w:tc>
          <w:tcPr>
            <w:tcW w:w="1219" w:type="dxa"/>
            <w:shd w:val="pct12" w:color="000000" w:fill="FFFFFF"/>
            <w:hideMark/>
          </w:tcPr>
          <w:p w14:paraId="0123624E"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67.7</w:t>
            </w:r>
          </w:p>
        </w:tc>
        <w:tc>
          <w:tcPr>
            <w:tcW w:w="951" w:type="dxa"/>
            <w:shd w:val="clear" w:color="auto" w:fill="auto"/>
            <w:hideMark/>
          </w:tcPr>
          <w:p w14:paraId="457EFDBD"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297</w:t>
            </w:r>
          </w:p>
        </w:tc>
        <w:tc>
          <w:tcPr>
            <w:tcW w:w="825" w:type="dxa"/>
            <w:shd w:val="clear" w:color="auto" w:fill="auto"/>
            <w:hideMark/>
          </w:tcPr>
          <w:p w14:paraId="33D9065E"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79.5</w:t>
            </w:r>
          </w:p>
        </w:tc>
        <w:tc>
          <w:tcPr>
            <w:tcW w:w="1259" w:type="dxa"/>
            <w:shd w:val="clear" w:color="auto" w:fill="D9D9D9"/>
          </w:tcPr>
          <w:p w14:paraId="27D606C3"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65.5</w:t>
            </w:r>
          </w:p>
        </w:tc>
      </w:tr>
      <w:tr w:rsidR="002F39DE" w:rsidRPr="00B075D6" w14:paraId="67E8C6CB" w14:textId="77777777" w:rsidTr="00250940">
        <w:trPr>
          <w:trHeight w:val="232"/>
          <w:jc w:val="center"/>
        </w:trPr>
        <w:tc>
          <w:tcPr>
            <w:tcW w:w="3303" w:type="dxa"/>
            <w:hideMark/>
          </w:tcPr>
          <w:p w14:paraId="7894A769"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Race Not Available</w:t>
            </w:r>
          </w:p>
        </w:tc>
        <w:tc>
          <w:tcPr>
            <w:tcW w:w="823" w:type="dxa"/>
            <w:hideMark/>
          </w:tcPr>
          <w:p w14:paraId="79E75AAE"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31</w:t>
            </w:r>
          </w:p>
        </w:tc>
        <w:tc>
          <w:tcPr>
            <w:tcW w:w="975" w:type="dxa"/>
            <w:hideMark/>
          </w:tcPr>
          <w:p w14:paraId="3B8EC903"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10.3</w:t>
            </w:r>
          </w:p>
        </w:tc>
        <w:tc>
          <w:tcPr>
            <w:tcW w:w="1219" w:type="dxa"/>
            <w:shd w:val="pct12" w:color="000000" w:fill="FFFFFF"/>
            <w:hideMark/>
          </w:tcPr>
          <w:p w14:paraId="6FC23F0B"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20.9</w:t>
            </w:r>
          </w:p>
        </w:tc>
        <w:tc>
          <w:tcPr>
            <w:tcW w:w="951" w:type="dxa"/>
            <w:shd w:val="clear" w:color="auto" w:fill="auto"/>
            <w:hideMark/>
          </w:tcPr>
          <w:p w14:paraId="09F989BA"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46</w:t>
            </w:r>
          </w:p>
        </w:tc>
        <w:tc>
          <w:tcPr>
            <w:tcW w:w="825" w:type="dxa"/>
            <w:shd w:val="clear" w:color="auto" w:fill="auto"/>
            <w:hideMark/>
          </w:tcPr>
          <w:p w14:paraId="45255A72"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12.3</w:t>
            </w:r>
          </w:p>
        </w:tc>
        <w:tc>
          <w:tcPr>
            <w:tcW w:w="1259" w:type="dxa"/>
            <w:shd w:val="clear" w:color="auto" w:fill="D9D9D9"/>
          </w:tcPr>
          <w:p w14:paraId="450B91E5"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22.3</w:t>
            </w:r>
          </w:p>
        </w:tc>
      </w:tr>
      <w:tr w:rsidR="002F39DE" w:rsidRPr="00B075D6" w14:paraId="6D12EBF4" w14:textId="77777777" w:rsidTr="00250940">
        <w:trPr>
          <w:trHeight w:val="232"/>
          <w:jc w:val="center"/>
        </w:trPr>
        <w:tc>
          <w:tcPr>
            <w:tcW w:w="3303" w:type="dxa"/>
            <w:hideMark/>
          </w:tcPr>
          <w:p w14:paraId="681F5A52"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Total</w:t>
            </w:r>
          </w:p>
        </w:tc>
        <w:tc>
          <w:tcPr>
            <w:tcW w:w="823" w:type="dxa"/>
            <w:hideMark/>
          </w:tcPr>
          <w:p w14:paraId="15D8F04E"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301</w:t>
            </w:r>
          </w:p>
        </w:tc>
        <w:tc>
          <w:tcPr>
            <w:tcW w:w="975" w:type="dxa"/>
            <w:hideMark/>
          </w:tcPr>
          <w:p w14:paraId="3E87A51F"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100.0</w:t>
            </w:r>
          </w:p>
        </w:tc>
        <w:tc>
          <w:tcPr>
            <w:tcW w:w="1219" w:type="dxa"/>
            <w:shd w:val="pct12" w:color="000000" w:fill="FFFFFF"/>
            <w:hideMark/>
          </w:tcPr>
          <w:p w14:paraId="74D6665B"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100.0</w:t>
            </w:r>
          </w:p>
        </w:tc>
        <w:tc>
          <w:tcPr>
            <w:tcW w:w="951" w:type="dxa"/>
            <w:shd w:val="clear" w:color="auto" w:fill="auto"/>
            <w:hideMark/>
          </w:tcPr>
          <w:p w14:paraId="6021B7EE"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373</w:t>
            </w:r>
          </w:p>
        </w:tc>
        <w:tc>
          <w:tcPr>
            <w:tcW w:w="825" w:type="dxa"/>
            <w:shd w:val="clear" w:color="auto" w:fill="auto"/>
            <w:hideMark/>
          </w:tcPr>
          <w:p w14:paraId="0899FD81"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100.0</w:t>
            </w:r>
          </w:p>
        </w:tc>
        <w:tc>
          <w:tcPr>
            <w:tcW w:w="1259" w:type="dxa"/>
            <w:shd w:val="clear" w:color="auto" w:fill="D9D9D9"/>
          </w:tcPr>
          <w:p w14:paraId="169F01C0"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100.0</w:t>
            </w:r>
          </w:p>
        </w:tc>
      </w:tr>
      <w:tr w:rsidR="002F39DE" w:rsidRPr="00B075D6" w14:paraId="050AC046" w14:textId="77777777" w:rsidTr="00250940">
        <w:trPr>
          <w:trHeight w:val="232"/>
          <w:jc w:val="center"/>
        </w:trPr>
        <w:tc>
          <w:tcPr>
            <w:tcW w:w="3303" w:type="dxa"/>
            <w:hideMark/>
          </w:tcPr>
          <w:p w14:paraId="09F2DB3E" w14:textId="77777777" w:rsidR="002F39DE" w:rsidRPr="00B075D6" w:rsidRDefault="002F39DE" w:rsidP="008544CA">
            <w:pPr>
              <w:spacing w:line="256" w:lineRule="auto"/>
              <w:jc w:val="center"/>
              <w:rPr>
                <w:rFonts w:eastAsia="Calibri"/>
                <w:b/>
                <w:spacing w:val="-3"/>
                <w:sz w:val="20"/>
                <w:szCs w:val="20"/>
              </w:rPr>
            </w:pPr>
            <w:r w:rsidRPr="00B075D6">
              <w:rPr>
                <w:rFonts w:eastAsia="Calibri"/>
                <w:b/>
                <w:spacing w:val="-3"/>
                <w:sz w:val="20"/>
                <w:szCs w:val="20"/>
              </w:rPr>
              <w:t>ETHNICITY</w:t>
            </w:r>
          </w:p>
        </w:tc>
        <w:tc>
          <w:tcPr>
            <w:tcW w:w="823" w:type="dxa"/>
          </w:tcPr>
          <w:p w14:paraId="44D186B5" w14:textId="77777777" w:rsidR="002F39DE" w:rsidRPr="00B075D6" w:rsidRDefault="002F39DE" w:rsidP="008544CA">
            <w:pPr>
              <w:spacing w:line="256" w:lineRule="auto"/>
              <w:jc w:val="center"/>
              <w:rPr>
                <w:rFonts w:eastAsia="Calibri"/>
                <w:b/>
                <w:spacing w:val="-3"/>
                <w:sz w:val="20"/>
                <w:szCs w:val="20"/>
              </w:rPr>
            </w:pPr>
          </w:p>
        </w:tc>
        <w:tc>
          <w:tcPr>
            <w:tcW w:w="975" w:type="dxa"/>
          </w:tcPr>
          <w:p w14:paraId="35299589" w14:textId="77777777" w:rsidR="002F39DE" w:rsidRPr="00B075D6" w:rsidRDefault="002F39DE" w:rsidP="008544CA">
            <w:pPr>
              <w:spacing w:line="256" w:lineRule="auto"/>
              <w:jc w:val="center"/>
              <w:rPr>
                <w:rFonts w:eastAsia="Calibri"/>
                <w:b/>
                <w:spacing w:val="-3"/>
                <w:sz w:val="20"/>
                <w:szCs w:val="20"/>
              </w:rPr>
            </w:pPr>
          </w:p>
        </w:tc>
        <w:tc>
          <w:tcPr>
            <w:tcW w:w="1219" w:type="dxa"/>
            <w:shd w:val="pct12" w:color="000000" w:fill="FFFFFF"/>
          </w:tcPr>
          <w:p w14:paraId="175A8310" w14:textId="77777777" w:rsidR="002F39DE" w:rsidRPr="00B075D6" w:rsidRDefault="002F39DE" w:rsidP="008544CA">
            <w:pPr>
              <w:spacing w:line="256" w:lineRule="auto"/>
              <w:jc w:val="center"/>
              <w:rPr>
                <w:rFonts w:eastAsia="Calibri"/>
                <w:b/>
                <w:color w:val="FF0000"/>
                <w:spacing w:val="-3"/>
                <w:sz w:val="20"/>
                <w:szCs w:val="20"/>
              </w:rPr>
            </w:pPr>
          </w:p>
        </w:tc>
        <w:tc>
          <w:tcPr>
            <w:tcW w:w="951" w:type="dxa"/>
          </w:tcPr>
          <w:p w14:paraId="0662AB92" w14:textId="77777777" w:rsidR="002F39DE" w:rsidRPr="00B075D6" w:rsidRDefault="002F39DE" w:rsidP="008544CA">
            <w:pPr>
              <w:spacing w:line="256" w:lineRule="auto"/>
              <w:jc w:val="center"/>
              <w:rPr>
                <w:rFonts w:eastAsia="Calibri"/>
                <w:b/>
                <w:spacing w:val="-3"/>
                <w:sz w:val="20"/>
                <w:szCs w:val="20"/>
              </w:rPr>
            </w:pPr>
          </w:p>
        </w:tc>
        <w:tc>
          <w:tcPr>
            <w:tcW w:w="825" w:type="dxa"/>
          </w:tcPr>
          <w:p w14:paraId="125CC0B5" w14:textId="77777777" w:rsidR="002F39DE" w:rsidRPr="00B075D6" w:rsidRDefault="002F39DE" w:rsidP="008544CA">
            <w:pPr>
              <w:spacing w:line="256" w:lineRule="auto"/>
              <w:jc w:val="center"/>
              <w:rPr>
                <w:rFonts w:eastAsia="Calibri"/>
                <w:b/>
                <w:spacing w:val="-3"/>
                <w:sz w:val="20"/>
                <w:szCs w:val="20"/>
              </w:rPr>
            </w:pPr>
          </w:p>
        </w:tc>
        <w:tc>
          <w:tcPr>
            <w:tcW w:w="1259" w:type="dxa"/>
            <w:shd w:val="clear" w:color="auto" w:fill="D9D9D9"/>
          </w:tcPr>
          <w:p w14:paraId="0B5989DE" w14:textId="77777777" w:rsidR="002F39DE" w:rsidRPr="00B075D6" w:rsidRDefault="002F39DE" w:rsidP="008544CA">
            <w:pPr>
              <w:spacing w:line="256" w:lineRule="auto"/>
              <w:jc w:val="center"/>
              <w:rPr>
                <w:rFonts w:eastAsia="Calibri"/>
                <w:b/>
                <w:spacing w:val="-3"/>
                <w:sz w:val="20"/>
                <w:szCs w:val="20"/>
              </w:rPr>
            </w:pPr>
          </w:p>
        </w:tc>
      </w:tr>
      <w:tr w:rsidR="002F39DE" w:rsidRPr="00B075D6" w14:paraId="48BF48EE" w14:textId="77777777" w:rsidTr="00250940">
        <w:trPr>
          <w:trHeight w:val="232"/>
          <w:jc w:val="center"/>
        </w:trPr>
        <w:tc>
          <w:tcPr>
            <w:tcW w:w="3303" w:type="dxa"/>
            <w:hideMark/>
          </w:tcPr>
          <w:p w14:paraId="087F00DE"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Hispanic or Latino</w:t>
            </w:r>
          </w:p>
        </w:tc>
        <w:tc>
          <w:tcPr>
            <w:tcW w:w="823" w:type="dxa"/>
            <w:hideMark/>
          </w:tcPr>
          <w:p w14:paraId="0B510A69"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23</w:t>
            </w:r>
          </w:p>
        </w:tc>
        <w:tc>
          <w:tcPr>
            <w:tcW w:w="975" w:type="dxa"/>
            <w:hideMark/>
          </w:tcPr>
          <w:p w14:paraId="3F0915BE"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7.6</w:t>
            </w:r>
          </w:p>
        </w:tc>
        <w:tc>
          <w:tcPr>
            <w:tcW w:w="1219" w:type="dxa"/>
            <w:shd w:val="pct12" w:color="000000" w:fill="FFFFFF"/>
            <w:hideMark/>
          </w:tcPr>
          <w:p w14:paraId="5A93EB52"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7.3</w:t>
            </w:r>
          </w:p>
        </w:tc>
        <w:tc>
          <w:tcPr>
            <w:tcW w:w="951" w:type="dxa"/>
            <w:hideMark/>
          </w:tcPr>
          <w:p w14:paraId="77B785B2"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22</w:t>
            </w:r>
          </w:p>
        </w:tc>
        <w:tc>
          <w:tcPr>
            <w:tcW w:w="825" w:type="dxa"/>
            <w:hideMark/>
          </w:tcPr>
          <w:p w14:paraId="569106DB"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5.9</w:t>
            </w:r>
          </w:p>
        </w:tc>
        <w:tc>
          <w:tcPr>
            <w:tcW w:w="1259" w:type="dxa"/>
            <w:shd w:val="clear" w:color="auto" w:fill="D9D9D9"/>
          </w:tcPr>
          <w:p w14:paraId="14C0EFE1"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7.9</w:t>
            </w:r>
          </w:p>
        </w:tc>
      </w:tr>
      <w:tr w:rsidR="002F39DE" w:rsidRPr="00B075D6" w14:paraId="066170CA" w14:textId="77777777" w:rsidTr="00250940">
        <w:trPr>
          <w:trHeight w:val="232"/>
          <w:jc w:val="center"/>
        </w:trPr>
        <w:tc>
          <w:tcPr>
            <w:tcW w:w="3303" w:type="dxa"/>
            <w:hideMark/>
          </w:tcPr>
          <w:p w14:paraId="5CD49583" w14:textId="77777777" w:rsidR="002F39DE" w:rsidRPr="00B075D6" w:rsidRDefault="002F39DE" w:rsidP="008544CA">
            <w:pPr>
              <w:spacing w:line="256" w:lineRule="auto"/>
              <w:rPr>
                <w:rFonts w:eastAsia="Calibri"/>
                <w:spacing w:val="-3"/>
                <w:sz w:val="20"/>
                <w:szCs w:val="20"/>
              </w:rPr>
            </w:pPr>
            <w:r w:rsidRPr="00B075D6">
              <w:rPr>
                <w:rFonts w:eastAsia="Calibri"/>
                <w:spacing w:val="-3"/>
                <w:sz w:val="20"/>
                <w:szCs w:val="20"/>
              </w:rPr>
              <w:t>Joint (</w:t>
            </w:r>
            <w:proofErr w:type="spellStart"/>
            <w:r w:rsidRPr="00B075D6">
              <w:rPr>
                <w:rFonts w:eastAsia="Calibri"/>
                <w:spacing w:val="-3"/>
                <w:sz w:val="20"/>
                <w:szCs w:val="20"/>
              </w:rPr>
              <w:t>Hisp</w:t>
            </w:r>
            <w:proofErr w:type="spellEnd"/>
            <w:r w:rsidRPr="00B075D6">
              <w:rPr>
                <w:rFonts w:eastAsia="Calibri"/>
                <w:spacing w:val="-3"/>
                <w:sz w:val="20"/>
                <w:szCs w:val="20"/>
              </w:rPr>
              <w:t>/</w:t>
            </w:r>
            <w:proofErr w:type="spellStart"/>
            <w:r w:rsidRPr="00B075D6">
              <w:rPr>
                <w:rFonts w:eastAsia="Calibri"/>
                <w:spacing w:val="-3"/>
                <w:sz w:val="20"/>
                <w:szCs w:val="20"/>
              </w:rPr>
              <w:t>Lat</w:t>
            </w:r>
            <w:proofErr w:type="spellEnd"/>
            <w:r w:rsidRPr="00B075D6">
              <w:rPr>
                <w:rFonts w:eastAsia="Calibri"/>
                <w:spacing w:val="-3"/>
                <w:sz w:val="20"/>
                <w:szCs w:val="20"/>
              </w:rPr>
              <w:t xml:space="preserve"> /Not </w:t>
            </w:r>
            <w:proofErr w:type="spellStart"/>
            <w:r w:rsidRPr="00B075D6">
              <w:rPr>
                <w:rFonts w:eastAsia="Calibri"/>
                <w:spacing w:val="-3"/>
                <w:sz w:val="20"/>
                <w:szCs w:val="20"/>
              </w:rPr>
              <w:t>Hisp</w:t>
            </w:r>
            <w:proofErr w:type="spellEnd"/>
            <w:r w:rsidRPr="00B075D6">
              <w:rPr>
                <w:rFonts w:eastAsia="Calibri"/>
                <w:spacing w:val="-3"/>
                <w:sz w:val="20"/>
                <w:szCs w:val="20"/>
              </w:rPr>
              <w:t>/</w:t>
            </w:r>
            <w:proofErr w:type="spellStart"/>
            <w:r w:rsidRPr="00B075D6">
              <w:rPr>
                <w:rFonts w:eastAsia="Calibri"/>
                <w:spacing w:val="-3"/>
                <w:sz w:val="20"/>
                <w:szCs w:val="20"/>
              </w:rPr>
              <w:t>Lat</w:t>
            </w:r>
            <w:proofErr w:type="spellEnd"/>
            <w:r w:rsidRPr="00B075D6">
              <w:rPr>
                <w:rFonts w:eastAsia="Calibri"/>
                <w:spacing w:val="-3"/>
                <w:sz w:val="20"/>
                <w:szCs w:val="20"/>
              </w:rPr>
              <w:t>)</w:t>
            </w:r>
          </w:p>
        </w:tc>
        <w:tc>
          <w:tcPr>
            <w:tcW w:w="823" w:type="dxa"/>
            <w:hideMark/>
          </w:tcPr>
          <w:p w14:paraId="6278BC59"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4</w:t>
            </w:r>
          </w:p>
        </w:tc>
        <w:tc>
          <w:tcPr>
            <w:tcW w:w="975" w:type="dxa"/>
            <w:hideMark/>
          </w:tcPr>
          <w:p w14:paraId="4CDE828A"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1.3</w:t>
            </w:r>
          </w:p>
        </w:tc>
        <w:tc>
          <w:tcPr>
            <w:tcW w:w="1219" w:type="dxa"/>
            <w:shd w:val="pct12" w:color="000000" w:fill="FFFFFF"/>
            <w:hideMark/>
          </w:tcPr>
          <w:p w14:paraId="0F42CAAB"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1.2</w:t>
            </w:r>
          </w:p>
        </w:tc>
        <w:tc>
          <w:tcPr>
            <w:tcW w:w="951" w:type="dxa"/>
            <w:hideMark/>
          </w:tcPr>
          <w:p w14:paraId="1065B021" w14:textId="77777777" w:rsidR="002F39DE" w:rsidRPr="00B075D6" w:rsidRDefault="002F39DE" w:rsidP="008544CA">
            <w:pPr>
              <w:spacing w:line="256" w:lineRule="auto"/>
              <w:jc w:val="center"/>
              <w:rPr>
                <w:rFonts w:eastAsia="Calibri"/>
                <w:spacing w:val="-3"/>
                <w:sz w:val="20"/>
                <w:szCs w:val="20"/>
              </w:rPr>
            </w:pPr>
            <w:r>
              <w:rPr>
                <w:rFonts w:eastAsia="Calibri"/>
                <w:spacing w:val="-3"/>
                <w:sz w:val="20"/>
                <w:szCs w:val="20"/>
              </w:rPr>
              <w:t>6</w:t>
            </w:r>
          </w:p>
        </w:tc>
        <w:tc>
          <w:tcPr>
            <w:tcW w:w="825" w:type="dxa"/>
            <w:hideMark/>
          </w:tcPr>
          <w:p w14:paraId="2822A9B2"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1.6</w:t>
            </w:r>
          </w:p>
        </w:tc>
        <w:tc>
          <w:tcPr>
            <w:tcW w:w="1259" w:type="dxa"/>
            <w:shd w:val="clear" w:color="auto" w:fill="D9D9D9"/>
          </w:tcPr>
          <w:p w14:paraId="54D4E4FC" w14:textId="77777777" w:rsidR="002F39DE" w:rsidRPr="00B075D6" w:rsidRDefault="002F39DE" w:rsidP="008544CA">
            <w:pPr>
              <w:spacing w:line="256" w:lineRule="auto"/>
              <w:jc w:val="center"/>
              <w:rPr>
                <w:rFonts w:eastAsia="Calibri"/>
                <w:b/>
                <w:spacing w:val="-3"/>
                <w:sz w:val="20"/>
                <w:szCs w:val="20"/>
              </w:rPr>
            </w:pPr>
            <w:r>
              <w:rPr>
                <w:rFonts w:eastAsia="Calibri"/>
                <w:b/>
                <w:spacing w:val="-3"/>
                <w:sz w:val="20"/>
                <w:szCs w:val="20"/>
              </w:rPr>
              <w:t>1.3</w:t>
            </w:r>
          </w:p>
        </w:tc>
      </w:tr>
      <w:tr w:rsidR="002F39DE" w:rsidRPr="00B075D6" w14:paraId="42EBB622" w14:textId="77777777" w:rsidTr="00250940">
        <w:trPr>
          <w:trHeight w:val="232"/>
          <w:jc w:val="center"/>
        </w:trPr>
        <w:tc>
          <w:tcPr>
            <w:tcW w:w="3303" w:type="dxa"/>
          </w:tcPr>
          <w:p w14:paraId="02B5CF6C" w14:textId="1FB3E50B" w:rsidR="002F39DE" w:rsidRPr="002F39DE" w:rsidRDefault="002F39DE" w:rsidP="002F39DE">
            <w:pPr>
              <w:spacing w:line="256" w:lineRule="auto"/>
              <w:jc w:val="center"/>
              <w:rPr>
                <w:rFonts w:eastAsia="Calibri"/>
                <w:b/>
                <w:spacing w:val="-3"/>
                <w:sz w:val="20"/>
                <w:szCs w:val="20"/>
              </w:rPr>
            </w:pPr>
            <w:r w:rsidRPr="002F39DE">
              <w:rPr>
                <w:rFonts w:eastAsia="Calibri"/>
                <w:b/>
                <w:spacing w:val="-3"/>
                <w:sz w:val="20"/>
                <w:szCs w:val="20"/>
              </w:rPr>
              <w:t>Total Ethnic Minority</w:t>
            </w:r>
          </w:p>
        </w:tc>
        <w:tc>
          <w:tcPr>
            <w:tcW w:w="823" w:type="dxa"/>
          </w:tcPr>
          <w:p w14:paraId="13E30A79" w14:textId="1AC85C71" w:rsidR="002F39DE" w:rsidRPr="002F39DE" w:rsidRDefault="002F39DE" w:rsidP="008544CA">
            <w:pPr>
              <w:spacing w:line="256" w:lineRule="auto"/>
              <w:jc w:val="center"/>
              <w:rPr>
                <w:rFonts w:eastAsia="Calibri"/>
                <w:b/>
                <w:spacing w:val="-3"/>
                <w:sz w:val="20"/>
                <w:szCs w:val="20"/>
              </w:rPr>
            </w:pPr>
            <w:r w:rsidRPr="002F39DE">
              <w:rPr>
                <w:rFonts w:eastAsia="Calibri"/>
                <w:b/>
                <w:spacing w:val="-3"/>
                <w:sz w:val="20"/>
                <w:szCs w:val="20"/>
              </w:rPr>
              <w:t>27</w:t>
            </w:r>
          </w:p>
        </w:tc>
        <w:tc>
          <w:tcPr>
            <w:tcW w:w="975" w:type="dxa"/>
          </w:tcPr>
          <w:p w14:paraId="08158C32" w14:textId="0611F853" w:rsidR="002F39DE" w:rsidRPr="002F39DE" w:rsidRDefault="002F39DE" w:rsidP="008544CA">
            <w:pPr>
              <w:spacing w:line="256" w:lineRule="auto"/>
              <w:jc w:val="center"/>
              <w:rPr>
                <w:rFonts w:eastAsia="Calibri"/>
                <w:b/>
                <w:spacing w:val="-3"/>
                <w:sz w:val="20"/>
                <w:szCs w:val="20"/>
              </w:rPr>
            </w:pPr>
            <w:r w:rsidRPr="002F39DE">
              <w:rPr>
                <w:rFonts w:eastAsia="Calibri"/>
                <w:b/>
                <w:spacing w:val="-3"/>
                <w:sz w:val="20"/>
                <w:szCs w:val="20"/>
              </w:rPr>
              <w:t>8.9</w:t>
            </w:r>
          </w:p>
        </w:tc>
        <w:tc>
          <w:tcPr>
            <w:tcW w:w="1219" w:type="dxa"/>
            <w:shd w:val="pct12" w:color="000000" w:fill="FFFFFF"/>
          </w:tcPr>
          <w:p w14:paraId="3DB0022D" w14:textId="210F4ABA" w:rsidR="002F39DE" w:rsidRPr="002F39DE" w:rsidRDefault="002F39DE" w:rsidP="008544CA">
            <w:pPr>
              <w:spacing w:line="256" w:lineRule="auto"/>
              <w:jc w:val="center"/>
              <w:rPr>
                <w:rFonts w:eastAsia="Calibri"/>
                <w:b/>
                <w:spacing w:val="-3"/>
                <w:sz w:val="20"/>
                <w:szCs w:val="20"/>
              </w:rPr>
            </w:pPr>
            <w:r w:rsidRPr="002F39DE">
              <w:rPr>
                <w:rFonts w:eastAsia="Calibri"/>
                <w:b/>
                <w:spacing w:val="-3"/>
                <w:sz w:val="20"/>
                <w:szCs w:val="20"/>
              </w:rPr>
              <w:t>8.5</w:t>
            </w:r>
          </w:p>
        </w:tc>
        <w:tc>
          <w:tcPr>
            <w:tcW w:w="951" w:type="dxa"/>
          </w:tcPr>
          <w:p w14:paraId="2450520A" w14:textId="188F1730" w:rsidR="002F39DE" w:rsidRPr="002F39DE" w:rsidRDefault="002F39DE" w:rsidP="008544CA">
            <w:pPr>
              <w:spacing w:line="256" w:lineRule="auto"/>
              <w:jc w:val="center"/>
              <w:rPr>
                <w:rFonts w:eastAsia="Calibri"/>
                <w:b/>
                <w:spacing w:val="-3"/>
                <w:sz w:val="20"/>
                <w:szCs w:val="20"/>
              </w:rPr>
            </w:pPr>
            <w:r w:rsidRPr="002F39DE">
              <w:rPr>
                <w:rFonts w:eastAsia="Calibri"/>
                <w:b/>
                <w:spacing w:val="-3"/>
                <w:sz w:val="20"/>
                <w:szCs w:val="20"/>
              </w:rPr>
              <w:t>28</w:t>
            </w:r>
          </w:p>
        </w:tc>
        <w:tc>
          <w:tcPr>
            <w:tcW w:w="825" w:type="dxa"/>
          </w:tcPr>
          <w:p w14:paraId="38680D5E" w14:textId="3F5DE158" w:rsidR="002F39DE" w:rsidRPr="002F39DE" w:rsidRDefault="002F39DE" w:rsidP="008544CA">
            <w:pPr>
              <w:spacing w:line="256" w:lineRule="auto"/>
              <w:jc w:val="center"/>
              <w:rPr>
                <w:rFonts w:eastAsia="Calibri"/>
                <w:b/>
                <w:spacing w:val="-3"/>
                <w:sz w:val="20"/>
                <w:szCs w:val="20"/>
              </w:rPr>
            </w:pPr>
            <w:r w:rsidRPr="002F39DE">
              <w:rPr>
                <w:rFonts w:eastAsia="Calibri"/>
                <w:b/>
                <w:spacing w:val="-3"/>
                <w:sz w:val="20"/>
                <w:szCs w:val="20"/>
              </w:rPr>
              <w:t>7.5</w:t>
            </w:r>
          </w:p>
        </w:tc>
        <w:tc>
          <w:tcPr>
            <w:tcW w:w="1259" w:type="dxa"/>
            <w:shd w:val="clear" w:color="auto" w:fill="D9D9D9"/>
          </w:tcPr>
          <w:p w14:paraId="0AD5B0C9" w14:textId="7617300F" w:rsidR="002F39DE" w:rsidRPr="002F39DE" w:rsidRDefault="002F39DE" w:rsidP="008544CA">
            <w:pPr>
              <w:spacing w:line="256" w:lineRule="auto"/>
              <w:jc w:val="center"/>
              <w:rPr>
                <w:rFonts w:eastAsia="Calibri"/>
                <w:b/>
                <w:spacing w:val="-3"/>
                <w:sz w:val="20"/>
                <w:szCs w:val="20"/>
              </w:rPr>
            </w:pPr>
            <w:r w:rsidRPr="002F39DE">
              <w:rPr>
                <w:rFonts w:eastAsia="Calibri"/>
                <w:b/>
                <w:spacing w:val="-3"/>
                <w:sz w:val="20"/>
                <w:szCs w:val="20"/>
              </w:rPr>
              <w:t>9.2</w:t>
            </w:r>
          </w:p>
        </w:tc>
      </w:tr>
      <w:tr w:rsidR="002F39DE" w:rsidRPr="00B075D6" w14:paraId="473E791B" w14:textId="77777777" w:rsidTr="00250940">
        <w:trPr>
          <w:trHeight w:val="232"/>
          <w:jc w:val="center"/>
        </w:trPr>
        <w:tc>
          <w:tcPr>
            <w:tcW w:w="3303" w:type="dxa"/>
          </w:tcPr>
          <w:p w14:paraId="11341E0D" w14:textId="04252316" w:rsidR="002F39DE" w:rsidRPr="00B075D6" w:rsidRDefault="002F39DE" w:rsidP="002F39DE">
            <w:pPr>
              <w:spacing w:line="256" w:lineRule="auto"/>
              <w:rPr>
                <w:rFonts w:eastAsia="Calibri"/>
                <w:spacing w:val="-3"/>
                <w:sz w:val="20"/>
                <w:szCs w:val="20"/>
              </w:rPr>
            </w:pPr>
            <w:r w:rsidRPr="00B075D6">
              <w:rPr>
                <w:rFonts w:eastAsia="Calibri"/>
                <w:spacing w:val="-3"/>
                <w:sz w:val="20"/>
                <w:szCs w:val="20"/>
              </w:rPr>
              <w:t>Not Hispanic or Latino</w:t>
            </w:r>
          </w:p>
        </w:tc>
        <w:tc>
          <w:tcPr>
            <w:tcW w:w="823" w:type="dxa"/>
          </w:tcPr>
          <w:p w14:paraId="1771842F" w14:textId="1FBFAFF4" w:rsidR="002F39DE" w:rsidRDefault="002F39DE" w:rsidP="002F39DE">
            <w:pPr>
              <w:spacing w:line="256" w:lineRule="auto"/>
              <w:jc w:val="center"/>
              <w:rPr>
                <w:rFonts w:eastAsia="Calibri"/>
                <w:b/>
                <w:spacing w:val="-3"/>
                <w:sz w:val="20"/>
                <w:szCs w:val="20"/>
              </w:rPr>
            </w:pPr>
            <w:r>
              <w:rPr>
                <w:rFonts w:eastAsia="Calibri"/>
                <w:spacing w:val="-3"/>
                <w:sz w:val="20"/>
                <w:szCs w:val="20"/>
              </w:rPr>
              <w:t>237</w:t>
            </w:r>
          </w:p>
        </w:tc>
        <w:tc>
          <w:tcPr>
            <w:tcW w:w="975" w:type="dxa"/>
          </w:tcPr>
          <w:p w14:paraId="78E8C009" w14:textId="17CDD685" w:rsidR="002F39DE" w:rsidRDefault="002F39DE" w:rsidP="002F39DE">
            <w:pPr>
              <w:spacing w:line="256" w:lineRule="auto"/>
              <w:jc w:val="center"/>
              <w:rPr>
                <w:rFonts w:eastAsia="Calibri"/>
                <w:b/>
                <w:spacing w:val="-3"/>
                <w:sz w:val="20"/>
                <w:szCs w:val="20"/>
              </w:rPr>
            </w:pPr>
            <w:r>
              <w:rPr>
                <w:rFonts w:eastAsia="Calibri"/>
                <w:spacing w:val="-3"/>
                <w:sz w:val="20"/>
                <w:szCs w:val="20"/>
              </w:rPr>
              <w:t>78.8</w:t>
            </w:r>
          </w:p>
        </w:tc>
        <w:tc>
          <w:tcPr>
            <w:tcW w:w="1219" w:type="dxa"/>
            <w:shd w:val="pct12" w:color="000000" w:fill="FFFFFF"/>
          </w:tcPr>
          <w:p w14:paraId="141C059E" w14:textId="4EAB6C9B" w:rsidR="002F39DE" w:rsidRDefault="002F39DE" w:rsidP="002F39DE">
            <w:pPr>
              <w:spacing w:line="256" w:lineRule="auto"/>
              <w:jc w:val="center"/>
              <w:rPr>
                <w:rFonts w:eastAsia="Calibri"/>
                <w:b/>
                <w:spacing w:val="-3"/>
                <w:sz w:val="20"/>
                <w:szCs w:val="20"/>
              </w:rPr>
            </w:pPr>
            <w:r>
              <w:rPr>
                <w:rFonts w:eastAsia="Calibri"/>
                <w:spacing w:val="-3"/>
                <w:sz w:val="20"/>
                <w:szCs w:val="20"/>
              </w:rPr>
              <w:t>70.0</w:t>
            </w:r>
          </w:p>
        </w:tc>
        <w:tc>
          <w:tcPr>
            <w:tcW w:w="951" w:type="dxa"/>
          </w:tcPr>
          <w:p w14:paraId="12104B0E" w14:textId="21724A4E" w:rsidR="002F39DE" w:rsidRDefault="002F39DE" w:rsidP="002F39DE">
            <w:pPr>
              <w:spacing w:line="256" w:lineRule="auto"/>
              <w:jc w:val="center"/>
              <w:rPr>
                <w:rFonts w:eastAsia="Calibri"/>
                <w:spacing w:val="-3"/>
                <w:sz w:val="20"/>
                <w:szCs w:val="20"/>
              </w:rPr>
            </w:pPr>
            <w:r>
              <w:rPr>
                <w:rFonts w:eastAsia="Calibri"/>
                <w:spacing w:val="-3"/>
                <w:sz w:val="20"/>
                <w:szCs w:val="20"/>
              </w:rPr>
              <w:t>286</w:t>
            </w:r>
          </w:p>
        </w:tc>
        <w:tc>
          <w:tcPr>
            <w:tcW w:w="825" w:type="dxa"/>
          </w:tcPr>
          <w:p w14:paraId="161C0499" w14:textId="38995D91" w:rsidR="002F39DE" w:rsidRDefault="002F39DE" w:rsidP="002F39DE">
            <w:pPr>
              <w:spacing w:line="256" w:lineRule="auto"/>
              <w:jc w:val="center"/>
              <w:rPr>
                <w:rFonts w:eastAsia="Calibri"/>
                <w:b/>
                <w:spacing w:val="-3"/>
                <w:sz w:val="20"/>
                <w:szCs w:val="20"/>
              </w:rPr>
            </w:pPr>
            <w:r>
              <w:rPr>
                <w:rFonts w:eastAsia="Calibri"/>
                <w:spacing w:val="-3"/>
                <w:sz w:val="20"/>
                <w:szCs w:val="20"/>
              </w:rPr>
              <w:t>76.7</w:t>
            </w:r>
          </w:p>
        </w:tc>
        <w:tc>
          <w:tcPr>
            <w:tcW w:w="1259" w:type="dxa"/>
            <w:shd w:val="clear" w:color="auto" w:fill="D9D9D9"/>
          </w:tcPr>
          <w:p w14:paraId="4BE91103" w14:textId="6EA7453C" w:rsidR="002F39DE" w:rsidRDefault="002F39DE" w:rsidP="002F39DE">
            <w:pPr>
              <w:spacing w:line="256" w:lineRule="auto"/>
              <w:jc w:val="center"/>
              <w:rPr>
                <w:rFonts w:eastAsia="Calibri"/>
                <w:b/>
                <w:spacing w:val="-3"/>
                <w:sz w:val="20"/>
                <w:szCs w:val="20"/>
              </w:rPr>
            </w:pPr>
            <w:r>
              <w:rPr>
                <w:rFonts w:eastAsia="Calibri"/>
                <w:spacing w:val="-3"/>
                <w:sz w:val="20"/>
                <w:szCs w:val="20"/>
              </w:rPr>
              <w:t>68.6</w:t>
            </w:r>
          </w:p>
        </w:tc>
      </w:tr>
      <w:tr w:rsidR="002F39DE" w:rsidRPr="00B075D6" w14:paraId="2B0F413C" w14:textId="77777777" w:rsidTr="00250940">
        <w:trPr>
          <w:trHeight w:val="232"/>
          <w:jc w:val="center"/>
        </w:trPr>
        <w:tc>
          <w:tcPr>
            <w:tcW w:w="3303" w:type="dxa"/>
            <w:hideMark/>
          </w:tcPr>
          <w:p w14:paraId="6330B5AB" w14:textId="77777777" w:rsidR="002F39DE" w:rsidRPr="00B075D6" w:rsidRDefault="002F39DE" w:rsidP="002F39DE">
            <w:pPr>
              <w:spacing w:line="256" w:lineRule="auto"/>
              <w:rPr>
                <w:rFonts w:eastAsia="Calibri"/>
                <w:spacing w:val="-3"/>
                <w:sz w:val="20"/>
                <w:szCs w:val="20"/>
              </w:rPr>
            </w:pPr>
            <w:r w:rsidRPr="00B075D6">
              <w:rPr>
                <w:rFonts w:eastAsia="Calibri"/>
                <w:spacing w:val="-3"/>
                <w:sz w:val="20"/>
                <w:szCs w:val="20"/>
              </w:rPr>
              <w:t>Ethnicity Not Available</w:t>
            </w:r>
          </w:p>
        </w:tc>
        <w:tc>
          <w:tcPr>
            <w:tcW w:w="823" w:type="dxa"/>
            <w:hideMark/>
          </w:tcPr>
          <w:p w14:paraId="5EB65B7A" w14:textId="77777777" w:rsidR="002F39DE" w:rsidRPr="00B075D6" w:rsidRDefault="002F39DE" w:rsidP="002F39DE">
            <w:pPr>
              <w:spacing w:line="256" w:lineRule="auto"/>
              <w:jc w:val="center"/>
              <w:rPr>
                <w:rFonts w:eastAsia="Calibri"/>
                <w:spacing w:val="-3"/>
                <w:sz w:val="20"/>
                <w:szCs w:val="20"/>
              </w:rPr>
            </w:pPr>
            <w:r>
              <w:rPr>
                <w:rFonts w:eastAsia="Calibri"/>
                <w:spacing w:val="-3"/>
                <w:sz w:val="20"/>
                <w:szCs w:val="20"/>
              </w:rPr>
              <w:t>37</w:t>
            </w:r>
          </w:p>
        </w:tc>
        <w:tc>
          <w:tcPr>
            <w:tcW w:w="975" w:type="dxa"/>
            <w:hideMark/>
          </w:tcPr>
          <w:p w14:paraId="14E048EA" w14:textId="77777777" w:rsidR="002F39DE" w:rsidRPr="00B075D6" w:rsidRDefault="002F39DE" w:rsidP="002F39DE">
            <w:pPr>
              <w:spacing w:line="256" w:lineRule="auto"/>
              <w:jc w:val="center"/>
              <w:rPr>
                <w:rFonts w:eastAsia="Calibri"/>
                <w:spacing w:val="-3"/>
                <w:sz w:val="20"/>
                <w:szCs w:val="20"/>
              </w:rPr>
            </w:pPr>
            <w:r>
              <w:rPr>
                <w:rFonts w:eastAsia="Calibri"/>
                <w:spacing w:val="-3"/>
                <w:sz w:val="20"/>
                <w:szCs w:val="20"/>
              </w:rPr>
              <w:t>12.3</w:t>
            </w:r>
          </w:p>
        </w:tc>
        <w:tc>
          <w:tcPr>
            <w:tcW w:w="1219" w:type="dxa"/>
            <w:shd w:val="pct12" w:color="000000" w:fill="FFFFFF"/>
            <w:hideMark/>
          </w:tcPr>
          <w:p w14:paraId="7B59FA91" w14:textId="77777777" w:rsidR="002F39DE" w:rsidRPr="00B075D6" w:rsidRDefault="002F39DE" w:rsidP="002F39DE">
            <w:pPr>
              <w:spacing w:line="256" w:lineRule="auto"/>
              <w:jc w:val="center"/>
              <w:rPr>
                <w:rFonts w:eastAsia="Calibri"/>
                <w:spacing w:val="-3"/>
                <w:sz w:val="20"/>
                <w:szCs w:val="20"/>
              </w:rPr>
            </w:pPr>
            <w:r>
              <w:rPr>
                <w:rFonts w:eastAsia="Calibri"/>
                <w:spacing w:val="-3"/>
                <w:sz w:val="20"/>
                <w:szCs w:val="20"/>
              </w:rPr>
              <w:t>21.5</w:t>
            </w:r>
          </w:p>
        </w:tc>
        <w:tc>
          <w:tcPr>
            <w:tcW w:w="951" w:type="dxa"/>
            <w:hideMark/>
          </w:tcPr>
          <w:p w14:paraId="45EE8A68" w14:textId="77777777" w:rsidR="002F39DE" w:rsidRPr="00B075D6" w:rsidRDefault="002F39DE" w:rsidP="002F39DE">
            <w:pPr>
              <w:spacing w:line="256" w:lineRule="auto"/>
              <w:jc w:val="center"/>
              <w:rPr>
                <w:rFonts w:eastAsia="Calibri"/>
                <w:spacing w:val="-3"/>
                <w:sz w:val="20"/>
                <w:szCs w:val="20"/>
              </w:rPr>
            </w:pPr>
            <w:r>
              <w:rPr>
                <w:rFonts w:eastAsia="Calibri"/>
                <w:spacing w:val="-3"/>
                <w:sz w:val="20"/>
                <w:szCs w:val="20"/>
              </w:rPr>
              <w:t>59</w:t>
            </w:r>
          </w:p>
        </w:tc>
        <w:tc>
          <w:tcPr>
            <w:tcW w:w="825" w:type="dxa"/>
            <w:hideMark/>
          </w:tcPr>
          <w:p w14:paraId="6B4089D3" w14:textId="77777777" w:rsidR="002F39DE" w:rsidRPr="00B075D6" w:rsidRDefault="002F39DE" w:rsidP="002F39DE">
            <w:pPr>
              <w:spacing w:line="256" w:lineRule="auto"/>
              <w:jc w:val="center"/>
              <w:rPr>
                <w:rFonts w:eastAsia="Calibri"/>
                <w:spacing w:val="-3"/>
                <w:sz w:val="20"/>
                <w:szCs w:val="20"/>
              </w:rPr>
            </w:pPr>
            <w:r>
              <w:rPr>
                <w:rFonts w:eastAsia="Calibri"/>
                <w:spacing w:val="-3"/>
                <w:sz w:val="20"/>
                <w:szCs w:val="20"/>
              </w:rPr>
              <w:t>15.8</w:t>
            </w:r>
          </w:p>
        </w:tc>
        <w:tc>
          <w:tcPr>
            <w:tcW w:w="1259" w:type="dxa"/>
            <w:shd w:val="clear" w:color="auto" w:fill="D9D9D9"/>
          </w:tcPr>
          <w:p w14:paraId="25F45FE3" w14:textId="77777777" w:rsidR="002F39DE" w:rsidRPr="00B075D6" w:rsidRDefault="002F39DE" w:rsidP="002F39DE">
            <w:pPr>
              <w:spacing w:line="256" w:lineRule="auto"/>
              <w:jc w:val="center"/>
              <w:rPr>
                <w:rFonts w:eastAsia="Calibri"/>
                <w:spacing w:val="-3"/>
                <w:sz w:val="20"/>
                <w:szCs w:val="20"/>
              </w:rPr>
            </w:pPr>
            <w:r>
              <w:rPr>
                <w:rFonts w:eastAsia="Calibri"/>
                <w:spacing w:val="-3"/>
                <w:sz w:val="20"/>
                <w:szCs w:val="20"/>
              </w:rPr>
              <w:t>22.2</w:t>
            </w:r>
          </w:p>
        </w:tc>
      </w:tr>
      <w:tr w:rsidR="002F39DE" w:rsidRPr="00B075D6" w14:paraId="7A80DB49" w14:textId="77777777" w:rsidTr="00250940">
        <w:trPr>
          <w:trHeight w:val="232"/>
          <w:jc w:val="center"/>
        </w:trPr>
        <w:tc>
          <w:tcPr>
            <w:tcW w:w="3303" w:type="dxa"/>
            <w:hideMark/>
          </w:tcPr>
          <w:p w14:paraId="0346765D" w14:textId="77777777" w:rsidR="002F39DE" w:rsidRPr="00B075D6" w:rsidRDefault="002F39DE" w:rsidP="002F39DE">
            <w:pPr>
              <w:spacing w:line="256" w:lineRule="auto"/>
              <w:jc w:val="center"/>
              <w:rPr>
                <w:rFonts w:eastAsia="Calibri"/>
                <w:b/>
                <w:spacing w:val="-3"/>
                <w:sz w:val="20"/>
                <w:szCs w:val="20"/>
              </w:rPr>
            </w:pPr>
            <w:r w:rsidRPr="00B075D6">
              <w:rPr>
                <w:rFonts w:eastAsia="Calibri"/>
                <w:b/>
                <w:spacing w:val="-3"/>
                <w:sz w:val="20"/>
                <w:szCs w:val="20"/>
              </w:rPr>
              <w:t>Total</w:t>
            </w:r>
          </w:p>
        </w:tc>
        <w:tc>
          <w:tcPr>
            <w:tcW w:w="823" w:type="dxa"/>
            <w:hideMark/>
          </w:tcPr>
          <w:p w14:paraId="41377FEA" w14:textId="77777777" w:rsidR="002F39DE" w:rsidRPr="00B075D6" w:rsidRDefault="002F39DE" w:rsidP="002F39DE">
            <w:pPr>
              <w:spacing w:line="256" w:lineRule="auto"/>
              <w:jc w:val="center"/>
              <w:rPr>
                <w:rFonts w:eastAsia="Calibri"/>
                <w:b/>
                <w:spacing w:val="-3"/>
                <w:sz w:val="20"/>
                <w:szCs w:val="20"/>
              </w:rPr>
            </w:pPr>
            <w:r>
              <w:rPr>
                <w:rFonts w:eastAsia="Calibri"/>
                <w:b/>
                <w:spacing w:val="-3"/>
                <w:sz w:val="20"/>
                <w:szCs w:val="20"/>
              </w:rPr>
              <w:t>301</w:t>
            </w:r>
          </w:p>
        </w:tc>
        <w:tc>
          <w:tcPr>
            <w:tcW w:w="975" w:type="dxa"/>
            <w:hideMark/>
          </w:tcPr>
          <w:p w14:paraId="0932FB58" w14:textId="77777777" w:rsidR="002F39DE" w:rsidRPr="00B075D6" w:rsidRDefault="002F39DE" w:rsidP="002F39DE">
            <w:pPr>
              <w:spacing w:line="256" w:lineRule="auto"/>
              <w:jc w:val="center"/>
              <w:rPr>
                <w:rFonts w:eastAsia="Calibri"/>
                <w:b/>
                <w:spacing w:val="-3"/>
                <w:sz w:val="20"/>
                <w:szCs w:val="20"/>
              </w:rPr>
            </w:pPr>
            <w:r w:rsidRPr="00B075D6">
              <w:rPr>
                <w:rFonts w:eastAsia="Calibri"/>
                <w:b/>
                <w:spacing w:val="-3"/>
                <w:sz w:val="20"/>
                <w:szCs w:val="20"/>
              </w:rPr>
              <w:t>100.0</w:t>
            </w:r>
          </w:p>
        </w:tc>
        <w:tc>
          <w:tcPr>
            <w:tcW w:w="1219" w:type="dxa"/>
            <w:shd w:val="pct12" w:color="000000" w:fill="FFFFFF"/>
            <w:hideMark/>
          </w:tcPr>
          <w:p w14:paraId="03E12674" w14:textId="77777777" w:rsidR="002F39DE" w:rsidRPr="00B075D6" w:rsidRDefault="002F39DE" w:rsidP="002F39DE">
            <w:pPr>
              <w:spacing w:line="256" w:lineRule="auto"/>
              <w:jc w:val="center"/>
              <w:rPr>
                <w:rFonts w:eastAsia="Calibri"/>
                <w:b/>
                <w:spacing w:val="-3"/>
                <w:sz w:val="20"/>
                <w:szCs w:val="20"/>
              </w:rPr>
            </w:pPr>
            <w:r w:rsidRPr="00B075D6">
              <w:rPr>
                <w:rFonts w:eastAsia="Calibri"/>
                <w:b/>
                <w:spacing w:val="-3"/>
                <w:sz w:val="20"/>
                <w:szCs w:val="20"/>
              </w:rPr>
              <w:t>100.0</w:t>
            </w:r>
          </w:p>
        </w:tc>
        <w:tc>
          <w:tcPr>
            <w:tcW w:w="951" w:type="dxa"/>
            <w:hideMark/>
          </w:tcPr>
          <w:p w14:paraId="6F8CEE8E" w14:textId="77777777" w:rsidR="002F39DE" w:rsidRPr="00B075D6" w:rsidRDefault="002F39DE" w:rsidP="002F39DE">
            <w:pPr>
              <w:spacing w:line="256" w:lineRule="auto"/>
              <w:jc w:val="center"/>
              <w:rPr>
                <w:rFonts w:eastAsia="Calibri"/>
                <w:b/>
                <w:spacing w:val="-3"/>
                <w:sz w:val="20"/>
                <w:szCs w:val="20"/>
              </w:rPr>
            </w:pPr>
            <w:r>
              <w:rPr>
                <w:rFonts w:eastAsia="Calibri"/>
                <w:b/>
                <w:spacing w:val="-3"/>
                <w:sz w:val="20"/>
                <w:szCs w:val="20"/>
              </w:rPr>
              <w:t>373</w:t>
            </w:r>
          </w:p>
        </w:tc>
        <w:tc>
          <w:tcPr>
            <w:tcW w:w="825" w:type="dxa"/>
            <w:hideMark/>
          </w:tcPr>
          <w:p w14:paraId="0CA8A331" w14:textId="77777777" w:rsidR="002F39DE" w:rsidRPr="00B075D6" w:rsidRDefault="002F39DE" w:rsidP="002F39DE">
            <w:pPr>
              <w:spacing w:line="256" w:lineRule="auto"/>
              <w:jc w:val="center"/>
              <w:rPr>
                <w:rFonts w:eastAsia="Calibri"/>
                <w:b/>
                <w:spacing w:val="-3"/>
                <w:sz w:val="20"/>
                <w:szCs w:val="20"/>
              </w:rPr>
            </w:pPr>
            <w:r w:rsidRPr="00B075D6">
              <w:rPr>
                <w:rFonts w:eastAsia="Calibri"/>
                <w:b/>
                <w:spacing w:val="-3"/>
                <w:sz w:val="20"/>
                <w:szCs w:val="20"/>
              </w:rPr>
              <w:t>100.0</w:t>
            </w:r>
          </w:p>
        </w:tc>
        <w:tc>
          <w:tcPr>
            <w:tcW w:w="1259" w:type="dxa"/>
            <w:shd w:val="clear" w:color="auto" w:fill="D9D9D9"/>
          </w:tcPr>
          <w:p w14:paraId="3C894DF7" w14:textId="77777777" w:rsidR="002F39DE" w:rsidRPr="00B075D6" w:rsidRDefault="002F39DE" w:rsidP="002F39DE">
            <w:pPr>
              <w:spacing w:line="256" w:lineRule="auto"/>
              <w:jc w:val="center"/>
              <w:rPr>
                <w:rFonts w:eastAsia="Calibri"/>
                <w:b/>
                <w:spacing w:val="-3"/>
                <w:sz w:val="20"/>
                <w:szCs w:val="20"/>
              </w:rPr>
            </w:pPr>
            <w:r w:rsidRPr="00B075D6">
              <w:rPr>
                <w:rFonts w:eastAsia="Calibri"/>
                <w:b/>
                <w:spacing w:val="-3"/>
                <w:sz w:val="20"/>
                <w:szCs w:val="20"/>
              </w:rPr>
              <w:t>100.0</w:t>
            </w:r>
          </w:p>
        </w:tc>
      </w:tr>
      <w:tr w:rsidR="002F39DE" w:rsidRPr="00B075D6" w14:paraId="24D8B07F" w14:textId="77777777" w:rsidTr="00250940">
        <w:trPr>
          <w:trHeight w:val="174"/>
          <w:jc w:val="center"/>
        </w:trPr>
        <w:tc>
          <w:tcPr>
            <w:tcW w:w="9355" w:type="dxa"/>
            <w:gridSpan w:val="7"/>
          </w:tcPr>
          <w:p w14:paraId="0825952E" w14:textId="4381059F" w:rsidR="002F39DE" w:rsidRPr="002F39DE" w:rsidRDefault="002F39DE" w:rsidP="002F39DE">
            <w:pPr>
              <w:autoSpaceDE w:val="0"/>
              <w:autoSpaceDN w:val="0"/>
              <w:adjustRightInd w:val="0"/>
              <w:rPr>
                <w:color w:val="000000"/>
              </w:rPr>
            </w:pPr>
            <w:r w:rsidRPr="00B075D6">
              <w:rPr>
                <w:i/>
                <w:spacing w:val="-4"/>
                <w:sz w:val="16"/>
                <w:szCs w:val="16"/>
              </w:rPr>
              <w:t xml:space="preserve">Source: ACS Census 2015, HMDA Aggregate Data 2018 and 2019, HMDA LAR Data 2018 and 2019      </w:t>
            </w:r>
          </w:p>
        </w:tc>
      </w:tr>
    </w:tbl>
    <w:p w14:paraId="6D3BB316" w14:textId="77777777" w:rsidR="002F39DE" w:rsidRPr="00B075D6" w:rsidRDefault="002F39DE" w:rsidP="002F39DE">
      <w:pPr>
        <w:autoSpaceDE w:val="0"/>
        <w:autoSpaceDN w:val="0"/>
        <w:adjustRightInd w:val="0"/>
        <w:rPr>
          <w:color w:val="000000"/>
        </w:rPr>
      </w:pPr>
    </w:p>
    <w:p w14:paraId="4C2FFB8C" w14:textId="77777777" w:rsidR="002F39DE" w:rsidRDefault="002F39DE" w:rsidP="002F39DE">
      <w:pPr>
        <w:autoSpaceDE w:val="0"/>
        <w:autoSpaceDN w:val="0"/>
        <w:adjustRightInd w:val="0"/>
        <w:rPr>
          <w:color w:val="000000"/>
        </w:rPr>
      </w:pPr>
    </w:p>
    <w:p w14:paraId="3DC2AA54" w14:textId="77777777" w:rsidR="002F39DE" w:rsidRDefault="002F39DE" w:rsidP="00250940">
      <w:pPr>
        <w:autoSpaceDE w:val="0"/>
        <w:autoSpaceDN w:val="0"/>
        <w:adjustRightInd w:val="0"/>
        <w:jc w:val="both"/>
        <w:rPr>
          <w:color w:val="000000"/>
        </w:rPr>
      </w:pPr>
    </w:p>
    <w:p w14:paraId="2F1D8535" w14:textId="26DF225D" w:rsidR="008913A3" w:rsidRDefault="002F39DE" w:rsidP="00250940">
      <w:pPr>
        <w:autoSpaceDE w:val="0"/>
        <w:autoSpaceDN w:val="0"/>
        <w:adjustRightInd w:val="0"/>
        <w:jc w:val="both"/>
      </w:pPr>
      <w:r>
        <w:rPr>
          <w:color w:val="000000"/>
        </w:rPr>
        <w:t>In 2018, the credit union received 301</w:t>
      </w:r>
      <w:r w:rsidRPr="00B075D6">
        <w:rPr>
          <w:color w:val="000000"/>
        </w:rPr>
        <w:t xml:space="preserve"> HMDA reportable loan applications within its assessment</w:t>
      </w:r>
      <w:r>
        <w:rPr>
          <w:color w:val="000000"/>
        </w:rPr>
        <w:t xml:space="preserve"> area</w:t>
      </w:r>
      <w:proofErr w:type="gramStart"/>
      <w:r>
        <w:rPr>
          <w:color w:val="000000"/>
        </w:rPr>
        <w:t xml:space="preserve">.  </w:t>
      </w:r>
      <w:proofErr w:type="gramEnd"/>
      <w:r>
        <w:rPr>
          <w:color w:val="000000"/>
        </w:rPr>
        <w:t>Of these applications, 20, or 6.6</w:t>
      </w:r>
      <w:r w:rsidRPr="00B075D6">
        <w:rPr>
          <w:color w:val="000000"/>
        </w:rPr>
        <w:t xml:space="preserve"> percent</w:t>
      </w:r>
      <w:r>
        <w:rPr>
          <w:color w:val="000000"/>
        </w:rPr>
        <w:t>,</w:t>
      </w:r>
      <w:r w:rsidRPr="00B075D6">
        <w:rPr>
          <w:color w:val="000000"/>
        </w:rPr>
        <w:t xml:space="preserve"> were received from </w:t>
      </w:r>
      <w:r w:rsidR="0049343D">
        <w:rPr>
          <w:color w:val="000000"/>
        </w:rPr>
        <w:t xml:space="preserve">racial </w:t>
      </w:r>
      <w:r w:rsidRPr="00B075D6">
        <w:rPr>
          <w:color w:val="000000"/>
        </w:rPr>
        <w:t xml:space="preserve">minority </w:t>
      </w:r>
      <w:r>
        <w:rPr>
          <w:color w:val="000000"/>
        </w:rPr>
        <w:t>applicants</w:t>
      </w:r>
      <w:proofErr w:type="gramStart"/>
      <w:r w:rsidR="0049343D">
        <w:rPr>
          <w:color w:val="000000"/>
        </w:rPr>
        <w:t>.</w:t>
      </w:r>
      <w:r>
        <w:rPr>
          <w:color w:val="000000"/>
        </w:rPr>
        <w:t xml:space="preserve">  </w:t>
      </w:r>
      <w:proofErr w:type="gramEnd"/>
      <w:r w:rsidR="0049343D">
        <w:t>This was below aggregate lending performance</w:t>
      </w:r>
      <w:proofErr w:type="gramStart"/>
      <w:r w:rsidR="00F46D38">
        <w:t>.</w:t>
      </w:r>
      <w:r w:rsidR="0049343D">
        <w:t>.</w:t>
      </w:r>
      <w:proofErr w:type="gramEnd"/>
      <w:r w:rsidR="008913A3">
        <w:t xml:space="preserve"> The credit union’s performance increased in 2019 to 30 racial minority applications or 8.2 percent</w:t>
      </w:r>
      <w:proofErr w:type="gramStart"/>
      <w:r w:rsidR="008913A3">
        <w:t xml:space="preserve">.  </w:t>
      </w:r>
      <w:proofErr w:type="gramEnd"/>
      <w:r w:rsidR="008913A3">
        <w:t xml:space="preserve">While still below aggregate performance, the gap </w:t>
      </w:r>
      <w:proofErr w:type="gramStart"/>
      <w:r w:rsidR="008913A3">
        <w:t>was reduced</w:t>
      </w:r>
      <w:proofErr w:type="gramEnd"/>
      <w:r w:rsidR="008913A3">
        <w:t xml:space="preserve"> to only 4 percentage points.</w:t>
      </w:r>
    </w:p>
    <w:p w14:paraId="5C2492E0" w14:textId="77777777" w:rsidR="008913A3" w:rsidRDefault="008913A3" w:rsidP="00250940">
      <w:pPr>
        <w:autoSpaceDE w:val="0"/>
        <w:autoSpaceDN w:val="0"/>
        <w:adjustRightInd w:val="0"/>
        <w:jc w:val="both"/>
      </w:pPr>
    </w:p>
    <w:p w14:paraId="74CB5590" w14:textId="5B1C45E5" w:rsidR="002F39DE" w:rsidRPr="008913A3" w:rsidRDefault="002F39DE" w:rsidP="00250940">
      <w:pPr>
        <w:autoSpaceDE w:val="0"/>
        <w:autoSpaceDN w:val="0"/>
        <w:adjustRightInd w:val="0"/>
        <w:jc w:val="both"/>
      </w:pPr>
      <w:r>
        <w:rPr>
          <w:color w:val="000000"/>
        </w:rPr>
        <w:t>The credit union received 27 or 8.9</w:t>
      </w:r>
      <w:r w:rsidRPr="00B075D6">
        <w:rPr>
          <w:color w:val="000000"/>
        </w:rPr>
        <w:t xml:space="preserve"> percent of applications from </w:t>
      </w:r>
      <w:r w:rsidR="008913A3">
        <w:rPr>
          <w:color w:val="000000"/>
        </w:rPr>
        <w:t>ethnic minority applicants</w:t>
      </w:r>
      <w:r w:rsidRPr="00B075D6">
        <w:rPr>
          <w:color w:val="000000"/>
        </w:rPr>
        <w:t xml:space="preserve"> within its assessment area</w:t>
      </w:r>
      <w:r w:rsidR="008913A3">
        <w:rPr>
          <w:color w:val="000000"/>
        </w:rPr>
        <w:t xml:space="preserve">. This was comparable to the aggregate ethnic minority application flow for 2018. </w:t>
      </w:r>
      <w:r w:rsidR="008913A3">
        <w:t>The credit unions performance increased slightly by number but decreased by percentage in 2019, to 7.5 percent. This remained comparable to the aggregate lending pattern for the same demographic groups.</w:t>
      </w:r>
      <w:r>
        <w:t xml:space="preserve"> </w:t>
      </w:r>
    </w:p>
    <w:p w14:paraId="1A297D49" w14:textId="77777777" w:rsidR="008913A3" w:rsidRDefault="008913A3" w:rsidP="00250940">
      <w:pPr>
        <w:autoSpaceDE w:val="0"/>
        <w:autoSpaceDN w:val="0"/>
        <w:adjustRightInd w:val="0"/>
        <w:jc w:val="both"/>
      </w:pPr>
    </w:p>
    <w:p w14:paraId="532390BD" w14:textId="72051328" w:rsidR="002F39DE" w:rsidRDefault="008913A3" w:rsidP="00250940">
      <w:pPr>
        <w:autoSpaceDE w:val="0"/>
        <w:autoSpaceDN w:val="0"/>
        <w:adjustRightInd w:val="0"/>
        <w:jc w:val="both"/>
      </w:pPr>
      <w:r>
        <w:t>T</w:t>
      </w:r>
      <w:r w:rsidR="002F39DE">
        <w:t>he</w:t>
      </w:r>
      <w:r w:rsidR="00141D12">
        <w:t xml:space="preserve"> difference between the</w:t>
      </w:r>
      <w:r w:rsidR="002F39DE">
        <w:t xml:space="preserve"> credit union</w:t>
      </w:r>
      <w:r>
        <w:t xml:space="preserve">’s </w:t>
      </w:r>
      <w:r w:rsidR="00141D12">
        <w:t>racial minority application flow and aggregate lending patterns has several contributory factors</w:t>
      </w:r>
      <w:proofErr w:type="gramStart"/>
      <w:r w:rsidR="00141D12">
        <w:t>.</w:t>
      </w:r>
      <w:r w:rsidR="002F39DE">
        <w:t xml:space="preserve">  </w:t>
      </w:r>
      <w:proofErr w:type="gramEnd"/>
      <w:r w:rsidR="002F39DE">
        <w:t xml:space="preserve">The </w:t>
      </w:r>
      <w:r w:rsidR="00141D12">
        <w:t>city of Worcester accounts for 56.5 percent of the minority po</w:t>
      </w:r>
      <w:r w:rsidR="00307CF6">
        <w:t>pulation in the assessment area</w:t>
      </w:r>
      <w:r w:rsidR="00141D12">
        <w:t xml:space="preserve"> and is highly competitive</w:t>
      </w:r>
      <w:proofErr w:type="gramStart"/>
      <w:r w:rsidR="002F39DE">
        <w:t xml:space="preserve">.  </w:t>
      </w:r>
      <w:proofErr w:type="gramEnd"/>
      <w:r w:rsidR="00141D12">
        <w:t xml:space="preserve">The credit union’s lending and branch footprint </w:t>
      </w:r>
      <w:proofErr w:type="gramStart"/>
      <w:r w:rsidR="00141D12">
        <w:t>is relatively more focused</w:t>
      </w:r>
      <w:proofErr w:type="gramEnd"/>
      <w:r w:rsidR="00141D12">
        <w:t xml:space="preserve"> on northern municipalities than aggregate lenders, many of which maintain headquarters or strategic concentrations in the large city. </w:t>
      </w:r>
      <w:r w:rsidR="00DE054B">
        <w:t>The difference in racial minority application flow is largest in the Asian demographic</w:t>
      </w:r>
      <w:proofErr w:type="gramStart"/>
      <w:r w:rsidR="00DE054B">
        <w:t xml:space="preserve">.  </w:t>
      </w:r>
      <w:proofErr w:type="gramEnd"/>
      <w:r w:rsidR="00DE054B">
        <w:t>Difficulty in penetrating the Asian demographic is a characteristic shared by several local credit unions in the assessment area, as mortgage companies and depository institutions with broad mortgage lender operations represent a relatively larger market share among Asian applicants</w:t>
      </w:r>
      <w:proofErr w:type="gramStart"/>
      <w:r w:rsidR="00DE054B">
        <w:t xml:space="preserve">.  </w:t>
      </w:r>
      <w:proofErr w:type="gramEnd"/>
      <w:r w:rsidR="00DE054B">
        <w:t xml:space="preserve">The credit union mitigates these factors with </w:t>
      </w:r>
      <w:r w:rsidR="00307CF6">
        <w:t>through both</w:t>
      </w:r>
      <w:r w:rsidR="00DE054B">
        <w:t xml:space="preserve"> monitoring of lending patterns and </w:t>
      </w:r>
      <w:r w:rsidR="00307CF6">
        <w:t xml:space="preserve">utilizing </w:t>
      </w:r>
      <w:r w:rsidR="00DE054B">
        <w:t xml:space="preserve">employees that act as resources for applicants with limited English proficiency. Languages represented include </w:t>
      </w:r>
      <w:r w:rsidR="002C5AA6">
        <w:t>Hmong,</w:t>
      </w:r>
      <w:r w:rsidR="002F39DE">
        <w:t xml:space="preserve"> Spanish, and Vietnamese.</w:t>
      </w:r>
      <w:r w:rsidR="002C5AA6">
        <w:t xml:space="preserve"> </w:t>
      </w:r>
    </w:p>
    <w:p w14:paraId="5B527367" w14:textId="77777777" w:rsidR="002F39DE" w:rsidRDefault="002F39DE" w:rsidP="00250940">
      <w:pPr>
        <w:autoSpaceDE w:val="0"/>
        <w:autoSpaceDN w:val="0"/>
        <w:adjustRightInd w:val="0"/>
        <w:jc w:val="both"/>
        <w:rPr>
          <w:color w:val="000000"/>
        </w:rPr>
      </w:pPr>
    </w:p>
    <w:p w14:paraId="1DACD6D1" w14:textId="56B36910" w:rsidR="002F39DE" w:rsidRPr="00B075D6" w:rsidRDefault="002F39DE" w:rsidP="00250940">
      <w:pPr>
        <w:autoSpaceDE w:val="0"/>
        <w:autoSpaceDN w:val="0"/>
        <w:adjustRightInd w:val="0"/>
        <w:jc w:val="both"/>
        <w:rPr>
          <w:color w:val="000000"/>
        </w:rPr>
      </w:pPr>
      <w:r w:rsidRPr="00B075D6">
        <w:rPr>
          <w:color w:val="000000"/>
        </w:rPr>
        <w:t>Considering the demographic composition of the assessment area and comparisons to aggregate</w:t>
      </w:r>
      <w:r>
        <w:rPr>
          <w:color w:val="000000"/>
        </w:rPr>
        <w:t xml:space="preserve"> data in 2018 and 2019, the credit union</w:t>
      </w:r>
      <w:r w:rsidRPr="00B075D6">
        <w:rPr>
          <w:color w:val="000000"/>
        </w:rPr>
        <w:t>’s minority application flow is reasonable.</w:t>
      </w:r>
    </w:p>
    <w:p w14:paraId="0CE22517" w14:textId="77777777" w:rsidR="00416B86" w:rsidRDefault="00416B86" w:rsidP="00250940">
      <w:pPr>
        <w:jc w:val="both"/>
        <w:rPr>
          <w:highlight w:val="yellow"/>
        </w:rPr>
      </w:pPr>
    </w:p>
    <w:p w14:paraId="4917D7CC" w14:textId="28FE1AB8" w:rsidR="008544CA" w:rsidRDefault="008544CA" w:rsidP="00250940">
      <w:pPr>
        <w:spacing w:after="160" w:line="259" w:lineRule="auto"/>
        <w:jc w:val="both"/>
      </w:pPr>
      <w:r w:rsidRPr="00424C4E">
        <w:rPr>
          <w:b/>
          <w:u w:val="single"/>
        </w:rPr>
        <w:t>COMMUNITY DEVELOPMENT TEST</w:t>
      </w:r>
    </w:p>
    <w:p w14:paraId="32BE88F9" w14:textId="77777777" w:rsidR="008544CA" w:rsidRDefault="008544CA" w:rsidP="00250940">
      <w:pPr>
        <w:jc w:val="both"/>
      </w:pPr>
    </w:p>
    <w:p w14:paraId="52998675" w14:textId="787A7C7B" w:rsidR="008544CA" w:rsidRPr="00A314F3" w:rsidRDefault="008544CA" w:rsidP="00250940">
      <w:pPr>
        <w:jc w:val="both"/>
      </w:pPr>
      <w:r>
        <w:t xml:space="preserve">Leominster Credit Union </w:t>
      </w:r>
      <w:r w:rsidRPr="001F48B3">
        <w:t xml:space="preserve">demonstrated </w:t>
      </w:r>
      <w:r>
        <w:t>good</w:t>
      </w:r>
      <w:r w:rsidRPr="001F48B3">
        <w:t xml:space="preserve"> responsiveness to the assessment area’s community development needs thro</w:t>
      </w:r>
      <w:r w:rsidR="00CE3B84">
        <w:t>ugh community development services</w:t>
      </w:r>
      <w:proofErr w:type="gramStart"/>
      <w:r>
        <w:t>.</w:t>
      </w:r>
      <w:r w:rsidR="00CE3B84">
        <w:t xml:space="preserve">  </w:t>
      </w:r>
      <w:proofErr w:type="gramEnd"/>
      <w:r w:rsidR="00055E0D">
        <w:t>T</w:t>
      </w:r>
      <w:bookmarkStart w:id="0" w:name="_GoBack"/>
      <w:bookmarkEnd w:id="0"/>
      <w:r w:rsidR="00CE3B84">
        <w:t>he credit union opted to provide its record of community development loans and investments for CRA consideration</w:t>
      </w:r>
      <w:r>
        <w:t xml:space="preserve">.  </w:t>
      </w:r>
      <w:r w:rsidRPr="00A314F3">
        <w:t>Examiners also considered the institution’s capacity and the need and availability of such opportunities</w:t>
      </w:r>
      <w:r>
        <w:t xml:space="preserve">.  </w:t>
      </w:r>
    </w:p>
    <w:p w14:paraId="66C813B6" w14:textId="77777777" w:rsidR="008544CA" w:rsidRPr="00A314F3" w:rsidRDefault="008544CA" w:rsidP="00250940">
      <w:pPr>
        <w:jc w:val="both"/>
        <w:rPr>
          <w:b/>
          <w:bCs/>
        </w:rPr>
      </w:pPr>
    </w:p>
    <w:p w14:paraId="24A92BD3" w14:textId="77777777" w:rsidR="008544CA" w:rsidRPr="00A314F3" w:rsidRDefault="008544CA" w:rsidP="00250940">
      <w:pPr>
        <w:jc w:val="both"/>
        <w:rPr>
          <w:b/>
          <w:bCs/>
          <w:u w:val="single"/>
        </w:rPr>
      </w:pPr>
      <w:r w:rsidRPr="00A314F3">
        <w:rPr>
          <w:b/>
          <w:bCs/>
          <w:u w:val="single"/>
        </w:rPr>
        <w:t>Community Development Loans</w:t>
      </w:r>
    </w:p>
    <w:p w14:paraId="0902F70D" w14:textId="77777777" w:rsidR="008544CA" w:rsidRPr="00A314F3" w:rsidRDefault="008544CA" w:rsidP="00250940">
      <w:pPr>
        <w:jc w:val="both"/>
      </w:pPr>
    </w:p>
    <w:p w14:paraId="51CC6671" w14:textId="77777777" w:rsidR="008544CA" w:rsidRDefault="008544CA" w:rsidP="00250940">
      <w:pPr>
        <w:jc w:val="both"/>
      </w:pPr>
      <w:r>
        <w:t>Leominster Credit Union</w:t>
      </w:r>
      <w:r w:rsidRPr="00A314F3">
        <w:t xml:space="preserve"> originated </w:t>
      </w:r>
      <w:r>
        <w:t xml:space="preserve">69 </w:t>
      </w:r>
      <w:r w:rsidRPr="00A314F3">
        <w:t>community development loans totaling approximately $</w:t>
      </w:r>
      <w:r>
        <w:t>5.5</w:t>
      </w:r>
      <w:r w:rsidRPr="00A314F3">
        <w:t xml:space="preserve"> million during the evaluation period</w:t>
      </w:r>
      <w:proofErr w:type="gramStart"/>
      <w:r w:rsidRPr="00896644">
        <w:t xml:space="preserve">.  </w:t>
      </w:r>
      <w:proofErr w:type="gramEnd"/>
      <w:r w:rsidRPr="00896644">
        <w:t xml:space="preserve">This level of activity represents </w:t>
      </w:r>
      <w:r>
        <w:t>a large increase since the previous</w:t>
      </w:r>
      <w:r w:rsidRPr="00896644">
        <w:t xml:space="preserve"> evaluation period</w:t>
      </w:r>
      <w:r>
        <w:t>.</w:t>
      </w:r>
    </w:p>
    <w:p w14:paraId="2982EA26" w14:textId="77777777" w:rsidR="008544CA" w:rsidRPr="00A314F3" w:rsidRDefault="008544CA" w:rsidP="00250940">
      <w:pPr>
        <w:jc w:val="both"/>
      </w:pPr>
    </w:p>
    <w:p w14:paraId="0E3B20F4" w14:textId="77777777" w:rsidR="00DC1D20" w:rsidRDefault="00DC1D20">
      <w:pPr>
        <w:spacing w:after="160" w:line="259" w:lineRule="auto"/>
      </w:pPr>
      <w:r>
        <w:br w:type="page"/>
      </w:r>
    </w:p>
    <w:p w14:paraId="1E5D7944" w14:textId="696CCE81" w:rsidR="008544CA" w:rsidRPr="00A314F3" w:rsidRDefault="008544CA" w:rsidP="00250940">
      <w:pPr>
        <w:jc w:val="both"/>
      </w:pPr>
      <w:r w:rsidRPr="00A314F3">
        <w:lastRenderedPageBreak/>
        <w:t>The foll</w:t>
      </w:r>
      <w:r w:rsidR="00E85422">
        <w:t>owing table illustrates the credit union</w:t>
      </w:r>
      <w:r>
        <w:t>’</w:t>
      </w:r>
      <w:r w:rsidRPr="00A314F3">
        <w:t>s community development lending activity by year and purpose.</w:t>
      </w:r>
    </w:p>
    <w:p w14:paraId="0301E7CB" w14:textId="77777777" w:rsidR="008544CA" w:rsidRPr="00A314F3" w:rsidRDefault="008544CA" w:rsidP="00250940">
      <w:pPr>
        <w:jc w:val="both"/>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5"/>
        <w:gridCol w:w="475"/>
        <w:gridCol w:w="959"/>
        <w:gridCol w:w="462"/>
        <w:gridCol w:w="933"/>
        <w:gridCol w:w="519"/>
        <w:gridCol w:w="931"/>
        <w:gridCol w:w="459"/>
        <w:gridCol w:w="922"/>
        <w:gridCol w:w="504"/>
        <w:gridCol w:w="1126"/>
      </w:tblGrid>
      <w:tr w:rsidR="008544CA" w:rsidRPr="00550968" w14:paraId="7E93B0AB" w14:textId="77777777" w:rsidTr="00250940">
        <w:trPr>
          <w:trHeight w:val="237"/>
          <w:jc w:val="center"/>
        </w:trPr>
        <w:tc>
          <w:tcPr>
            <w:tcW w:w="8905" w:type="dxa"/>
            <w:gridSpan w:val="11"/>
            <w:vAlign w:val="center"/>
          </w:tcPr>
          <w:p w14:paraId="7B261229" w14:textId="77777777" w:rsidR="008544CA" w:rsidRPr="00550968" w:rsidRDefault="008544CA" w:rsidP="008544CA">
            <w:pPr>
              <w:tabs>
                <w:tab w:val="left" w:pos="-1080"/>
              </w:tabs>
              <w:jc w:val="center"/>
              <w:rPr>
                <w:b/>
                <w:bCs/>
                <w:sz w:val="20"/>
                <w:szCs w:val="20"/>
              </w:rPr>
            </w:pPr>
            <w:r w:rsidRPr="00550968">
              <w:rPr>
                <w:b/>
                <w:bCs/>
                <w:sz w:val="20"/>
                <w:szCs w:val="20"/>
              </w:rPr>
              <w:t>Community Development Loans</w:t>
            </w:r>
          </w:p>
        </w:tc>
      </w:tr>
      <w:tr w:rsidR="008544CA" w:rsidRPr="00550968" w14:paraId="4E6CBF06" w14:textId="77777777" w:rsidTr="00250940">
        <w:trPr>
          <w:trHeight w:val="238"/>
          <w:jc w:val="center"/>
        </w:trPr>
        <w:tc>
          <w:tcPr>
            <w:tcW w:w="1615" w:type="dxa"/>
            <w:vMerge w:val="restart"/>
            <w:vAlign w:val="center"/>
          </w:tcPr>
          <w:p w14:paraId="02ED981F" w14:textId="77777777" w:rsidR="008544CA" w:rsidRPr="00550968" w:rsidRDefault="008544CA" w:rsidP="008544CA">
            <w:pPr>
              <w:tabs>
                <w:tab w:val="left" w:pos="-1080"/>
              </w:tabs>
              <w:rPr>
                <w:b/>
                <w:sz w:val="20"/>
                <w:szCs w:val="20"/>
              </w:rPr>
            </w:pPr>
            <w:r w:rsidRPr="00550968">
              <w:rPr>
                <w:b/>
                <w:sz w:val="20"/>
                <w:szCs w:val="20"/>
              </w:rPr>
              <w:t>Activity Year</w:t>
            </w:r>
          </w:p>
        </w:tc>
        <w:tc>
          <w:tcPr>
            <w:tcW w:w="1434" w:type="dxa"/>
            <w:gridSpan w:val="2"/>
            <w:vAlign w:val="center"/>
          </w:tcPr>
          <w:p w14:paraId="6FF18472" w14:textId="77777777" w:rsidR="008544CA" w:rsidRPr="00550968" w:rsidRDefault="008544CA" w:rsidP="008544CA">
            <w:pPr>
              <w:tabs>
                <w:tab w:val="left" w:pos="-1080"/>
              </w:tabs>
              <w:jc w:val="center"/>
              <w:rPr>
                <w:b/>
                <w:bCs/>
                <w:sz w:val="20"/>
                <w:szCs w:val="20"/>
              </w:rPr>
            </w:pPr>
            <w:r w:rsidRPr="00550968">
              <w:rPr>
                <w:b/>
                <w:bCs/>
                <w:sz w:val="20"/>
                <w:szCs w:val="20"/>
              </w:rPr>
              <w:t>Affordable Housing</w:t>
            </w:r>
          </w:p>
        </w:tc>
        <w:tc>
          <w:tcPr>
            <w:tcW w:w="1395" w:type="dxa"/>
            <w:gridSpan w:val="2"/>
            <w:vAlign w:val="center"/>
          </w:tcPr>
          <w:p w14:paraId="1F73098C" w14:textId="77777777" w:rsidR="008544CA" w:rsidRPr="00550968" w:rsidRDefault="008544CA" w:rsidP="008544CA">
            <w:pPr>
              <w:tabs>
                <w:tab w:val="left" w:pos="-1080"/>
              </w:tabs>
              <w:jc w:val="center"/>
              <w:rPr>
                <w:b/>
                <w:bCs/>
                <w:sz w:val="20"/>
                <w:szCs w:val="20"/>
              </w:rPr>
            </w:pPr>
            <w:r w:rsidRPr="00550968">
              <w:rPr>
                <w:b/>
                <w:bCs/>
                <w:sz w:val="20"/>
                <w:szCs w:val="20"/>
              </w:rPr>
              <w:t>Community Services</w:t>
            </w:r>
          </w:p>
        </w:tc>
        <w:tc>
          <w:tcPr>
            <w:tcW w:w="1450" w:type="dxa"/>
            <w:gridSpan w:val="2"/>
            <w:vAlign w:val="center"/>
          </w:tcPr>
          <w:p w14:paraId="1B41FB48" w14:textId="77777777" w:rsidR="008544CA" w:rsidRPr="00550968" w:rsidRDefault="008544CA" w:rsidP="008544CA">
            <w:pPr>
              <w:tabs>
                <w:tab w:val="left" w:pos="-1080"/>
              </w:tabs>
              <w:jc w:val="center"/>
              <w:rPr>
                <w:b/>
                <w:bCs/>
                <w:sz w:val="20"/>
                <w:szCs w:val="20"/>
              </w:rPr>
            </w:pPr>
            <w:r w:rsidRPr="00550968">
              <w:rPr>
                <w:b/>
                <w:bCs/>
                <w:sz w:val="20"/>
                <w:szCs w:val="20"/>
              </w:rPr>
              <w:t>Economic Development</w:t>
            </w:r>
          </w:p>
        </w:tc>
        <w:tc>
          <w:tcPr>
            <w:tcW w:w="1381" w:type="dxa"/>
            <w:gridSpan w:val="2"/>
            <w:vAlign w:val="center"/>
          </w:tcPr>
          <w:p w14:paraId="4D51AE34" w14:textId="77777777" w:rsidR="008544CA" w:rsidRPr="00550968" w:rsidRDefault="008544CA" w:rsidP="008544CA">
            <w:pPr>
              <w:tabs>
                <w:tab w:val="left" w:pos="-1080"/>
              </w:tabs>
              <w:jc w:val="center"/>
              <w:rPr>
                <w:b/>
                <w:bCs/>
                <w:sz w:val="20"/>
                <w:szCs w:val="20"/>
              </w:rPr>
            </w:pPr>
            <w:r w:rsidRPr="00550968">
              <w:rPr>
                <w:b/>
                <w:bCs/>
                <w:sz w:val="20"/>
                <w:szCs w:val="20"/>
              </w:rPr>
              <w:t>Revitalize</w:t>
            </w:r>
          </w:p>
          <w:p w14:paraId="5194F1CF" w14:textId="77777777" w:rsidR="008544CA" w:rsidRPr="00550968" w:rsidRDefault="008544CA" w:rsidP="008544CA">
            <w:pPr>
              <w:tabs>
                <w:tab w:val="left" w:pos="-1080"/>
              </w:tabs>
              <w:jc w:val="center"/>
              <w:rPr>
                <w:b/>
                <w:bCs/>
                <w:sz w:val="20"/>
                <w:szCs w:val="20"/>
              </w:rPr>
            </w:pPr>
            <w:r w:rsidRPr="00550968">
              <w:rPr>
                <w:b/>
                <w:bCs/>
                <w:sz w:val="20"/>
                <w:szCs w:val="20"/>
              </w:rPr>
              <w:t>Or Stabilize</w:t>
            </w:r>
          </w:p>
        </w:tc>
        <w:tc>
          <w:tcPr>
            <w:tcW w:w="1630" w:type="dxa"/>
            <w:gridSpan w:val="2"/>
            <w:vAlign w:val="center"/>
          </w:tcPr>
          <w:p w14:paraId="5A0D61C6" w14:textId="77777777" w:rsidR="008544CA" w:rsidRPr="00550968" w:rsidRDefault="008544CA" w:rsidP="008544CA">
            <w:pPr>
              <w:tabs>
                <w:tab w:val="left" w:pos="-1080"/>
              </w:tabs>
              <w:jc w:val="center"/>
              <w:rPr>
                <w:b/>
                <w:sz w:val="20"/>
                <w:szCs w:val="20"/>
              </w:rPr>
            </w:pPr>
            <w:r w:rsidRPr="00550968">
              <w:rPr>
                <w:b/>
                <w:sz w:val="20"/>
                <w:szCs w:val="20"/>
              </w:rPr>
              <w:t>Totals</w:t>
            </w:r>
          </w:p>
        </w:tc>
      </w:tr>
      <w:tr w:rsidR="008544CA" w:rsidRPr="00550968" w14:paraId="646EE816" w14:textId="77777777" w:rsidTr="00250940">
        <w:trPr>
          <w:trHeight w:val="238"/>
          <w:jc w:val="center"/>
        </w:trPr>
        <w:tc>
          <w:tcPr>
            <w:tcW w:w="1615" w:type="dxa"/>
            <w:vMerge/>
            <w:vAlign w:val="center"/>
          </w:tcPr>
          <w:p w14:paraId="3CE917B4" w14:textId="77777777" w:rsidR="008544CA" w:rsidRPr="00550968" w:rsidRDefault="008544CA" w:rsidP="008544CA">
            <w:pPr>
              <w:tabs>
                <w:tab w:val="left" w:pos="-1080"/>
              </w:tabs>
              <w:jc w:val="center"/>
              <w:rPr>
                <w:sz w:val="20"/>
                <w:szCs w:val="20"/>
              </w:rPr>
            </w:pPr>
          </w:p>
        </w:tc>
        <w:tc>
          <w:tcPr>
            <w:tcW w:w="475" w:type="dxa"/>
            <w:vAlign w:val="center"/>
          </w:tcPr>
          <w:p w14:paraId="553F3C04" w14:textId="77777777" w:rsidR="008544CA" w:rsidRPr="00550968" w:rsidRDefault="008544CA" w:rsidP="008544CA">
            <w:pPr>
              <w:tabs>
                <w:tab w:val="left" w:pos="-1080"/>
              </w:tabs>
              <w:jc w:val="center"/>
              <w:rPr>
                <w:b/>
                <w:sz w:val="20"/>
                <w:szCs w:val="20"/>
              </w:rPr>
            </w:pPr>
            <w:r w:rsidRPr="00550968">
              <w:rPr>
                <w:b/>
                <w:sz w:val="20"/>
                <w:szCs w:val="20"/>
              </w:rPr>
              <w:t>#</w:t>
            </w:r>
          </w:p>
        </w:tc>
        <w:tc>
          <w:tcPr>
            <w:tcW w:w="959" w:type="dxa"/>
            <w:vAlign w:val="center"/>
          </w:tcPr>
          <w:p w14:paraId="75EE474E" w14:textId="77777777" w:rsidR="008544CA" w:rsidRPr="00550968" w:rsidRDefault="008544CA" w:rsidP="008544CA">
            <w:pPr>
              <w:tabs>
                <w:tab w:val="left" w:pos="-1080"/>
              </w:tabs>
              <w:jc w:val="center"/>
              <w:rPr>
                <w:b/>
                <w:sz w:val="20"/>
                <w:szCs w:val="20"/>
              </w:rPr>
            </w:pPr>
            <w:r w:rsidRPr="00550968">
              <w:rPr>
                <w:b/>
                <w:sz w:val="20"/>
                <w:szCs w:val="20"/>
              </w:rPr>
              <w:t>$(</w:t>
            </w:r>
            <w:proofErr w:type="spellStart"/>
            <w:r w:rsidRPr="00550968">
              <w:rPr>
                <w:b/>
                <w:sz w:val="20"/>
                <w:szCs w:val="20"/>
              </w:rPr>
              <w:t>000s</w:t>
            </w:r>
            <w:proofErr w:type="spellEnd"/>
            <w:r w:rsidRPr="00550968">
              <w:rPr>
                <w:b/>
                <w:sz w:val="20"/>
                <w:szCs w:val="20"/>
              </w:rPr>
              <w:t>)</w:t>
            </w:r>
          </w:p>
        </w:tc>
        <w:tc>
          <w:tcPr>
            <w:tcW w:w="462" w:type="dxa"/>
            <w:vAlign w:val="center"/>
          </w:tcPr>
          <w:p w14:paraId="51328414" w14:textId="77777777" w:rsidR="008544CA" w:rsidRPr="00550968" w:rsidRDefault="008544CA" w:rsidP="008544CA">
            <w:pPr>
              <w:tabs>
                <w:tab w:val="left" w:pos="-1080"/>
              </w:tabs>
              <w:jc w:val="center"/>
              <w:rPr>
                <w:b/>
                <w:sz w:val="20"/>
                <w:szCs w:val="20"/>
              </w:rPr>
            </w:pPr>
            <w:r w:rsidRPr="00550968">
              <w:rPr>
                <w:b/>
                <w:sz w:val="20"/>
                <w:szCs w:val="20"/>
              </w:rPr>
              <w:t>#</w:t>
            </w:r>
          </w:p>
        </w:tc>
        <w:tc>
          <w:tcPr>
            <w:tcW w:w="933" w:type="dxa"/>
            <w:vAlign w:val="center"/>
          </w:tcPr>
          <w:p w14:paraId="1A01E024" w14:textId="77777777" w:rsidR="008544CA" w:rsidRPr="00550968" w:rsidRDefault="008544CA" w:rsidP="008544CA">
            <w:pPr>
              <w:tabs>
                <w:tab w:val="left" w:pos="-1080"/>
              </w:tabs>
              <w:jc w:val="center"/>
              <w:rPr>
                <w:b/>
                <w:sz w:val="20"/>
                <w:szCs w:val="20"/>
              </w:rPr>
            </w:pPr>
            <w:r w:rsidRPr="00550968">
              <w:rPr>
                <w:b/>
                <w:sz w:val="20"/>
                <w:szCs w:val="20"/>
              </w:rPr>
              <w:t>$(</w:t>
            </w:r>
            <w:proofErr w:type="spellStart"/>
            <w:r w:rsidRPr="00550968">
              <w:rPr>
                <w:b/>
                <w:sz w:val="20"/>
                <w:szCs w:val="20"/>
              </w:rPr>
              <w:t>000s</w:t>
            </w:r>
            <w:proofErr w:type="spellEnd"/>
            <w:r w:rsidRPr="00550968">
              <w:rPr>
                <w:b/>
                <w:sz w:val="20"/>
                <w:szCs w:val="20"/>
              </w:rPr>
              <w:t>)</w:t>
            </w:r>
          </w:p>
        </w:tc>
        <w:tc>
          <w:tcPr>
            <w:tcW w:w="519" w:type="dxa"/>
            <w:vAlign w:val="center"/>
          </w:tcPr>
          <w:p w14:paraId="550075A1" w14:textId="77777777" w:rsidR="008544CA" w:rsidRPr="00550968" w:rsidRDefault="008544CA" w:rsidP="008544CA">
            <w:pPr>
              <w:tabs>
                <w:tab w:val="left" w:pos="-1080"/>
              </w:tabs>
              <w:jc w:val="center"/>
              <w:rPr>
                <w:b/>
                <w:sz w:val="20"/>
                <w:szCs w:val="20"/>
              </w:rPr>
            </w:pPr>
            <w:r w:rsidRPr="00550968">
              <w:rPr>
                <w:b/>
                <w:sz w:val="20"/>
                <w:szCs w:val="20"/>
              </w:rPr>
              <w:t>#</w:t>
            </w:r>
          </w:p>
        </w:tc>
        <w:tc>
          <w:tcPr>
            <w:tcW w:w="931" w:type="dxa"/>
            <w:vAlign w:val="center"/>
          </w:tcPr>
          <w:p w14:paraId="0DAD964E" w14:textId="77777777" w:rsidR="008544CA" w:rsidRPr="00550968" w:rsidRDefault="008544CA" w:rsidP="008544CA">
            <w:pPr>
              <w:tabs>
                <w:tab w:val="left" w:pos="-1080"/>
              </w:tabs>
              <w:jc w:val="center"/>
              <w:rPr>
                <w:b/>
                <w:sz w:val="20"/>
                <w:szCs w:val="20"/>
              </w:rPr>
            </w:pPr>
            <w:r w:rsidRPr="00550968">
              <w:rPr>
                <w:b/>
                <w:sz w:val="20"/>
                <w:szCs w:val="20"/>
              </w:rPr>
              <w:t>$(</w:t>
            </w:r>
            <w:proofErr w:type="spellStart"/>
            <w:r w:rsidRPr="00550968">
              <w:rPr>
                <w:b/>
                <w:sz w:val="20"/>
                <w:szCs w:val="20"/>
              </w:rPr>
              <w:t>000s</w:t>
            </w:r>
            <w:proofErr w:type="spellEnd"/>
            <w:r w:rsidRPr="00550968">
              <w:rPr>
                <w:b/>
                <w:sz w:val="20"/>
                <w:szCs w:val="20"/>
              </w:rPr>
              <w:t>)</w:t>
            </w:r>
          </w:p>
        </w:tc>
        <w:tc>
          <w:tcPr>
            <w:tcW w:w="459" w:type="dxa"/>
            <w:vAlign w:val="center"/>
          </w:tcPr>
          <w:p w14:paraId="576BE8A1" w14:textId="77777777" w:rsidR="008544CA" w:rsidRPr="00550968" w:rsidRDefault="008544CA" w:rsidP="008544CA">
            <w:pPr>
              <w:tabs>
                <w:tab w:val="left" w:pos="-1080"/>
              </w:tabs>
              <w:jc w:val="center"/>
              <w:rPr>
                <w:b/>
                <w:sz w:val="20"/>
                <w:szCs w:val="20"/>
              </w:rPr>
            </w:pPr>
            <w:r w:rsidRPr="00550968">
              <w:rPr>
                <w:b/>
                <w:sz w:val="20"/>
                <w:szCs w:val="20"/>
              </w:rPr>
              <w:t>#</w:t>
            </w:r>
          </w:p>
        </w:tc>
        <w:tc>
          <w:tcPr>
            <w:tcW w:w="922" w:type="dxa"/>
            <w:vAlign w:val="center"/>
          </w:tcPr>
          <w:p w14:paraId="61C84E77" w14:textId="77777777" w:rsidR="008544CA" w:rsidRPr="00550968" w:rsidRDefault="008544CA" w:rsidP="008544CA">
            <w:pPr>
              <w:tabs>
                <w:tab w:val="left" w:pos="-1080"/>
              </w:tabs>
              <w:jc w:val="center"/>
              <w:rPr>
                <w:b/>
                <w:sz w:val="20"/>
                <w:szCs w:val="20"/>
              </w:rPr>
            </w:pPr>
            <w:r w:rsidRPr="00550968">
              <w:rPr>
                <w:b/>
                <w:sz w:val="20"/>
                <w:szCs w:val="20"/>
              </w:rPr>
              <w:t>$(</w:t>
            </w:r>
            <w:proofErr w:type="spellStart"/>
            <w:r w:rsidRPr="00550968">
              <w:rPr>
                <w:b/>
                <w:sz w:val="20"/>
                <w:szCs w:val="20"/>
              </w:rPr>
              <w:t>000s</w:t>
            </w:r>
            <w:proofErr w:type="spellEnd"/>
            <w:r w:rsidRPr="00550968">
              <w:rPr>
                <w:b/>
                <w:sz w:val="20"/>
                <w:szCs w:val="20"/>
              </w:rPr>
              <w:t>)</w:t>
            </w:r>
          </w:p>
        </w:tc>
        <w:tc>
          <w:tcPr>
            <w:tcW w:w="504" w:type="dxa"/>
            <w:vAlign w:val="center"/>
          </w:tcPr>
          <w:p w14:paraId="5C770D3C" w14:textId="77777777" w:rsidR="008544CA" w:rsidRPr="00550968" w:rsidRDefault="008544CA" w:rsidP="008544CA">
            <w:pPr>
              <w:tabs>
                <w:tab w:val="left" w:pos="-1080"/>
              </w:tabs>
              <w:jc w:val="center"/>
              <w:rPr>
                <w:b/>
                <w:sz w:val="20"/>
                <w:szCs w:val="20"/>
              </w:rPr>
            </w:pPr>
            <w:r w:rsidRPr="00550968">
              <w:rPr>
                <w:b/>
                <w:sz w:val="20"/>
                <w:szCs w:val="20"/>
              </w:rPr>
              <w:t>#</w:t>
            </w:r>
          </w:p>
        </w:tc>
        <w:tc>
          <w:tcPr>
            <w:tcW w:w="1126" w:type="dxa"/>
            <w:vAlign w:val="center"/>
          </w:tcPr>
          <w:p w14:paraId="5E43A71D" w14:textId="77777777" w:rsidR="008544CA" w:rsidRPr="00550968" w:rsidRDefault="008544CA" w:rsidP="008544CA">
            <w:pPr>
              <w:tabs>
                <w:tab w:val="left" w:pos="-1080"/>
              </w:tabs>
              <w:jc w:val="center"/>
              <w:rPr>
                <w:b/>
                <w:sz w:val="20"/>
                <w:szCs w:val="20"/>
              </w:rPr>
            </w:pPr>
            <w:r w:rsidRPr="00550968">
              <w:rPr>
                <w:b/>
                <w:sz w:val="20"/>
                <w:szCs w:val="20"/>
              </w:rPr>
              <w:t>$ (</w:t>
            </w:r>
            <w:proofErr w:type="spellStart"/>
            <w:r w:rsidRPr="00550968">
              <w:rPr>
                <w:b/>
                <w:sz w:val="20"/>
                <w:szCs w:val="20"/>
              </w:rPr>
              <w:t>000s</w:t>
            </w:r>
            <w:proofErr w:type="spellEnd"/>
            <w:r w:rsidRPr="00550968">
              <w:rPr>
                <w:b/>
                <w:sz w:val="20"/>
                <w:szCs w:val="20"/>
              </w:rPr>
              <w:t>)</w:t>
            </w:r>
          </w:p>
        </w:tc>
      </w:tr>
      <w:tr w:rsidR="008544CA" w:rsidRPr="00550968" w14:paraId="12AB93E0" w14:textId="77777777" w:rsidTr="00250940">
        <w:trPr>
          <w:trHeight w:val="238"/>
          <w:jc w:val="center"/>
        </w:trPr>
        <w:tc>
          <w:tcPr>
            <w:tcW w:w="1615" w:type="dxa"/>
            <w:vAlign w:val="center"/>
          </w:tcPr>
          <w:p w14:paraId="0DCA8B0E" w14:textId="77777777" w:rsidR="008544CA" w:rsidRPr="00550968" w:rsidRDefault="008544CA" w:rsidP="008544CA">
            <w:pPr>
              <w:tabs>
                <w:tab w:val="left" w:pos="-1080"/>
              </w:tabs>
              <w:rPr>
                <w:sz w:val="20"/>
                <w:szCs w:val="20"/>
              </w:rPr>
            </w:pPr>
            <w:r w:rsidRPr="00550968">
              <w:rPr>
                <w:sz w:val="20"/>
                <w:szCs w:val="20"/>
              </w:rPr>
              <w:t>1/19/16-12/31/16</w:t>
            </w:r>
          </w:p>
        </w:tc>
        <w:tc>
          <w:tcPr>
            <w:tcW w:w="475" w:type="dxa"/>
            <w:vAlign w:val="center"/>
          </w:tcPr>
          <w:p w14:paraId="2E45639D" w14:textId="77777777" w:rsidR="008544CA" w:rsidRPr="00550968" w:rsidRDefault="008544CA" w:rsidP="008544CA">
            <w:pPr>
              <w:tabs>
                <w:tab w:val="left" w:pos="-1080"/>
                <w:tab w:val="right" w:pos="196"/>
              </w:tabs>
              <w:jc w:val="center"/>
              <w:rPr>
                <w:sz w:val="20"/>
                <w:szCs w:val="20"/>
              </w:rPr>
            </w:pPr>
            <w:r>
              <w:rPr>
                <w:sz w:val="20"/>
                <w:szCs w:val="20"/>
              </w:rPr>
              <w:t>1</w:t>
            </w:r>
          </w:p>
        </w:tc>
        <w:tc>
          <w:tcPr>
            <w:tcW w:w="959" w:type="dxa"/>
            <w:vAlign w:val="center"/>
          </w:tcPr>
          <w:p w14:paraId="370B5B79" w14:textId="77777777" w:rsidR="008544CA" w:rsidRPr="00550968" w:rsidRDefault="008544CA" w:rsidP="008544CA">
            <w:pPr>
              <w:tabs>
                <w:tab w:val="left" w:pos="-1080"/>
                <w:tab w:val="right" w:pos="578"/>
              </w:tabs>
              <w:jc w:val="center"/>
              <w:rPr>
                <w:sz w:val="20"/>
                <w:szCs w:val="20"/>
              </w:rPr>
            </w:pPr>
            <w:r>
              <w:rPr>
                <w:sz w:val="20"/>
                <w:szCs w:val="20"/>
              </w:rPr>
              <w:t>250</w:t>
            </w:r>
          </w:p>
        </w:tc>
        <w:tc>
          <w:tcPr>
            <w:tcW w:w="462" w:type="dxa"/>
            <w:vAlign w:val="center"/>
          </w:tcPr>
          <w:p w14:paraId="49C0F7D7"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33" w:type="dxa"/>
            <w:vAlign w:val="center"/>
          </w:tcPr>
          <w:p w14:paraId="0AF0C681"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519" w:type="dxa"/>
            <w:vAlign w:val="center"/>
          </w:tcPr>
          <w:p w14:paraId="51FBFCB5"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31" w:type="dxa"/>
            <w:vAlign w:val="center"/>
          </w:tcPr>
          <w:p w14:paraId="4B1A8E49"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459" w:type="dxa"/>
            <w:vAlign w:val="center"/>
          </w:tcPr>
          <w:p w14:paraId="54D15AE3"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22" w:type="dxa"/>
            <w:vAlign w:val="center"/>
          </w:tcPr>
          <w:p w14:paraId="7E98A488"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504" w:type="dxa"/>
            <w:vAlign w:val="center"/>
          </w:tcPr>
          <w:p w14:paraId="40ECEF17" w14:textId="77777777" w:rsidR="008544CA" w:rsidRPr="00550968" w:rsidRDefault="008544CA" w:rsidP="008544CA">
            <w:pPr>
              <w:tabs>
                <w:tab w:val="left" w:pos="-1080"/>
                <w:tab w:val="right" w:pos="196"/>
              </w:tabs>
              <w:jc w:val="center"/>
              <w:rPr>
                <w:sz w:val="20"/>
                <w:szCs w:val="20"/>
              </w:rPr>
            </w:pPr>
            <w:r>
              <w:rPr>
                <w:sz w:val="20"/>
                <w:szCs w:val="20"/>
              </w:rPr>
              <w:t>1</w:t>
            </w:r>
          </w:p>
        </w:tc>
        <w:tc>
          <w:tcPr>
            <w:tcW w:w="1126" w:type="dxa"/>
            <w:vAlign w:val="center"/>
          </w:tcPr>
          <w:p w14:paraId="5C9D1E98" w14:textId="77777777" w:rsidR="008544CA" w:rsidRPr="00550968" w:rsidRDefault="008544CA" w:rsidP="008544CA">
            <w:pPr>
              <w:tabs>
                <w:tab w:val="left" w:pos="-1080"/>
                <w:tab w:val="right" w:pos="578"/>
              </w:tabs>
              <w:jc w:val="center"/>
              <w:rPr>
                <w:sz w:val="20"/>
                <w:szCs w:val="20"/>
              </w:rPr>
            </w:pPr>
            <w:r>
              <w:rPr>
                <w:sz w:val="20"/>
                <w:szCs w:val="20"/>
              </w:rPr>
              <w:t>250</w:t>
            </w:r>
          </w:p>
        </w:tc>
      </w:tr>
      <w:tr w:rsidR="008544CA" w:rsidRPr="00550968" w14:paraId="4332B4DA" w14:textId="77777777" w:rsidTr="00250940">
        <w:trPr>
          <w:trHeight w:val="238"/>
          <w:jc w:val="center"/>
        </w:trPr>
        <w:tc>
          <w:tcPr>
            <w:tcW w:w="1615" w:type="dxa"/>
            <w:vAlign w:val="center"/>
          </w:tcPr>
          <w:p w14:paraId="5B54A601" w14:textId="77777777" w:rsidR="008544CA" w:rsidRPr="00550968" w:rsidRDefault="008544CA" w:rsidP="008544CA">
            <w:pPr>
              <w:tabs>
                <w:tab w:val="left" w:pos="-1080"/>
              </w:tabs>
              <w:rPr>
                <w:sz w:val="20"/>
                <w:szCs w:val="20"/>
              </w:rPr>
            </w:pPr>
            <w:r w:rsidRPr="00550968">
              <w:rPr>
                <w:sz w:val="20"/>
                <w:szCs w:val="20"/>
              </w:rPr>
              <w:t>2017</w:t>
            </w:r>
          </w:p>
        </w:tc>
        <w:tc>
          <w:tcPr>
            <w:tcW w:w="475" w:type="dxa"/>
            <w:vAlign w:val="center"/>
          </w:tcPr>
          <w:p w14:paraId="597165F4" w14:textId="77777777" w:rsidR="008544CA" w:rsidRPr="00550968" w:rsidRDefault="008544CA" w:rsidP="008544CA">
            <w:pPr>
              <w:tabs>
                <w:tab w:val="left" w:pos="-1080"/>
                <w:tab w:val="right" w:pos="196"/>
              </w:tabs>
              <w:jc w:val="center"/>
              <w:rPr>
                <w:sz w:val="20"/>
                <w:szCs w:val="20"/>
              </w:rPr>
            </w:pPr>
            <w:r>
              <w:rPr>
                <w:sz w:val="20"/>
                <w:szCs w:val="20"/>
              </w:rPr>
              <w:t>0</w:t>
            </w:r>
          </w:p>
        </w:tc>
        <w:tc>
          <w:tcPr>
            <w:tcW w:w="959" w:type="dxa"/>
            <w:vAlign w:val="center"/>
          </w:tcPr>
          <w:p w14:paraId="6E612990" w14:textId="77777777" w:rsidR="008544CA" w:rsidRPr="00550968" w:rsidRDefault="008544CA" w:rsidP="008544CA">
            <w:pPr>
              <w:tabs>
                <w:tab w:val="left" w:pos="-1080"/>
                <w:tab w:val="right" w:pos="578"/>
              </w:tabs>
              <w:jc w:val="center"/>
              <w:rPr>
                <w:sz w:val="20"/>
                <w:szCs w:val="20"/>
              </w:rPr>
            </w:pPr>
            <w:r>
              <w:rPr>
                <w:sz w:val="20"/>
                <w:szCs w:val="20"/>
              </w:rPr>
              <w:t>0</w:t>
            </w:r>
          </w:p>
        </w:tc>
        <w:tc>
          <w:tcPr>
            <w:tcW w:w="462" w:type="dxa"/>
            <w:vAlign w:val="center"/>
          </w:tcPr>
          <w:p w14:paraId="2084770B"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33" w:type="dxa"/>
            <w:vAlign w:val="center"/>
          </w:tcPr>
          <w:p w14:paraId="14D7B30C"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519" w:type="dxa"/>
            <w:vAlign w:val="center"/>
          </w:tcPr>
          <w:p w14:paraId="31FC82DD"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31" w:type="dxa"/>
            <w:vAlign w:val="center"/>
          </w:tcPr>
          <w:p w14:paraId="3F353845"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459" w:type="dxa"/>
            <w:vAlign w:val="center"/>
          </w:tcPr>
          <w:p w14:paraId="77BC7CB0"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22" w:type="dxa"/>
            <w:vAlign w:val="center"/>
          </w:tcPr>
          <w:p w14:paraId="15087309"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504" w:type="dxa"/>
            <w:vAlign w:val="center"/>
          </w:tcPr>
          <w:p w14:paraId="0031E6EE" w14:textId="77777777" w:rsidR="008544CA" w:rsidRPr="00550968" w:rsidRDefault="008544CA" w:rsidP="008544CA">
            <w:pPr>
              <w:tabs>
                <w:tab w:val="left" w:pos="-1080"/>
                <w:tab w:val="right" w:pos="196"/>
              </w:tabs>
              <w:jc w:val="center"/>
              <w:rPr>
                <w:sz w:val="20"/>
                <w:szCs w:val="20"/>
              </w:rPr>
            </w:pPr>
            <w:r>
              <w:rPr>
                <w:sz w:val="20"/>
                <w:szCs w:val="20"/>
              </w:rPr>
              <w:t>0</w:t>
            </w:r>
          </w:p>
        </w:tc>
        <w:tc>
          <w:tcPr>
            <w:tcW w:w="1126" w:type="dxa"/>
            <w:vAlign w:val="center"/>
          </w:tcPr>
          <w:p w14:paraId="1574F6F4" w14:textId="77777777" w:rsidR="008544CA" w:rsidRPr="00550968" w:rsidRDefault="008544CA" w:rsidP="008544CA">
            <w:pPr>
              <w:tabs>
                <w:tab w:val="left" w:pos="-1080"/>
                <w:tab w:val="right" w:pos="578"/>
              </w:tabs>
              <w:jc w:val="center"/>
              <w:rPr>
                <w:sz w:val="20"/>
                <w:szCs w:val="20"/>
              </w:rPr>
            </w:pPr>
            <w:r>
              <w:rPr>
                <w:sz w:val="20"/>
                <w:szCs w:val="20"/>
              </w:rPr>
              <w:t>0</w:t>
            </w:r>
          </w:p>
        </w:tc>
      </w:tr>
      <w:tr w:rsidR="008544CA" w:rsidRPr="00550968" w14:paraId="4F487E3F" w14:textId="77777777" w:rsidTr="00250940">
        <w:trPr>
          <w:trHeight w:val="238"/>
          <w:jc w:val="center"/>
        </w:trPr>
        <w:tc>
          <w:tcPr>
            <w:tcW w:w="1615" w:type="dxa"/>
            <w:vAlign w:val="center"/>
          </w:tcPr>
          <w:p w14:paraId="0B50D89C" w14:textId="77777777" w:rsidR="008544CA" w:rsidRPr="00550968" w:rsidRDefault="008544CA" w:rsidP="008544CA">
            <w:pPr>
              <w:tabs>
                <w:tab w:val="left" w:pos="-1080"/>
              </w:tabs>
              <w:rPr>
                <w:sz w:val="20"/>
                <w:szCs w:val="20"/>
              </w:rPr>
            </w:pPr>
            <w:r w:rsidRPr="00550968">
              <w:rPr>
                <w:sz w:val="20"/>
                <w:szCs w:val="20"/>
              </w:rPr>
              <w:t>2018</w:t>
            </w:r>
          </w:p>
        </w:tc>
        <w:tc>
          <w:tcPr>
            <w:tcW w:w="475" w:type="dxa"/>
            <w:vAlign w:val="center"/>
          </w:tcPr>
          <w:p w14:paraId="37929451" w14:textId="77777777" w:rsidR="008544CA" w:rsidRPr="00550968" w:rsidRDefault="008544CA" w:rsidP="008544CA">
            <w:pPr>
              <w:tabs>
                <w:tab w:val="left" w:pos="-1080"/>
                <w:tab w:val="right" w:pos="196"/>
              </w:tabs>
              <w:jc w:val="center"/>
              <w:rPr>
                <w:sz w:val="20"/>
                <w:szCs w:val="20"/>
              </w:rPr>
            </w:pPr>
            <w:r>
              <w:rPr>
                <w:sz w:val="20"/>
                <w:szCs w:val="20"/>
              </w:rPr>
              <w:t>1</w:t>
            </w:r>
          </w:p>
        </w:tc>
        <w:tc>
          <w:tcPr>
            <w:tcW w:w="959" w:type="dxa"/>
            <w:vAlign w:val="center"/>
          </w:tcPr>
          <w:p w14:paraId="0D50B162" w14:textId="77777777" w:rsidR="008544CA" w:rsidRPr="00550968" w:rsidRDefault="008544CA" w:rsidP="008544CA">
            <w:pPr>
              <w:tabs>
                <w:tab w:val="left" w:pos="-1080"/>
                <w:tab w:val="right" w:pos="578"/>
              </w:tabs>
              <w:jc w:val="center"/>
              <w:rPr>
                <w:sz w:val="20"/>
                <w:szCs w:val="20"/>
              </w:rPr>
            </w:pPr>
            <w:r>
              <w:rPr>
                <w:sz w:val="20"/>
                <w:szCs w:val="20"/>
              </w:rPr>
              <w:t>506</w:t>
            </w:r>
          </w:p>
        </w:tc>
        <w:tc>
          <w:tcPr>
            <w:tcW w:w="462" w:type="dxa"/>
            <w:vAlign w:val="center"/>
          </w:tcPr>
          <w:p w14:paraId="6BB1BACA"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33" w:type="dxa"/>
            <w:vAlign w:val="center"/>
          </w:tcPr>
          <w:p w14:paraId="1C57CE72"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519" w:type="dxa"/>
            <w:vAlign w:val="center"/>
          </w:tcPr>
          <w:p w14:paraId="6F97B704" w14:textId="77777777" w:rsidR="008544CA" w:rsidRPr="00550968" w:rsidRDefault="008544CA" w:rsidP="008544CA">
            <w:pPr>
              <w:tabs>
                <w:tab w:val="left" w:pos="-1080"/>
                <w:tab w:val="right" w:pos="223"/>
              </w:tabs>
              <w:ind w:right="-61"/>
              <w:jc w:val="center"/>
              <w:rPr>
                <w:sz w:val="20"/>
                <w:szCs w:val="20"/>
              </w:rPr>
            </w:pPr>
            <w:r>
              <w:rPr>
                <w:sz w:val="20"/>
                <w:szCs w:val="20"/>
              </w:rPr>
              <w:t>4</w:t>
            </w:r>
          </w:p>
        </w:tc>
        <w:tc>
          <w:tcPr>
            <w:tcW w:w="931" w:type="dxa"/>
            <w:vAlign w:val="center"/>
          </w:tcPr>
          <w:p w14:paraId="2A54F8DC" w14:textId="77777777" w:rsidR="008544CA" w:rsidRPr="00550968" w:rsidRDefault="008544CA" w:rsidP="008544CA">
            <w:pPr>
              <w:tabs>
                <w:tab w:val="left" w:pos="-1080"/>
                <w:tab w:val="right" w:pos="542"/>
              </w:tabs>
              <w:ind w:left="-88" w:right="-55"/>
              <w:jc w:val="center"/>
              <w:rPr>
                <w:sz w:val="20"/>
                <w:szCs w:val="20"/>
              </w:rPr>
            </w:pPr>
            <w:r>
              <w:rPr>
                <w:sz w:val="20"/>
                <w:szCs w:val="20"/>
              </w:rPr>
              <w:t>825</w:t>
            </w:r>
          </w:p>
        </w:tc>
        <w:tc>
          <w:tcPr>
            <w:tcW w:w="459" w:type="dxa"/>
            <w:vAlign w:val="center"/>
          </w:tcPr>
          <w:p w14:paraId="18DBD2B0"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22" w:type="dxa"/>
            <w:vAlign w:val="center"/>
          </w:tcPr>
          <w:p w14:paraId="442E5758"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504" w:type="dxa"/>
            <w:vAlign w:val="center"/>
          </w:tcPr>
          <w:p w14:paraId="40D9A7A8" w14:textId="77777777" w:rsidR="008544CA" w:rsidRPr="00550968" w:rsidRDefault="008544CA" w:rsidP="008544CA">
            <w:pPr>
              <w:tabs>
                <w:tab w:val="left" w:pos="-1080"/>
                <w:tab w:val="right" w:pos="196"/>
              </w:tabs>
              <w:jc w:val="center"/>
              <w:rPr>
                <w:sz w:val="20"/>
                <w:szCs w:val="20"/>
              </w:rPr>
            </w:pPr>
            <w:r>
              <w:rPr>
                <w:sz w:val="20"/>
                <w:szCs w:val="20"/>
              </w:rPr>
              <w:t>5</w:t>
            </w:r>
          </w:p>
        </w:tc>
        <w:tc>
          <w:tcPr>
            <w:tcW w:w="1126" w:type="dxa"/>
            <w:vAlign w:val="center"/>
          </w:tcPr>
          <w:p w14:paraId="7901A5F4" w14:textId="77777777" w:rsidR="008544CA" w:rsidRPr="00550968" w:rsidRDefault="008544CA" w:rsidP="008544CA">
            <w:pPr>
              <w:tabs>
                <w:tab w:val="left" w:pos="-1080"/>
                <w:tab w:val="right" w:pos="578"/>
              </w:tabs>
              <w:jc w:val="center"/>
              <w:rPr>
                <w:sz w:val="20"/>
                <w:szCs w:val="20"/>
              </w:rPr>
            </w:pPr>
            <w:r>
              <w:rPr>
                <w:sz w:val="20"/>
                <w:szCs w:val="20"/>
              </w:rPr>
              <w:t>1,331</w:t>
            </w:r>
          </w:p>
        </w:tc>
      </w:tr>
      <w:tr w:rsidR="008544CA" w:rsidRPr="00550968" w14:paraId="561245B2" w14:textId="77777777" w:rsidTr="00250940">
        <w:trPr>
          <w:trHeight w:val="238"/>
          <w:jc w:val="center"/>
        </w:trPr>
        <w:tc>
          <w:tcPr>
            <w:tcW w:w="1615" w:type="dxa"/>
            <w:vAlign w:val="center"/>
          </w:tcPr>
          <w:p w14:paraId="2B20136D" w14:textId="77777777" w:rsidR="008544CA" w:rsidRPr="00550968" w:rsidRDefault="008544CA" w:rsidP="008544CA">
            <w:pPr>
              <w:tabs>
                <w:tab w:val="left" w:pos="-1080"/>
              </w:tabs>
              <w:rPr>
                <w:sz w:val="20"/>
                <w:szCs w:val="20"/>
              </w:rPr>
            </w:pPr>
            <w:r w:rsidRPr="00550968">
              <w:rPr>
                <w:sz w:val="20"/>
                <w:szCs w:val="20"/>
              </w:rPr>
              <w:t>2019</w:t>
            </w:r>
          </w:p>
        </w:tc>
        <w:tc>
          <w:tcPr>
            <w:tcW w:w="475" w:type="dxa"/>
            <w:vAlign w:val="center"/>
          </w:tcPr>
          <w:p w14:paraId="0895FC97" w14:textId="77777777" w:rsidR="008544CA" w:rsidRPr="00550968" w:rsidRDefault="008544CA" w:rsidP="008544CA">
            <w:pPr>
              <w:tabs>
                <w:tab w:val="left" w:pos="-1080"/>
                <w:tab w:val="right" w:pos="196"/>
              </w:tabs>
              <w:jc w:val="center"/>
              <w:rPr>
                <w:sz w:val="20"/>
                <w:szCs w:val="20"/>
              </w:rPr>
            </w:pPr>
            <w:r>
              <w:rPr>
                <w:sz w:val="20"/>
                <w:szCs w:val="20"/>
              </w:rPr>
              <w:t>0</w:t>
            </w:r>
          </w:p>
        </w:tc>
        <w:tc>
          <w:tcPr>
            <w:tcW w:w="959" w:type="dxa"/>
            <w:vAlign w:val="center"/>
          </w:tcPr>
          <w:p w14:paraId="7D07E4F9" w14:textId="77777777" w:rsidR="008544CA" w:rsidRPr="00550968" w:rsidRDefault="008544CA" w:rsidP="008544CA">
            <w:pPr>
              <w:tabs>
                <w:tab w:val="left" w:pos="-1080"/>
                <w:tab w:val="right" w:pos="578"/>
              </w:tabs>
              <w:jc w:val="center"/>
              <w:rPr>
                <w:sz w:val="20"/>
                <w:szCs w:val="20"/>
              </w:rPr>
            </w:pPr>
            <w:r>
              <w:rPr>
                <w:sz w:val="20"/>
                <w:szCs w:val="20"/>
              </w:rPr>
              <w:t>0</w:t>
            </w:r>
          </w:p>
        </w:tc>
        <w:tc>
          <w:tcPr>
            <w:tcW w:w="462" w:type="dxa"/>
            <w:vAlign w:val="center"/>
          </w:tcPr>
          <w:p w14:paraId="32E82689"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33" w:type="dxa"/>
            <w:vAlign w:val="center"/>
          </w:tcPr>
          <w:p w14:paraId="0F1B15D6"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519" w:type="dxa"/>
            <w:vAlign w:val="center"/>
          </w:tcPr>
          <w:p w14:paraId="1D2171D6" w14:textId="77777777" w:rsidR="008544CA" w:rsidRPr="00550968" w:rsidRDefault="008544CA" w:rsidP="008544CA">
            <w:pPr>
              <w:tabs>
                <w:tab w:val="left" w:pos="-1080"/>
                <w:tab w:val="right" w:pos="223"/>
              </w:tabs>
              <w:ind w:right="-61"/>
              <w:jc w:val="center"/>
              <w:rPr>
                <w:sz w:val="20"/>
                <w:szCs w:val="20"/>
              </w:rPr>
            </w:pPr>
            <w:r>
              <w:rPr>
                <w:sz w:val="20"/>
                <w:szCs w:val="20"/>
              </w:rPr>
              <w:t>0</w:t>
            </w:r>
          </w:p>
        </w:tc>
        <w:tc>
          <w:tcPr>
            <w:tcW w:w="931" w:type="dxa"/>
            <w:vAlign w:val="center"/>
          </w:tcPr>
          <w:p w14:paraId="2718CFF9"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459" w:type="dxa"/>
            <w:vAlign w:val="center"/>
          </w:tcPr>
          <w:p w14:paraId="7DEF43E4" w14:textId="77777777" w:rsidR="008544CA" w:rsidRPr="00550968" w:rsidRDefault="008544CA" w:rsidP="008544CA">
            <w:pPr>
              <w:tabs>
                <w:tab w:val="left" w:pos="-1080"/>
                <w:tab w:val="right" w:pos="223"/>
              </w:tabs>
              <w:ind w:right="-61"/>
              <w:jc w:val="center"/>
              <w:rPr>
                <w:sz w:val="20"/>
                <w:szCs w:val="20"/>
              </w:rPr>
            </w:pPr>
            <w:r w:rsidRPr="00550968">
              <w:rPr>
                <w:sz w:val="20"/>
                <w:szCs w:val="20"/>
              </w:rPr>
              <w:t>0</w:t>
            </w:r>
          </w:p>
        </w:tc>
        <w:tc>
          <w:tcPr>
            <w:tcW w:w="922" w:type="dxa"/>
            <w:vAlign w:val="center"/>
          </w:tcPr>
          <w:p w14:paraId="5F0C8A1F" w14:textId="77777777" w:rsidR="008544CA" w:rsidRPr="00550968" w:rsidRDefault="008544CA" w:rsidP="008544CA">
            <w:pPr>
              <w:tabs>
                <w:tab w:val="left" w:pos="-1080"/>
                <w:tab w:val="right" w:pos="542"/>
              </w:tabs>
              <w:ind w:left="-88" w:right="-55"/>
              <w:jc w:val="center"/>
              <w:rPr>
                <w:sz w:val="20"/>
                <w:szCs w:val="20"/>
              </w:rPr>
            </w:pPr>
            <w:r w:rsidRPr="00550968">
              <w:rPr>
                <w:sz w:val="20"/>
                <w:szCs w:val="20"/>
              </w:rPr>
              <w:t>0</w:t>
            </w:r>
          </w:p>
        </w:tc>
        <w:tc>
          <w:tcPr>
            <w:tcW w:w="504" w:type="dxa"/>
            <w:vAlign w:val="center"/>
          </w:tcPr>
          <w:p w14:paraId="7F1BB0AF" w14:textId="77777777" w:rsidR="008544CA" w:rsidRPr="00550968" w:rsidRDefault="008544CA" w:rsidP="008544CA">
            <w:pPr>
              <w:tabs>
                <w:tab w:val="left" w:pos="-1080"/>
                <w:tab w:val="right" w:pos="196"/>
              </w:tabs>
              <w:jc w:val="center"/>
              <w:rPr>
                <w:sz w:val="20"/>
                <w:szCs w:val="20"/>
              </w:rPr>
            </w:pPr>
            <w:r>
              <w:rPr>
                <w:sz w:val="20"/>
                <w:szCs w:val="20"/>
              </w:rPr>
              <w:t>0</w:t>
            </w:r>
          </w:p>
        </w:tc>
        <w:tc>
          <w:tcPr>
            <w:tcW w:w="1126" w:type="dxa"/>
            <w:vAlign w:val="center"/>
          </w:tcPr>
          <w:p w14:paraId="64561937" w14:textId="77777777" w:rsidR="008544CA" w:rsidRPr="00550968" w:rsidRDefault="008544CA" w:rsidP="008544CA">
            <w:pPr>
              <w:tabs>
                <w:tab w:val="left" w:pos="-1080"/>
                <w:tab w:val="right" w:pos="578"/>
              </w:tabs>
              <w:jc w:val="center"/>
              <w:rPr>
                <w:sz w:val="20"/>
                <w:szCs w:val="20"/>
              </w:rPr>
            </w:pPr>
            <w:r>
              <w:rPr>
                <w:sz w:val="20"/>
                <w:szCs w:val="20"/>
              </w:rPr>
              <w:t>0</w:t>
            </w:r>
          </w:p>
        </w:tc>
      </w:tr>
      <w:tr w:rsidR="008544CA" w:rsidRPr="00550968" w14:paraId="4148A872" w14:textId="77777777" w:rsidTr="00250940">
        <w:trPr>
          <w:trHeight w:val="238"/>
          <w:jc w:val="center"/>
        </w:trPr>
        <w:tc>
          <w:tcPr>
            <w:tcW w:w="1615" w:type="dxa"/>
            <w:vAlign w:val="center"/>
          </w:tcPr>
          <w:p w14:paraId="16089B07" w14:textId="77777777" w:rsidR="008544CA" w:rsidRPr="00550968" w:rsidRDefault="008544CA" w:rsidP="008544CA">
            <w:pPr>
              <w:tabs>
                <w:tab w:val="left" w:pos="-1080"/>
              </w:tabs>
              <w:rPr>
                <w:sz w:val="20"/>
                <w:szCs w:val="20"/>
              </w:rPr>
            </w:pPr>
            <w:r>
              <w:rPr>
                <w:sz w:val="20"/>
                <w:szCs w:val="20"/>
              </w:rPr>
              <w:t>2020</w:t>
            </w:r>
          </w:p>
        </w:tc>
        <w:tc>
          <w:tcPr>
            <w:tcW w:w="475" w:type="dxa"/>
            <w:vAlign w:val="center"/>
          </w:tcPr>
          <w:p w14:paraId="63301B74" w14:textId="77777777" w:rsidR="008544CA" w:rsidRPr="00550968" w:rsidRDefault="008544CA" w:rsidP="008544CA">
            <w:pPr>
              <w:tabs>
                <w:tab w:val="left" w:pos="-1080"/>
                <w:tab w:val="right" w:pos="196"/>
              </w:tabs>
              <w:jc w:val="center"/>
              <w:rPr>
                <w:sz w:val="20"/>
                <w:szCs w:val="20"/>
              </w:rPr>
            </w:pPr>
            <w:r>
              <w:rPr>
                <w:sz w:val="20"/>
                <w:szCs w:val="20"/>
              </w:rPr>
              <w:t>0</w:t>
            </w:r>
          </w:p>
        </w:tc>
        <w:tc>
          <w:tcPr>
            <w:tcW w:w="959" w:type="dxa"/>
            <w:vAlign w:val="center"/>
          </w:tcPr>
          <w:p w14:paraId="479A2F05" w14:textId="77777777" w:rsidR="008544CA" w:rsidRPr="00550968" w:rsidRDefault="008544CA" w:rsidP="008544CA">
            <w:pPr>
              <w:tabs>
                <w:tab w:val="left" w:pos="-1080"/>
                <w:tab w:val="right" w:pos="578"/>
              </w:tabs>
              <w:jc w:val="center"/>
              <w:rPr>
                <w:sz w:val="20"/>
                <w:szCs w:val="20"/>
              </w:rPr>
            </w:pPr>
            <w:r>
              <w:rPr>
                <w:sz w:val="20"/>
                <w:szCs w:val="20"/>
              </w:rPr>
              <w:t>0</w:t>
            </w:r>
          </w:p>
        </w:tc>
        <w:tc>
          <w:tcPr>
            <w:tcW w:w="462" w:type="dxa"/>
            <w:vAlign w:val="center"/>
          </w:tcPr>
          <w:p w14:paraId="010AB2A7" w14:textId="77777777" w:rsidR="008544CA" w:rsidRPr="00550968" w:rsidRDefault="008544CA" w:rsidP="008544CA">
            <w:pPr>
              <w:tabs>
                <w:tab w:val="left" w:pos="-1080"/>
                <w:tab w:val="right" w:pos="223"/>
              </w:tabs>
              <w:ind w:right="-61"/>
              <w:jc w:val="center"/>
              <w:rPr>
                <w:sz w:val="20"/>
                <w:szCs w:val="20"/>
              </w:rPr>
            </w:pPr>
            <w:r>
              <w:rPr>
                <w:sz w:val="20"/>
                <w:szCs w:val="20"/>
              </w:rPr>
              <w:t>1</w:t>
            </w:r>
          </w:p>
        </w:tc>
        <w:tc>
          <w:tcPr>
            <w:tcW w:w="933" w:type="dxa"/>
            <w:vAlign w:val="center"/>
          </w:tcPr>
          <w:p w14:paraId="1274705C" w14:textId="77777777" w:rsidR="008544CA" w:rsidRPr="00550968" w:rsidRDefault="008544CA" w:rsidP="008544CA">
            <w:pPr>
              <w:tabs>
                <w:tab w:val="left" w:pos="-1080"/>
                <w:tab w:val="right" w:pos="542"/>
              </w:tabs>
              <w:ind w:left="-88" w:right="-55"/>
              <w:jc w:val="center"/>
              <w:rPr>
                <w:sz w:val="20"/>
                <w:szCs w:val="20"/>
              </w:rPr>
            </w:pPr>
            <w:r>
              <w:rPr>
                <w:sz w:val="20"/>
                <w:szCs w:val="20"/>
              </w:rPr>
              <w:t>1,820</w:t>
            </w:r>
          </w:p>
        </w:tc>
        <w:tc>
          <w:tcPr>
            <w:tcW w:w="519" w:type="dxa"/>
            <w:vAlign w:val="center"/>
          </w:tcPr>
          <w:p w14:paraId="18073C09" w14:textId="77777777" w:rsidR="008544CA" w:rsidRPr="00550968" w:rsidRDefault="008544CA" w:rsidP="008544CA">
            <w:pPr>
              <w:tabs>
                <w:tab w:val="left" w:pos="-1080"/>
                <w:tab w:val="right" w:pos="223"/>
              </w:tabs>
              <w:ind w:right="-61"/>
              <w:jc w:val="center"/>
              <w:rPr>
                <w:sz w:val="20"/>
                <w:szCs w:val="20"/>
              </w:rPr>
            </w:pPr>
            <w:r>
              <w:rPr>
                <w:sz w:val="20"/>
                <w:szCs w:val="20"/>
              </w:rPr>
              <w:t>62</w:t>
            </w:r>
          </w:p>
        </w:tc>
        <w:tc>
          <w:tcPr>
            <w:tcW w:w="931" w:type="dxa"/>
            <w:vAlign w:val="center"/>
          </w:tcPr>
          <w:p w14:paraId="6896F69A" w14:textId="77777777" w:rsidR="008544CA" w:rsidRPr="00550968" w:rsidRDefault="008544CA" w:rsidP="008544CA">
            <w:pPr>
              <w:tabs>
                <w:tab w:val="left" w:pos="-1080"/>
                <w:tab w:val="right" w:pos="542"/>
              </w:tabs>
              <w:ind w:left="-88" w:right="-55"/>
              <w:jc w:val="center"/>
              <w:rPr>
                <w:sz w:val="20"/>
                <w:szCs w:val="20"/>
              </w:rPr>
            </w:pPr>
            <w:r>
              <w:rPr>
                <w:sz w:val="20"/>
                <w:szCs w:val="20"/>
              </w:rPr>
              <w:t>2,106</w:t>
            </w:r>
          </w:p>
        </w:tc>
        <w:tc>
          <w:tcPr>
            <w:tcW w:w="459" w:type="dxa"/>
            <w:vAlign w:val="center"/>
          </w:tcPr>
          <w:p w14:paraId="027F6587" w14:textId="77777777" w:rsidR="008544CA" w:rsidRPr="00550968" w:rsidRDefault="008544CA" w:rsidP="008544CA">
            <w:pPr>
              <w:tabs>
                <w:tab w:val="left" w:pos="-1080"/>
                <w:tab w:val="right" w:pos="223"/>
              </w:tabs>
              <w:ind w:right="-61"/>
              <w:jc w:val="center"/>
              <w:rPr>
                <w:sz w:val="20"/>
                <w:szCs w:val="20"/>
              </w:rPr>
            </w:pPr>
          </w:p>
        </w:tc>
        <w:tc>
          <w:tcPr>
            <w:tcW w:w="922" w:type="dxa"/>
            <w:vAlign w:val="center"/>
          </w:tcPr>
          <w:p w14:paraId="6C66934E" w14:textId="77777777" w:rsidR="008544CA" w:rsidRPr="00550968" w:rsidRDefault="008544CA" w:rsidP="008544CA">
            <w:pPr>
              <w:tabs>
                <w:tab w:val="left" w:pos="-1080"/>
                <w:tab w:val="right" w:pos="542"/>
              </w:tabs>
              <w:ind w:left="-88" w:right="-55"/>
              <w:jc w:val="center"/>
              <w:rPr>
                <w:sz w:val="20"/>
                <w:szCs w:val="20"/>
              </w:rPr>
            </w:pPr>
          </w:p>
        </w:tc>
        <w:tc>
          <w:tcPr>
            <w:tcW w:w="504" w:type="dxa"/>
            <w:vAlign w:val="center"/>
          </w:tcPr>
          <w:p w14:paraId="362DF812" w14:textId="77777777" w:rsidR="008544CA" w:rsidRPr="00550968" w:rsidRDefault="008544CA" w:rsidP="008544CA">
            <w:pPr>
              <w:tabs>
                <w:tab w:val="left" w:pos="-1080"/>
                <w:tab w:val="right" w:pos="196"/>
              </w:tabs>
              <w:jc w:val="center"/>
              <w:rPr>
                <w:sz w:val="20"/>
                <w:szCs w:val="20"/>
              </w:rPr>
            </w:pPr>
            <w:r>
              <w:rPr>
                <w:sz w:val="20"/>
                <w:szCs w:val="20"/>
              </w:rPr>
              <w:t>63</w:t>
            </w:r>
          </w:p>
        </w:tc>
        <w:tc>
          <w:tcPr>
            <w:tcW w:w="1126" w:type="dxa"/>
            <w:vAlign w:val="center"/>
          </w:tcPr>
          <w:p w14:paraId="1C92A821" w14:textId="77777777" w:rsidR="008544CA" w:rsidRPr="00550968" w:rsidRDefault="008544CA" w:rsidP="008544CA">
            <w:pPr>
              <w:tabs>
                <w:tab w:val="left" w:pos="-1080"/>
                <w:tab w:val="right" w:pos="578"/>
              </w:tabs>
              <w:jc w:val="center"/>
              <w:rPr>
                <w:sz w:val="20"/>
                <w:szCs w:val="20"/>
              </w:rPr>
            </w:pPr>
            <w:r>
              <w:rPr>
                <w:sz w:val="20"/>
                <w:szCs w:val="20"/>
              </w:rPr>
              <w:t>3,926</w:t>
            </w:r>
          </w:p>
        </w:tc>
      </w:tr>
      <w:tr w:rsidR="008544CA" w:rsidRPr="00550968" w14:paraId="4CAB0D3F" w14:textId="77777777" w:rsidTr="00250940">
        <w:trPr>
          <w:trHeight w:val="238"/>
          <w:jc w:val="center"/>
        </w:trPr>
        <w:tc>
          <w:tcPr>
            <w:tcW w:w="1615" w:type="dxa"/>
            <w:vAlign w:val="center"/>
          </w:tcPr>
          <w:p w14:paraId="1B72E892" w14:textId="77777777" w:rsidR="008544CA" w:rsidRPr="00550968" w:rsidRDefault="008544CA" w:rsidP="008544CA">
            <w:pPr>
              <w:tabs>
                <w:tab w:val="left" w:pos="-1080"/>
              </w:tabs>
              <w:rPr>
                <w:b/>
                <w:bCs/>
                <w:sz w:val="20"/>
                <w:szCs w:val="20"/>
              </w:rPr>
            </w:pPr>
            <w:r w:rsidRPr="00550968">
              <w:rPr>
                <w:b/>
                <w:bCs/>
                <w:sz w:val="20"/>
                <w:szCs w:val="20"/>
              </w:rPr>
              <w:t>Totals</w:t>
            </w:r>
          </w:p>
        </w:tc>
        <w:tc>
          <w:tcPr>
            <w:tcW w:w="475" w:type="dxa"/>
            <w:vAlign w:val="center"/>
          </w:tcPr>
          <w:p w14:paraId="2250E3A3" w14:textId="77777777" w:rsidR="008544CA" w:rsidRPr="00550968" w:rsidRDefault="008544CA" w:rsidP="008544CA">
            <w:pPr>
              <w:tabs>
                <w:tab w:val="left" w:pos="-1080"/>
                <w:tab w:val="right" w:pos="196"/>
              </w:tabs>
              <w:jc w:val="center"/>
              <w:rPr>
                <w:b/>
                <w:bCs/>
                <w:sz w:val="20"/>
                <w:szCs w:val="20"/>
              </w:rPr>
            </w:pPr>
            <w:r>
              <w:rPr>
                <w:b/>
                <w:bCs/>
                <w:sz w:val="20"/>
                <w:szCs w:val="20"/>
              </w:rPr>
              <w:t>2</w:t>
            </w:r>
          </w:p>
        </w:tc>
        <w:tc>
          <w:tcPr>
            <w:tcW w:w="959" w:type="dxa"/>
            <w:vAlign w:val="center"/>
          </w:tcPr>
          <w:p w14:paraId="14399958" w14:textId="77777777" w:rsidR="008544CA" w:rsidRPr="00550968" w:rsidRDefault="008544CA" w:rsidP="008544CA">
            <w:pPr>
              <w:tabs>
                <w:tab w:val="left" w:pos="-1080"/>
                <w:tab w:val="right" w:pos="578"/>
              </w:tabs>
              <w:jc w:val="center"/>
              <w:rPr>
                <w:b/>
                <w:bCs/>
                <w:sz w:val="20"/>
                <w:szCs w:val="20"/>
              </w:rPr>
            </w:pPr>
            <w:r>
              <w:rPr>
                <w:b/>
                <w:bCs/>
                <w:sz w:val="20"/>
                <w:szCs w:val="20"/>
              </w:rPr>
              <w:t>756</w:t>
            </w:r>
          </w:p>
        </w:tc>
        <w:tc>
          <w:tcPr>
            <w:tcW w:w="462" w:type="dxa"/>
            <w:vAlign w:val="center"/>
          </w:tcPr>
          <w:p w14:paraId="00BC7022" w14:textId="77777777" w:rsidR="008544CA" w:rsidRPr="00550968" w:rsidRDefault="008544CA" w:rsidP="008544CA">
            <w:pPr>
              <w:tabs>
                <w:tab w:val="left" w:pos="-1080"/>
                <w:tab w:val="right" w:pos="223"/>
              </w:tabs>
              <w:ind w:right="-61"/>
              <w:jc w:val="center"/>
              <w:rPr>
                <w:b/>
                <w:bCs/>
                <w:sz w:val="20"/>
                <w:szCs w:val="20"/>
              </w:rPr>
            </w:pPr>
            <w:r>
              <w:rPr>
                <w:b/>
                <w:bCs/>
                <w:sz w:val="20"/>
                <w:szCs w:val="20"/>
              </w:rPr>
              <w:t>1</w:t>
            </w:r>
          </w:p>
        </w:tc>
        <w:tc>
          <w:tcPr>
            <w:tcW w:w="933" w:type="dxa"/>
            <w:vAlign w:val="center"/>
          </w:tcPr>
          <w:p w14:paraId="58266D71" w14:textId="77777777" w:rsidR="008544CA" w:rsidRPr="00550968" w:rsidRDefault="008544CA" w:rsidP="008544CA">
            <w:pPr>
              <w:tabs>
                <w:tab w:val="left" w:pos="-1080"/>
                <w:tab w:val="right" w:pos="542"/>
              </w:tabs>
              <w:ind w:left="-88" w:right="-55"/>
              <w:jc w:val="center"/>
              <w:rPr>
                <w:b/>
                <w:bCs/>
                <w:sz w:val="20"/>
                <w:szCs w:val="20"/>
              </w:rPr>
            </w:pPr>
            <w:r>
              <w:rPr>
                <w:b/>
                <w:bCs/>
                <w:sz w:val="20"/>
                <w:szCs w:val="20"/>
              </w:rPr>
              <w:t>1,820</w:t>
            </w:r>
          </w:p>
        </w:tc>
        <w:tc>
          <w:tcPr>
            <w:tcW w:w="519" w:type="dxa"/>
            <w:vAlign w:val="center"/>
          </w:tcPr>
          <w:p w14:paraId="55415E85" w14:textId="77777777" w:rsidR="008544CA" w:rsidRPr="00550968" w:rsidRDefault="008544CA" w:rsidP="008544CA">
            <w:pPr>
              <w:tabs>
                <w:tab w:val="left" w:pos="-1080"/>
                <w:tab w:val="right" w:pos="223"/>
              </w:tabs>
              <w:ind w:right="-61"/>
              <w:jc w:val="center"/>
              <w:rPr>
                <w:b/>
                <w:bCs/>
                <w:sz w:val="20"/>
                <w:szCs w:val="20"/>
              </w:rPr>
            </w:pPr>
            <w:r>
              <w:rPr>
                <w:b/>
                <w:bCs/>
                <w:sz w:val="20"/>
                <w:szCs w:val="20"/>
              </w:rPr>
              <w:t>66</w:t>
            </w:r>
          </w:p>
        </w:tc>
        <w:tc>
          <w:tcPr>
            <w:tcW w:w="931" w:type="dxa"/>
            <w:vAlign w:val="center"/>
          </w:tcPr>
          <w:p w14:paraId="47D3EAC9" w14:textId="77777777" w:rsidR="008544CA" w:rsidRPr="00550968" w:rsidRDefault="008544CA" w:rsidP="008544CA">
            <w:pPr>
              <w:tabs>
                <w:tab w:val="left" w:pos="-1080"/>
                <w:tab w:val="right" w:pos="542"/>
              </w:tabs>
              <w:ind w:left="-88" w:right="-55"/>
              <w:jc w:val="center"/>
              <w:rPr>
                <w:b/>
                <w:bCs/>
                <w:sz w:val="20"/>
                <w:szCs w:val="20"/>
              </w:rPr>
            </w:pPr>
            <w:r>
              <w:rPr>
                <w:b/>
                <w:bCs/>
                <w:sz w:val="20"/>
                <w:szCs w:val="20"/>
              </w:rPr>
              <w:t>2,931</w:t>
            </w:r>
          </w:p>
        </w:tc>
        <w:tc>
          <w:tcPr>
            <w:tcW w:w="459" w:type="dxa"/>
            <w:vAlign w:val="center"/>
          </w:tcPr>
          <w:p w14:paraId="27E2EC06" w14:textId="77777777" w:rsidR="008544CA" w:rsidRPr="00550968" w:rsidRDefault="008544CA" w:rsidP="008544CA">
            <w:pPr>
              <w:tabs>
                <w:tab w:val="left" w:pos="-1080"/>
                <w:tab w:val="right" w:pos="223"/>
              </w:tabs>
              <w:ind w:right="-61"/>
              <w:jc w:val="center"/>
              <w:rPr>
                <w:b/>
                <w:bCs/>
                <w:sz w:val="20"/>
                <w:szCs w:val="20"/>
              </w:rPr>
            </w:pPr>
            <w:r w:rsidRPr="00550968">
              <w:rPr>
                <w:b/>
                <w:bCs/>
                <w:sz w:val="20"/>
                <w:szCs w:val="20"/>
              </w:rPr>
              <w:t>0</w:t>
            </w:r>
          </w:p>
        </w:tc>
        <w:tc>
          <w:tcPr>
            <w:tcW w:w="922" w:type="dxa"/>
            <w:vAlign w:val="center"/>
          </w:tcPr>
          <w:p w14:paraId="47857533" w14:textId="77777777" w:rsidR="008544CA" w:rsidRPr="00550968" w:rsidRDefault="008544CA" w:rsidP="008544CA">
            <w:pPr>
              <w:tabs>
                <w:tab w:val="left" w:pos="-1080"/>
                <w:tab w:val="right" w:pos="542"/>
              </w:tabs>
              <w:ind w:left="-88" w:right="-55"/>
              <w:jc w:val="center"/>
              <w:rPr>
                <w:b/>
                <w:bCs/>
                <w:sz w:val="20"/>
                <w:szCs w:val="20"/>
              </w:rPr>
            </w:pPr>
            <w:r w:rsidRPr="00550968">
              <w:rPr>
                <w:b/>
                <w:bCs/>
                <w:sz w:val="20"/>
                <w:szCs w:val="20"/>
              </w:rPr>
              <w:t>0</w:t>
            </w:r>
          </w:p>
        </w:tc>
        <w:tc>
          <w:tcPr>
            <w:tcW w:w="504" w:type="dxa"/>
            <w:vAlign w:val="center"/>
          </w:tcPr>
          <w:p w14:paraId="65EE0941" w14:textId="77777777" w:rsidR="008544CA" w:rsidRPr="00550968" w:rsidRDefault="008544CA" w:rsidP="008544CA">
            <w:pPr>
              <w:tabs>
                <w:tab w:val="left" w:pos="-1080"/>
                <w:tab w:val="right" w:pos="196"/>
              </w:tabs>
              <w:jc w:val="center"/>
              <w:rPr>
                <w:b/>
                <w:bCs/>
                <w:sz w:val="20"/>
                <w:szCs w:val="20"/>
              </w:rPr>
            </w:pPr>
            <w:r>
              <w:rPr>
                <w:b/>
                <w:bCs/>
                <w:sz w:val="20"/>
                <w:szCs w:val="20"/>
              </w:rPr>
              <w:t>69</w:t>
            </w:r>
          </w:p>
        </w:tc>
        <w:tc>
          <w:tcPr>
            <w:tcW w:w="1126" w:type="dxa"/>
            <w:vAlign w:val="center"/>
          </w:tcPr>
          <w:p w14:paraId="77E5F9BF" w14:textId="77777777" w:rsidR="008544CA" w:rsidRPr="00550968" w:rsidRDefault="008544CA" w:rsidP="008544CA">
            <w:pPr>
              <w:tabs>
                <w:tab w:val="left" w:pos="-1080"/>
                <w:tab w:val="right" w:pos="578"/>
              </w:tabs>
              <w:jc w:val="center"/>
              <w:rPr>
                <w:b/>
                <w:bCs/>
                <w:sz w:val="20"/>
                <w:szCs w:val="20"/>
              </w:rPr>
            </w:pPr>
            <w:r>
              <w:rPr>
                <w:b/>
                <w:bCs/>
                <w:sz w:val="20"/>
                <w:szCs w:val="20"/>
              </w:rPr>
              <w:t>5,507</w:t>
            </w:r>
          </w:p>
        </w:tc>
      </w:tr>
      <w:tr w:rsidR="008544CA" w:rsidRPr="00550968" w14:paraId="6F128904" w14:textId="77777777" w:rsidTr="00250940">
        <w:trPr>
          <w:trHeight w:val="178"/>
          <w:jc w:val="center"/>
        </w:trPr>
        <w:tc>
          <w:tcPr>
            <w:tcW w:w="8905" w:type="dxa"/>
            <w:gridSpan w:val="11"/>
            <w:vAlign w:val="center"/>
          </w:tcPr>
          <w:p w14:paraId="59280346" w14:textId="738F7246" w:rsidR="008544CA" w:rsidRPr="00550968" w:rsidRDefault="008544CA" w:rsidP="008544CA">
            <w:pPr>
              <w:tabs>
                <w:tab w:val="left" w:pos="-1080"/>
              </w:tabs>
              <w:ind w:hanging="90"/>
              <w:rPr>
                <w:i/>
                <w:iCs/>
                <w:sz w:val="20"/>
                <w:szCs w:val="20"/>
              </w:rPr>
            </w:pPr>
            <w:r w:rsidRPr="00550968">
              <w:rPr>
                <w:i/>
                <w:iCs/>
                <w:sz w:val="20"/>
                <w:szCs w:val="20"/>
              </w:rPr>
              <w:t xml:space="preserve">Source:  </w:t>
            </w:r>
            <w:r w:rsidR="00E85422">
              <w:rPr>
                <w:i/>
                <w:iCs/>
                <w:sz w:val="20"/>
                <w:szCs w:val="20"/>
              </w:rPr>
              <w:t>Credit Union Records</w:t>
            </w:r>
          </w:p>
        </w:tc>
      </w:tr>
    </w:tbl>
    <w:p w14:paraId="351F5092" w14:textId="77777777" w:rsidR="008544CA" w:rsidRPr="00A314F3" w:rsidRDefault="008544CA" w:rsidP="008544CA"/>
    <w:p w14:paraId="0D62BD18" w14:textId="77777777" w:rsidR="008544CA" w:rsidRPr="00A314F3" w:rsidRDefault="008544CA" w:rsidP="00250940">
      <w:pPr>
        <w:jc w:val="both"/>
      </w:pPr>
      <w:r w:rsidRPr="00A314F3">
        <w:t>Below are</w:t>
      </w:r>
      <w:r>
        <w:t xml:space="preserve"> notable</w:t>
      </w:r>
      <w:r w:rsidRPr="00A314F3">
        <w:t xml:space="preserve"> examples of community development loans: </w:t>
      </w:r>
    </w:p>
    <w:p w14:paraId="1FFD0335" w14:textId="77777777" w:rsidR="008544CA" w:rsidRPr="00A314F3" w:rsidRDefault="008544CA" w:rsidP="00250940">
      <w:pPr>
        <w:jc w:val="both"/>
      </w:pPr>
    </w:p>
    <w:p w14:paraId="4870D8A7" w14:textId="27F08917" w:rsidR="008544CA" w:rsidRDefault="008544CA" w:rsidP="00250940">
      <w:pPr>
        <w:widowControl w:val="0"/>
        <w:numPr>
          <w:ilvl w:val="0"/>
          <w:numId w:val="19"/>
        </w:numPr>
        <w:jc w:val="both"/>
      </w:pPr>
      <w:r>
        <w:t>In 2016,</w:t>
      </w:r>
      <w:r w:rsidRPr="00A314F3">
        <w:t xml:space="preserve"> the </w:t>
      </w:r>
      <w:r>
        <w:t>credit union</w:t>
      </w:r>
      <w:r w:rsidRPr="00A314F3">
        <w:t xml:space="preserve"> made a $</w:t>
      </w:r>
      <w:r>
        <w:t>250,000</w:t>
      </w:r>
      <w:r w:rsidRPr="00A314F3">
        <w:t xml:space="preserve"> </w:t>
      </w:r>
      <w:r>
        <w:t xml:space="preserve">loan </w:t>
      </w:r>
      <w:r w:rsidRPr="00A314F3">
        <w:t>to</w:t>
      </w:r>
      <w:r>
        <w:t xml:space="preserve"> purchase a multifamily property in Fitchburg</w:t>
      </w:r>
      <w:r w:rsidR="00EC1EED">
        <w:t>,</w:t>
      </w:r>
      <w:r>
        <w:t xml:space="preserve"> MA</w:t>
      </w:r>
      <w:proofErr w:type="gramStart"/>
      <w:r>
        <w:t xml:space="preserve">.  </w:t>
      </w:r>
      <w:proofErr w:type="gramEnd"/>
      <w:r>
        <w:t xml:space="preserve">The 16 units include 12 units subsidized by the Massachusetts Rental Voucher Program, providing Single Resident Occupancy (SRO) units for low- or moderate-income individuals as affordable housing. </w:t>
      </w:r>
    </w:p>
    <w:p w14:paraId="2C3454B0" w14:textId="77777777" w:rsidR="008544CA" w:rsidRPr="00A314F3" w:rsidRDefault="008544CA" w:rsidP="00250940">
      <w:pPr>
        <w:widowControl w:val="0"/>
        <w:ind w:left="720"/>
        <w:jc w:val="both"/>
      </w:pPr>
    </w:p>
    <w:p w14:paraId="6EA1AB7E" w14:textId="77777777" w:rsidR="008544CA" w:rsidRPr="00A314F3" w:rsidRDefault="008544CA" w:rsidP="00250940">
      <w:pPr>
        <w:widowControl w:val="0"/>
        <w:numPr>
          <w:ilvl w:val="0"/>
          <w:numId w:val="19"/>
        </w:numPr>
        <w:contextualSpacing/>
        <w:jc w:val="both"/>
      </w:pPr>
      <w:r>
        <w:t>The credit union originated two loans in 2018 for $423,000 to purchase a commercial property located in Leominster, MA</w:t>
      </w:r>
      <w:proofErr w:type="gramStart"/>
      <w:r>
        <w:t xml:space="preserve">.  </w:t>
      </w:r>
      <w:proofErr w:type="gramEnd"/>
      <w:r>
        <w:t xml:space="preserve">The projects will help generate employment and the loans </w:t>
      </w:r>
      <w:proofErr w:type="gramStart"/>
      <w:r>
        <w:t>were originated</w:t>
      </w:r>
      <w:proofErr w:type="gramEnd"/>
      <w:r>
        <w:t xml:space="preserve"> in concert with the SBA 504 program. This loan qualifies as economic development within the assessment area.  </w:t>
      </w:r>
    </w:p>
    <w:p w14:paraId="4B3CEC85" w14:textId="77777777" w:rsidR="008544CA" w:rsidRPr="00A314F3" w:rsidRDefault="008544CA" w:rsidP="00250940">
      <w:pPr>
        <w:ind w:left="720"/>
        <w:contextualSpacing/>
        <w:jc w:val="both"/>
      </w:pPr>
    </w:p>
    <w:p w14:paraId="7B4A8BF2" w14:textId="77777777" w:rsidR="008544CA" w:rsidRPr="00A314F3" w:rsidRDefault="008544CA" w:rsidP="00250940">
      <w:pPr>
        <w:widowControl w:val="0"/>
        <w:numPr>
          <w:ilvl w:val="0"/>
          <w:numId w:val="19"/>
        </w:numPr>
        <w:contextualSpacing/>
        <w:jc w:val="both"/>
      </w:pPr>
      <w:r w:rsidRPr="00A314F3">
        <w:t xml:space="preserve">The </w:t>
      </w:r>
      <w:r>
        <w:t>credit union</w:t>
      </w:r>
      <w:r w:rsidRPr="00A314F3">
        <w:t xml:space="preserve"> </w:t>
      </w:r>
      <w:r>
        <w:t>financed the purchase of a mixed-use multifamily property in Worcester, MA in 2018. All nine units maintained rent below the HUD Fair Market Value and deemed affordable</w:t>
      </w:r>
      <w:proofErr w:type="gramStart"/>
      <w:r>
        <w:t xml:space="preserve">.  </w:t>
      </w:r>
      <w:proofErr w:type="gramEnd"/>
      <w:r>
        <w:t xml:space="preserve">Based on this metric, these units </w:t>
      </w:r>
      <w:proofErr w:type="gramStart"/>
      <w:r>
        <w:t>are likely occupied</w:t>
      </w:r>
      <w:proofErr w:type="gramEnd"/>
      <w:r>
        <w:t xml:space="preserve"> by residents delineated as low- or moderate-income. The qualified amount of the loan totals $506,000.    </w:t>
      </w:r>
    </w:p>
    <w:p w14:paraId="75E7B6C0" w14:textId="77777777" w:rsidR="008544CA" w:rsidRPr="00A314F3" w:rsidRDefault="008544CA" w:rsidP="00250940">
      <w:pPr>
        <w:ind w:left="720"/>
        <w:contextualSpacing/>
        <w:jc w:val="both"/>
      </w:pPr>
    </w:p>
    <w:p w14:paraId="555ADD0F" w14:textId="77777777" w:rsidR="008544CA" w:rsidRPr="00A314F3" w:rsidRDefault="008544CA" w:rsidP="00250940">
      <w:pPr>
        <w:widowControl w:val="0"/>
        <w:numPr>
          <w:ilvl w:val="0"/>
          <w:numId w:val="19"/>
        </w:numPr>
        <w:contextualSpacing/>
        <w:jc w:val="both"/>
      </w:pPr>
      <w:r>
        <w:t>In 2020, the credit union originated a $1.8 million loan to a nonprofit organization</w:t>
      </w:r>
      <w:proofErr w:type="gramStart"/>
      <w:r>
        <w:t xml:space="preserve">.  </w:t>
      </w:r>
      <w:proofErr w:type="gramEnd"/>
      <w:r>
        <w:t>The mission of the organization is to alleviate poverty through social services and support</w:t>
      </w:r>
      <w:proofErr w:type="gramStart"/>
      <w:r>
        <w:t xml:space="preserve">.  </w:t>
      </w:r>
      <w:proofErr w:type="gramEnd"/>
      <w:r>
        <w:t xml:space="preserve">This loan </w:t>
      </w:r>
      <w:proofErr w:type="gramStart"/>
      <w:r>
        <w:t>was originated</w:t>
      </w:r>
      <w:proofErr w:type="gramEnd"/>
      <w:r>
        <w:t xml:space="preserve"> through the SBA PPP program.</w:t>
      </w:r>
    </w:p>
    <w:p w14:paraId="19DF654A" w14:textId="77777777" w:rsidR="008544CA" w:rsidRPr="00A314F3" w:rsidRDefault="008544CA" w:rsidP="00250940">
      <w:pPr>
        <w:contextualSpacing/>
        <w:jc w:val="both"/>
      </w:pPr>
    </w:p>
    <w:p w14:paraId="2A3D7D62" w14:textId="44F81522" w:rsidR="008544CA" w:rsidRPr="00A314F3" w:rsidRDefault="008544CA" w:rsidP="00250940">
      <w:pPr>
        <w:widowControl w:val="0"/>
        <w:numPr>
          <w:ilvl w:val="0"/>
          <w:numId w:val="19"/>
        </w:numPr>
        <w:contextualSpacing/>
        <w:jc w:val="both"/>
      </w:pPr>
      <w:r w:rsidRPr="00A314F3">
        <w:t xml:space="preserve">The </w:t>
      </w:r>
      <w:r>
        <w:t>credit union</w:t>
      </w:r>
      <w:r w:rsidRPr="00A314F3">
        <w:t xml:space="preserve"> </w:t>
      </w:r>
      <w:r>
        <w:t>originated an $180,000 loan to a local small business through the PPP program</w:t>
      </w:r>
      <w:proofErr w:type="gramStart"/>
      <w:r>
        <w:t xml:space="preserve">.  </w:t>
      </w:r>
      <w:proofErr w:type="gramEnd"/>
      <w:r>
        <w:t xml:space="preserve">The business, a plumbing company in Worcester, employs 25 individuals at an average salary of $34,000 per year. This income level indicates that </w:t>
      </w:r>
      <w:proofErr w:type="gramStart"/>
      <w:r>
        <w:t xml:space="preserve">a large </w:t>
      </w:r>
      <w:r w:rsidR="00726F33">
        <w:t>portion of the employees are</w:t>
      </w:r>
      <w:proofErr w:type="gramEnd"/>
      <w:r w:rsidR="00726F33">
        <w:t xml:space="preserve"> likely </w:t>
      </w:r>
      <w:r>
        <w:t xml:space="preserve">part of moderate-income households. </w:t>
      </w:r>
    </w:p>
    <w:p w14:paraId="13FFE69B" w14:textId="77777777" w:rsidR="008544CA" w:rsidRPr="00A314F3" w:rsidRDefault="008544CA" w:rsidP="00250940">
      <w:pPr>
        <w:widowControl w:val="0"/>
        <w:ind w:left="720"/>
        <w:jc w:val="both"/>
        <w:rPr>
          <w:rFonts w:ascii="Courier" w:hAnsi="Courier" w:cs="Courier"/>
        </w:rPr>
      </w:pPr>
    </w:p>
    <w:p w14:paraId="5B3E7F28" w14:textId="77777777" w:rsidR="008544CA" w:rsidRPr="00A314F3" w:rsidRDefault="008544CA" w:rsidP="00250940">
      <w:pPr>
        <w:widowControl w:val="0"/>
        <w:jc w:val="both"/>
        <w:rPr>
          <w:b/>
          <w:bCs/>
          <w:u w:val="single"/>
        </w:rPr>
      </w:pPr>
      <w:r w:rsidRPr="00A314F3">
        <w:rPr>
          <w:b/>
          <w:bCs/>
          <w:u w:val="single"/>
        </w:rPr>
        <w:t>Qualified Investments</w:t>
      </w:r>
    </w:p>
    <w:p w14:paraId="07A0F9E0" w14:textId="77777777" w:rsidR="008544CA" w:rsidRPr="00A314F3" w:rsidRDefault="008544CA" w:rsidP="00250940">
      <w:pPr>
        <w:widowControl w:val="0"/>
        <w:jc w:val="both"/>
      </w:pPr>
    </w:p>
    <w:p w14:paraId="459EBFC5" w14:textId="7A4DFB92" w:rsidR="008544CA" w:rsidRDefault="00E85422" w:rsidP="00250940">
      <w:pPr>
        <w:widowControl w:val="0"/>
        <w:jc w:val="both"/>
      </w:pPr>
      <w:r>
        <w:t>Leominster Credit Union</w:t>
      </w:r>
      <w:r w:rsidR="000A0040">
        <w:t xml:space="preserve"> made 130</w:t>
      </w:r>
      <w:r w:rsidR="008544CA" w:rsidRPr="00581CF0">
        <w:t xml:space="preserve"> qualified investments totaling approximately $</w:t>
      </w:r>
      <w:r w:rsidR="00C938E2">
        <w:t>266,613</w:t>
      </w:r>
      <w:r w:rsidR="00F5471C">
        <w:t xml:space="preserve">, equal to </w:t>
      </w:r>
      <w:r w:rsidR="008544CA" w:rsidRPr="00896644">
        <w:t>0.4 percen</w:t>
      </w:r>
      <w:r w:rsidR="00F5471C">
        <w:t xml:space="preserve">t of average total assets </w:t>
      </w:r>
      <w:r w:rsidR="008544CA" w:rsidRPr="00896644">
        <w:t>over the evaluation period</w:t>
      </w:r>
      <w:proofErr w:type="gramStart"/>
      <w:r w:rsidR="008544CA" w:rsidRPr="00896644">
        <w:t>.</w:t>
      </w:r>
      <w:r w:rsidR="00F5471C">
        <w:t xml:space="preserve">  </w:t>
      </w:r>
      <w:proofErr w:type="gramEnd"/>
      <w:r w:rsidR="00F5471C">
        <w:t>This represents a significant increase since the previous evaluation, when the institution’s qualified investments totaled $51,127.</w:t>
      </w:r>
    </w:p>
    <w:p w14:paraId="220B1867" w14:textId="77777777" w:rsidR="008544CA" w:rsidRDefault="008544CA" w:rsidP="00250940">
      <w:pPr>
        <w:widowControl w:val="0"/>
        <w:jc w:val="both"/>
      </w:pPr>
      <w:r>
        <w:lastRenderedPageBreak/>
        <w:t>T</w:t>
      </w:r>
      <w:r w:rsidRPr="00A314F3">
        <w:t xml:space="preserve">he following table </w:t>
      </w:r>
      <w:r>
        <w:t>details qualified</w:t>
      </w:r>
      <w:r w:rsidRPr="00A314F3">
        <w:t xml:space="preserve"> investment</w:t>
      </w:r>
      <w:r>
        <w:t>s by year and purpose</w:t>
      </w:r>
      <w:r w:rsidRPr="00A314F3">
        <w:t>.</w:t>
      </w:r>
    </w:p>
    <w:p w14:paraId="1EB3ECE1" w14:textId="77777777" w:rsidR="008544CA" w:rsidRPr="00A314F3" w:rsidRDefault="008544CA" w:rsidP="008544CA">
      <w:pPr>
        <w:widowControl w:val="0"/>
      </w:pPr>
    </w:p>
    <w:tbl>
      <w:tblPr>
        <w:tblW w:w="9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66"/>
        <w:gridCol w:w="460"/>
        <w:gridCol w:w="930"/>
        <w:gridCol w:w="539"/>
        <w:gridCol w:w="1105"/>
        <w:gridCol w:w="552"/>
        <w:gridCol w:w="829"/>
        <w:gridCol w:w="552"/>
        <w:gridCol w:w="829"/>
        <w:gridCol w:w="644"/>
        <w:gridCol w:w="1108"/>
      </w:tblGrid>
      <w:tr w:rsidR="008544CA" w:rsidRPr="00550968" w14:paraId="6584C16F" w14:textId="77777777" w:rsidTr="00250940">
        <w:trPr>
          <w:trHeight w:val="261"/>
          <w:jc w:val="center"/>
        </w:trPr>
        <w:tc>
          <w:tcPr>
            <w:tcW w:w="9114" w:type="dxa"/>
            <w:gridSpan w:val="11"/>
            <w:vAlign w:val="center"/>
          </w:tcPr>
          <w:p w14:paraId="779335D2" w14:textId="77777777" w:rsidR="008544CA" w:rsidRPr="00550968" w:rsidRDefault="008544CA" w:rsidP="008544CA">
            <w:pPr>
              <w:tabs>
                <w:tab w:val="left" w:pos="-1080"/>
              </w:tabs>
              <w:jc w:val="center"/>
              <w:rPr>
                <w:b/>
                <w:bCs/>
                <w:sz w:val="20"/>
                <w:szCs w:val="20"/>
              </w:rPr>
            </w:pPr>
            <w:r w:rsidRPr="00550968">
              <w:rPr>
                <w:b/>
                <w:bCs/>
                <w:sz w:val="20"/>
                <w:szCs w:val="20"/>
              </w:rPr>
              <w:t>Qualified Investments</w:t>
            </w:r>
          </w:p>
        </w:tc>
      </w:tr>
      <w:tr w:rsidR="008544CA" w:rsidRPr="00550968" w14:paraId="635A903C" w14:textId="77777777" w:rsidTr="00250940">
        <w:trPr>
          <w:trHeight w:val="233"/>
          <w:jc w:val="center"/>
        </w:trPr>
        <w:tc>
          <w:tcPr>
            <w:tcW w:w="1566" w:type="dxa"/>
            <w:vMerge w:val="restart"/>
            <w:vAlign w:val="center"/>
          </w:tcPr>
          <w:p w14:paraId="30FD9AD0" w14:textId="77777777" w:rsidR="008544CA" w:rsidRPr="00550968" w:rsidRDefault="008544CA" w:rsidP="008544CA">
            <w:pPr>
              <w:tabs>
                <w:tab w:val="left" w:pos="-1080"/>
              </w:tabs>
              <w:rPr>
                <w:b/>
                <w:sz w:val="20"/>
                <w:szCs w:val="20"/>
              </w:rPr>
            </w:pPr>
            <w:r w:rsidRPr="00550968">
              <w:rPr>
                <w:b/>
                <w:sz w:val="20"/>
                <w:szCs w:val="20"/>
              </w:rPr>
              <w:t>Activity Year</w:t>
            </w:r>
          </w:p>
        </w:tc>
        <w:tc>
          <w:tcPr>
            <w:tcW w:w="1390" w:type="dxa"/>
            <w:gridSpan w:val="2"/>
            <w:vAlign w:val="center"/>
          </w:tcPr>
          <w:p w14:paraId="0C28EF17" w14:textId="77777777" w:rsidR="008544CA" w:rsidRPr="00550968" w:rsidRDefault="008544CA" w:rsidP="008544CA">
            <w:pPr>
              <w:tabs>
                <w:tab w:val="left" w:pos="-1080"/>
              </w:tabs>
              <w:jc w:val="center"/>
              <w:rPr>
                <w:b/>
                <w:bCs/>
                <w:sz w:val="20"/>
                <w:szCs w:val="20"/>
              </w:rPr>
            </w:pPr>
            <w:r w:rsidRPr="00550968">
              <w:rPr>
                <w:b/>
                <w:bCs/>
                <w:sz w:val="20"/>
                <w:szCs w:val="20"/>
              </w:rPr>
              <w:t>Affordable Housing</w:t>
            </w:r>
          </w:p>
        </w:tc>
        <w:tc>
          <w:tcPr>
            <w:tcW w:w="1644" w:type="dxa"/>
            <w:gridSpan w:val="2"/>
            <w:vAlign w:val="center"/>
          </w:tcPr>
          <w:p w14:paraId="1968EA73" w14:textId="77777777" w:rsidR="008544CA" w:rsidRPr="00550968" w:rsidRDefault="008544CA" w:rsidP="008544CA">
            <w:pPr>
              <w:tabs>
                <w:tab w:val="left" w:pos="-1080"/>
              </w:tabs>
              <w:jc w:val="center"/>
              <w:rPr>
                <w:b/>
                <w:bCs/>
                <w:sz w:val="20"/>
                <w:szCs w:val="20"/>
              </w:rPr>
            </w:pPr>
            <w:r w:rsidRPr="00550968">
              <w:rPr>
                <w:b/>
                <w:bCs/>
                <w:sz w:val="20"/>
                <w:szCs w:val="20"/>
              </w:rPr>
              <w:t>Community Services</w:t>
            </w:r>
          </w:p>
        </w:tc>
        <w:tc>
          <w:tcPr>
            <w:tcW w:w="1381" w:type="dxa"/>
            <w:gridSpan w:val="2"/>
            <w:vAlign w:val="center"/>
          </w:tcPr>
          <w:p w14:paraId="68F6EDE1" w14:textId="77777777" w:rsidR="008544CA" w:rsidRPr="00550968" w:rsidRDefault="008544CA" w:rsidP="008544CA">
            <w:pPr>
              <w:tabs>
                <w:tab w:val="left" w:pos="-1080"/>
              </w:tabs>
              <w:jc w:val="center"/>
              <w:rPr>
                <w:b/>
                <w:bCs/>
                <w:sz w:val="20"/>
                <w:szCs w:val="20"/>
              </w:rPr>
            </w:pPr>
            <w:r w:rsidRPr="00550968">
              <w:rPr>
                <w:b/>
                <w:bCs/>
                <w:sz w:val="20"/>
                <w:szCs w:val="20"/>
              </w:rPr>
              <w:t>Economic Development</w:t>
            </w:r>
          </w:p>
        </w:tc>
        <w:tc>
          <w:tcPr>
            <w:tcW w:w="1381" w:type="dxa"/>
            <w:gridSpan w:val="2"/>
            <w:vAlign w:val="center"/>
          </w:tcPr>
          <w:p w14:paraId="6410C21A" w14:textId="77777777" w:rsidR="008544CA" w:rsidRPr="00550968" w:rsidRDefault="008544CA" w:rsidP="008544CA">
            <w:pPr>
              <w:tabs>
                <w:tab w:val="left" w:pos="-1080"/>
              </w:tabs>
              <w:jc w:val="center"/>
              <w:rPr>
                <w:b/>
                <w:bCs/>
                <w:sz w:val="20"/>
                <w:szCs w:val="20"/>
              </w:rPr>
            </w:pPr>
            <w:r w:rsidRPr="00550968">
              <w:rPr>
                <w:b/>
                <w:bCs/>
                <w:sz w:val="20"/>
                <w:szCs w:val="20"/>
              </w:rPr>
              <w:t>Revitalize</w:t>
            </w:r>
          </w:p>
          <w:p w14:paraId="71F358D4" w14:textId="77777777" w:rsidR="008544CA" w:rsidRPr="00550968" w:rsidRDefault="008544CA" w:rsidP="008544CA">
            <w:pPr>
              <w:tabs>
                <w:tab w:val="left" w:pos="-1080"/>
              </w:tabs>
              <w:jc w:val="center"/>
              <w:rPr>
                <w:b/>
                <w:bCs/>
                <w:sz w:val="20"/>
                <w:szCs w:val="20"/>
              </w:rPr>
            </w:pPr>
            <w:r w:rsidRPr="00550968">
              <w:rPr>
                <w:b/>
                <w:bCs/>
                <w:sz w:val="20"/>
                <w:szCs w:val="20"/>
              </w:rPr>
              <w:t>Or Stabilize</w:t>
            </w:r>
          </w:p>
        </w:tc>
        <w:tc>
          <w:tcPr>
            <w:tcW w:w="1750" w:type="dxa"/>
            <w:gridSpan w:val="2"/>
            <w:vAlign w:val="center"/>
          </w:tcPr>
          <w:p w14:paraId="1FA3A0BF" w14:textId="77777777" w:rsidR="008544CA" w:rsidRPr="00550968" w:rsidRDefault="008544CA" w:rsidP="008544CA">
            <w:pPr>
              <w:tabs>
                <w:tab w:val="left" w:pos="-1080"/>
              </w:tabs>
              <w:rPr>
                <w:b/>
                <w:sz w:val="20"/>
                <w:szCs w:val="20"/>
              </w:rPr>
            </w:pPr>
            <w:r w:rsidRPr="00550968">
              <w:rPr>
                <w:b/>
                <w:sz w:val="20"/>
                <w:szCs w:val="20"/>
              </w:rPr>
              <w:t>Totals</w:t>
            </w:r>
          </w:p>
        </w:tc>
      </w:tr>
      <w:tr w:rsidR="008544CA" w:rsidRPr="00550968" w14:paraId="0645A054" w14:textId="77777777" w:rsidTr="00250940">
        <w:trPr>
          <w:trHeight w:val="233"/>
          <w:jc w:val="center"/>
        </w:trPr>
        <w:tc>
          <w:tcPr>
            <w:tcW w:w="1566" w:type="dxa"/>
            <w:vMerge/>
            <w:vAlign w:val="center"/>
          </w:tcPr>
          <w:p w14:paraId="245C2743" w14:textId="77777777" w:rsidR="008544CA" w:rsidRPr="00550968" w:rsidRDefault="008544CA" w:rsidP="008544CA">
            <w:pPr>
              <w:tabs>
                <w:tab w:val="left" w:pos="-1080"/>
              </w:tabs>
              <w:jc w:val="center"/>
              <w:rPr>
                <w:sz w:val="20"/>
                <w:szCs w:val="20"/>
              </w:rPr>
            </w:pPr>
          </w:p>
        </w:tc>
        <w:tc>
          <w:tcPr>
            <w:tcW w:w="460" w:type="dxa"/>
            <w:vAlign w:val="center"/>
          </w:tcPr>
          <w:p w14:paraId="7E5B0A88" w14:textId="77777777" w:rsidR="008544CA" w:rsidRPr="00550968" w:rsidRDefault="008544CA" w:rsidP="008544CA">
            <w:pPr>
              <w:tabs>
                <w:tab w:val="left" w:pos="-1080"/>
              </w:tabs>
              <w:jc w:val="center"/>
              <w:rPr>
                <w:b/>
                <w:sz w:val="20"/>
                <w:szCs w:val="20"/>
              </w:rPr>
            </w:pPr>
            <w:r w:rsidRPr="00550968">
              <w:rPr>
                <w:b/>
                <w:sz w:val="20"/>
                <w:szCs w:val="20"/>
              </w:rPr>
              <w:t>#</w:t>
            </w:r>
          </w:p>
        </w:tc>
        <w:tc>
          <w:tcPr>
            <w:tcW w:w="929" w:type="dxa"/>
            <w:vAlign w:val="center"/>
          </w:tcPr>
          <w:p w14:paraId="05AFF168" w14:textId="2C39CD3F" w:rsidR="008544CA" w:rsidRPr="00550968" w:rsidRDefault="000A0040" w:rsidP="008544CA">
            <w:pPr>
              <w:tabs>
                <w:tab w:val="left" w:pos="-1080"/>
              </w:tabs>
              <w:jc w:val="center"/>
              <w:rPr>
                <w:b/>
                <w:sz w:val="20"/>
                <w:szCs w:val="20"/>
              </w:rPr>
            </w:pPr>
            <w:r>
              <w:rPr>
                <w:b/>
                <w:sz w:val="20"/>
                <w:szCs w:val="20"/>
              </w:rPr>
              <w:t>$</w:t>
            </w:r>
          </w:p>
        </w:tc>
        <w:tc>
          <w:tcPr>
            <w:tcW w:w="539" w:type="dxa"/>
            <w:vAlign w:val="center"/>
          </w:tcPr>
          <w:p w14:paraId="49CCC8C5" w14:textId="77777777" w:rsidR="008544CA" w:rsidRPr="00550968" w:rsidRDefault="008544CA" w:rsidP="008544CA">
            <w:pPr>
              <w:tabs>
                <w:tab w:val="left" w:pos="-1080"/>
              </w:tabs>
              <w:jc w:val="center"/>
              <w:rPr>
                <w:b/>
                <w:sz w:val="20"/>
                <w:szCs w:val="20"/>
              </w:rPr>
            </w:pPr>
            <w:r w:rsidRPr="00550968">
              <w:rPr>
                <w:b/>
                <w:sz w:val="20"/>
                <w:szCs w:val="20"/>
              </w:rPr>
              <w:t>#</w:t>
            </w:r>
          </w:p>
        </w:tc>
        <w:tc>
          <w:tcPr>
            <w:tcW w:w="1105" w:type="dxa"/>
            <w:vAlign w:val="center"/>
          </w:tcPr>
          <w:p w14:paraId="503F0AED" w14:textId="44C63822" w:rsidR="008544CA" w:rsidRPr="00550968" w:rsidRDefault="000A0040" w:rsidP="008544CA">
            <w:pPr>
              <w:tabs>
                <w:tab w:val="left" w:pos="-1080"/>
              </w:tabs>
              <w:jc w:val="center"/>
              <w:rPr>
                <w:b/>
                <w:sz w:val="20"/>
                <w:szCs w:val="20"/>
              </w:rPr>
            </w:pPr>
            <w:r>
              <w:rPr>
                <w:b/>
                <w:sz w:val="20"/>
                <w:szCs w:val="20"/>
              </w:rPr>
              <w:t>$</w:t>
            </w:r>
          </w:p>
        </w:tc>
        <w:tc>
          <w:tcPr>
            <w:tcW w:w="552" w:type="dxa"/>
            <w:vAlign w:val="center"/>
          </w:tcPr>
          <w:p w14:paraId="1D930C61" w14:textId="77777777" w:rsidR="008544CA" w:rsidRPr="00550968" w:rsidRDefault="008544CA" w:rsidP="008544CA">
            <w:pPr>
              <w:tabs>
                <w:tab w:val="left" w:pos="-1080"/>
              </w:tabs>
              <w:jc w:val="center"/>
              <w:rPr>
                <w:b/>
                <w:sz w:val="20"/>
                <w:szCs w:val="20"/>
              </w:rPr>
            </w:pPr>
            <w:r w:rsidRPr="00550968">
              <w:rPr>
                <w:b/>
                <w:sz w:val="20"/>
                <w:szCs w:val="20"/>
              </w:rPr>
              <w:t>#</w:t>
            </w:r>
          </w:p>
        </w:tc>
        <w:tc>
          <w:tcPr>
            <w:tcW w:w="829" w:type="dxa"/>
            <w:vAlign w:val="center"/>
          </w:tcPr>
          <w:p w14:paraId="2D4E9665" w14:textId="217E681A" w:rsidR="008544CA" w:rsidRPr="00550968" w:rsidRDefault="000A0040" w:rsidP="008544CA">
            <w:pPr>
              <w:tabs>
                <w:tab w:val="left" w:pos="-1080"/>
              </w:tabs>
              <w:jc w:val="center"/>
              <w:rPr>
                <w:b/>
                <w:sz w:val="20"/>
                <w:szCs w:val="20"/>
              </w:rPr>
            </w:pPr>
            <w:r>
              <w:rPr>
                <w:b/>
                <w:sz w:val="20"/>
                <w:szCs w:val="20"/>
              </w:rPr>
              <w:t>$</w:t>
            </w:r>
          </w:p>
        </w:tc>
        <w:tc>
          <w:tcPr>
            <w:tcW w:w="552" w:type="dxa"/>
            <w:vAlign w:val="center"/>
          </w:tcPr>
          <w:p w14:paraId="3AEC5A29" w14:textId="77777777" w:rsidR="008544CA" w:rsidRPr="00550968" w:rsidRDefault="008544CA" w:rsidP="008544CA">
            <w:pPr>
              <w:tabs>
                <w:tab w:val="left" w:pos="-1080"/>
              </w:tabs>
              <w:jc w:val="center"/>
              <w:rPr>
                <w:b/>
                <w:sz w:val="20"/>
                <w:szCs w:val="20"/>
              </w:rPr>
            </w:pPr>
            <w:r w:rsidRPr="00550968">
              <w:rPr>
                <w:b/>
                <w:sz w:val="20"/>
                <w:szCs w:val="20"/>
              </w:rPr>
              <w:t>#</w:t>
            </w:r>
          </w:p>
        </w:tc>
        <w:tc>
          <w:tcPr>
            <w:tcW w:w="829" w:type="dxa"/>
            <w:vAlign w:val="center"/>
          </w:tcPr>
          <w:p w14:paraId="184BBCF3" w14:textId="112ED354" w:rsidR="008544CA" w:rsidRPr="00550968" w:rsidRDefault="000A0040" w:rsidP="008544CA">
            <w:pPr>
              <w:tabs>
                <w:tab w:val="left" w:pos="-1080"/>
              </w:tabs>
              <w:jc w:val="center"/>
              <w:rPr>
                <w:b/>
                <w:sz w:val="20"/>
                <w:szCs w:val="20"/>
              </w:rPr>
            </w:pPr>
            <w:r>
              <w:rPr>
                <w:b/>
                <w:sz w:val="20"/>
                <w:szCs w:val="20"/>
              </w:rPr>
              <w:t>$</w:t>
            </w:r>
          </w:p>
        </w:tc>
        <w:tc>
          <w:tcPr>
            <w:tcW w:w="644" w:type="dxa"/>
            <w:vAlign w:val="center"/>
          </w:tcPr>
          <w:p w14:paraId="2C9C78E4" w14:textId="77777777" w:rsidR="008544CA" w:rsidRPr="00550968" w:rsidRDefault="008544CA" w:rsidP="008544CA">
            <w:pPr>
              <w:tabs>
                <w:tab w:val="left" w:pos="-1080"/>
              </w:tabs>
              <w:jc w:val="center"/>
              <w:rPr>
                <w:b/>
                <w:sz w:val="20"/>
                <w:szCs w:val="20"/>
              </w:rPr>
            </w:pPr>
            <w:r w:rsidRPr="00550968">
              <w:rPr>
                <w:b/>
                <w:sz w:val="20"/>
                <w:szCs w:val="20"/>
              </w:rPr>
              <w:t>#</w:t>
            </w:r>
          </w:p>
        </w:tc>
        <w:tc>
          <w:tcPr>
            <w:tcW w:w="1105" w:type="dxa"/>
            <w:vAlign w:val="center"/>
          </w:tcPr>
          <w:p w14:paraId="09D688AA" w14:textId="522BD75B" w:rsidR="008544CA" w:rsidRPr="00550968" w:rsidRDefault="000A0040" w:rsidP="008544CA">
            <w:pPr>
              <w:tabs>
                <w:tab w:val="left" w:pos="-1080"/>
              </w:tabs>
              <w:jc w:val="center"/>
              <w:rPr>
                <w:b/>
                <w:sz w:val="20"/>
                <w:szCs w:val="20"/>
              </w:rPr>
            </w:pPr>
            <w:r>
              <w:rPr>
                <w:b/>
                <w:sz w:val="20"/>
                <w:szCs w:val="20"/>
              </w:rPr>
              <w:t>$</w:t>
            </w:r>
          </w:p>
        </w:tc>
      </w:tr>
      <w:tr w:rsidR="008544CA" w:rsidRPr="00550968" w14:paraId="4C1BDBB0" w14:textId="77777777" w:rsidTr="00250940">
        <w:trPr>
          <w:trHeight w:val="233"/>
          <w:jc w:val="center"/>
        </w:trPr>
        <w:tc>
          <w:tcPr>
            <w:tcW w:w="1566" w:type="dxa"/>
            <w:vAlign w:val="center"/>
          </w:tcPr>
          <w:p w14:paraId="0CA8F49D" w14:textId="77777777" w:rsidR="008544CA" w:rsidRPr="00550968" w:rsidRDefault="008544CA" w:rsidP="008544CA">
            <w:pPr>
              <w:tabs>
                <w:tab w:val="left" w:pos="-1080"/>
              </w:tabs>
              <w:rPr>
                <w:sz w:val="20"/>
                <w:szCs w:val="20"/>
              </w:rPr>
            </w:pPr>
            <w:r>
              <w:rPr>
                <w:sz w:val="20"/>
                <w:szCs w:val="20"/>
              </w:rPr>
              <w:t>1/19/16-12/31/16</w:t>
            </w:r>
          </w:p>
        </w:tc>
        <w:tc>
          <w:tcPr>
            <w:tcW w:w="460" w:type="dxa"/>
            <w:vAlign w:val="center"/>
          </w:tcPr>
          <w:p w14:paraId="48BCE002" w14:textId="1B189904" w:rsidR="008544CA" w:rsidRPr="00550968" w:rsidRDefault="000A0040" w:rsidP="008544CA">
            <w:pPr>
              <w:widowControl w:val="0"/>
              <w:jc w:val="center"/>
              <w:rPr>
                <w:sz w:val="20"/>
                <w:szCs w:val="20"/>
              </w:rPr>
            </w:pPr>
            <w:r>
              <w:rPr>
                <w:sz w:val="20"/>
                <w:szCs w:val="20"/>
              </w:rPr>
              <w:t>1</w:t>
            </w:r>
          </w:p>
        </w:tc>
        <w:tc>
          <w:tcPr>
            <w:tcW w:w="929" w:type="dxa"/>
            <w:vAlign w:val="center"/>
          </w:tcPr>
          <w:p w14:paraId="10EA96AE" w14:textId="7F7FBE3B" w:rsidR="008544CA" w:rsidRPr="00550968" w:rsidRDefault="000A0040" w:rsidP="008544CA">
            <w:pPr>
              <w:widowControl w:val="0"/>
              <w:jc w:val="center"/>
              <w:rPr>
                <w:sz w:val="20"/>
                <w:szCs w:val="20"/>
              </w:rPr>
            </w:pPr>
            <w:r>
              <w:rPr>
                <w:sz w:val="20"/>
                <w:szCs w:val="20"/>
              </w:rPr>
              <w:t>1,500</w:t>
            </w:r>
          </w:p>
        </w:tc>
        <w:tc>
          <w:tcPr>
            <w:tcW w:w="539" w:type="dxa"/>
            <w:vAlign w:val="center"/>
          </w:tcPr>
          <w:p w14:paraId="12A33E8C" w14:textId="29EE47D8" w:rsidR="008544CA" w:rsidRPr="00550968" w:rsidRDefault="000A0040" w:rsidP="008544CA">
            <w:pPr>
              <w:widowControl w:val="0"/>
              <w:ind w:right="-61"/>
              <w:jc w:val="center"/>
              <w:rPr>
                <w:sz w:val="20"/>
                <w:szCs w:val="20"/>
              </w:rPr>
            </w:pPr>
            <w:r>
              <w:rPr>
                <w:sz w:val="20"/>
                <w:szCs w:val="20"/>
              </w:rPr>
              <w:t>10</w:t>
            </w:r>
          </w:p>
        </w:tc>
        <w:tc>
          <w:tcPr>
            <w:tcW w:w="1105" w:type="dxa"/>
            <w:vAlign w:val="center"/>
          </w:tcPr>
          <w:p w14:paraId="1BA33037" w14:textId="4227005E" w:rsidR="008544CA" w:rsidRPr="00550968" w:rsidRDefault="007241EF" w:rsidP="008544CA">
            <w:pPr>
              <w:widowControl w:val="0"/>
              <w:jc w:val="center"/>
              <w:rPr>
                <w:sz w:val="20"/>
                <w:szCs w:val="20"/>
              </w:rPr>
            </w:pPr>
            <w:r>
              <w:rPr>
                <w:sz w:val="20"/>
                <w:szCs w:val="20"/>
              </w:rPr>
              <w:t>17,907</w:t>
            </w:r>
          </w:p>
        </w:tc>
        <w:tc>
          <w:tcPr>
            <w:tcW w:w="552" w:type="dxa"/>
            <w:vAlign w:val="center"/>
          </w:tcPr>
          <w:p w14:paraId="5E7D8007"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829" w:type="dxa"/>
            <w:vAlign w:val="center"/>
          </w:tcPr>
          <w:p w14:paraId="0FA5626A"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552" w:type="dxa"/>
            <w:vAlign w:val="center"/>
          </w:tcPr>
          <w:p w14:paraId="56BD3620"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829" w:type="dxa"/>
            <w:vAlign w:val="center"/>
          </w:tcPr>
          <w:p w14:paraId="33D25D9D"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644" w:type="dxa"/>
            <w:vAlign w:val="center"/>
          </w:tcPr>
          <w:p w14:paraId="285E30C5" w14:textId="17A38C01" w:rsidR="008544CA" w:rsidRPr="00550968" w:rsidRDefault="007241EF" w:rsidP="008544CA">
            <w:pPr>
              <w:widowControl w:val="0"/>
              <w:jc w:val="center"/>
              <w:rPr>
                <w:rFonts w:eastAsia="Calibri"/>
                <w:sz w:val="20"/>
                <w:szCs w:val="20"/>
              </w:rPr>
            </w:pPr>
            <w:r>
              <w:rPr>
                <w:rFonts w:eastAsia="Calibri"/>
                <w:sz w:val="20"/>
                <w:szCs w:val="20"/>
              </w:rPr>
              <w:t>11</w:t>
            </w:r>
          </w:p>
        </w:tc>
        <w:tc>
          <w:tcPr>
            <w:tcW w:w="1105" w:type="dxa"/>
            <w:vAlign w:val="center"/>
          </w:tcPr>
          <w:p w14:paraId="4081BC26" w14:textId="641FEB48" w:rsidR="008544CA" w:rsidRPr="00550968" w:rsidRDefault="007241EF" w:rsidP="008544CA">
            <w:pPr>
              <w:widowControl w:val="0"/>
              <w:jc w:val="center"/>
              <w:rPr>
                <w:rFonts w:eastAsia="Calibri"/>
                <w:sz w:val="20"/>
                <w:szCs w:val="20"/>
              </w:rPr>
            </w:pPr>
            <w:r>
              <w:rPr>
                <w:rFonts w:eastAsia="Calibri"/>
                <w:sz w:val="20"/>
                <w:szCs w:val="20"/>
              </w:rPr>
              <w:t>19,407</w:t>
            </w:r>
          </w:p>
        </w:tc>
      </w:tr>
      <w:tr w:rsidR="008544CA" w:rsidRPr="00550968" w14:paraId="3DEF952A" w14:textId="77777777" w:rsidTr="00250940">
        <w:trPr>
          <w:trHeight w:val="233"/>
          <w:jc w:val="center"/>
        </w:trPr>
        <w:tc>
          <w:tcPr>
            <w:tcW w:w="1566" w:type="dxa"/>
            <w:vAlign w:val="center"/>
          </w:tcPr>
          <w:p w14:paraId="63C7DFA1" w14:textId="77777777" w:rsidR="008544CA" w:rsidRPr="00550968" w:rsidRDefault="008544CA" w:rsidP="008544CA">
            <w:pPr>
              <w:tabs>
                <w:tab w:val="left" w:pos="-1080"/>
              </w:tabs>
              <w:rPr>
                <w:sz w:val="20"/>
                <w:szCs w:val="20"/>
              </w:rPr>
            </w:pPr>
            <w:r w:rsidRPr="00550968">
              <w:rPr>
                <w:sz w:val="20"/>
                <w:szCs w:val="20"/>
              </w:rPr>
              <w:t>2017</w:t>
            </w:r>
          </w:p>
        </w:tc>
        <w:tc>
          <w:tcPr>
            <w:tcW w:w="460" w:type="dxa"/>
            <w:vAlign w:val="center"/>
          </w:tcPr>
          <w:p w14:paraId="05DB0486" w14:textId="33CADC26" w:rsidR="008544CA" w:rsidRPr="00550968" w:rsidRDefault="000A0040" w:rsidP="008544CA">
            <w:pPr>
              <w:widowControl w:val="0"/>
              <w:jc w:val="center"/>
              <w:rPr>
                <w:rFonts w:eastAsia="Calibri"/>
                <w:sz w:val="20"/>
                <w:szCs w:val="20"/>
              </w:rPr>
            </w:pPr>
            <w:r>
              <w:rPr>
                <w:rFonts w:eastAsia="Calibri"/>
                <w:sz w:val="20"/>
                <w:szCs w:val="20"/>
              </w:rPr>
              <w:t>4</w:t>
            </w:r>
          </w:p>
        </w:tc>
        <w:tc>
          <w:tcPr>
            <w:tcW w:w="929" w:type="dxa"/>
            <w:vAlign w:val="center"/>
          </w:tcPr>
          <w:p w14:paraId="3E4944C6" w14:textId="4163C217" w:rsidR="008544CA" w:rsidRPr="00550968" w:rsidRDefault="000A0040" w:rsidP="008544CA">
            <w:pPr>
              <w:widowControl w:val="0"/>
              <w:jc w:val="center"/>
              <w:rPr>
                <w:rFonts w:eastAsia="Calibri"/>
                <w:sz w:val="20"/>
                <w:szCs w:val="20"/>
              </w:rPr>
            </w:pPr>
            <w:r>
              <w:rPr>
                <w:rFonts w:eastAsia="Calibri"/>
                <w:sz w:val="20"/>
                <w:szCs w:val="20"/>
              </w:rPr>
              <w:t>6,000</w:t>
            </w:r>
          </w:p>
        </w:tc>
        <w:tc>
          <w:tcPr>
            <w:tcW w:w="539" w:type="dxa"/>
            <w:vAlign w:val="center"/>
          </w:tcPr>
          <w:p w14:paraId="1BE02D55" w14:textId="29B251EE" w:rsidR="008544CA" w:rsidRPr="00550968" w:rsidRDefault="000A0040" w:rsidP="008544CA">
            <w:pPr>
              <w:widowControl w:val="0"/>
              <w:ind w:right="-61"/>
              <w:jc w:val="center"/>
              <w:rPr>
                <w:rFonts w:eastAsia="Calibri"/>
                <w:sz w:val="20"/>
                <w:szCs w:val="20"/>
              </w:rPr>
            </w:pPr>
            <w:r>
              <w:rPr>
                <w:rFonts w:eastAsia="Calibri"/>
                <w:sz w:val="20"/>
                <w:szCs w:val="20"/>
              </w:rPr>
              <w:t>5</w:t>
            </w:r>
          </w:p>
        </w:tc>
        <w:tc>
          <w:tcPr>
            <w:tcW w:w="1105" w:type="dxa"/>
            <w:vAlign w:val="center"/>
          </w:tcPr>
          <w:p w14:paraId="0237E1B6" w14:textId="1720C528" w:rsidR="008544CA" w:rsidRPr="00550968" w:rsidRDefault="007241EF" w:rsidP="008544CA">
            <w:pPr>
              <w:widowControl w:val="0"/>
              <w:jc w:val="center"/>
              <w:rPr>
                <w:rFonts w:eastAsia="Calibri"/>
                <w:sz w:val="20"/>
                <w:szCs w:val="20"/>
              </w:rPr>
            </w:pPr>
            <w:r>
              <w:rPr>
                <w:rFonts w:eastAsia="Calibri"/>
                <w:sz w:val="20"/>
                <w:szCs w:val="20"/>
              </w:rPr>
              <w:t>10,629</w:t>
            </w:r>
          </w:p>
        </w:tc>
        <w:tc>
          <w:tcPr>
            <w:tcW w:w="552" w:type="dxa"/>
            <w:vAlign w:val="center"/>
          </w:tcPr>
          <w:p w14:paraId="34DAAFB3"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829" w:type="dxa"/>
            <w:vAlign w:val="center"/>
          </w:tcPr>
          <w:p w14:paraId="449342CA"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552" w:type="dxa"/>
            <w:vAlign w:val="center"/>
          </w:tcPr>
          <w:p w14:paraId="60762B47"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829" w:type="dxa"/>
            <w:vAlign w:val="center"/>
          </w:tcPr>
          <w:p w14:paraId="30673236"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644" w:type="dxa"/>
            <w:vAlign w:val="center"/>
          </w:tcPr>
          <w:p w14:paraId="01FE1F48" w14:textId="56FDAE4D" w:rsidR="008544CA" w:rsidRPr="00550968" w:rsidRDefault="007241EF" w:rsidP="008544CA">
            <w:pPr>
              <w:widowControl w:val="0"/>
              <w:ind w:right="-61"/>
              <w:jc w:val="center"/>
              <w:rPr>
                <w:rFonts w:eastAsia="Calibri"/>
                <w:sz w:val="20"/>
                <w:szCs w:val="20"/>
              </w:rPr>
            </w:pPr>
            <w:r>
              <w:rPr>
                <w:rFonts w:eastAsia="Calibri"/>
                <w:sz w:val="20"/>
                <w:szCs w:val="20"/>
              </w:rPr>
              <w:t>9</w:t>
            </w:r>
          </w:p>
        </w:tc>
        <w:tc>
          <w:tcPr>
            <w:tcW w:w="1105" w:type="dxa"/>
            <w:vAlign w:val="center"/>
          </w:tcPr>
          <w:p w14:paraId="0D02C295" w14:textId="731EFDC1" w:rsidR="008544CA" w:rsidRPr="00550968" w:rsidRDefault="007241EF" w:rsidP="008544CA">
            <w:pPr>
              <w:widowControl w:val="0"/>
              <w:jc w:val="center"/>
              <w:rPr>
                <w:rFonts w:eastAsia="Calibri"/>
                <w:sz w:val="20"/>
                <w:szCs w:val="20"/>
              </w:rPr>
            </w:pPr>
            <w:r>
              <w:rPr>
                <w:rFonts w:eastAsia="Calibri"/>
                <w:sz w:val="20"/>
                <w:szCs w:val="20"/>
              </w:rPr>
              <w:t>16,629</w:t>
            </w:r>
          </w:p>
        </w:tc>
      </w:tr>
      <w:tr w:rsidR="008544CA" w:rsidRPr="00550968" w14:paraId="4851F517" w14:textId="77777777" w:rsidTr="00250940">
        <w:trPr>
          <w:trHeight w:val="233"/>
          <w:jc w:val="center"/>
        </w:trPr>
        <w:tc>
          <w:tcPr>
            <w:tcW w:w="1566" w:type="dxa"/>
            <w:vAlign w:val="center"/>
          </w:tcPr>
          <w:p w14:paraId="2B3A3E39" w14:textId="77777777" w:rsidR="008544CA" w:rsidRPr="00550968" w:rsidRDefault="008544CA" w:rsidP="008544CA">
            <w:pPr>
              <w:tabs>
                <w:tab w:val="left" w:pos="-1080"/>
              </w:tabs>
              <w:rPr>
                <w:sz w:val="20"/>
                <w:szCs w:val="20"/>
              </w:rPr>
            </w:pPr>
            <w:r w:rsidRPr="00550968">
              <w:rPr>
                <w:sz w:val="20"/>
                <w:szCs w:val="20"/>
              </w:rPr>
              <w:t>2018</w:t>
            </w:r>
          </w:p>
        </w:tc>
        <w:tc>
          <w:tcPr>
            <w:tcW w:w="460" w:type="dxa"/>
            <w:vAlign w:val="center"/>
          </w:tcPr>
          <w:p w14:paraId="7471D051" w14:textId="74367DCD" w:rsidR="008544CA" w:rsidRPr="00550968" w:rsidRDefault="000A0040" w:rsidP="008544CA">
            <w:pPr>
              <w:widowControl w:val="0"/>
              <w:jc w:val="center"/>
              <w:rPr>
                <w:rFonts w:eastAsia="Calibri"/>
                <w:sz w:val="20"/>
                <w:szCs w:val="20"/>
              </w:rPr>
            </w:pPr>
            <w:r>
              <w:rPr>
                <w:rFonts w:eastAsia="Calibri"/>
                <w:sz w:val="20"/>
                <w:szCs w:val="20"/>
              </w:rPr>
              <w:t>2</w:t>
            </w:r>
          </w:p>
        </w:tc>
        <w:tc>
          <w:tcPr>
            <w:tcW w:w="929" w:type="dxa"/>
            <w:vAlign w:val="center"/>
          </w:tcPr>
          <w:p w14:paraId="4D51BBCB" w14:textId="6E75C2F7" w:rsidR="008544CA" w:rsidRPr="00550968" w:rsidRDefault="000A0040" w:rsidP="008544CA">
            <w:pPr>
              <w:widowControl w:val="0"/>
              <w:jc w:val="center"/>
              <w:rPr>
                <w:rFonts w:eastAsia="Calibri"/>
                <w:sz w:val="20"/>
                <w:szCs w:val="20"/>
              </w:rPr>
            </w:pPr>
            <w:r>
              <w:rPr>
                <w:rFonts w:eastAsia="Calibri"/>
                <w:sz w:val="20"/>
                <w:szCs w:val="20"/>
              </w:rPr>
              <w:t>1</w:t>
            </w:r>
            <w:r w:rsidR="008544CA">
              <w:rPr>
                <w:rFonts w:eastAsia="Calibri"/>
                <w:sz w:val="20"/>
                <w:szCs w:val="20"/>
              </w:rPr>
              <w:t>0</w:t>
            </w:r>
            <w:r>
              <w:rPr>
                <w:rFonts w:eastAsia="Calibri"/>
                <w:sz w:val="20"/>
                <w:szCs w:val="20"/>
              </w:rPr>
              <w:t>,000</w:t>
            </w:r>
          </w:p>
        </w:tc>
        <w:tc>
          <w:tcPr>
            <w:tcW w:w="539" w:type="dxa"/>
            <w:vAlign w:val="center"/>
          </w:tcPr>
          <w:p w14:paraId="539E4B10" w14:textId="66F71476" w:rsidR="008544CA" w:rsidRPr="00550968" w:rsidRDefault="000A0040" w:rsidP="008544CA">
            <w:pPr>
              <w:widowControl w:val="0"/>
              <w:ind w:right="-61"/>
              <w:jc w:val="center"/>
              <w:rPr>
                <w:rFonts w:eastAsia="Calibri"/>
                <w:sz w:val="20"/>
                <w:szCs w:val="20"/>
              </w:rPr>
            </w:pPr>
            <w:r>
              <w:rPr>
                <w:rFonts w:eastAsia="Calibri"/>
                <w:sz w:val="20"/>
                <w:szCs w:val="20"/>
              </w:rPr>
              <w:t>32</w:t>
            </w:r>
          </w:p>
        </w:tc>
        <w:tc>
          <w:tcPr>
            <w:tcW w:w="1105" w:type="dxa"/>
            <w:vAlign w:val="center"/>
          </w:tcPr>
          <w:p w14:paraId="7AB2895D" w14:textId="2332849C" w:rsidR="008544CA" w:rsidRPr="00550968" w:rsidRDefault="007241EF" w:rsidP="008544CA">
            <w:pPr>
              <w:widowControl w:val="0"/>
              <w:jc w:val="center"/>
              <w:rPr>
                <w:rFonts w:eastAsia="Calibri"/>
                <w:sz w:val="20"/>
                <w:szCs w:val="20"/>
              </w:rPr>
            </w:pPr>
            <w:r>
              <w:rPr>
                <w:rFonts w:eastAsia="Calibri"/>
                <w:sz w:val="20"/>
                <w:szCs w:val="20"/>
              </w:rPr>
              <w:t>54,415</w:t>
            </w:r>
          </w:p>
        </w:tc>
        <w:tc>
          <w:tcPr>
            <w:tcW w:w="552" w:type="dxa"/>
            <w:vAlign w:val="center"/>
          </w:tcPr>
          <w:p w14:paraId="2E4CABD9" w14:textId="3CEAD21A" w:rsidR="008544CA" w:rsidRPr="00550968" w:rsidRDefault="007241EF" w:rsidP="008544CA">
            <w:pPr>
              <w:widowControl w:val="0"/>
              <w:jc w:val="center"/>
              <w:rPr>
                <w:rFonts w:eastAsia="Calibri"/>
                <w:sz w:val="20"/>
                <w:szCs w:val="20"/>
              </w:rPr>
            </w:pPr>
            <w:r>
              <w:rPr>
                <w:rFonts w:eastAsia="Calibri"/>
                <w:sz w:val="20"/>
                <w:szCs w:val="20"/>
              </w:rPr>
              <w:t>1</w:t>
            </w:r>
          </w:p>
        </w:tc>
        <w:tc>
          <w:tcPr>
            <w:tcW w:w="829" w:type="dxa"/>
            <w:vAlign w:val="center"/>
          </w:tcPr>
          <w:p w14:paraId="4E696F6F" w14:textId="4D1CFF0F" w:rsidR="008544CA" w:rsidRPr="00550968" w:rsidRDefault="007241EF" w:rsidP="008544CA">
            <w:pPr>
              <w:widowControl w:val="0"/>
              <w:jc w:val="center"/>
              <w:rPr>
                <w:rFonts w:eastAsia="Calibri"/>
                <w:sz w:val="20"/>
                <w:szCs w:val="20"/>
              </w:rPr>
            </w:pPr>
            <w:r>
              <w:rPr>
                <w:rFonts w:eastAsia="Calibri"/>
                <w:sz w:val="20"/>
                <w:szCs w:val="20"/>
              </w:rPr>
              <w:t>10,000</w:t>
            </w:r>
          </w:p>
        </w:tc>
        <w:tc>
          <w:tcPr>
            <w:tcW w:w="552" w:type="dxa"/>
            <w:vAlign w:val="center"/>
          </w:tcPr>
          <w:p w14:paraId="3DE4D9BB"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829" w:type="dxa"/>
            <w:vAlign w:val="center"/>
          </w:tcPr>
          <w:p w14:paraId="0F819DB3"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644" w:type="dxa"/>
            <w:vAlign w:val="center"/>
          </w:tcPr>
          <w:p w14:paraId="7A8B896E" w14:textId="1C7A40CF" w:rsidR="008544CA" w:rsidRPr="00550968" w:rsidRDefault="007241EF" w:rsidP="008544CA">
            <w:pPr>
              <w:widowControl w:val="0"/>
              <w:ind w:right="-61"/>
              <w:jc w:val="center"/>
              <w:rPr>
                <w:rFonts w:eastAsia="Calibri"/>
                <w:sz w:val="20"/>
                <w:szCs w:val="20"/>
              </w:rPr>
            </w:pPr>
            <w:r>
              <w:rPr>
                <w:rFonts w:eastAsia="Calibri"/>
                <w:sz w:val="20"/>
                <w:szCs w:val="20"/>
              </w:rPr>
              <w:t>35</w:t>
            </w:r>
          </w:p>
        </w:tc>
        <w:tc>
          <w:tcPr>
            <w:tcW w:w="1105" w:type="dxa"/>
            <w:vAlign w:val="center"/>
          </w:tcPr>
          <w:p w14:paraId="56244402" w14:textId="42569A58" w:rsidR="008544CA" w:rsidRPr="00550968" w:rsidRDefault="007241EF" w:rsidP="008544CA">
            <w:pPr>
              <w:widowControl w:val="0"/>
              <w:jc w:val="center"/>
              <w:rPr>
                <w:rFonts w:eastAsia="Calibri"/>
                <w:sz w:val="20"/>
                <w:szCs w:val="20"/>
              </w:rPr>
            </w:pPr>
            <w:r>
              <w:rPr>
                <w:rFonts w:eastAsia="Calibri"/>
                <w:sz w:val="20"/>
                <w:szCs w:val="20"/>
              </w:rPr>
              <w:t>74,415</w:t>
            </w:r>
          </w:p>
        </w:tc>
      </w:tr>
      <w:tr w:rsidR="008544CA" w:rsidRPr="00550968" w14:paraId="4D8B68C2" w14:textId="77777777" w:rsidTr="00250940">
        <w:trPr>
          <w:trHeight w:val="233"/>
          <w:jc w:val="center"/>
        </w:trPr>
        <w:tc>
          <w:tcPr>
            <w:tcW w:w="1566" w:type="dxa"/>
            <w:vAlign w:val="center"/>
          </w:tcPr>
          <w:p w14:paraId="0B345092" w14:textId="07DEF47E" w:rsidR="008544CA" w:rsidRPr="00550968" w:rsidRDefault="008544CA" w:rsidP="008544CA">
            <w:pPr>
              <w:tabs>
                <w:tab w:val="left" w:pos="-1080"/>
              </w:tabs>
              <w:rPr>
                <w:sz w:val="20"/>
                <w:szCs w:val="20"/>
              </w:rPr>
            </w:pPr>
            <w:r w:rsidRPr="00550968">
              <w:rPr>
                <w:sz w:val="20"/>
                <w:szCs w:val="20"/>
              </w:rPr>
              <w:t>2019</w:t>
            </w:r>
          </w:p>
        </w:tc>
        <w:tc>
          <w:tcPr>
            <w:tcW w:w="460" w:type="dxa"/>
            <w:vAlign w:val="center"/>
          </w:tcPr>
          <w:p w14:paraId="7103A303" w14:textId="7689D592" w:rsidR="008544CA" w:rsidRPr="00550968" w:rsidRDefault="000A0040" w:rsidP="008544CA">
            <w:pPr>
              <w:widowControl w:val="0"/>
              <w:jc w:val="center"/>
              <w:rPr>
                <w:rFonts w:eastAsia="Calibri"/>
                <w:sz w:val="20"/>
                <w:szCs w:val="20"/>
              </w:rPr>
            </w:pPr>
            <w:r>
              <w:rPr>
                <w:rFonts w:eastAsia="Calibri"/>
                <w:sz w:val="20"/>
                <w:szCs w:val="20"/>
              </w:rPr>
              <w:t>3</w:t>
            </w:r>
          </w:p>
        </w:tc>
        <w:tc>
          <w:tcPr>
            <w:tcW w:w="929" w:type="dxa"/>
            <w:vAlign w:val="center"/>
          </w:tcPr>
          <w:p w14:paraId="3391B036" w14:textId="06C9F1E2" w:rsidR="008544CA" w:rsidRPr="00550968" w:rsidRDefault="000A0040" w:rsidP="008544CA">
            <w:pPr>
              <w:widowControl w:val="0"/>
              <w:jc w:val="center"/>
              <w:rPr>
                <w:rFonts w:eastAsia="Calibri"/>
                <w:sz w:val="20"/>
                <w:szCs w:val="20"/>
              </w:rPr>
            </w:pPr>
            <w:r>
              <w:rPr>
                <w:rFonts w:eastAsia="Calibri"/>
                <w:sz w:val="20"/>
                <w:szCs w:val="20"/>
              </w:rPr>
              <w:t>13,934</w:t>
            </w:r>
          </w:p>
        </w:tc>
        <w:tc>
          <w:tcPr>
            <w:tcW w:w="539" w:type="dxa"/>
            <w:vAlign w:val="center"/>
          </w:tcPr>
          <w:p w14:paraId="7721E6D9" w14:textId="72BB087D" w:rsidR="008544CA" w:rsidRPr="00550968" w:rsidRDefault="000A0040" w:rsidP="008544CA">
            <w:pPr>
              <w:widowControl w:val="0"/>
              <w:ind w:right="-61"/>
              <w:jc w:val="center"/>
              <w:rPr>
                <w:rFonts w:eastAsia="Calibri"/>
                <w:sz w:val="20"/>
                <w:szCs w:val="20"/>
              </w:rPr>
            </w:pPr>
            <w:r>
              <w:rPr>
                <w:rFonts w:eastAsia="Calibri"/>
                <w:sz w:val="20"/>
                <w:szCs w:val="20"/>
              </w:rPr>
              <w:t>33</w:t>
            </w:r>
          </w:p>
        </w:tc>
        <w:tc>
          <w:tcPr>
            <w:tcW w:w="1105" w:type="dxa"/>
            <w:vAlign w:val="center"/>
          </w:tcPr>
          <w:p w14:paraId="6AA20DDD" w14:textId="124E5E86" w:rsidR="008544CA" w:rsidRPr="00550968" w:rsidRDefault="007241EF" w:rsidP="008544CA">
            <w:pPr>
              <w:widowControl w:val="0"/>
              <w:jc w:val="center"/>
              <w:rPr>
                <w:rFonts w:eastAsia="Calibri"/>
                <w:sz w:val="20"/>
                <w:szCs w:val="20"/>
              </w:rPr>
            </w:pPr>
            <w:r>
              <w:rPr>
                <w:rFonts w:eastAsia="Calibri"/>
                <w:sz w:val="20"/>
                <w:szCs w:val="20"/>
              </w:rPr>
              <w:t>70,580</w:t>
            </w:r>
          </w:p>
        </w:tc>
        <w:tc>
          <w:tcPr>
            <w:tcW w:w="552" w:type="dxa"/>
            <w:vAlign w:val="center"/>
          </w:tcPr>
          <w:p w14:paraId="65FABB03" w14:textId="4A5E16BD" w:rsidR="008544CA" w:rsidRPr="00550968" w:rsidRDefault="007241EF" w:rsidP="008544CA">
            <w:pPr>
              <w:widowControl w:val="0"/>
              <w:jc w:val="center"/>
              <w:rPr>
                <w:rFonts w:eastAsia="Calibri"/>
                <w:sz w:val="20"/>
                <w:szCs w:val="20"/>
              </w:rPr>
            </w:pPr>
            <w:r>
              <w:rPr>
                <w:rFonts w:eastAsia="Calibri"/>
                <w:sz w:val="20"/>
                <w:szCs w:val="20"/>
              </w:rPr>
              <w:t>1</w:t>
            </w:r>
          </w:p>
        </w:tc>
        <w:tc>
          <w:tcPr>
            <w:tcW w:w="829" w:type="dxa"/>
            <w:vAlign w:val="center"/>
          </w:tcPr>
          <w:p w14:paraId="5EE55939" w14:textId="36A82F3F" w:rsidR="008544CA" w:rsidRPr="00550968" w:rsidRDefault="007241EF" w:rsidP="008544CA">
            <w:pPr>
              <w:widowControl w:val="0"/>
              <w:jc w:val="center"/>
              <w:rPr>
                <w:rFonts w:eastAsia="Calibri"/>
                <w:sz w:val="20"/>
                <w:szCs w:val="20"/>
              </w:rPr>
            </w:pPr>
            <w:r>
              <w:rPr>
                <w:rFonts w:eastAsia="Calibri"/>
                <w:sz w:val="20"/>
                <w:szCs w:val="20"/>
              </w:rPr>
              <w:t>250</w:t>
            </w:r>
          </w:p>
        </w:tc>
        <w:tc>
          <w:tcPr>
            <w:tcW w:w="552" w:type="dxa"/>
            <w:vAlign w:val="center"/>
          </w:tcPr>
          <w:p w14:paraId="1F9CD892"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829" w:type="dxa"/>
            <w:vAlign w:val="center"/>
          </w:tcPr>
          <w:p w14:paraId="5F2D0BFD" w14:textId="77777777" w:rsidR="008544CA" w:rsidRPr="00550968" w:rsidRDefault="008544CA" w:rsidP="008544CA">
            <w:pPr>
              <w:widowControl w:val="0"/>
              <w:jc w:val="center"/>
              <w:rPr>
                <w:rFonts w:eastAsia="Calibri"/>
                <w:sz w:val="20"/>
                <w:szCs w:val="20"/>
              </w:rPr>
            </w:pPr>
            <w:r>
              <w:rPr>
                <w:rFonts w:eastAsia="Calibri"/>
                <w:sz w:val="20"/>
                <w:szCs w:val="20"/>
              </w:rPr>
              <w:t>0</w:t>
            </w:r>
          </w:p>
        </w:tc>
        <w:tc>
          <w:tcPr>
            <w:tcW w:w="644" w:type="dxa"/>
            <w:vAlign w:val="center"/>
          </w:tcPr>
          <w:p w14:paraId="5E31D687" w14:textId="79C3E20B" w:rsidR="008544CA" w:rsidRPr="00550968" w:rsidRDefault="007241EF" w:rsidP="008544CA">
            <w:pPr>
              <w:widowControl w:val="0"/>
              <w:ind w:right="-61"/>
              <w:jc w:val="center"/>
              <w:rPr>
                <w:rFonts w:eastAsia="Calibri"/>
                <w:sz w:val="20"/>
                <w:szCs w:val="20"/>
              </w:rPr>
            </w:pPr>
            <w:r>
              <w:rPr>
                <w:rFonts w:eastAsia="Calibri"/>
                <w:sz w:val="20"/>
                <w:szCs w:val="20"/>
              </w:rPr>
              <w:t>37</w:t>
            </w:r>
          </w:p>
        </w:tc>
        <w:tc>
          <w:tcPr>
            <w:tcW w:w="1105" w:type="dxa"/>
            <w:vAlign w:val="center"/>
          </w:tcPr>
          <w:p w14:paraId="38FFEF48" w14:textId="39EE8589" w:rsidR="008544CA" w:rsidRPr="00550968" w:rsidRDefault="007241EF" w:rsidP="008544CA">
            <w:pPr>
              <w:widowControl w:val="0"/>
              <w:jc w:val="center"/>
              <w:rPr>
                <w:rFonts w:eastAsia="Calibri"/>
                <w:sz w:val="20"/>
                <w:szCs w:val="20"/>
              </w:rPr>
            </w:pPr>
            <w:r>
              <w:rPr>
                <w:rFonts w:eastAsia="Calibri"/>
                <w:sz w:val="20"/>
                <w:szCs w:val="20"/>
              </w:rPr>
              <w:t>84,769</w:t>
            </w:r>
          </w:p>
        </w:tc>
      </w:tr>
      <w:tr w:rsidR="000A0040" w:rsidRPr="00550968" w14:paraId="5997E748" w14:textId="77777777" w:rsidTr="00250940">
        <w:trPr>
          <w:trHeight w:val="233"/>
          <w:jc w:val="center"/>
        </w:trPr>
        <w:tc>
          <w:tcPr>
            <w:tcW w:w="1566" w:type="dxa"/>
            <w:vAlign w:val="center"/>
          </w:tcPr>
          <w:p w14:paraId="59C6A61C" w14:textId="28158DB9" w:rsidR="000A0040" w:rsidRPr="00550968" w:rsidRDefault="000A0040" w:rsidP="008544CA">
            <w:pPr>
              <w:tabs>
                <w:tab w:val="left" w:pos="-1080"/>
              </w:tabs>
              <w:rPr>
                <w:sz w:val="20"/>
                <w:szCs w:val="20"/>
              </w:rPr>
            </w:pPr>
            <w:r>
              <w:rPr>
                <w:sz w:val="20"/>
                <w:szCs w:val="20"/>
              </w:rPr>
              <w:t>2020</w:t>
            </w:r>
          </w:p>
        </w:tc>
        <w:tc>
          <w:tcPr>
            <w:tcW w:w="460" w:type="dxa"/>
            <w:vAlign w:val="center"/>
          </w:tcPr>
          <w:p w14:paraId="34DF7091" w14:textId="4CB1450D" w:rsidR="000A0040" w:rsidRDefault="000A0040" w:rsidP="008544CA">
            <w:pPr>
              <w:widowControl w:val="0"/>
              <w:jc w:val="center"/>
              <w:rPr>
                <w:rFonts w:eastAsia="Calibri"/>
                <w:sz w:val="20"/>
                <w:szCs w:val="20"/>
              </w:rPr>
            </w:pPr>
            <w:r>
              <w:rPr>
                <w:rFonts w:eastAsia="Calibri"/>
                <w:sz w:val="20"/>
                <w:szCs w:val="20"/>
              </w:rPr>
              <w:t>2</w:t>
            </w:r>
          </w:p>
        </w:tc>
        <w:tc>
          <w:tcPr>
            <w:tcW w:w="929" w:type="dxa"/>
            <w:vAlign w:val="center"/>
          </w:tcPr>
          <w:p w14:paraId="7AEE2FD5" w14:textId="27B10640" w:rsidR="000A0040" w:rsidRDefault="000A0040" w:rsidP="008544CA">
            <w:pPr>
              <w:widowControl w:val="0"/>
              <w:jc w:val="center"/>
              <w:rPr>
                <w:rFonts w:eastAsia="Calibri"/>
                <w:sz w:val="20"/>
                <w:szCs w:val="20"/>
              </w:rPr>
            </w:pPr>
            <w:r>
              <w:rPr>
                <w:rFonts w:eastAsia="Calibri"/>
                <w:sz w:val="20"/>
                <w:szCs w:val="20"/>
              </w:rPr>
              <w:t>8,000</w:t>
            </w:r>
          </w:p>
        </w:tc>
        <w:tc>
          <w:tcPr>
            <w:tcW w:w="539" w:type="dxa"/>
            <w:vAlign w:val="center"/>
          </w:tcPr>
          <w:p w14:paraId="1EADF152" w14:textId="538F9B16" w:rsidR="000A0040" w:rsidRDefault="000A0040" w:rsidP="008544CA">
            <w:pPr>
              <w:widowControl w:val="0"/>
              <w:ind w:right="-61"/>
              <w:jc w:val="center"/>
              <w:rPr>
                <w:rFonts w:eastAsia="Calibri"/>
                <w:sz w:val="20"/>
                <w:szCs w:val="20"/>
              </w:rPr>
            </w:pPr>
            <w:r>
              <w:rPr>
                <w:rFonts w:eastAsia="Calibri"/>
                <w:sz w:val="20"/>
                <w:szCs w:val="20"/>
              </w:rPr>
              <w:t>36</w:t>
            </w:r>
          </w:p>
        </w:tc>
        <w:tc>
          <w:tcPr>
            <w:tcW w:w="1105" w:type="dxa"/>
            <w:vAlign w:val="center"/>
          </w:tcPr>
          <w:p w14:paraId="120FA2D8" w14:textId="69455960" w:rsidR="000A0040" w:rsidRDefault="007241EF" w:rsidP="008544CA">
            <w:pPr>
              <w:widowControl w:val="0"/>
              <w:jc w:val="center"/>
              <w:rPr>
                <w:rFonts w:eastAsia="Calibri"/>
                <w:sz w:val="20"/>
                <w:szCs w:val="20"/>
              </w:rPr>
            </w:pPr>
            <w:r>
              <w:rPr>
                <w:rFonts w:eastAsia="Calibri"/>
                <w:sz w:val="20"/>
                <w:szCs w:val="20"/>
              </w:rPr>
              <w:t>63,393</w:t>
            </w:r>
          </w:p>
        </w:tc>
        <w:tc>
          <w:tcPr>
            <w:tcW w:w="552" w:type="dxa"/>
            <w:vAlign w:val="center"/>
          </w:tcPr>
          <w:p w14:paraId="7CE6F9F4" w14:textId="5EA768F9" w:rsidR="000A0040" w:rsidRDefault="007241EF" w:rsidP="008544CA">
            <w:pPr>
              <w:widowControl w:val="0"/>
              <w:jc w:val="center"/>
              <w:rPr>
                <w:rFonts w:eastAsia="Calibri"/>
                <w:sz w:val="20"/>
                <w:szCs w:val="20"/>
              </w:rPr>
            </w:pPr>
            <w:r>
              <w:rPr>
                <w:rFonts w:eastAsia="Calibri"/>
                <w:sz w:val="20"/>
                <w:szCs w:val="20"/>
              </w:rPr>
              <w:t>0</w:t>
            </w:r>
          </w:p>
        </w:tc>
        <w:tc>
          <w:tcPr>
            <w:tcW w:w="829" w:type="dxa"/>
            <w:vAlign w:val="center"/>
          </w:tcPr>
          <w:p w14:paraId="440FFC67" w14:textId="4031F8EB" w:rsidR="000A0040" w:rsidRDefault="007241EF" w:rsidP="008544CA">
            <w:pPr>
              <w:widowControl w:val="0"/>
              <w:jc w:val="center"/>
              <w:rPr>
                <w:rFonts w:eastAsia="Calibri"/>
                <w:sz w:val="20"/>
                <w:szCs w:val="20"/>
              </w:rPr>
            </w:pPr>
            <w:r>
              <w:rPr>
                <w:rFonts w:eastAsia="Calibri"/>
                <w:sz w:val="20"/>
                <w:szCs w:val="20"/>
              </w:rPr>
              <w:t>0</w:t>
            </w:r>
          </w:p>
        </w:tc>
        <w:tc>
          <w:tcPr>
            <w:tcW w:w="552" w:type="dxa"/>
            <w:vAlign w:val="center"/>
          </w:tcPr>
          <w:p w14:paraId="3452D183" w14:textId="77777777" w:rsidR="000A0040" w:rsidRDefault="000A0040" w:rsidP="008544CA">
            <w:pPr>
              <w:widowControl w:val="0"/>
              <w:jc w:val="center"/>
              <w:rPr>
                <w:rFonts w:eastAsia="Calibri"/>
                <w:sz w:val="20"/>
                <w:szCs w:val="20"/>
              </w:rPr>
            </w:pPr>
          </w:p>
        </w:tc>
        <w:tc>
          <w:tcPr>
            <w:tcW w:w="829" w:type="dxa"/>
            <w:vAlign w:val="center"/>
          </w:tcPr>
          <w:p w14:paraId="683C5D1D" w14:textId="77777777" w:rsidR="000A0040" w:rsidRDefault="000A0040" w:rsidP="008544CA">
            <w:pPr>
              <w:widowControl w:val="0"/>
              <w:jc w:val="center"/>
              <w:rPr>
                <w:rFonts w:eastAsia="Calibri"/>
                <w:sz w:val="20"/>
                <w:szCs w:val="20"/>
              </w:rPr>
            </w:pPr>
          </w:p>
        </w:tc>
        <w:tc>
          <w:tcPr>
            <w:tcW w:w="644" w:type="dxa"/>
            <w:vAlign w:val="center"/>
          </w:tcPr>
          <w:p w14:paraId="6ECD0929" w14:textId="79988C20" w:rsidR="000A0040" w:rsidRDefault="007241EF" w:rsidP="008544CA">
            <w:pPr>
              <w:widowControl w:val="0"/>
              <w:ind w:right="-61"/>
              <w:jc w:val="center"/>
              <w:rPr>
                <w:rFonts w:eastAsia="Calibri"/>
                <w:sz w:val="20"/>
                <w:szCs w:val="20"/>
              </w:rPr>
            </w:pPr>
            <w:r>
              <w:rPr>
                <w:rFonts w:eastAsia="Calibri"/>
                <w:sz w:val="20"/>
                <w:szCs w:val="20"/>
              </w:rPr>
              <w:t>38</w:t>
            </w:r>
          </w:p>
        </w:tc>
        <w:tc>
          <w:tcPr>
            <w:tcW w:w="1105" w:type="dxa"/>
            <w:vAlign w:val="center"/>
          </w:tcPr>
          <w:p w14:paraId="4AE54BC0" w14:textId="456F2517" w:rsidR="000A0040" w:rsidRDefault="007241EF" w:rsidP="008544CA">
            <w:pPr>
              <w:widowControl w:val="0"/>
              <w:jc w:val="center"/>
              <w:rPr>
                <w:rFonts w:eastAsia="Calibri"/>
                <w:sz w:val="20"/>
                <w:szCs w:val="20"/>
              </w:rPr>
            </w:pPr>
            <w:r>
              <w:rPr>
                <w:rFonts w:eastAsia="Calibri"/>
                <w:sz w:val="20"/>
                <w:szCs w:val="20"/>
              </w:rPr>
              <w:t>71,393</w:t>
            </w:r>
          </w:p>
        </w:tc>
      </w:tr>
      <w:tr w:rsidR="008544CA" w:rsidRPr="007241EF" w14:paraId="0CDEAC45" w14:textId="77777777" w:rsidTr="00250940">
        <w:trPr>
          <w:trHeight w:val="233"/>
          <w:jc w:val="center"/>
        </w:trPr>
        <w:tc>
          <w:tcPr>
            <w:tcW w:w="1566" w:type="dxa"/>
            <w:vAlign w:val="center"/>
          </w:tcPr>
          <w:p w14:paraId="783EBEE1" w14:textId="77777777" w:rsidR="008544CA" w:rsidRPr="007241EF" w:rsidRDefault="008544CA" w:rsidP="008544CA">
            <w:pPr>
              <w:tabs>
                <w:tab w:val="left" w:pos="-1080"/>
              </w:tabs>
              <w:rPr>
                <w:b/>
                <w:bCs/>
                <w:sz w:val="20"/>
                <w:szCs w:val="20"/>
              </w:rPr>
            </w:pPr>
            <w:r w:rsidRPr="007241EF">
              <w:rPr>
                <w:b/>
                <w:bCs/>
                <w:sz w:val="20"/>
                <w:szCs w:val="20"/>
              </w:rPr>
              <w:t>Totals</w:t>
            </w:r>
          </w:p>
        </w:tc>
        <w:tc>
          <w:tcPr>
            <w:tcW w:w="460" w:type="dxa"/>
            <w:vAlign w:val="center"/>
          </w:tcPr>
          <w:p w14:paraId="1A2DA6DE" w14:textId="0B61F4C9" w:rsidR="008544CA" w:rsidRPr="007241EF" w:rsidRDefault="000A0040" w:rsidP="008544CA">
            <w:pPr>
              <w:widowControl w:val="0"/>
              <w:jc w:val="center"/>
              <w:rPr>
                <w:rFonts w:eastAsia="Calibri"/>
                <w:b/>
                <w:bCs/>
                <w:sz w:val="20"/>
                <w:szCs w:val="20"/>
              </w:rPr>
            </w:pPr>
            <w:r w:rsidRPr="007241EF">
              <w:rPr>
                <w:rFonts w:eastAsia="Calibri"/>
                <w:b/>
                <w:bCs/>
                <w:sz w:val="20"/>
                <w:szCs w:val="20"/>
              </w:rPr>
              <w:t>12</w:t>
            </w:r>
          </w:p>
        </w:tc>
        <w:tc>
          <w:tcPr>
            <w:tcW w:w="929" w:type="dxa"/>
            <w:vAlign w:val="center"/>
          </w:tcPr>
          <w:p w14:paraId="64674021" w14:textId="6281656D" w:rsidR="008544CA" w:rsidRPr="007241EF" w:rsidRDefault="000A0040" w:rsidP="008544CA">
            <w:pPr>
              <w:widowControl w:val="0"/>
              <w:jc w:val="center"/>
              <w:rPr>
                <w:rFonts w:eastAsia="Calibri"/>
                <w:b/>
                <w:bCs/>
                <w:sz w:val="20"/>
                <w:szCs w:val="20"/>
              </w:rPr>
            </w:pPr>
            <w:r w:rsidRPr="007241EF">
              <w:rPr>
                <w:rFonts w:eastAsia="Calibri"/>
                <w:b/>
                <w:bCs/>
                <w:sz w:val="20"/>
                <w:szCs w:val="20"/>
              </w:rPr>
              <w:t>39,439</w:t>
            </w:r>
          </w:p>
        </w:tc>
        <w:tc>
          <w:tcPr>
            <w:tcW w:w="539" w:type="dxa"/>
            <w:vAlign w:val="center"/>
          </w:tcPr>
          <w:p w14:paraId="681415A4" w14:textId="506D7041" w:rsidR="008544CA" w:rsidRPr="007241EF" w:rsidRDefault="007241EF" w:rsidP="008544CA">
            <w:pPr>
              <w:widowControl w:val="0"/>
              <w:ind w:right="-61"/>
              <w:jc w:val="center"/>
              <w:rPr>
                <w:rFonts w:eastAsia="Calibri"/>
                <w:b/>
                <w:bCs/>
                <w:sz w:val="20"/>
                <w:szCs w:val="20"/>
              </w:rPr>
            </w:pPr>
            <w:r w:rsidRPr="007241EF">
              <w:rPr>
                <w:rFonts w:eastAsia="Calibri"/>
                <w:b/>
                <w:bCs/>
                <w:sz w:val="20"/>
                <w:szCs w:val="20"/>
              </w:rPr>
              <w:t>116</w:t>
            </w:r>
          </w:p>
        </w:tc>
        <w:tc>
          <w:tcPr>
            <w:tcW w:w="1105" w:type="dxa"/>
            <w:vAlign w:val="center"/>
          </w:tcPr>
          <w:p w14:paraId="658F24BE" w14:textId="2AE50E44" w:rsidR="008544CA" w:rsidRPr="007241EF" w:rsidRDefault="007241EF" w:rsidP="008544CA">
            <w:pPr>
              <w:widowControl w:val="0"/>
              <w:jc w:val="center"/>
              <w:rPr>
                <w:rFonts w:eastAsia="Calibri"/>
                <w:b/>
                <w:bCs/>
                <w:sz w:val="20"/>
                <w:szCs w:val="20"/>
              </w:rPr>
            </w:pPr>
            <w:r w:rsidRPr="007241EF">
              <w:rPr>
                <w:rFonts w:eastAsia="Calibri"/>
                <w:b/>
                <w:bCs/>
                <w:sz w:val="20"/>
                <w:szCs w:val="20"/>
              </w:rPr>
              <w:t>216,924</w:t>
            </w:r>
          </w:p>
        </w:tc>
        <w:tc>
          <w:tcPr>
            <w:tcW w:w="552" w:type="dxa"/>
            <w:vAlign w:val="center"/>
          </w:tcPr>
          <w:p w14:paraId="3F818A01" w14:textId="1248FA4A" w:rsidR="008544CA" w:rsidRPr="007241EF" w:rsidRDefault="007241EF" w:rsidP="008544CA">
            <w:pPr>
              <w:widowControl w:val="0"/>
              <w:jc w:val="center"/>
              <w:rPr>
                <w:rFonts w:eastAsia="Calibri"/>
                <w:b/>
                <w:sz w:val="20"/>
                <w:szCs w:val="20"/>
              </w:rPr>
            </w:pPr>
            <w:r w:rsidRPr="007241EF">
              <w:rPr>
                <w:rFonts w:eastAsia="Calibri"/>
                <w:b/>
                <w:sz w:val="20"/>
                <w:szCs w:val="20"/>
              </w:rPr>
              <w:t>2</w:t>
            </w:r>
          </w:p>
        </w:tc>
        <w:tc>
          <w:tcPr>
            <w:tcW w:w="829" w:type="dxa"/>
            <w:vAlign w:val="center"/>
          </w:tcPr>
          <w:p w14:paraId="6798214D" w14:textId="38F872CB" w:rsidR="008544CA" w:rsidRPr="007241EF" w:rsidRDefault="007241EF" w:rsidP="008544CA">
            <w:pPr>
              <w:widowControl w:val="0"/>
              <w:jc w:val="center"/>
              <w:rPr>
                <w:rFonts w:eastAsia="Calibri"/>
                <w:b/>
                <w:sz w:val="20"/>
                <w:szCs w:val="20"/>
              </w:rPr>
            </w:pPr>
            <w:r w:rsidRPr="007241EF">
              <w:rPr>
                <w:rFonts w:eastAsia="Calibri"/>
                <w:b/>
                <w:sz w:val="20"/>
                <w:szCs w:val="20"/>
              </w:rPr>
              <w:t>10,250</w:t>
            </w:r>
          </w:p>
        </w:tc>
        <w:tc>
          <w:tcPr>
            <w:tcW w:w="552" w:type="dxa"/>
            <w:vAlign w:val="center"/>
          </w:tcPr>
          <w:p w14:paraId="5242781D" w14:textId="77777777" w:rsidR="008544CA" w:rsidRPr="007241EF" w:rsidRDefault="008544CA" w:rsidP="008544CA">
            <w:pPr>
              <w:widowControl w:val="0"/>
              <w:jc w:val="center"/>
              <w:rPr>
                <w:rFonts w:eastAsia="Calibri"/>
                <w:b/>
                <w:sz w:val="20"/>
                <w:szCs w:val="20"/>
              </w:rPr>
            </w:pPr>
            <w:r w:rsidRPr="007241EF">
              <w:rPr>
                <w:rFonts w:eastAsia="Calibri"/>
                <w:b/>
                <w:sz w:val="20"/>
                <w:szCs w:val="20"/>
              </w:rPr>
              <w:t>0</w:t>
            </w:r>
          </w:p>
        </w:tc>
        <w:tc>
          <w:tcPr>
            <w:tcW w:w="829" w:type="dxa"/>
            <w:vAlign w:val="center"/>
          </w:tcPr>
          <w:p w14:paraId="5B06D503" w14:textId="77777777" w:rsidR="008544CA" w:rsidRPr="007241EF" w:rsidRDefault="008544CA" w:rsidP="008544CA">
            <w:pPr>
              <w:widowControl w:val="0"/>
              <w:jc w:val="center"/>
              <w:rPr>
                <w:rFonts w:eastAsia="Calibri"/>
                <w:b/>
                <w:sz w:val="20"/>
                <w:szCs w:val="20"/>
              </w:rPr>
            </w:pPr>
            <w:r w:rsidRPr="007241EF">
              <w:rPr>
                <w:rFonts w:eastAsia="Calibri"/>
                <w:b/>
                <w:sz w:val="20"/>
                <w:szCs w:val="20"/>
              </w:rPr>
              <w:t>0</w:t>
            </w:r>
          </w:p>
        </w:tc>
        <w:tc>
          <w:tcPr>
            <w:tcW w:w="644" w:type="dxa"/>
            <w:vAlign w:val="center"/>
          </w:tcPr>
          <w:p w14:paraId="3026C42F" w14:textId="4631F9A4" w:rsidR="008544CA" w:rsidRPr="007241EF" w:rsidRDefault="007241EF" w:rsidP="008544CA">
            <w:pPr>
              <w:widowControl w:val="0"/>
              <w:ind w:right="-94"/>
              <w:jc w:val="center"/>
              <w:rPr>
                <w:rFonts w:eastAsia="Calibri"/>
                <w:b/>
                <w:bCs/>
                <w:sz w:val="20"/>
                <w:szCs w:val="20"/>
              </w:rPr>
            </w:pPr>
            <w:r w:rsidRPr="007241EF">
              <w:rPr>
                <w:rFonts w:eastAsia="Calibri"/>
                <w:b/>
                <w:bCs/>
                <w:sz w:val="20"/>
                <w:szCs w:val="20"/>
              </w:rPr>
              <w:t>130</w:t>
            </w:r>
          </w:p>
        </w:tc>
        <w:tc>
          <w:tcPr>
            <w:tcW w:w="1105" w:type="dxa"/>
            <w:vAlign w:val="center"/>
          </w:tcPr>
          <w:p w14:paraId="5A410EB9" w14:textId="3083C81F" w:rsidR="008544CA" w:rsidRPr="007241EF" w:rsidRDefault="007241EF" w:rsidP="008544CA">
            <w:pPr>
              <w:widowControl w:val="0"/>
              <w:jc w:val="center"/>
              <w:rPr>
                <w:rFonts w:eastAsia="Calibri"/>
                <w:b/>
                <w:bCs/>
                <w:sz w:val="20"/>
                <w:szCs w:val="20"/>
              </w:rPr>
            </w:pPr>
            <w:r w:rsidRPr="007241EF">
              <w:rPr>
                <w:rFonts w:eastAsia="Calibri"/>
                <w:b/>
                <w:bCs/>
                <w:sz w:val="20"/>
                <w:szCs w:val="20"/>
              </w:rPr>
              <w:t>266,613</w:t>
            </w:r>
          </w:p>
        </w:tc>
      </w:tr>
      <w:tr w:rsidR="008544CA" w:rsidRPr="00550968" w14:paraId="353CEC98" w14:textId="77777777" w:rsidTr="00250940">
        <w:trPr>
          <w:trHeight w:val="210"/>
          <w:jc w:val="center"/>
        </w:trPr>
        <w:tc>
          <w:tcPr>
            <w:tcW w:w="9114" w:type="dxa"/>
            <w:gridSpan w:val="11"/>
            <w:vAlign w:val="center"/>
          </w:tcPr>
          <w:p w14:paraId="55839D78" w14:textId="1FFD63EA" w:rsidR="008544CA" w:rsidRPr="00250940" w:rsidRDefault="008544CA" w:rsidP="008544CA">
            <w:pPr>
              <w:tabs>
                <w:tab w:val="left" w:pos="-1080"/>
              </w:tabs>
              <w:ind w:hanging="90"/>
              <w:rPr>
                <w:i/>
                <w:iCs/>
                <w:sz w:val="16"/>
                <w:szCs w:val="16"/>
              </w:rPr>
            </w:pPr>
            <w:r w:rsidRPr="00250940">
              <w:rPr>
                <w:i/>
                <w:iCs/>
                <w:sz w:val="16"/>
                <w:szCs w:val="16"/>
              </w:rPr>
              <w:t xml:space="preserve">Source:  </w:t>
            </w:r>
            <w:r w:rsidR="00E85422" w:rsidRPr="00250940">
              <w:rPr>
                <w:i/>
                <w:iCs/>
                <w:sz w:val="16"/>
                <w:szCs w:val="16"/>
              </w:rPr>
              <w:t>Credit Union Records</w:t>
            </w:r>
          </w:p>
        </w:tc>
      </w:tr>
    </w:tbl>
    <w:p w14:paraId="7D4D618D" w14:textId="77777777" w:rsidR="008544CA" w:rsidRDefault="008544CA" w:rsidP="008544CA">
      <w:pPr>
        <w:widowControl w:val="0"/>
      </w:pPr>
    </w:p>
    <w:p w14:paraId="17F97DD7" w14:textId="77777777" w:rsidR="008544CA" w:rsidRDefault="008544CA" w:rsidP="00250940">
      <w:pPr>
        <w:jc w:val="both"/>
      </w:pPr>
    </w:p>
    <w:p w14:paraId="595D4F2F" w14:textId="77777777" w:rsidR="008544CA" w:rsidRDefault="008544CA" w:rsidP="00250940">
      <w:pPr>
        <w:jc w:val="both"/>
      </w:pPr>
      <w:r>
        <w:rPr>
          <w:b/>
          <w:i/>
        </w:rPr>
        <w:t>Qualified Donations</w:t>
      </w:r>
    </w:p>
    <w:p w14:paraId="6BB3B31C" w14:textId="77777777" w:rsidR="008544CA" w:rsidRDefault="008544CA" w:rsidP="00250940">
      <w:pPr>
        <w:jc w:val="both"/>
      </w:pPr>
    </w:p>
    <w:p w14:paraId="67EB2EBB" w14:textId="62E3BCAD" w:rsidR="008544CA" w:rsidRPr="00A314F3" w:rsidRDefault="008544CA" w:rsidP="00250940">
      <w:pPr>
        <w:jc w:val="both"/>
      </w:pPr>
      <w:r w:rsidRPr="00A314F3">
        <w:t>Below a</w:t>
      </w:r>
      <w:r w:rsidR="00E85422">
        <w:t>re notable examples of the credit union’s</w:t>
      </w:r>
      <w:r w:rsidRPr="00A314F3">
        <w:t xml:space="preserve"> qualified</w:t>
      </w:r>
      <w:r>
        <w:t xml:space="preserve"> donations:</w:t>
      </w:r>
      <w:r w:rsidRPr="00A314F3">
        <w:t xml:space="preserve"> </w:t>
      </w:r>
    </w:p>
    <w:p w14:paraId="446CBBFC" w14:textId="77777777" w:rsidR="008544CA" w:rsidRPr="00A314F3" w:rsidRDefault="008544CA" w:rsidP="00250940">
      <w:pPr>
        <w:jc w:val="both"/>
      </w:pPr>
      <w:r w:rsidRPr="00A314F3">
        <w:t xml:space="preserve"> </w:t>
      </w:r>
    </w:p>
    <w:p w14:paraId="60CA53A1" w14:textId="2C7E47B1" w:rsidR="008B77A5" w:rsidRPr="008B77A5" w:rsidRDefault="008B77A5" w:rsidP="00250940">
      <w:pPr>
        <w:widowControl w:val="0"/>
        <w:numPr>
          <w:ilvl w:val="0"/>
          <w:numId w:val="20"/>
        </w:numPr>
        <w:jc w:val="both"/>
        <w:rPr>
          <w:bCs/>
          <w:i/>
          <w:iCs/>
        </w:rPr>
      </w:pPr>
      <w:proofErr w:type="spellStart"/>
      <w:r w:rsidRPr="008B77A5">
        <w:rPr>
          <w:bCs/>
          <w:i/>
          <w:iCs/>
        </w:rPr>
        <w:t>Newvue</w:t>
      </w:r>
      <w:proofErr w:type="spellEnd"/>
      <w:r w:rsidRPr="008B77A5">
        <w:rPr>
          <w:bCs/>
          <w:i/>
          <w:iCs/>
        </w:rPr>
        <w:t xml:space="preserve"> Communities </w:t>
      </w:r>
      <w:r w:rsidRPr="008B77A5">
        <w:rPr>
          <w:bCs/>
          <w:iCs/>
        </w:rPr>
        <w:t xml:space="preserve">– The purpose of the organization is to promote healthy neighborhoods in North Central Massachusetts through homeownership and small business technical assistance. The credit union </w:t>
      </w:r>
      <w:proofErr w:type="gramStart"/>
      <w:r w:rsidRPr="008B77A5">
        <w:rPr>
          <w:bCs/>
          <w:iCs/>
        </w:rPr>
        <w:t>made several donations</w:t>
      </w:r>
      <w:proofErr w:type="gramEnd"/>
      <w:r w:rsidRPr="008B77A5">
        <w:rPr>
          <w:bCs/>
          <w:iCs/>
        </w:rPr>
        <w:t xml:space="preserve"> to the organization during the evaluation period, including the in-kind donation of a home to be rehabilitated and used for a local family.</w:t>
      </w:r>
    </w:p>
    <w:p w14:paraId="03911B09" w14:textId="77777777" w:rsidR="008B77A5" w:rsidRPr="008B77A5" w:rsidRDefault="008B77A5" w:rsidP="00250940">
      <w:pPr>
        <w:widowControl w:val="0"/>
        <w:ind w:left="720"/>
        <w:jc w:val="both"/>
        <w:rPr>
          <w:b/>
          <w:bCs/>
          <w:i/>
          <w:iCs/>
        </w:rPr>
      </w:pPr>
    </w:p>
    <w:p w14:paraId="1A749CA6" w14:textId="05360B9C" w:rsidR="008544CA" w:rsidRPr="00A314F3" w:rsidRDefault="008B77A5" w:rsidP="00250940">
      <w:pPr>
        <w:widowControl w:val="0"/>
        <w:numPr>
          <w:ilvl w:val="0"/>
          <w:numId w:val="20"/>
        </w:numPr>
        <w:jc w:val="both"/>
        <w:rPr>
          <w:b/>
          <w:bCs/>
          <w:i/>
          <w:iCs/>
        </w:rPr>
      </w:pPr>
      <w:proofErr w:type="spellStart"/>
      <w:r>
        <w:rPr>
          <w:bCs/>
          <w:i/>
          <w:iCs/>
        </w:rPr>
        <w:t>Bonzai</w:t>
      </w:r>
      <w:proofErr w:type="spellEnd"/>
      <w:r>
        <w:rPr>
          <w:bCs/>
          <w:i/>
          <w:iCs/>
        </w:rPr>
        <w:t xml:space="preserve"> Financial Literacy</w:t>
      </w:r>
      <w:r w:rsidR="008544CA" w:rsidRPr="00A314F3">
        <w:rPr>
          <w:b/>
          <w:bCs/>
          <w:i/>
          <w:iCs/>
        </w:rPr>
        <w:t xml:space="preserve"> </w:t>
      </w:r>
      <w:r w:rsidR="008544CA" w:rsidRPr="00A314F3">
        <w:rPr>
          <w:bCs/>
          <w:iCs/>
        </w:rPr>
        <w:t>–</w:t>
      </w:r>
      <w:r w:rsidR="008544CA">
        <w:rPr>
          <w:bCs/>
          <w:iCs/>
        </w:rPr>
        <w:t xml:space="preserve"> The </w:t>
      </w:r>
      <w:r>
        <w:rPr>
          <w:bCs/>
          <w:iCs/>
        </w:rPr>
        <w:t>purpose of this program is to prov</w:t>
      </w:r>
      <w:r w:rsidR="00F1266B">
        <w:rPr>
          <w:bCs/>
          <w:iCs/>
        </w:rPr>
        <w:t>ide basic financial education for local schools</w:t>
      </w:r>
      <w:r w:rsidR="008544CA">
        <w:rPr>
          <w:bCs/>
          <w:iCs/>
        </w:rPr>
        <w:t>.</w:t>
      </w:r>
      <w:r w:rsidR="00F1266B">
        <w:rPr>
          <w:bCs/>
          <w:iCs/>
        </w:rPr>
        <w:t xml:space="preserve"> The credit union purchased the program annually for </w:t>
      </w:r>
      <w:r w:rsidR="00C72F20">
        <w:rPr>
          <w:bCs/>
          <w:iCs/>
        </w:rPr>
        <w:t>five</w:t>
      </w:r>
      <w:r w:rsidR="00F1266B">
        <w:rPr>
          <w:bCs/>
          <w:iCs/>
        </w:rPr>
        <w:t xml:space="preserve"> local schools, </w:t>
      </w:r>
      <w:r w:rsidR="00C72F20">
        <w:rPr>
          <w:bCs/>
          <w:iCs/>
        </w:rPr>
        <w:t>four</w:t>
      </w:r>
      <w:r w:rsidR="00F1266B">
        <w:rPr>
          <w:bCs/>
          <w:iCs/>
        </w:rPr>
        <w:t xml:space="preserve"> of which primarily serve individuals f</w:t>
      </w:r>
      <w:r w:rsidR="00C72F20">
        <w:rPr>
          <w:bCs/>
          <w:iCs/>
        </w:rPr>
        <w:t>ro</w:t>
      </w:r>
      <w:r w:rsidR="00F1266B">
        <w:rPr>
          <w:bCs/>
          <w:iCs/>
        </w:rPr>
        <w:t xml:space="preserve">m low- and moderate-income families. </w:t>
      </w:r>
      <w:r w:rsidR="008544CA">
        <w:rPr>
          <w:bCs/>
          <w:iCs/>
        </w:rPr>
        <w:t xml:space="preserve">  </w:t>
      </w:r>
    </w:p>
    <w:p w14:paraId="06AA4794" w14:textId="77777777" w:rsidR="008544CA" w:rsidRPr="00A314F3" w:rsidRDefault="008544CA" w:rsidP="00250940">
      <w:pPr>
        <w:ind w:left="720"/>
        <w:jc w:val="both"/>
        <w:rPr>
          <w:b/>
          <w:bCs/>
          <w:i/>
          <w:iCs/>
        </w:rPr>
      </w:pPr>
      <w:r w:rsidRPr="00A314F3">
        <w:rPr>
          <w:bCs/>
          <w:iCs/>
        </w:rPr>
        <w:t xml:space="preserve"> </w:t>
      </w:r>
    </w:p>
    <w:p w14:paraId="4D889FE1" w14:textId="77777777" w:rsidR="008544CA" w:rsidRPr="00A314F3" w:rsidRDefault="008544CA" w:rsidP="00250940">
      <w:pPr>
        <w:widowControl w:val="0"/>
        <w:numPr>
          <w:ilvl w:val="0"/>
          <w:numId w:val="20"/>
        </w:numPr>
        <w:jc w:val="both"/>
        <w:rPr>
          <w:b/>
          <w:bCs/>
          <w:i/>
          <w:iCs/>
        </w:rPr>
      </w:pPr>
      <w:r>
        <w:rPr>
          <w:bCs/>
          <w:i/>
          <w:iCs/>
        </w:rPr>
        <w:t>Community Harvest Project</w:t>
      </w:r>
      <w:r w:rsidRPr="00A314F3">
        <w:rPr>
          <w:b/>
          <w:bCs/>
          <w:i/>
          <w:iCs/>
        </w:rPr>
        <w:t xml:space="preserve"> – </w:t>
      </w:r>
      <w:r w:rsidRPr="00A314F3">
        <w:rPr>
          <w:bCs/>
          <w:iCs/>
        </w:rPr>
        <w:t xml:space="preserve">This </w:t>
      </w:r>
      <w:r>
        <w:rPr>
          <w:bCs/>
          <w:iCs/>
        </w:rPr>
        <w:t>non-profit farm engages volunteers on behalf of hungry families</w:t>
      </w:r>
      <w:proofErr w:type="gramStart"/>
      <w:r>
        <w:rPr>
          <w:bCs/>
          <w:iCs/>
        </w:rPr>
        <w:t xml:space="preserve">.  </w:t>
      </w:r>
      <w:proofErr w:type="gramEnd"/>
      <w:r>
        <w:rPr>
          <w:bCs/>
          <w:iCs/>
        </w:rPr>
        <w:t>The organization provides for those in need through educational initiatives and community partnerships. This program benefits low- and moderate-income individuals throughout Worcester County.</w:t>
      </w:r>
    </w:p>
    <w:p w14:paraId="0D6A4D8A" w14:textId="77777777" w:rsidR="008544CA" w:rsidRPr="00AF4CCB" w:rsidRDefault="008544CA" w:rsidP="00250940">
      <w:pPr>
        <w:jc w:val="both"/>
        <w:rPr>
          <w:bCs/>
          <w:iCs/>
        </w:rPr>
      </w:pPr>
    </w:p>
    <w:p w14:paraId="422D4F98" w14:textId="79D121AF" w:rsidR="008544CA" w:rsidRPr="00A314F3" w:rsidRDefault="00F1266B" w:rsidP="00250940">
      <w:pPr>
        <w:widowControl w:val="0"/>
        <w:numPr>
          <w:ilvl w:val="0"/>
          <w:numId w:val="20"/>
        </w:numPr>
        <w:jc w:val="both"/>
        <w:rPr>
          <w:rFonts w:ascii="Courier" w:hAnsi="Courier" w:cs="Courier"/>
          <w:b/>
          <w:bCs/>
          <w:sz w:val="28"/>
          <w:szCs w:val="28"/>
        </w:rPr>
      </w:pPr>
      <w:r>
        <w:rPr>
          <w:bCs/>
          <w:i/>
          <w:iCs/>
        </w:rPr>
        <w:t>Massachusetts Coalition For the Homeless</w:t>
      </w:r>
      <w:r w:rsidR="008544CA" w:rsidRPr="00A314F3">
        <w:rPr>
          <w:b/>
          <w:bCs/>
          <w:i/>
          <w:iCs/>
        </w:rPr>
        <w:t xml:space="preserve"> – </w:t>
      </w:r>
      <w:r w:rsidR="008544CA">
        <w:rPr>
          <w:bCs/>
          <w:iCs/>
        </w:rPr>
        <w:t xml:space="preserve">This charitable organization aims to assist needy families </w:t>
      </w:r>
      <w:r w:rsidR="002768B8">
        <w:rPr>
          <w:bCs/>
          <w:iCs/>
        </w:rPr>
        <w:t>in Massachusetts with housing essentials. The credit union provided donations for multiple years over the evaluation period, including several donations directed to the build-a-bed program for children in poverty without a bed of their own.</w:t>
      </w:r>
    </w:p>
    <w:p w14:paraId="5F53575A" w14:textId="77777777" w:rsidR="008544CA" w:rsidRPr="00AF4CCB" w:rsidRDefault="008544CA" w:rsidP="00250940">
      <w:pPr>
        <w:ind w:left="720"/>
        <w:contextualSpacing/>
        <w:jc w:val="both"/>
        <w:rPr>
          <w:rFonts w:cs="Courier"/>
          <w:b/>
          <w:bCs/>
          <w:szCs w:val="28"/>
        </w:rPr>
      </w:pPr>
    </w:p>
    <w:p w14:paraId="1B4B0F6F" w14:textId="0379907E" w:rsidR="008544CA" w:rsidRPr="00A314F3" w:rsidRDefault="008544CA" w:rsidP="00250940">
      <w:pPr>
        <w:widowControl w:val="0"/>
        <w:numPr>
          <w:ilvl w:val="0"/>
          <w:numId w:val="20"/>
        </w:numPr>
        <w:jc w:val="both"/>
        <w:rPr>
          <w:rFonts w:ascii="Courier" w:hAnsi="Courier" w:cs="Courier"/>
          <w:b/>
          <w:bCs/>
          <w:sz w:val="28"/>
          <w:szCs w:val="28"/>
        </w:rPr>
      </w:pPr>
      <w:r>
        <w:rPr>
          <w:bCs/>
          <w:i/>
          <w:iCs/>
        </w:rPr>
        <w:t xml:space="preserve">YWCA </w:t>
      </w:r>
      <w:r w:rsidRPr="00A314F3">
        <w:rPr>
          <w:b/>
          <w:bCs/>
          <w:i/>
          <w:iCs/>
        </w:rPr>
        <w:t xml:space="preserve">– </w:t>
      </w:r>
      <w:r>
        <w:rPr>
          <w:bCs/>
          <w:iCs/>
        </w:rPr>
        <w:t>This Worcester-based chapter of the YWCA aims to be an all-inclusive advocacy and resource center for women throughout Central Massachusetts</w:t>
      </w:r>
      <w:proofErr w:type="gramStart"/>
      <w:r>
        <w:rPr>
          <w:bCs/>
          <w:iCs/>
        </w:rPr>
        <w:t xml:space="preserve">.  </w:t>
      </w:r>
      <w:proofErr w:type="gramEnd"/>
      <w:r>
        <w:rPr>
          <w:bCs/>
          <w:iCs/>
        </w:rPr>
        <w:t>Programs include child care, assistance for victims of domestic violence, and transitional housing</w:t>
      </w:r>
      <w:proofErr w:type="gramStart"/>
      <w:r>
        <w:rPr>
          <w:bCs/>
          <w:iCs/>
        </w:rPr>
        <w:t xml:space="preserve">.  </w:t>
      </w:r>
      <w:proofErr w:type="gramEnd"/>
      <w:r>
        <w:rPr>
          <w:bCs/>
          <w:iCs/>
        </w:rPr>
        <w:t>While all are welcome, this organization is located in low- and moderate-income areas and primarily benefits individuals delineated as low- and moderate-income</w:t>
      </w:r>
      <w:proofErr w:type="gramStart"/>
      <w:r>
        <w:rPr>
          <w:bCs/>
          <w:iCs/>
        </w:rPr>
        <w:t xml:space="preserve">.  </w:t>
      </w:r>
      <w:proofErr w:type="gramEnd"/>
      <w:r w:rsidR="00E85422">
        <w:rPr>
          <w:bCs/>
          <w:iCs/>
        </w:rPr>
        <w:t>The credit union</w:t>
      </w:r>
      <w:r>
        <w:rPr>
          <w:bCs/>
          <w:iCs/>
        </w:rPr>
        <w:t xml:space="preserve"> provided</w:t>
      </w:r>
      <w:r w:rsidRPr="00A314F3">
        <w:rPr>
          <w:bCs/>
          <w:iCs/>
        </w:rPr>
        <w:t xml:space="preserve"> </w:t>
      </w:r>
      <w:r w:rsidR="00E85422">
        <w:rPr>
          <w:bCs/>
          <w:iCs/>
        </w:rPr>
        <w:t>2018 and 2019</w:t>
      </w:r>
      <w:r>
        <w:rPr>
          <w:bCs/>
          <w:iCs/>
        </w:rPr>
        <w:t xml:space="preserve"> </w:t>
      </w:r>
      <w:r w:rsidRPr="00A314F3">
        <w:rPr>
          <w:bCs/>
          <w:iCs/>
        </w:rPr>
        <w:t>contributi</w:t>
      </w:r>
      <w:r>
        <w:rPr>
          <w:bCs/>
          <w:iCs/>
        </w:rPr>
        <w:t xml:space="preserve">ons to this organization.  </w:t>
      </w:r>
      <w:r w:rsidRPr="00A314F3">
        <w:rPr>
          <w:bCs/>
          <w:iCs/>
        </w:rPr>
        <w:t xml:space="preserve"> </w:t>
      </w:r>
    </w:p>
    <w:p w14:paraId="32014AC7" w14:textId="77777777" w:rsidR="008544CA" w:rsidRDefault="008544CA" w:rsidP="00250940">
      <w:pPr>
        <w:jc w:val="both"/>
        <w:rPr>
          <w:b/>
          <w:bCs/>
          <w:u w:val="single"/>
        </w:rPr>
      </w:pPr>
      <w:r w:rsidRPr="00A314F3">
        <w:rPr>
          <w:b/>
          <w:bCs/>
          <w:u w:val="single"/>
        </w:rPr>
        <w:lastRenderedPageBreak/>
        <w:t>Community Development Services</w:t>
      </w:r>
    </w:p>
    <w:p w14:paraId="769E7481" w14:textId="77777777" w:rsidR="008544CA" w:rsidRPr="00A314F3" w:rsidRDefault="008544CA" w:rsidP="00250940">
      <w:pPr>
        <w:jc w:val="both"/>
        <w:rPr>
          <w:b/>
          <w:bCs/>
          <w:u w:val="single"/>
        </w:rPr>
      </w:pPr>
    </w:p>
    <w:p w14:paraId="37E86C41" w14:textId="77777777" w:rsidR="008544CA" w:rsidRPr="00A314F3" w:rsidRDefault="008544CA" w:rsidP="00250940">
      <w:pPr>
        <w:jc w:val="both"/>
      </w:pPr>
      <w:r w:rsidRPr="00A314F3">
        <w:t>During the evaluation per</w:t>
      </w:r>
      <w:r>
        <w:t>iod, the credit union provided 177</w:t>
      </w:r>
      <w:r w:rsidRPr="00A314F3">
        <w:t xml:space="preserve"> instances of financial expertis</w:t>
      </w:r>
      <w:r>
        <w:t xml:space="preserve">e or technical assistance to 34 </w:t>
      </w:r>
      <w:r w:rsidRPr="00A314F3">
        <w:t>different community development-related organizations in the</w:t>
      </w:r>
      <w:r>
        <w:t xml:space="preserve"> assessment area</w:t>
      </w:r>
      <w:proofErr w:type="gramStart"/>
      <w:r>
        <w:t xml:space="preserve">.  </w:t>
      </w:r>
      <w:proofErr w:type="gramEnd"/>
      <w:r w:rsidRPr="00A314F3">
        <w:t>The following table illustrates the community development services by year and purpose</w:t>
      </w:r>
      <w:r>
        <w:t>.</w:t>
      </w:r>
    </w:p>
    <w:p w14:paraId="6A8DC8F6" w14:textId="77777777" w:rsidR="008544CA" w:rsidRPr="00A314F3" w:rsidRDefault="008544CA" w:rsidP="008544CA"/>
    <w:tbl>
      <w:tblPr>
        <w:tblW w:w="7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30"/>
        <w:gridCol w:w="1188"/>
        <w:gridCol w:w="1260"/>
        <w:gridCol w:w="1350"/>
        <w:gridCol w:w="1260"/>
        <w:gridCol w:w="984"/>
        <w:gridCol w:w="6"/>
      </w:tblGrid>
      <w:tr w:rsidR="008544CA" w:rsidRPr="00A314F3" w14:paraId="6D564E42" w14:textId="77777777" w:rsidTr="008544CA">
        <w:trPr>
          <w:gridAfter w:val="1"/>
          <w:wAfter w:w="6" w:type="dxa"/>
          <w:trHeight w:val="323"/>
          <w:jc w:val="center"/>
        </w:trPr>
        <w:tc>
          <w:tcPr>
            <w:tcW w:w="7572" w:type="dxa"/>
            <w:gridSpan w:val="6"/>
            <w:vAlign w:val="center"/>
          </w:tcPr>
          <w:p w14:paraId="5C636CEB" w14:textId="77777777" w:rsidR="008544CA" w:rsidRPr="00AF4CCB" w:rsidRDefault="008544CA" w:rsidP="008544CA">
            <w:pPr>
              <w:jc w:val="center"/>
              <w:rPr>
                <w:b/>
                <w:bCs/>
              </w:rPr>
            </w:pPr>
            <w:r w:rsidRPr="00AF4CCB">
              <w:rPr>
                <w:b/>
                <w:bCs/>
                <w:sz w:val="20"/>
                <w:szCs w:val="22"/>
              </w:rPr>
              <w:t>Community Development Services</w:t>
            </w:r>
          </w:p>
        </w:tc>
      </w:tr>
      <w:tr w:rsidR="008544CA" w:rsidRPr="00A314F3" w14:paraId="4FB3A1C2" w14:textId="77777777" w:rsidTr="008544CA">
        <w:trPr>
          <w:trHeight w:val="509"/>
          <w:jc w:val="center"/>
        </w:trPr>
        <w:tc>
          <w:tcPr>
            <w:tcW w:w="1530" w:type="dxa"/>
            <w:vMerge w:val="restart"/>
            <w:vAlign w:val="center"/>
          </w:tcPr>
          <w:p w14:paraId="2305207B" w14:textId="77777777" w:rsidR="008544CA" w:rsidRPr="00A314F3" w:rsidRDefault="008544CA" w:rsidP="008544CA">
            <w:pPr>
              <w:spacing w:line="276" w:lineRule="auto"/>
              <w:rPr>
                <w:b/>
                <w:bCs/>
                <w:sz w:val="20"/>
                <w:szCs w:val="20"/>
              </w:rPr>
            </w:pPr>
            <w:r w:rsidRPr="00A314F3">
              <w:rPr>
                <w:b/>
                <w:bCs/>
                <w:sz w:val="20"/>
                <w:szCs w:val="20"/>
              </w:rPr>
              <w:t>Activity Year</w:t>
            </w:r>
          </w:p>
        </w:tc>
        <w:tc>
          <w:tcPr>
            <w:tcW w:w="1188" w:type="dxa"/>
            <w:vAlign w:val="center"/>
          </w:tcPr>
          <w:p w14:paraId="16BBD4BF" w14:textId="77777777" w:rsidR="008544CA" w:rsidRPr="00A314F3" w:rsidRDefault="008544CA" w:rsidP="008544CA">
            <w:pPr>
              <w:jc w:val="center"/>
              <w:rPr>
                <w:b/>
                <w:bCs/>
                <w:sz w:val="20"/>
                <w:szCs w:val="20"/>
              </w:rPr>
            </w:pPr>
            <w:r w:rsidRPr="00A314F3">
              <w:rPr>
                <w:b/>
                <w:bCs/>
                <w:sz w:val="20"/>
                <w:szCs w:val="20"/>
              </w:rPr>
              <w:t>Affordable Housing</w:t>
            </w:r>
          </w:p>
        </w:tc>
        <w:tc>
          <w:tcPr>
            <w:tcW w:w="1260" w:type="dxa"/>
            <w:vAlign w:val="center"/>
          </w:tcPr>
          <w:p w14:paraId="3EDD507E" w14:textId="77777777" w:rsidR="008544CA" w:rsidRPr="00A314F3" w:rsidRDefault="008544CA" w:rsidP="008544CA">
            <w:pPr>
              <w:jc w:val="center"/>
              <w:rPr>
                <w:b/>
                <w:bCs/>
                <w:sz w:val="20"/>
                <w:szCs w:val="20"/>
              </w:rPr>
            </w:pPr>
            <w:r w:rsidRPr="00A314F3">
              <w:rPr>
                <w:b/>
                <w:bCs/>
                <w:sz w:val="20"/>
                <w:szCs w:val="20"/>
              </w:rPr>
              <w:t>Community Services</w:t>
            </w:r>
          </w:p>
        </w:tc>
        <w:tc>
          <w:tcPr>
            <w:tcW w:w="1350" w:type="dxa"/>
            <w:vAlign w:val="center"/>
          </w:tcPr>
          <w:p w14:paraId="4B65D8F3" w14:textId="77777777" w:rsidR="008544CA" w:rsidRPr="00A314F3" w:rsidRDefault="008544CA" w:rsidP="008544CA">
            <w:pPr>
              <w:jc w:val="center"/>
              <w:rPr>
                <w:b/>
                <w:bCs/>
                <w:sz w:val="20"/>
                <w:szCs w:val="20"/>
              </w:rPr>
            </w:pPr>
            <w:r w:rsidRPr="00A314F3">
              <w:rPr>
                <w:b/>
                <w:bCs/>
                <w:sz w:val="20"/>
                <w:szCs w:val="20"/>
              </w:rPr>
              <w:t>Economic Development</w:t>
            </w:r>
          </w:p>
        </w:tc>
        <w:tc>
          <w:tcPr>
            <w:tcW w:w="1260" w:type="dxa"/>
            <w:vAlign w:val="center"/>
          </w:tcPr>
          <w:p w14:paraId="1D40C0B0" w14:textId="77777777" w:rsidR="008544CA" w:rsidRPr="00A314F3" w:rsidRDefault="008544CA" w:rsidP="008544CA">
            <w:pPr>
              <w:jc w:val="center"/>
              <w:rPr>
                <w:b/>
                <w:bCs/>
                <w:sz w:val="20"/>
                <w:szCs w:val="20"/>
              </w:rPr>
            </w:pPr>
            <w:r w:rsidRPr="00A314F3">
              <w:rPr>
                <w:b/>
                <w:bCs/>
                <w:sz w:val="20"/>
                <w:szCs w:val="20"/>
              </w:rPr>
              <w:t>Revitalize or Stabilize</w:t>
            </w:r>
          </w:p>
        </w:tc>
        <w:tc>
          <w:tcPr>
            <w:tcW w:w="990" w:type="dxa"/>
            <w:gridSpan w:val="2"/>
            <w:vAlign w:val="center"/>
          </w:tcPr>
          <w:p w14:paraId="582CF4AE" w14:textId="77777777" w:rsidR="008544CA" w:rsidRPr="00A314F3" w:rsidRDefault="008544CA" w:rsidP="008544CA">
            <w:pPr>
              <w:spacing w:line="276" w:lineRule="auto"/>
              <w:rPr>
                <w:b/>
                <w:bCs/>
                <w:sz w:val="20"/>
                <w:szCs w:val="20"/>
              </w:rPr>
            </w:pPr>
            <w:r w:rsidRPr="00A314F3">
              <w:rPr>
                <w:b/>
                <w:bCs/>
                <w:sz w:val="20"/>
                <w:szCs w:val="20"/>
              </w:rPr>
              <w:t>Totals</w:t>
            </w:r>
          </w:p>
        </w:tc>
      </w:tr>
      <w:tr w:rsidR="008544CA" w:rsidRPr="00A314F3" w14:paraId="4B95B853" w14:textId="77777777" w:rsidTr="008544CA">
        <w:trPr>
          <w:trHeight w:val="288"/>
          <w:jc w:val="center"/>
        </w:trPr>
        <w:tc>
          <w:tcPr>
            <w:tcW w:w="1530" w:type="dxa"/>
            <w:vMerge/>
            <w:vAlign w:val="center"/>
          </w:tcPr>
          <w:p w14:paraId="3951748E" w14:textId="77777777" w:rsidR="008544CA" w:rsidRPr="00A314F3" w:rsidRDefault="008544CA" w:rsidP="008544CA">
            <w:pPr>
              <w:spacing w:line="276" w:lineRule="auto"/>
              <w:rPr>
                <w:b/>
                <w:bCs/>
                <w:sz w:val="20"/>
                <w:szCs w:val="20"/>
              </w:rPr>
            </w:pPr>
          </w:p>
        </w:tc>
        <w:tc>
          <w:tcPr>
            <w:tcW w:w="1188" w:type="dxa"/>
            <w:vAlign w:val="center"/>
          </w:tcPr>
          <w:p w14:paraId="04F146B4" w14:textId="77777777" w:rsidR="008544CA" w:rsidRPr="00A314F3" w:rsidRDefault="008544CA" w:rsidP="008544CA">
            <w:pPr>
              <w:jc w:val="center"/>
              <w:rPr>
                <w:b/>
                <w:bCs/>
                <w:sz w:val="20"/>
                <w:szCs w:val="20"/>
              </w:rPr>
            </w:pPr>
            <w:r w:rsidRPr="00A314F3">
              <w:rPr>
                <w:b/>
                <w:bCs/>
                <w:sz w:val="20"/>
                <w:szCs w:val="20"/>
              </w:rPr>
              <w:t>#</w:t>
            </w:r>
          </w:p>
        </w:tc>
        <w:tc>
          <w:tcPr>
            <w:tcW w:w="1260" w:type="dxa"/>
            <w:vAlign w:val="center"/>
          </w:tcPr>
          <w:p w14:paraId="37321612" w14:textId="77777777" w:rsidR="008544CA" w:rsidRPr="00A314F3" w:rsidRDefault="008544CA" w:rsidP="008544CA">
            <w:pPr>
              <w:jc w:val="center"/>
              <w:rPr>
                <w:b/>
                <w:bCs/>
                <w:sz w:val="20"/>
                <w:szCs w:val="20"/>
              </w:rPr>
            </w:pPr>
            <w:r w:rsidRPr="00A314F3">
              <w:rPr>
                <w:b/>
                <w:bCs/>
                <w:sz w:val="20"/>
                <w:szCs w:val="20"/>
              </w:rPr>
              <w:t xml:space="preserve"> #</w:t>
            </w:r>
          </w:p>
        </w:tc>
        <w:tc>
          <w:tcPr>
            <w:tcW w:w="1350" w:type="dxa"/>
            <w:vAlign w:val="center"/>
          </w:tcPr>
          <w:p w14:paraId="1785909A" w14:textId="77777777" w:rsidR="008544CA" w:rsidRPr="00A314F3" w:rsidRDefault="008544CA" w:rsidP="008544CA">
            <w:pPr>
              <w:jc w:val="center"/>
              <w:rPr>
                <w:b/>
                <w:bCs/>
                <w:sz w:val="20"/>
                <w:szCs w:val="20"/>
              </w:rPr>
            </w:pPr>
            <w:r w:rsidRPr="00A314F3">
              <w:rPr>
                <w:b/>
                <w:bCs/>
                <w:sz w:val="20"/>
                <w:szCs w:val="20"/>
              </w:rPr>
              <w:t>#</w:t>
            </w:r>
          </w:p>
        </w:tc>
        <w:tc>
          <w:tcPr>
            <w:tcW w:w="1260" w:type="dxa"/>
            <w:vAlign w:val="center"/>
          </w:tcPr>
          <w:p w14:paraId="7A09122C" w14:textId="77777777" w:rsidR="008544CA" w:rsidRPr="00A314F3" w:rsidRDefault="008544CA" w:rsidP="008544CA">
            <w:pPr>
              <w:jc w:val="center"/>
              <w:rPr>
                <w:b/>
                <w:bCs/>
                <w:sz w:val="20"/>
                <w:szCs w:val="20"/>
              </w:rPr>
            </w:pPr>
            <w:r w:rsidRPr="00A314F3">
              <w:rPr>
                <w:b/>
                <w:bCs/>
                <w:sz w:val="20"/>
                <w:szCs w:val="20"/>
              </w:rPr>
              <w:t xml:space="preserve"> #</w:t>
            </w:r>
          </w:p>
        </w:tc>
        <w:tc>
          <w:tcPr>
            <w:tcW w:w="990" w:type="dxa"/>
            <w:gridSpan w:val="2"/>
            <w:vAlign w:val="center"/>
          </w:tcPr>
          <w:p w14:paraId="490B24F5" w14:textId="77777777" w:rsidR="008544CA" w:rsidRPr="00A314F3" w:rsidRDefault="008544CA" w:rsidP="008544CA">
            <w:pPr>
              <w:tabs>
                <w:tab w:val="right" w:pos="1062"/>
              </w:tabs>
              <w:jc w:val="center"/>
              <w:rPr>
                <w:b/>
                <w:bCs/>
                <w:sz w:val="20"/>
                <w:szCs w:val="20"/>
              </w:rPr>
            </w:pPr>
            <w:r w:rsidRPr="00A314F3">
              <w:rPr>
                <w:b/>
                <w:bCs/>
                <w:sz w:val="20"/>
                <w:szCs w:val="20"/>
              </w:rPr>
              <w:t>#</w:t>
            </w:r>
          </w:p>
        </w:tc>
      </w:tr>
      <w:tr w:rsidR="008544CA" w:rsidRPr="00A314F3" w14:paraId="7B00FB21" w14:textId="77777777" w:rsidTr="008544CA">
        <w:trPr>
          <w:trHeight w:val="288"/>
          <w:jc w:val="center"/>
        </w:trPr>
        <w:tc>
          <w:tcPr>
            <w:tcW w:w="1530" w:type="dxa"/>
            <w:vAlign w:val="center"/>
          </w:tcPr>
          <w:p w14:paraId="49CD2284" w14:textId="77777777" w:rsidR="008544CA" w:rsidRPr="00A314F3" w:rsidRDefault="008544CA" w:rsidP="008544CA">
            <w:pPr>
              <w:tabs>
                <w:tab w:val="left" w:pos="-1080"/>
              </w:tabs>
              <w:rPr>
                <w:sz w:val="20"/>
                <w:szCs w:val="20"/>
              </w:rPr>
            </w:pPr>
            <w:r>
              <w:rPr>
                <w:sz w:val="20"/>
                <w:szCs w:val="20"/>
              </w:rPr>
              <w:t>09/12/2016-12/31/2016</w:t>
            </w:r>
          </w:p>
        </w:tc>
        <w:tc>
          <w:tcPr>
            <w:tcW w:w="1188" w:type="dxa"/>
            <w:vAlign w:val="center"/>
          </w:tcPr>
          <w:p w14:paraId="5DB1FE0A" w14:textId="77777777" w:rsidR="008544CA" w:rsidRPr="00A314F3" w:rsidRDefault="008544CA" w:rsidP="008544CA">
            <w:pPr>
              <w:tabs>
                <w:tab w:val="right" w:pos="540"/>
              </w:tabs>
              <w:jc w:val="center"/>
              <w:rPr>
                <w:sz w:val="20"/>
                <w:szCs w:val="20"/>
              </w:rPr>
            </w:pPr>
            <w:r>
              <w:rPr>
                <w:sz w:val="20"/>
                <w:szCs w:val="20"/>
              </w:rPr>
              <w:t>8</w:t>
            </w:r>
          </w:p>
        </w:tc>
        <w:tc>
          <w:tcPr>
            <w:tcW w:w="1260" w:type="dxa"/>
            <w:vAlign w:val="center"/>
          </w:tcPr>
          <w:p w14:paraId="106BA88B" w14:textId="77777777" w:rsidR="008544CA" w:rsidRPr="00A314F3" w:rsidRDefault="008544CA" w:rsidP="008544CA">
            <w:pPr>
              <w:tabs>
                <w:tab w:val="right" w:pos="612"/>
              </w:tabs>
              <w:jc w:val="center"/>
              <w:rPr>
                <w:sz w:val="20"/>
                <w:szCs w:val="20"/>
              </w:rPr>
            </w:pPr>
            <w:r>
              <w:rPr>
                <w:sz w:val="20"/>
                <w:szCs w:val="20"/>
              </w:rPr>
              <w:t>10</w:t>
            </w:r>
          </w:p>
        </w:tc>
        <w:tc>
          <w:tcPr>
            <w:tcW w:w="1350" w:type="dxa"/>
            <w:vAlign w:val="center"/>
          </w:tcPr>
          <w:p w14:paraId="0D2D86FC" w14:textId="77777777" w:rsidR="008544CA" w:rsidRPr="00A314F3" w:rsidRDefault="008544CA" w:rsidP="008544CA">
            <w:pPr>
              <w:tabs>
                <w:tab w:val="right" w:pos="612"/>
              </w:tabs>
              <w:jc w:val="center"/>
              <w:rPr>
                <w:sz w:val="20"/>
                <w:szCs w:val="20"/>
              </w:rPr>
            </w:pPr>
            <w:r>
              <w:rPr>
                <w:sz w:val="20"/>
                <w:szCs w:val="20"/>
              </w:rPr>
              <w:t>0</w:t>
            </w:r>
          </w:p>
        </w:tc>
        <w:tc>
          <w:tcPr>
            <w:tcW w:w="1260" w:type="dxa"/>
            <w:vAlign w:val="center"/>
          </w:tcPr>
          <w:p w14:paraId="26A024A6" w14:textId="77777777" w:rsidR="008544CA" w:rsidRPr="00A314F3" w:rsidRDefault="008544CA" w:rsidP="008544CA">
            <w:pPr>
              <w:tabs>
                <w:tab w:val="right" w:pos="612"/>
              </w:tabs>
              <w:jc w:val="center"/>
              <w:rPr>
                <w:sz w:val="20"/>
                <w:szCs w:val="20"/>
              </w:rPr>
            </w:pPr>
            <w:r w:rsidRPr="00A314F3">
              <w:rPr>
                <w:sz w:val="20"/>
                <w:szCs w:val="20"/>
              </w:rPr>
              <w:t>0</w:t>
            </w:r>
          </w:p>
        </w:tc>
        <w:tc>
          <w:tcPr>
            <w:tcW w:w="990" w:type="dxa"/>
            <w:gridSpan w:val="2"/>
            <w:vAlign w:val="center"/>
          </w:tcPr>
          <w:p w14:paraId="68AAC97F" w14:textId="77777777" w:rsidR="008544CA" w:rsidRPr="00A314F3" w:rsidRDefault="008544CA" w:rsidP="008544CA">
            <w:pPr>
              <w:tabs>
                <w:tab w:val="right" w:pos="522"/>
                <w:tab w:val="right" w:pos="1062"/>
              </w:tabs>
              <w:jc w:val="center"/>
              <w:rPr>
                <w:sz w:val="20"/>
                <w:szCs w:val="20"/>
              </w:rPr>
            </w:pPr>
            <w:r>
              <w:rPr>
                <w:sz w:val="20"/>
                <w:szCs w:val="20"/>
              </w:rPr>
              <w:t>18</w:t>
            </w:r>
          </w:p>
        </w:tc>
      </w:tr>
      <w:tr w:rsidR="008544CA" w:rsidRPr="00A314F3" w14:paraId="6F83509D" w14:textId="77777777" w:rsidTr="008544CA">
        <w:trPr>
          <w:trHeight w:val="288"/>
          <w:jc w:val="center"/>
        </w:trPr>
        <w:tc>
          <w:tcPr>
            <w:tcW w:w="1530" w:type="dxa"/>
            <w:vAlign w:val="center"/>
          </w:tcPr>
          <w:p w14:paraId="6FAF13B3" w14:textId="77777777" w:rsidR="008544CA" w:rsidRPr="00A314F3" w:rsidRDefault="008544CA" w:rsidP="008544CA">
            <w:pPr>
              <w:tabs>
                <w:tab w:val="left" w:pos="-1080"/>
              </w:tabs>
              <w:rPr>
                <w:sz w:val="20"/>
                <w:szCs w:val="20"/>
              </w:rPr>
            </w:pPr>
            <w:r>
              <w:rPr>
                <w:sz w:val="20"/>
                <w:szCs w:val="20"/>
              </w:rPr>
              <w:t>2017</w:t>
            </w:r>
          </w:p>
        </w:tc>
        <w:tc>
          <w:tcPr>
            <w:tcW w:w="1188" w:type="dxa"/>
            <w:vAlign w:val="center"/>
          </w:tcPr>
          <w:p w14:paraId="2A93BDD4" w14:textId="77777777" w:rsidR="008544CA" w:rsidRPr="00A314F3" w:rsidRDefault="008544CA" w:rsidP="008544CA">
            <w:pPr>
              <w:tabs>
                <w:tab w:val="right" w:pos="540"/>
              </w:tabs>
              <w:jc w:val="center"/>
              <w:rPr>
                <w:sz w:val="20"/>
                <w:szCs w:val="20"/>
              </w:rPr>
            </w:pPr>
            <w:r>
              <w:rPr>
                <w:sz w:val="20"/>
                <w:szCs w:val="20"/>
              </w:rPr>
              <w:t>8</w:t>
            </w:r>
          </w:p>
        </w:tc>
        <w:tc>
          <w:tcPr>
            <w:tcW w:w="1260" w:type="dxa"/>
            <w:vAlign w:val="center"/>
          </w:tcPr>
          <w:p w14:paraId="00E634FA" w14:textId="77777777" w:rsidR="008544CA" w:rsidRPr="00A314F3" w:rsidRDefault="008544CA" w:rsidP="008544CA">
            <w:pPr>
              <w:tabs>
                <w:tab w:val="right" w:pos="612"/>
              </w:tabs>
              <w:jc w:val="center"/>
              <w:rPr>
                <w:sz w:val="20"/>
                <w:szCs w:val="20"/>
              </w:rPr>
            </w:pPr>
            <w:r>
              <w:rPr>
                <w:sz w:val="20"/>
                <w:szCs w:val="20"/>
              </w:rPr>
              <w:t>11</w:t>
            </w:r>
          </w:p>
        </w:tc>
        <w:tc>
          <w:tcPr>
            <w:tcW w:w="1350" w:type="dxa"/>
            <w:vAlign w:val="center"/>
          </w:tcPr>
          <w:p w14:paraId="1A8B0ED3" w14:textId="77777777" w:rsidR="008544CA" w:rsidRPr="00A314F3" w:rsidRDefault="008544CA" w:rsidP="008544CA">
            <w:pPr>
              <w:tabs>
                <w:tab w:val="right" w:pos="612"/>
              </w:tabs>
              <w:jc w:val="center"/>
              <w:rPr>
                <w:sz w:val="20"/>
                <w:szCs w:val="20"/>
              </w:rPr>
            </w:pPr>
            <w:r>
              <w:rPr>
                <w:sz w:val="20"/>
                <w:szCs w:val="20"/>
              </w:rPr>
              <w:t>0</w:t>
            </w:r>
          </w:p>
        </w:tc>
        <w:tc>
          <w:tcPr>
            <w:tcW w:w="1260" w:type="dxa"/>
            <w:vAlign w:val="center"/>
          </w:tcPr>
          <w:p w14:paraId="63C46A60" w14:textId="77777777" w:rsidR="008544CA" w:rsidRPr="00A314F3" w:rsidRDefault="008544CA" w:rsidP="008544CA">
            <w:pPr>
              <w:tabs>
                <w:tab w:val="right" w:pos="612"/>
              </w:tabs>
              <w:jc w:val="center"/>
              <w:rPr>
                <w:sz w:val="20"/>
                <w:szCs w:val="20"/>
              </w:rPr>
            </w:pPr>
            <w:r>
              <w:rPr>
                <w:sz w:val="20"/>
                <w:szCs w:val="20"/>
              </w:rPr>
              <w:t>0</w:t>
            </w:r>
          </w:p>
        </w:tc>
        <w:tc>
          <w:tcPr>
            <w:tcW w:w="990" w:type="dxa"/>
            <w:gridSpan w:val="2"/>
            <w:vAlign w:val="center"/>
          </w:tcPr>
          <w:p w14:paraId="0131D349" w14:textId="77777777" w:rsidR="008544CA" w:rsidRPr="00A314F3" w:rsidRDefault="008544CA" w:rsidP="008544CA">
            <w:pPr>
              <w:tabs>
                <w:tab w:val="right" w:pos="522"/>
                <w:tab w:val="right" w:pos="1062"/>
              </w:tabs>
              <w:jc w:val="center"/>
              <w:rPr>
                <w:sz w:val="20"/>
                <w:szCs w:val="20"/>
              </w:rPr>
            </w:pPr>
            <w:r>
              <w:rPr>
                <w:sz w:val="20"/>
                <w:szCs w:val="20"/>
              </w:rPr>
              <w:t>19</w:t>
            </w:r>
          </w:p>
        </w:tc>
      </w:tr>
      <w:tr w:rsidR="008544CA" w:rsidRPr="00A314F3" w14:paraId="2DDC3122" w14:textId="77777777" w:rsidTr="008544CA">
        <w:trPr>
          <w:trHeight w:val="288"/>
          <w:jc w:val="center"/>
        </w:trPr>
        <w:tc>
          <w:tcPr>
            <w:tcW w:w="1530" w:type="dxa"/>
            <w:vAlign w:val="center"/>
          </w:tcPr>
          <w:p w14:paraId="1BB8809D" w14:textId="77777777" w:rsidR="008544CA" w:rsidRPr="00A314F3" w:rsidRDefault="008544CA" w:rsidP="008544CA">
            <w:pPr>
              <w:tabs>
                <w:tab w:val="left" w:pos="-1080"/>
              </w:tabs>
              <w:rPr>
                <w:sz w:val="20"/>
                <w:szCs w:val="20"/>
              </w:rPr>
            </w:pPr>
            <w:r>
              <w:rPr>
                <w:sz w:val="20"/>
                <w:szCs w:val="20"/>
              </w:rPr>
              <w:t>2018</w:t>
            </w:r>
          </w:p>
        </w:tc>
        <w:tc>
          <w:tcPr>
            <w:tcW w:w="1188" w:type="dxa"/>
            <w:vAlign w:val="center"/>
          </w:tcPr>
          <w:p w14:paraId="102AC381" w14:textId="77777777" w:rsidR="008544CA" w:rsidRPr="00A314F3" w:rsidRDefault="008544CA" w:rsidP="008544CA">
            <w:pPr>
              <w:tabs>
                <w:tab w:val="right" w:pos="540"/>
              </w:tabs>
              <w:jc w:val="center"/>
              <w:rPr>
                <w:sz w:val="20"/>
                <w:szCs w:val="20"/>
              </w:rPr>
            </w:pPr>
            <w:r>
              <w:rPr>
                <w:sz w:val="20"/>
                <w:szCs w:val="20"/>
              </w:rPr>
              <w:t>10</w:t>
            </w:r>
          </w:p>
        </w:tc>
        <w:tc>
          <w:tcPr>
            <w:tcW w:w="1260" w:type="dxa"/>
            <w:vAlign w:val="center"/>
          </w:tcPr>
          <w:p w14:paraId="539AF5BE" w14:textId="77777777" w:rsidR="008544CA" w:rsidRPr="00A314F3" w:rsidRDefault="008544CA" w:rsidP="008544CA">
            <w:pPr>
              <w:tabs>
                <w:tab w:val="right" w:pos="612"/>
              </w:tabs>
              <w:jc w:val="center"/>
              <w:rPr>
                <w:sz w:val="20"/>
                <w:szCs w:val="20"/>
              </w:rPr>
            </w:pPr>
            <w:r>
              <w:rPr>
                <w:sz w:val="20"/>
                <w:szCs w:val="20"/>
              </w:rPr>
              <w:t>50</w:t>
            </w:r>
          </w:p>
        </w:tc>
        <w:tc>
          <w:tcPr>
            <w:tcW w:w="1350" w:type="dxa"/>
            <w:vAlign w:val="center"/>
          </w:tcPr>
          <w:p w14:paraId="7AD2579B" w14:textId="77777777" w:rsidR="008544CA" w:rsidRPr="00A314F3" w:rsidRDefault="008544CA" w:rsidP="008544CA">
            <w:pPr>
              <w:tabs>
                <w:tab w:val="right" w:pos="612"/>
              </w:tabs>
              <w:jc w:val="center"/>
              <w:rPr>
                <w:sz w:val="20"/>
                <w:szCs w:val="20"/>
              </w:rPr>
            </w:pPr>
            <w:r>
              <w:rPr>
                <w:sz w:val="20"/>
                <w:szCs w:val="20"/>
              </w:rPr>
              <w:t>0</w:t>
            </w:r>
          </w:p>
        </w:tc>
        <w:tc>
          <w:tcPr>
            <w:tcW w:w="1260" w:type="dxa"/>
            <w:vAlign w:val="center"/>
          </w:tcPr>
          <w:p w14:paraId="7277D07D" w14:textId="77777777" w:rsidR="008544CA" w:rsidRPr="00A314F3" w:rsidRDefault="008544CA" w:rsidP="008544CA">
            <w:pPr>
              <w:tabs>
                <w:tab w:val="right" w:pos="612"/>
              </w:tabs>
              <w:jc w:val="center"/>
              <w:rPr>
                <w:sz w:val="20"/>
                <w:szCs w:val="20"/>
              </w:rPr>
            </w:pPr>
            <w:r>
              <w:rPr>
                <w:sz w:val="20"/>
                <w:szCs w:val="20"/>
              </w:rPr>
              <w:t>0</w:t>
            </w:r>
          </w:p>
        </w:tc>
        <w:tc>
          <w:tcPr>
            <w:tcW w:w="990" w:type="dxa"/>
            <w:gridSpan w:val="2"/>
            <w:vAlign w:val="center"/>
          </w:tcPr>
          <w:p w14:paraId="79863CEC" w14:textId="77777777" w:rsidR="008544CA" w:rsidRPr="00A314F3" w:rsidRDefault="008544CA" w:rsidP="008544CA">
            <w:pPr>
              <w:tabs>
                <w:tab w:val="right" w:pos="522"/>
                <w:tab w:val="right" w:pos="1062"/>
              </w:tabs>
              <w:jc w:val="center"/>
              <w:rPr>
                <w:sz w:val="20"/>
                <w:szCs w:val="20"/>
              </w:rPr>
            </w:pPr>
            <w:r>
              <w:rPr>
                <w:sz w:val="20"/>
                <w:szCs w:val="20"/>
              </w:rPr>
              <w:t>60</w:t>
            </w:r>
          </w:p>
        </w:tc>
      </w:tr>
      <w:tr w:rsidR="008544CA" w:rsidRPr="00A314F3" w14:paraId="2427F59B" w14:textId="77777777" w:rsidTr="008544CA">
        <w:trPr>
          <w:trHeight w:val="288"/>
          <w:jc w:val="center"/>
        </w:trPr>
        <w:tc>
          <w:tcPr>
            <w:tcW w:w="1530" w:type="dxa"/>
            <w:vAlign w:val="center"/>
          </w:tcPr>
          <w:p w14:paraId="7355A184" w14:textId="77777777" w:rsidR="008544CA" w:rsidRPr="00A314F3" w:rsidRDefault="008544CA" w:rsidP="008544CA">
            <w:pPr>
              <w:tabs>
                <w:tab w:val="left" w:pos="-1080"/>
              </w:tabs>
              <w:rPr>
                <w:sz w:val="20"/>
                <w:szCs w:val="20"/>
              </w:rPr>
            </w:pPr>
            <w:r>
              <w:rPr>
                <w:sz w:val="20"/>
                <w:szCs w:val="20"/>
              </w:rPr>
              <w:t>2019</w:t>
            </w:r>
          </w:p>
        </w:tc>
        <w:tc>
          <w:tcPr>
            <w:tcW w:w="1188" w:type="dxa"/>
            <w:vAlign w:val="center"/>
          </w:tcPr>
          <w:p w14:paraId="37223FB0" w14:textId="77777777" w:rsidR="008544CA" w:rsidRPr="00A314F3" w:rsidRDefault="008544CA" w:rsidP="008544CA">
            <w:pPr>
              <w:tabs>
                <w:tab w:val="right" w:pos="540"/>
              </w:tabs>
              <w:jc w:val="center"/>
              <w:rPr>
                <w:sz w:val="20"/>
                <w:szCs w:val="20"/>
              </w:rPr>
            </w:pPr>
            <w:r>
              <w:rPr>
                <w:sz w:val="20"/>
                <w:szCs w:val="20"/>
              </w:rPr>
              <w:t>10</w:t>
            </w:r>
          </w:p>
        </w:tc>
        <w:tc>
          <w:tcPr>
            <w:tcW w:w="1260" w:type="dxa"/>
            <w:vAlign w:val="center"/>
          </w:tcPr>
          <w:p w14:paraId="37F20ACB" w14:textId="77777777" w:rsidR="008544CA" w:rsidRPr="00A314F3" w:rsidRDefault="008544CA" w:rsidP="008544CA">
            <w:pPr>
              <w:tabs>
                <w:tab w:val="right" w:pos="612"/>
              </w:tabs>
              <w:jc w:val="center"/>
              <w:rPr>
                <w:sz w:val="20"/>
                <w:szCs w:val="20"/>
              </w:rPr>
            </w:pPr>
            <w:r>
              <w:rPr>
                <w:sz w:val="20"/>
                <w:szCs w:val="20"/>
              </w:rPr>
              <w:t>42</w:t>
            </w:r>
          </w:p>
        </w:tc>
        <w:tc>
          <w:tcPr>
            <w:tcW w:w="1350" w:type="dxa"/>
            <w:vAlign w:val="center"/>
          </w:tcPr>
          <w:p w14:paraId="5B94EF00" w14:textId="77777777" w:rsidR="008544CA" w:rsidRPr="00A314F3" w:rsidRDefault="008544CA" w:rsidP="008544CA">
            <w:pPr>
              <w:tabs>
                <w:tab w:val="right" w:pos="612"/>
              </w:tabs>
              <w:jc w:val="center"/>
              <w:rPr>
                <w:sz w:val="20"/>
                <w:szCs w:val="20"/>
              </w:rPr>
            </w:pPr>
            <w:r>
              <w:rPr>
                <w:sz w:val="20"/>
                <w:szCs w:val="20"/>
              </w:rPr>
              <w:t>1</w:t>
            </w:r>
          </w:p>
        </w:tc>
        <w:tc>
          <w:tcPr>
            <w:tcW w:w="1260" w:type="dxa"/>
            <w:vAlign w:val="center"/>
          </w:tcPr>
          <w:p w14:paraId="7BA1CA5C" w14:textId="77777777" w:rsidR="008544CA" w:rsidRPr="00A314F3" w:rsidRDefault="008544CA" w:rsidP="008544CA">
            <w:pPr>
              <w:tabs>
                <w:tab w:val="right" w:pos="612"/>
              </w:tabs>
              <w:jc w:val="center"/>
              <w:rPr>
                <w:sz w:val="20"/>
                <w:szCs w:val="20"/>
              </w:rPr>
            </w:pPr>
            <w:r>
              <w:rPr>
                <w:sz w:val="20"/>
                <w:szCs w:val="20"/>
              </w:rPr>
              <w:t>0</w:t>
            </w:r>
          </w:p>
        </w:tc>
        <w:tc>
          <w:tcPr>
            <w:tcW w:w="990" w:type="dxa"/>
            <w:gridSpan w:val="2"/>
            <w:vAlign w:val="center"/>
          </w:tcPr>
          <w:p w14:paraId="08DD12D4" w14:textId="77777777" w:rsidR="008544CA" w:rsidRPr="00A314F3" w:rsidRDefault="008544CA" w:rsidP="008544CA">
            <w:pPr>
              <w:tabs>
                <w:tab w:val="right" w:pos="522"/>
                <w:tab w:val="right" w:pos="1062"/>
              </w:tabs>
              <w:jc w:val="center"/>
              <w:rPr>
                <w:sz w:val="20"/>
                <w:szCs w:val="20"/>
              </w:rPr>
            </w:pPr>
            <w:r>
              <w:rPr>
                <w:sz w:val="20"/>
                <w:szCs w:val="20"/>
              </w:rPr>
              <w:t>53</w:t>
            </w:r>
          </w:p>
        </w:tc>
      </w:tr>
      <w:tr w:rsidR="008544CA" w:rsidRPr="00A314F3" w14:paraId="287514F8" w14:textId="77777777" w:rsidTr="008544CA">
        <w:trPr>
          <w:trHeight w:val="288"/>
          <w:jc w:val="center"/>
        </w:trPr>
        <w:tc>
          <w:tcPr>
            <w:tcW w:w="1530" w:type="dxa"/>
            <w:vAlign w:val="center"/>
          </w:tcPr>
          <w:p w14:paraId="2C0603B1" w14:textId="77777777" w:rsidR="008544CA" w:rsidRDefault="008544CA" w:rsidP="008544CA">
            <w:pPr>
              <w:tabs>
                <w:tab w:val="left" w:pos="-1080"/>
              </w:tabs>
              <w:rPr>
                <w:sz w:val="20"/>
                <w:szCs w:val="20"/>
              </w:rPr>
            </w:pPr>
            <w:r>
              <w:rPr>
                <w:sz w:val="20"/>
                <w:szCs w:val="20"/>
              </w:rPr>
              <w:t>2020</w:t>
            </w:r>
          </w:p>
        </w:tc>
        <w:tc>
          <w:tcPr>
            <w:tcW w:w="1188" w:type="dxa"/>
            <w:vAlign w:val="center"/>
          </w:tcPr>
          <w:p w14:paraId="7DC8629B" w14:textId="77777777" w:rsidR="008544CA" w:rsidRDefault="008544CA" w:rsidP="008544CA">
            <w:pPr>
              <w:tabs>
                <w:tab w:val="right" w:pos="540"/>
              </w:tabs>
              <w:jc w:val="center"/>
              <w:rPr>
                <w:sz w:val="20"/>
                <w:szCs w:val="20"/>
              </w:rPr>
            </w:pPr>
            <w:r>
              <w:rPr>
                <w:sz w:val="20"/>
                <w:szCs w:val="20"/>
              </w:rPr>
              <w:t>7</w:t>
            </w:r>
          </w:p>
        </w:tc>
        <w:tc>
          <w:tcPr>
            <w:tcW w:w="1260" w:type="dxa"/>
            <w:vAlign w:val="center"/>
          </w:tcPr>
          <w:p w14:paraId="0B7BD530" w14:textId="77777777" w:rsidR="008544CA" w:rsidRDefault="008544CA" w:rsidP="008544CA">
            <w:pPr>
              <w:tabs>
                <w:tab w:val="right" w:pos="612"/>
              </w:tabs>
              <w:jc w:val="center"/>
              <w:rPr>
                <w:sz w:val="20"/>
                <w:szCs w:val="20"/>
              </w:rPr>
            </w:pPr>
            <w:r>
              <w:rPr>
                <w:sz w:val="20"/>
                <w:szCs w:val="20"/>
              </w:rPr>
              <w:t>17</w:t>
            </w:r>
          </w:p>
        </w:tc>
        <w:tc>
          <w:tcPr>
            <w:tcW w:w="1350" w:type="dxa"/>
            <w:vAlign w:val="center"/>
          </w:tcPr>
          <w:p w14:paraId="28AE5619" w14:textId="77777777" w:rsidR="008544CA" w:rsidRDefault="008544CA" w:rsidP="008544CA">
            <w:pPr>
              <w:tabs>
                <w:tab w:val="right" w:pos="612"/>
              </w:tabs>
              <w:jc w:val="center"/>
              <w:rPr>
                <w:sz w:val="20"/>
                <w:szCs w:val="20"/>
              </w:rPr>
            </w:pPr>
            <w:r>
              <w:rPr>
                <w:sz w:val="20"/>
                <w:szCs w:val="20"/>
              </w:rPr>
              <w:t>3</w:t>
            </w:r>
          </w:p>
        </w:tc>
        <w:tc>
          <w:tcPr>
            <w:tcW w:w="1260" w:type="dxa"/>
            <w:vAlign w:val="center"/>
          </w:tcPr>
          <w:p w14:paraId="4329D7BF" w14:textId="77777777" w:rsidR="008544CA" w:rsidRDefault="008544CA" w:rsidP="008544CA">
            <w:pPr>
              <w:tabs>
                <w:tab w:val="right" w:pos="612"/>
              </w:tabs>
              <w:jc w:val="center"/>
              <w:rPr>
                <w:sz w:val="20"/>
                <w:szCs w:val="20"/>
              </w:rPr>
            </w:pPr>
            <w:r>
              <w:rPr>
                <w:sz w:val="20"/>
                <w:szCs w:val="20"/>
              </w:rPr>
              <w:t>0</w:t>
            </w:r>
          </w:p>
        </w:tc>
        <w:tc>
          <w:tcPr>
            <w:tcW w:w="990" w:type="dxa"/>
            <w:gridSpan w:val="2"/>
            <w:vAlign w:val="center"/>
          </w:tcPr>
          <w:p w14:paraId="37468BFC" w14:textId="77777777" w:rsidR="008544CA" w:rsidRDefault="008544CA" w:rsidP="008544CA">
            <w:pPr>
              <w:tabs>
                <w:tab w:val="right" w:pos="522"/>
                <w:tab w:val="right" w:pos="1062"/>
              </w:tabs>
              <w:jc w:val="center"/>
              <w:rPr>
                <w:sz w:val="20"/>
                <w:szCs w:val="20"/>
              </w:rPr>
            </w:pPr>
            <w:r>
              <w:rPr>
                <w:sz w:val="20"/>
                <w:szCs w:val="20"/>
              </w:rPr>
              <w:t>27</w:t>
            </w:r>
          </w:p>
        </w:tc>
      </w:tr>
      <w:tr w:rsidR="008544CA" w:rsidRPr="00A314F3" w14:paraId="54BE2F24" w14:textId="77777777" w:rsidTr="008544CA">
        <w:trPr>
          <w:trHeight w:val="288"/>
          <w:jc w:val="center"/>
        </w:trPr>
        <w:tc>
          <w:tcPr>
            <w:tcW w:w="1530" w:type="dxa"/>
            <w:vAlign w:val="center"/>
          </w:tcPr>
          <w:p w14:paraId="2EB24071" w14:textId="77777777" w:rsidR="008544CA" w:rsidRPr="00A314F3" w:rsidRDefault="008544CA" w:rsidP="008544CA">
            <w:pPr>
              <w:spacing w:line="276" w:lineRule="auto"/>
              <w:rPr>
                <w:b/>
                <w:bCs/>
                <w:sz w:val="20"/>
                <w:szCs w:val="20"/>
              </w:rPr>
            </w:pPr>
            <w:r w:rsidRPr="00A314F3">
              <w:rPr>
                <w:b/>
                <w:bCs/>
                <w:sz w:val="20"/>
                <w:szCs w:val="20"/>
              </w:rPr>
              <w:t>Total</w:t>
            </w:r>
          </w:p>
        </w:tc>
        <w:tc>
          <w:tcPr>
            <w:tcW w:w="1188" w:type="dxa"/>
            <w:vAlign w:val="center"/>
          </w:tcPr>
          <w:p w14:paraId="075EFA6F" w14:textId="77777777" w:rsidR="008544CA" w:rsidRPr="00A314F3" w:rsidRDefault="008544CA" w:rsidP="008544CA">
            <w:pPr>
              <w:tabs>
                <w:tab w:val="right" w:pos="540"/>
              </w:tabs>
              <w:jc w:val="center"/>
              <w:rPr>
                <w:b/>
                <w:bCs/>
                <w:sz w:val="20"/>
                <w:szCs w:val="20"/>
              </w:rPr>
            </w:pPr>
            <w:r>
              <w:rPr>
                <w:b/>
                <w:bCs/>
                <w:sz w:val="20"/>
                <w:szCs w:val="20"/>
              </w:rPr>
              <w:t>43</w:t>
            </w:r>
          </w:p>
        </w:tc>
        <w:tc>
          <w:tcPr>
            <w:tcW w:w="1260" w:type="dxa"/>
            <w:vAlign w:val="center"/>
          </w:tcPr>
          <w:p w14:paraId="61BA1D75" w14:textId="77777777" w:rsidR="008544CA" w:rsidRPr="00A314F3" w:rsidRDefault="008544CA" w:rsidP="008544CA">
            <w:pPr>
              <w:tabs>
                <w:tab w:val="right" w:pos="612"/>
              </w:tabs>
              <w:jc w:val="center"/>
              <w:rPr>
                <w:b/>
                <w:bCs/>
                <w:sz w:val="20"/>
                <w:szCs w:val="20"/>
              </w:rPr>
            </w:pPr>
            <w:r>
              <w:rPr>
                <w:b/>
                <w:bCs/>
                <w:sz w:val="20"/>
                <w:szCs w:val="20"/>
              </w:rPr>
              <w:t>129</w:t>
            </w:r>
          </w:p>
        </w:tc>
        <w:tc>
          <w:tcPr>
            <w:tcW w:w="1350" w:type="dxa"/>
            <w:vAlign w:val="center"/>
          </w:tcPr>
          <w:p w14:paraId="3C0906FE" w14:textId="77777777" w:rsidR="008544CA" w:rsidRPr="00A314F3" w:rsidRDefault="008544CA" w:rsidP="008544CA">
            <w:pPr>
              <w:tabs>
                <w:tab w:val="right" w:pos="612"/>
              </w:tabs>
              <w:jc w:val="center"/>
              <w:rPr>
                <w:b/>
                <w:bCs/>
                <w:sz w:val="20"/>
                <w:szCs w:val="20"/>
              </w:rPr>
            </w:pPr>
            <w:r>
              <w:rPr>
                <w:b/>
                <w:bCs/>
                <w:sz w:val="20"/>
                <w:szCs w:val="20"/>
              </w:rPr>
              <w:t>4</w:t>
            </w:r>
          </w:p>
        </w:tc>
        <w:tc>
          <w:tcPr>
            <w:tcW w:w="1260" w:type="dxa"/>
            <w:vAlign w:val="center"/>
          </w:tcPr>
          <w:p w14:paraId="415E10EB" w14:textId="77777777" w:rsidR="008544CA" w:rsidRPr="00A314F3" w:rsidRDefault="008544CA" w:rsidP="008544CA">
            <w:pPr>
              <w:tabs>
                <w:tab w:val="right" w:pos="612"/>
              </w:tabs>
              <w:jc w:val="center"/>
              <w:rPr>
                <w:b/>
                <w:bCs/>
                <w:sz w:val="20"/>
                <w:szCs w:val="20"/>
              </w:rPr>
            </w:pPr>
            <w:r>
              <w:rPr>
                <w:b/>
                <w:bCs/>
                <w:sz w:val="20"/>
                <w:szCs w:val="20"/>
              </w:rPr>
              <w:t>0</w:t>
            </w:r>
          </w:p>
        </w:tc>
        <w:tc>
          <w:tcPr>
            <w:tcW w:w="990" w:type="dxa"/>
            <w:gridSpan w:val="2"/>
            <w:vAlign w:val="center"/>
          </w:tcPr>
          <w:p w14:paraId="50BBEE9F" w14:textId="77777777" w:rsidR="008544CA" w:rsidRPr="00A314F3" w:rsidRDefault="008544CA" w:rsidP="008544CA">
            <w:pPr>
              <w:tabs>
                <w:tab w:val="right" w:pos="522"/>
                <w:tab w:val="left" w:pos="690"/>
                <w:tab w:val="right" w:pos="1062"/>
              </w:tabs>
              <w:jc w:val="center"/>
              <w:rPr>
                <w:b/>
                <w:bCs/>
                <w:sz w:val="20"/>
                <w:szCs w:val="20"/>
              </w:rPr>
            </w:pPr>
            <w:r>
              <w:rPr>
                <w:b/>
                <w:bCs/>
                <w:sz w:val="20"/>
                <w:szCs w:val="20"/>
              </w:rPr>
              <w:t>177</w:t>
            </w:r>
          </w:p>
        </w:tc>
      </w:tr>
      <w:tr w:rsidR="008544CA" w:rsidRPr="00A314F3" w14:paraId="27A8E5F4" w14:textId="77777777" w:rsidTr="008544CA">
        <w:trPr>
          <w:gridAfter w:val="1"/>
          <w:wAfter w:w="6" w:type="dxa"/>
          <w:trHeight w:val="215"/>
          <w:jc w:val="center"/>
        </w:trPr>
        <w:tc>
          <w:tcPr>
            <w:tcW w:w="7572" w:type="dxa"/>
            <w:gridSpan w:val="6"/>
            <w:vAlign w:val="center"/>
          </w:tcPr>
          <w:p w14:paraId="1F2348B4" w14:textId="21646128" w:rsidR="008544CA" w:rsidRPr="00A314F3" w:rsidRDefault="008544CA" w:rsidP="008544CA">
            <w:pPr>
              <w:tabs>
                <w:tab w:val="right" w:pos="630"/>
                <w:tab w:val="left" w:pos="690"/>
                <w:tab w:val="right" w:pos="1062"/>
              </w:tabs>
              <w:rPr>
                <w:i/>
                <w:iCs/>
                <w:sz w:val="20"/>
                <w:szCs w:val="20"/>
              </w:rPr>
            </w:pPr>
            <w:r w:rsidRPr="00AF4CCB">
              <w:rPr>
                <w:i/>
                <w:iCs/>
                <w:sz w:val="16"/>
                <w:szCs w:val="20"/>
              </w:rPr>
              <w:t xml:space="preserve">Source:  </w:t>
            </w:r>
            <w:r w:rsidR="00E85422">
              <w:rPr>
                <w:i/>
                <w:iCs/>
                <w:sz w:val="16"/>
                <w:szCs w:val="20"/>
              </w:rPr>
              <w:t>Credit Union Records</w:t>
            </w:r>
          </w:p>
        </w:tc>
      </w:tr>
    </w:tbl>
    <w:p w14:paraId="158A7CD6" w14:textId="77777777" w:rsidR="008544CA" w:rsidRPr="00A314F3" w:rsidRDefault="008544CA" w:rsidP="008544CA"/>
    <w:p w14:paraId="7CE3E43F" w14:textId="77777777" w:rsidR="008544CA" w:rsidRPr="00415D99" w:rsidRDefault="008544CA" w:rsidP="00250940">
      <w:pPr>
        <w:jc w:val="both"/>
      </w:pPr>
      <w:r w:rsidRPr="00415D99">
        <w:t>During the evaluation period, the credit union provided technical assistance through employee expertise, financial education, and other programs designed to expand services to low- and moderate-income communities. The following are notable qualified examples.</w:t>
      </w:r>
    </w:p>
    <w:p w14:paraId="4DB8422B" w14:textId="77777777" w:rsidR="008544CA" w:rsidRDefault="008544CA" w:rsidP="00250940">
      <w:pPr>
        <w:jc w:val="both"/>
        <w:rPr>
          <w:b/>
          <w:i/>
        </w:rPr>
      </w:pPr>
    </w:p>
    <w:p w14:paraId="30CF3A13" w14:textId="77777777" w:rsidR="008544CA" w:rsidRPr="00A314F3" w:rsidRDefault="008544CA" w:rsidP="00250940">
      <w:pPr>
        <w:jc w:val="both"/>
        <w:rPr>
          <w:b/>
          <w:i/>
        </w:rPr>
      </w:pPr>
      <w:r w:rsidRPr="00A314F3">
        <w:rPr>
          <w:b/>
          <w:i/>
        </w:rPr>
        <w:t>Employee Involvement</w:t>
      </w:r>
    </w:p>
    <w:p w14:paraId="18F3A533" w14:textId="77777777" w:rsidR="008544CA" w:rsidRPr="00A314F3" w:rsidRDefault="008544CA" w:rsidP="00250940">
      <w:pPr>
        <w:jc w:val="both"/>
        <w:rPr>
          <w:b/>
          <w:bCs/>
          <w:i/>
          <w:iCs/>
        </w:rPr>
      </w:pPr>
    </w:p>
    <w:p w14:paraId="56155524" w14:textId="77777777" w:rsidR="008544CA" w:rsidRPr="00AF7AE1" w:rsidRDefault="008544CA" w:rsidP="00250940">
      <w:pPr>
        <w:pStyle w:val="ListParagraph"/>
        <w:widowControl/>
        <w:numPr>
          <w:ilvl w:val="0"/>
          <w:numId w:val="20"/>
        </w:numPr>
        <w:ind w:right="-180"/>
        <w:jc w:val="both"/>
        <w:rPr>
          <w:rFonts w:ascii="Times New Roman" w:hAnsi="Times New Roman" w:cs="Times New Roman"/>
          <w:b/>
          <w:bCs/>
          <w:i/>
          <w:iCs/>
          <w:color w:val="000000"/>
        </w:rPr>
      </w:pPr>
      <w:r>
        <w:rPr>
          <w:rFonts w:ascii="Times New Roman" w:hAnsi="Times New Roman" w:cs="Times New Roman"/>
          <w:i/>
          <w:color w:val="000000"/>
        </w:rPr>
        <w:t>Volunteer Income Tax Assistance (VITA)</w:t>
      </w:r>
      <w:r w:rsidRPr="00EE0AE9">
        <w:rPr>
          <w:rFonts w:ascii="Times New Roman" w:hAnsi="Times New Roman" w:cs="Times New Roman"/>
          <w:color w:val="000000"/>
        </w:rPr>
        <w:t xml:space="preserve"> – </w:t>
      </w:r>
      <w:r>
        <w:rPr>
          <w:rFonts w:ascii="Times New Roman" w:hAnsi="Times New Roman" w:cs="Times New Roman"/>
          <w:bCs/>
          <w:iCs/>
          <w:color w:val="000000"/>
        </w:rPr>
        <w:t>Five employees of the credit union are</w:t>
      </w:r>
      <w:r w:rsidRPr="00AF7AE1">
        <w:rPr>
          <w:rFonts w:ascii="Times New Roman" w:hAnsi="Times New Roman" w:cs="Times New Roman"/>
          <w:bCs/>
          <w:iCs/>
          <w:color w:val="000000"/>
        </w:rPr>
        <w:t xml:space="preserve"> certified</w:t>
      </w:r>
      <w:r>
        <w:rPr>
          <w:rFonts w:ascii="Times New Roman" w:hAnsi="Times New Roman" w:cs="Times New Roman"/>
          <w:bCs/>
          <w:iCs/>
          <w:color w:val="000000"/>
        </w:rPr>
        <w:t xml:space="preserve"> </w:t>
      </w:r>
      <w:r w:rsidRPr="00AF7AE1">
        <w:rPr>
          <w:rFonts w:ascii="Times New Roman" w:hAnsi="Times New Roman" w:cs="Times New Roman"/>
          <w:bCs/>
          <w:iCs/>
          <w:color w:val="000000"/>
        </w:rPr>
        <w:t>tax preparer</w:t>
      </w:r>
      <w:r>
        <w:rPr>
          <w:rFonts w:ascii="Times New Roman" w:hAnsi="Times New Roman" w:cs="Times New Roman"/>
          <w:bCs/>
          <w:iCs/>
          <w:color w:val="000000"/>
        </w:rPr>
        <w:t>s</w:t>
      </w:r>
      <w:r w:rsidRPr="00AF7AE1">
        <w:rPr>
          <w:rFonts w:ascii="Times New Roman" w:hAnsi="Times New Roman" w:cs="Times New Roman"/>
          <w:bCs/>
          <w:iCs/>
          <w:color w:val="000000"/>
        </w:rPr>
        <w:t xml:space="preserve"> for the </w:t>
      </w:r>
      <w:r>
        <w:rPr>
          <w:rFonts w:ascii="Times New Roman" w:hAnsi="Times New Roman" w:cs="Times New Roman"/>
          <w:bCs/>
          <w:iCs/>
          <w:color w:val="000000"/>
        </w:rPr>
        <w:t>VITA</w:t>
      </w:r>
      <w:r w:rsidRPr="00AF7AE1">
        <w:rPr>
          <w:rFonts w:ascii="Times New Roman" w:hAnsi="Times New Roman" w:cs="Times New Roman"/>
          <w:bCs/>
          <w:iCs/>
          <w:color w:val="000000"/>
        </w:rPr>
        <w:t xml:space="preserve"> program</w:t>
      </w:r>
      <w:proofErr w:type="gramStart"/>
      <w:r>
        <w:rPr>
          <w:rFonts w:ascii="Times New Roman" w:hAnsi="Times New Roman" w:cs="Times New Roman"/>
          <w:bCs/>
          <w:iCs/>
          <w:color w:val="000000"/>
        </w:rPr>
        <w:t xml:space="preserve">.  </w:t>
      </w:r>
      <w:proofErr w:type="gramEnd"/>
      <w:r w:rsidRPr="00AF7AE1">
        <w:rPr>
          <w:rFonts w:ascii="Times New Roman" w:hAnsi="Times New Roman" w:cs="Times New Roman"/>
          <w:bCs/>
          <w:iCs/>
          <w:color w:val="000000"/>
        </w:rPr>
        <w:t>This program offers free tax help to low-income individuals and limited English speaking taxpayers who need assistance in preparing their own tax returns</w:t>
      </w:r>
      <w:proofErr w:type="gramStart"/>
      <w:r>
        <w:rPr>
          <w:rFonts w:ascii="Times New Roman" w:hAnsi="Times New Roman" w:cs="Times New Roman"/>
          <w:bCs/>
          <w:iCs/>
          <w:color w:val="000000"/>
        </w:rPr>
        <w:t xml:space="preserve">.  </w:t>
      </w:r>
      <w:proofErr w:type="gramEnd"/>
      <w:r w:rsidRPr="00AF7AE1">
        <w:rPr>
          <w:rFonts w:ascii="Times New Roman" w:hAnsi="Times New Roman" w:cs="Times New Roman"/>
          <w:bCs/>
          <w:iCs/>
          <w:color w:val="000000"/>
        </w:rPr>
        <w:t>IRS certified volunteers provide free basic income tax return preparation with electronic filing qualified individuals</w:t>
      </w:r>
      <w:proofErr w:type="gramStart"/>
      <w:r>
        <w:rPr>
          <w:rFonts w:ascii="Times New Roman" w:hAnsi="Times New Roman" w:cs="Times New Roman"/>
          <w:bCs/>
          <w:iCs/>
          <w:color w:val="000000"/>
        </w:rPr>
        <w:t xml:space="preserve">.  </w:t>
      </w:r>
      <w:proofErr w:type="gramEnd"/>
      <w:r>
        <w:rPr>
          <w:rFonts w:ascii="Times New Roman" w:hAnsi="Times New Roman" w:cs="Times New Roman"/>
          <w:bCs/>
          <w:iCs/>
          <w:color w:val="000000"/>
        </w:rPr>
        <w:t xml:space="preserve">The credit union employees participated in this program from 2016 through 2018. </w:t>
      </w:r>
    </w:p>
    <w:p w14:paraId="0B702816" w14:textId="77777777" w:rsidR="008544CA" w:rsidRPr="00A314F3" w:rsidRDefault="008544CA" w:rsidP="00250940">
      <w:pPr>
        <w:ind w:left="720"/>
        <w:jc w:val="both"/>
        <w:rPr>
          <w:b/>
          <w:bCs/>
          <w:i/>
          <w:iCs/>
        </w:rPr>
      </w:pPr>
      <w:r w:rsidRPr="00A314F3">
        <w:rPr>
          <w:bCs/>
          <w:iCs/>
        </w:rPr>
        <w:t xml:space="preserve"> </w:t>
      </w:r>
    </w:p>
    <w:p w14:paraId="68BE9DF2" w14:textId="77777777" w:rsidR="008544CA" w:rsidRPr="00AE2E33" w:rsidRDefault="008544CA" w:rsidP="00250940">
      <w:pPr>
        <w:widowControl w:val="0"/>
        <w:numPr>
          <w:ilvl w:val="0"/>
          <w:numId w:val="20"/>
        </w:numPr>
        <w:jc w:val="both"/>
        <w:rPr>
          <w:rFonts w:ascii="Courier" w:hAnsi="Courier" w:cs="Courier"/>
        </w:rPr>
      </w:pPr>
      <w:proofErr w:type="spellStart"/>
      <w:r>
        <w:rPr>
          <w:bCs/>
          <w:i/>
          <w:iCs/>
        </w:rPr>
        <w:t>Newvue</w:t>
      </w:r>
      <w:proofErr w:type="spellEnd"/>
      <w:r>
        <w:rPr>
          <w:bCs/>
          <w:i/>
          <w:iCs/>
        </w:rPr>
        <w:t xml:space="preserve"> Communities </w:t>
      </w:r>
      <w:r w:rsidRPr="00A314F3">
        <w:rPr>
          <w:b/>
          <w:bCs/>
          <w:i/>
          <w:iCs/>
        </w:rPr>
        <w:t xml:space="preserve">– </w:t>
      </w:r>
      <w:r>
        <w:rPr>
          <w:bCs/>
          <w:iCs/>
        </w:rPr>
        <w:t>This organization aims to develop quality housing and create economic opportunities throughout North Central Massachusetts</w:t>
      </w:r>
      <w:proofErr w:type="gramStart"/>
      <w:r>
        <w:t xml:space="preserve">.  </w:t>
      </w:r>
      <w:proofErr w:type="gramEnd"/>
      <w:r>
        <w:t xml:space="preserve">Programs include financial coaching for individuals and small businesses, </w:t>
      </w:r>
      <w:proofErr w:type="spellStart"/>
      <w:r>
        <w:t>downpayment</w:t>
      </w:r>
      <w:proofErr w:type="spellEnd"/>
      <w:r>
        <w:t xml:space="preserve"> assistance, and affordable rental housing development and maintenance</w:t>
      </w:r>
      <w:proofErr w:type="gramStart"/>
      <w:r>
        <w:t xml:space="preserve">.  </w:t>
      </w:r>
      <w:proofErr w:type="gramEnd"/>
      <w:r>
        <w:t xml:space="preserve">A credit union Vice President acted as a Board Member in 2020, and a credit union employee contributed to </w:t>
      </w:r>
      <w:proofErr w:type="spellStart"/>
      <w:r>
        <w:t>NewVue</w:t>
      </w:r>
      <w:proofErr w:type="spellEnd"/>
      <w:r>
        <w:t xml:space="preserve"> </w:t>
      </w:r>
      <w:proofErr w:type="spellStart"/>
      <w:r>
        <w:t>FTHB</w:t>
      </w:r>
      <w:proofErr w:type="spellEnd"/>
      <w:r>
        <w:t xml:space="preserve"> classes from 2016 through 2020</w:t>
      </w:r>
      <w:r w:rsidRPr="00374C3F">
        <w:t>.</w:t>
      </w:r>
    </w:p>
    <w:p w14:paraId="73BE3177" w14:textId="77777777" w:rsidR="008544CA" w:rsidRDefault="008544CA" w:rsidP="00250940">
      <w:pPr>
        <w:pStyle w:val="ListParagraph"/>
        <w:jc w:val="both"/>
        <w:rPr>
          <w:bCs/>
          <w:i/>
          <w:iCs/>
        </w:rPr>
      </w:pPr>
    </w:p>
    <w:p w14:paraId="627C994A" w14:textId="77777777" w:rsidR="008544CA" w:rsidRPr="00A314F3" w:rsidRDefault="008544CA" w:rsidP="00250940">
      <w:pPr>
        <w:widowControl w:val="0"/>
        <w:numPr>
          <w:ilvl w:val="0"/>
          <w:numId w:val="20"/>
        </w:numPr>
        <w:jc w:val="both"/>
        <w:rPr>
          <w:rFonts w:ascii="Courier" w:hAnsi="Courier" w:cs="Courier"/>
        </w:rPr>
      </w:pPr>
      <w:r>
        <w:rPr>
          <w:bCs/>
          <w:i/>
          <w:iCs/>
        </w:rPr>
        <w:t>Habitat for Humanity North Central Massachusetts</w:t>
      </w:r>
      <w:r w:rsidRPr="00A314F3">
        <w:rPr>
          <w:b/>
          <w:bCs/>
          <w:i/>
          <w:iCs/>
        </w:rPr>
        <w:t xml:space="preserve"> – </w:t>
      </w:r>
      <w:r>
        <w:rPr>
          <w:bCs/>
          <w:iCs/>
        </w:rPr>
        <w:t>This organization provides affordable housing for low- and moderate-income families in the region</w:t>
      </w:r>
      <w:proofErr w:type="gramStart"/>
      <w:r>
        <w:rPr>
          <w:bCs/>
          <w:iCs/>
        </w:rPr>
        <w:t xml:space="preserve">.  </w:t>
      </w:r>
      <w:proofErr w:type="gramEnd"/>
      <w:r>
        <w:rPr>
          <w:bCs/>
          <w:iCs/>
        </w:rPr>
        <w:t>Programs include construction of new homes, critical repair of low-income housing, and the provision of used furniture and appliances</w:t>
      </w:r>
      <w:proofErr w:type="gramStart"/>
      <w:r>
        <w:rPr>
          <w:bCs/>
          <w:iCs/>
        </w:rPr>
        <w:t xml:space="preserve">.  </w:t>
      </w:r>
      <w:proofErr w:type="gramEnd"/>
      <w:r>
        <w:rPr>
          <w:bCs/>
          <w:iCs/>
        </w:rPr>
        <w:t xml:space="preserve">The credit union’s </w:t>
      </w:r>
      <w:proofErr w:type="spellStart"/>
      <w:r>
        <w:rPr>
          <w:bCs/>
          <w:iCs/>
        </w:rPr>
        <w:t>SVP</w:t>
      </w:r>
      <w:proofErr w:type="spellEnd"/>
      <w:r>
        <w:rPr>
          <w:bCs/>
          <w:iCs/>
        </w:rPr>
        <w:t xml:space="preserve"> of Lending serves as the Treasurer for the organization.  </w:t>
      </w:r>
    </w:p>
    <w:p w14:paraId="61119DD9" w14:textId="77777777" w:rsidR="008544CA" w:rsidRPr="00A314F3" w:rsidRDefault="008544CA" w:rsidP="00250940">
      <w:pPr>
        <w:ind w:left="720"/>
        <w:contextualSpacing/>
        <w:jc w:val="both"/>
        <w:rPr>
          <w:rFonts w:cs="Courier"/>
        </w:rPr>
      </w:pPr>
    </w:p>
    <w:p w14:paraId="1BB828FE" w14:textId="399194A2" w:rsidR="008544CA" w:rsidRPr="000A0040" w:rsidRDefault="008544CA" w:rsidP="00250940">
      <w:pPr>
        <w:widowControl w:val="0"/>
        <w:numPr>
          <w:ilvl w:val="0"/>
          <w:numId w:val="20"/>
        </w:numPr>
        <w:jc w:val="both"/>
        <w:rPr>
          <w:rFonts w:ascii="Courier" w:hAnsi="Courier" w:cs="Courier"/>
        </w:rPr>
      </w:pPr>
      <w:r>
        <w:rPr>
          <w:bCs/>
          <w:i/>
          <w:iCs/>
        </w:rPr>
        <w:lastRenderedPageBreak/>
        <w:t>Making Opportunity Council (</w:t>
      </w:r>
      <w:proofErr w:type="spellStart"/>
      <w:r>
        <w:rPr>
          <w:bCs/>
          <w:i/>
          <w:iCs/>
        </w:rPr>
        <w:t>MOC</w:t>
      </w:r>
      <w:proofErr w:type="spellEnd"/>
      <w:r>
        <w:rPr>
          <w:bCs/>
          <w:i/>
          <w:iCs/>
        </w:rPr>
        <w:t>) Inc</w:t>
      </w:r>
      <w:r w:rsidR="004869E5">
        <w:rPr>
          <w:bCs/>
          <w:i/>
          <w:iCs/>
        </w:rPr>
        <w:t>.</w:t>
      </w:r>
      <w:r w:rsidRPr="00A314F3">
        <w:rPr>
          <w:b/>
          <w:bCs/>
          <w:i/>
          <w:iCs/>
        </w:rPr>
        <w:t xml:space="preserve"> –</w:t>
      </w:r>
      <w:r>
        <w:rPr>
          <w:b/>
          <w:bCs/>
          <w:i/>
          <w:iCs/>
        </w:rPr>
        <w:t xml:space="preserve"> </w:t>
      </w:r>
      <w:r>
        <w:rPr>
          <w:bCs/>
          <w:iCs/>
        </w:rPr>
        <w:t>This organization aims to fight the impact and root causes of poverty. Programs include workforce development, childcare, and community housing support</w:t>
      </w:r>
      <w:proofErr w:type="gramStart"/>
      <w:r>
        <w:t xml:space="preserve">.  </w:t>
      </w:r>
      <w:proofErr w:type="gramEnd"/>
      <w:r w:rsidRPr="00374C3F">
        <w:t xml:space="preserve">The </w:t>
      </w:r>
      <w:r>
        <w:t xml:space="preserve">VP of Lending and CRA Officer of the credit union </w:t>
      </w:r>
      <w:proofErr w:type="gramStart"/>
      <w:r>
        <w:t>serves</w:t>
      </w:r>
      <w:proofErr w:type="gramEnd"/>
      <w:r>
        <w:t xml:space="preserve"> as a Board Member of the organization</w:t>
      </w:r>
      <w:r w:rsidRPr="00374C3F">
        <w:t>.</w:t>
      </w:r>
    </w:p>
    <w:p w14:paraId="1B12A3BB" w14:textId="77777777" w:rsidR="008544CA" w:rsidRPr="00A314F3" w:rsidRDefault="008544CA" w:rsidP="00250940">
      <w:pPr>
        <w:widowControl w:val="0"/>
        <w:jc w:val="both"/>
      </w:pPr>
    </w:p>
    <w:p w14:paraId="351FEBC4" w14:textId="77777777" w:rsidR="008544CA" w:rsidRPr="00A314F3" w:rsidRDefault="008544CA" w:rsidP="00250940">
      <w:pPr>
        <w:jc w:val="both"/>
        <w:rPr>
          <w:b/>
          <w:i/>
        </w:rPr>
      </w:pPr>
      <w:r w:rsidRPr="00A314F3">
        <w:rPr>
          <w:b/>
          <w:i/>
        </w:rPr>
        <w:t>Financial Education</w:t>
      </w:r>
    </w:p>
    <w:p w14:paraId="24A49CD7" w14:textId="77777777" w:rsidR="008544CA" w:rsidRPr="00A314F3" w:rsidRDefault="008544CA" w:rsidP="00250940">
      <w:pPr>
        <w:widowControl w:val="0"/>
        <w:ind w:left="360"/>
        <w:jc w:val="both"/>
      </w:pPr>
    </w:p>
    <w:p w14:paraId="5A21A764" w14:textId="77777777" w:rsidR="008544CA" w:rsidRDefault="008544CA" w:rsidP="00250940">
      <w:pPr>
        <w:widowControl w:val="0"/>
        <w:numPr>
          <w:ilvl w:val="0"/>
          <w:numId w:val="20"/>
        </w:numPr>
        <w:jc w:val="both"/>
      </w:pPr>
      <w:r w:rsidRPr="002A6B13">
        <w:rPr>
          <w:i/>
        </w:rPr>
        <w:t>CU for Reality</w:t>
      </w:r>
      <w:r w:rsidRPr="002A6B13">
        <w:t xml:space="preserve"> – Leominster Credit Union organized an event at Clinton High School </w:t>
      </w:r>
      <w:proofErr w:type="gramStart"/>
      <w:r w:rsidRPr="002A6B13">
        <w:t>to better help</w:t>
      </w:r>
      <w:proofErr w:type="gramEnd"/>
      <w:r w:rsidRPr="002A6B13">
        <w:t xml:space="preserve"> students understand credit and financial decisions. The credit union coordinated with </w:t>
      </w:r>
      <w:proofErr w:type="spellStart"/>
      <w:r w:rsidRPr="002A6B13">
        <w:t>Avidia</w:t>
      </w:r>
      <w:proofErr w:type="spellEnd"/>
      <w:r w:rsidRPr="002A6B13">
        <w:t xml:space="preserve"> Bank and Nichols College. The majority of students attending Clinton High School receive free or reduced-price lunch.</w:t>
      </w:r>
    </w:p>
    <w:p w14:paraId="581F8583" w14:textId="77777777" w:rsidR="008544CA" w:rsidRDefault="008544CA" w:rsidP="00250940">
      <w:pPr>
        <w:widowControl w:val="0"/>
        <w:ind w:left="720"/>
        <w:jc w:val="both"/>
      </w:pPr>
    </w:p>
    <w:p w14:paraId="4C51D8CB" w14:textId="01C740F7" w:rsidR="008544CA" w:rsidRPr="002A6B13" w:rsidRDefault="008544CA" w:rsidP="00250940">
      <w:pPr>
        <w:widowControl w:val="0"/>
        <w:numPr>
          <w:ilvl w:val="0"/>
          <w:numId w:val="20"/>
        </w:numPr>
        <w:jc w:val="both"/>
      </w:pPr>
      <w:r w:rsidRPr="003C1ED0">
        <w:rPr>
          <w:i/>
        </w:rPr>
        <w:t>Clinton High School Branch</w:t>
      </w:r>
      <w:r w:rsidR="00E85422">
        <w:t xml:space="preserve"> – The credit union</w:t>
      </w:r>
      <w:r>
        <w:t xml:space="preserve"> runs a high school based branch in the assessment area, at a school primarily serving low- and moderate-income students. The branch services are available to students and faculty. The branch also incorporates National Endowment for Financial Education (</w:t>
      </w:r>
      <w:proofErr w:type="spellStart"/>
      <w:r>
        <w:t>NEFE</w:t>
      </w:r>
      <w:proofErr w:type="spellEnd"/>
      <w:r>
        <w:t>) curricula as financial literacy training for students, including topics around budgeting, credit, and investing. The credit union also provides internship and workforce development opportunities to students.</w:t>
      </w:r>
    </w:p>
    <w:p w14:paraId="7AF6B44A" w14:textId="77777777" w:rsidR="008544CA" w:rsidRPr="00B066A0" w:rsidRDefault="008544CA" w:rsidP="00250940">
      <w:pPr>
        <w:widowControl w:val="0"/>
        <w:ind w:left="720"/>
        <w:jc w:val="both"/>
        <w:rPr>
          <w:rFonts w:ascii="Calibri" w:hAnsi="Calibri" w:cs="Courier"/>
        </w:rPr>
      </w:pPr>
    </w:p>
    <w:p w14:paraId="656F8533" w14:textId="77777777" w:rsidR="008544CA" w:rsidRPr="00421B47" w:rsidRDefault="008544CA" w:rsidP="00250940">
      <w:pPr>
        <w:widowControl w:val="0"/>
        <w:numPr>
          <w:ilvl w:val="0"/>
          <w:numId w:val="20"/>
        </w:numPr>
        <w:jc w:val="both"/>
        <w:rPr>
          <w:rFonts w:ascii="Calibri" w:hAnsi="Calibri" w:cs="Courier"/>
        </w:rPr>
      </w:pPr>
      <w:r>
        <w:rPr>
          <w:rFonts w:cs="Courier"/>
          <w:bCs/>
          <w:i/>
          <w:iCs/>
        </w:rPr>
        <w:t>First Time Homebuyer Seminars</w:t>
      </w:r>
      <w:r w:rsidRPr="00A314F3">
        <w:rPr>
          <w:rFonts w:cs="Courier"/>
          <w:b/>
          <w:bCs/>
          <w:i/>
          <w:iCs/>
        </w:rPr>
        <w:t xml:space="preserve"> </w:t>
      </w:r>
      <w:r w:rsidRPr="00A314F3">
        <w:rPr>
          <w:rFonts w:cs="Courier"/>
        </w:rPr>
        <w:t xml:space="preserve">– </w:t>
      </w:r>
      <w:r>
        <w:rPr>
          <w:rFonts w:cs="Courier"/>
        </w:rPr>
        <w:t>Leominster Credit Union</w:t>
      </w:r>
      <w:r w:rsidRPr="00A314F3">
        <w:rPr>
          <w:rFonts w:cs="Courier"/>
        </w:rPr>
        <w:t xml:space="preserve"> </w:t>
      </w:r>
      <w:r>
        <w:rPr>
          <w:rFonts w:cs="Courier"/>
        </w:rPr>
        <w:t>held twenty-nine seminars over the evaluation period in its own branches, in addition to financial literacy education provided in concert with other organizations</w:t>
      </w:r>
      <w:proofErr w:type="gramStart"/>
      <w:r>
        <w:rPr>
          <w:rFonts w:cs="Courier"/>
        </w:rPr>
        <w:t xml:space="preserve">.  </w:t>
      </w:r>
      <w:proofErr w:type="gramEnd"/>
      <w:r>
        <w:rPr>
          <w:rFonts w:cs="Courier"/>
        </w:rPr>
        <w:t>These programs detailed a number of the flexible lending initiatives (</w:t>
      </w:r>
      <w:proofErr w:type="spellStart"/>
      <w:r>
        <w:rPr>
          <w:rFonts w:cs="Courier"/>
        </w:rPr>
        <w:t>Masshousing</w:t>
      </w:r>
      <w:proofErr w:type="spellEnd"/>
      <w:r>
        <w:rPr>
          <w:rFonts w:cs="Courier"/>
        </w:rPr>
        <w:t xml:space="preserve">, </w:t>
      </w:r>
      <w:proofErr w:type="spellStart"/>
      <w:r>
        <w:rPr>
          <w:rFonts w:cs="Courier"/>
        </w:rPr>
        <w:t>FHLB</w:t>
      </w:r>
      <w:proofErr w:type="spellEnd"/>
      <w:r>
        <w:rPr>
          <w:rFonts w:cs="Courier"/>
        </w:rPr>
        <w:t xml:space="preserve">, </w:t>
      </w:r>
      <w:proofErr w:type="spellStart"/>
      <w:proofErr w:type="gramStart"/>
      <w:r>
        <w:rPr>
          <w:rFonts w:cs="Courier"/>
        </w:rPr>
        <w:t>LCU</w:t>
      </w:r>
      <w:proofErr w:type="spellEnd"/>
      <w:proofErr w:type="gramEnd"/>
      <w:r>
        <w:rPr>
          <w:rFonts w:cs="Courier"/>
        </w:rPr>
        <w:t xml:space="preserve"> </w:t>
      </w:r>
      <w:proofErr w:type="spellStart"/>
      <w:r>
        <w:rPr>
          <w:rFonts w:cs="Courier"/>
        </w:rPr>
        <w:t>FTHB</w:t>
      </w:r>
      <w:proofErr w:type="spellEnd"/>
      <w:r>
        <w:rPr>
          <w:rFonts w:cs="Courier"/>
        </w:rPr>
        <w:t>) particularly responsive to the needs of low- and moderate income individuals.</w:t>
      </w:r>
    </w:p>
    <w:p w14:paraId="0255DB5C" w14:textId="77777777" w:rsidR="008544CA" w:rsidRPr="00421B47" w:rsidRDefault="008544CA" w:rsidP="00250940">
      <w:pPr>
        <w:widowControl w:val="0"/>
        <w:ind w:left="720"/>
        <w:jc w:val="both"/>
        <w:rPr>
          <w:rFonts w:ascii="Calibri" w:hAnsi="Calibri" w:cs="Courier"/>
        </w:rPr>
      </w:pPr>
    </w:p>
    <w:p w14:paraId="32CD0621" w14:textId="77777777" w:rsidR="008544CA" w:rsidRPr="00A314F3" w:rsidRDefault="008544CA" w:rsidP="00250940">
      <w:pPr>
        <w:widowControl w:val="0"/>
        <w:numPr>
          <w:ilvl w:val="0"/>
          <w:numId w:val="20"/>
        </w:numPr>
        <w:jc w:val="both"/>
        <w:rPr>
          <w:rFonts w:ascii="Calibri" w:hAnsi="Calibri" w:cs="Courier"/>
        </w:rPr>
      </w:pPr>
      <w:r>
        <w:rPr>
          <w:rFonts w:cs="Courier"/>
          <w:bCs/>
          <w:i/>
          <w:iCs/>
        </w:rPr>
        <w:t>Samoset Middle School Financial Literacy Career Day</w:t>
      </w:r>
      <w:r w:rsidRPr="00A314F3">
        <w:rPr>
          <w:rFonts w:ascii="Calibri" w:hAnsi="Calibri" w:cs="Courier"/>
          <w:b/>
          <w:bCs/>
          <w:i/>
          <w:iCs/>
        </w:rPr>
        <w:t xml:space="preserve"> </w:t>
      </w:r>
      <w:r w:rsidRPr="008E7138">
        <w:rPr>
          <w:rFonts w:ascii="Calibri" w:hAnsi="Calibri" w:cs="Courier"/>
          <w:bCs/>
          <w:i/>
          <w:iCs/>
        </w:rPr>
        <w:t xml:space="preserve">– </w:t>
      </w:r>
      <w:r>
        <w:rPr>
          <w:rFonts w:cs="Courier"/>
        </w:rPr>
        <w:t xml:space="preserve">A credit union Branch Manager and Assistant Branch Manager provided basic financial literacy and banking career information at a middle school in Leominster in 2019. The </w:t>
      </w:r>
      <w:proofErr w:type="gramStart"/>
      <w:r>
        <w:rPr>
          <w:rFonts w:cs="Courier"/>
        </w:rPr>
        <w:t>majority of students at the school receive</w:t>
      </w:r>
      <w:proofErr w:type="gramEnd"/>
      <w:r>
        <w:rPr>
          <w:rFonts w:cs="Courier"/>
        </w:rPr>
        <w:t xml:space="preserve"> free or reduce priced lunch, which reflects low- or moderate-income family delineation. </w:t>
      </w:r>
      <w:r w:rsidRPr="00A314F3">
        <w:rPr>
          <w:rFonts w:cs="Courier"/>
        </w:rPr>
        <w:t xml:space="preserve"> </w:t>
      </w:r>
    </w:p>
    <w:p w14:paraId="7E70F22F" w14:textId="77777777" w:rsidR="008544CA" w:rsidRPr="00A314F3" w:rsidRDefault="008544CA" w:rsidP="00250940">
      <w:pPr>
        <w:widowControl w:val="0"/>
        <w:tabs>
          <w:tab w:val="left" w:pos="2490"/>
        </w:tabs>
        <w:ind w:left="720"/>
        <w:jc w:val="both"/>
        <w:rPr>
          <w:rFonts w:ascii="Calibri" w:hAnsi="Calibri" w:cs="Courier"/>
        </w:rPr>
      </w:pPr>
      <w:r w:rsidRPr="00A314F3">
        <w:rPr>
          <w:rFonts w:ascii="Calibri" w:hAnsi="Calibri" w:cs="Courier"/>
        </w:rPr>
        <w:tab/>
      </w:r>
    </w:p>
    <w:p w14:paraId="4E07EFE2" w14:textId="4FD10928" w:rsidR="008544CA" w:rsidRPr="00B82DA9" w:rsidRDefault="008544CA" w:rsidP="00250940">
      <w:pPr>
        <w:widowControl w:val="0"/>
        <w:numPr>
          <w:ilvl w:val="0"/>
          <w:numId w:val="20"/>
        </w:numPr>
        <w:jc w:val="both"/>
        <w:rPr>
          <w:rFonts w:ascii="Calibri" w:hAnsi="Calibri" w:cs="Courier"/>
        </w:rPr>
      </w:pPr>
      <w:r>
        <w:rPr>
          <w:rFonts w:cs="Courier"/>
          <w:bCs/>
          <w:i/>
          <w:iCs/>
        </w:rPr>
        <w:t>Let Us Know (</w:t>
      </w:r>
      <w:proofErr w:type="spellStart"/>
      <w:r>
        <w:rPr>
          <w:rFonts w:cs="Courier"/>
          <w:bCs/>
          <w:i/>
          <w:iCs/>
        </w:rPr>
        <w:t>LUK</w:t>
      </w:r>
      <w:proofErr w:type="spellEnd"/>
      <w:r>
        <w:rPr>
          <w:rFonts w:cs="Courier"/>
          <w:bCs/>
          <w:i/>
          <w:iCs/>
        </w:rPr>
        <w:t>) Crisis Center Inc</w:t>
      </w:r>
      <w:r w:rsidR="004869E5">
        <w:rPr>
          <w:rFonts w:cs="Courier"/>
          <w:bCs/>
          <w:i/>
          <w:iCs/>
        </w:rPr>
        <w:t>.</w:t>
      </w:r>
      <w:r w:rsidRPr="00A314F3">
        <w:rPr>
          <w:rFonts w:cs="Courier"/>
          <w:b/>
          <w:bCs/>
          <w:i/>
          <w:iCs/>
        </w:rPr>
        <w:t xml:space="preserve"> </w:t>
      </w:r>
      <w:r w:rsidRPr="00A314F3">
        <w:rPr>
          <w:rFonts w:cs="Courier"/>
        </w:rPr>
        <w:t xml:space="preserve">– </w:t>
      </w:r>
      <w:r>
        <w:rPr>
          <w:rFonts w:cs="Courier"/>
        </w:rPr>
        <w:t xml:space="preserve">The mission of </w:t>
      </w:r>
      <w:proofErr w:type="spellStart"/>
      <w:r>
        <w:rPr>
          <w:rFonts w:cs="Courier"/>
        </w:rPr>
        <w:t>LUK</w:t>
      </w:r>
      <w:proofErr w:type="spellEnd"/>
      <w:r>
        <w:rPr>
          <w:rFonts w:cs="Courier"/>
        </w:rPr>
        <w:t xml:space="preserve"> Inc</w:t>
      </w:r>
      <w:r w:rsidR="004869E5">
        <w:rPr>
          <w:rFonts w:cs="Courier"/>
        </w:rPr>
        <w:t>.</w:t>
      </w:r>
      <w:r>
        <w:rPr>
          <w:rFonts w:cs="Courier"/>
        </w:rPr>
        <w:t xml:space="preserve"> is to support at-risk children and families in Central Massachusetts. The organization provides substance abuse treatment and prevention programs, vocational development and workforce support, and residential and foster care placement. The organization’s programs primarily assist low- and moderate-income residents of the area. The credit union’s collection manager provided a financial literacy program designed for young adults in 2019.</w:t>
      </w:r>
    </w:p>
    <w:p w14:paraId="12495948" w14:textId="77777777" w:rsidR="008544CA" w:rsidRDefault="008544CA" w:rsidP="00250940">
      <w:pPr>
        <w:jc w:val="both"/>
        <w:rPr>
          <w:b/>
          <w:i/>
        </w:rPr>
      </w:pPr>
    </w:p>
    <w:p w14:paraId="22F2DC4D" w14:textId="77777777" w:rsidR="008544CA" w:rsidRPr="00A314F3" w:rsidRDefault="008544CA" w:rsidP="00250940">
      <w:pPr>
        <w:jc w:val="both"/>
        <w:rPr>
          <w:b/>
          <w:i/>
        </w:rPr>
      </w:pPr>
      <w:r w:rsidRPr="00A314F3">
        <w:rPr>
          <w:b/>
          <w:i/>
        </w:rPr>
        <w:t>Other Services</w:t>
      </w:r>
    </w:p>
    <w:p w14:paraId="59FA31D7" w14:textId="77777777" w:rsidR="008544CA" w:rsidRPr="00A314F3" w:rsidRDefault="008544CA" w:rsidP="00250940">
      <w:pPr>
        <w:jc w:val="both"/>
        <w:rPr>
          <w:b/>
          <w:i/>
        </w:rPr>
      </w:pPr>
    </w:p>
    <w:p w14:paraId="6E56E3F6" w14:textId="77777777" w:rsidR="008544CA" w:rsidRDefault="008544CA" w:rsidP="00250940">
      <w:pPr>
        <w:pStyle w:val="ListParagraph"/>
        <w:numPr>
          <w:ilvl w:val="0"/>
          <w:numId w:val="21"/>
        </w:numPr>
        <w:jc w:val="both"/>
        <w:rPr>
          <w:rFonts w:ascii="Times New Roman" w:hAnsi="Times New Roman" w:cs="Times New Roman"/>
        </w:rPr>
      </w:pPr>
      <w:r w:rsidRPr="00C5286B">
        <w:rPr>
          <w:rFonts w:ascii="Times New Roman" w:hAnsi="Times New Roman" w:cs="Times New Roman"/>
          <w:i/>
        </w:rPr>
        <w:t>Branch Utilization</w:t>
      </w:r>
      <w:r w:rsidRPr="00C5286B">
        <w:rPr>
          <w:rFonts w:ascii="Times New Roman" w:hAnsi="Times New Roman" w:cs="Times New Roman"/>
          <w:b/>
          <w:i/>
        </w:rPr>
        <w:t xml:space="preserve"> </w:t>
      </w:r>
      <w:r w:rsidRPr="00C5286B">
        <w:rPr>
          <w:rFonts w:ascii="Times New Roman" w:hAnsi="Times New Roman" w:cs="Times New Roman"/>
        </w:rPr>
        <w:t xml:space="preserve">– The </w:t>
      </w:r>
      <w:r>
        <w:rPr>
          <w:rFonts w:ascii="Times New Roman" w:hAnsi="Times New Roman" w:cs="Times New Roman"/>
        </w:rPr>
        <w:t>credit union</w:t>
      </w:r>
      <w:r w:rsidRPr="00C5286B">
        <w:rPr>
          <w:rFonts w:ascii="Times New Roman" w:hAnsi="Times New Roman" w:cs="Times New Roman"/>
        </w:rPr>
        <w:t xml:space="preserve"> uses its branch locations </w:t>
      </w:r>
      <w:r>
        <w:rPr>
          <w:rFonts w:ascii="Times New Roman" w:hAnsi="Times New Roman" w:cs="Times New Roman"/>
        </w:rPr>
        <w:t xml:space="preserve">extensively </w:t>
      </w:r>
      <w:r w:rsidRPr="00C5286B">
        <w:rPr>
          <w:rFonts w:ascii="Times New Roman" w:hAnsi="Times New Roman" w:cs="Times New Roman"/>
        </w:rPr>
        <w:t>for the benefit of local community</w:t>
      </w:r>
      <w:r>
        <w:rPr>
          <w:rFonts w:ascii="Times New Roman" w:hAnsi="Times New Roman" w:cs="Times New Roman"/>
        </w:rPr>
        <w:t xml:space="preserve"> fundraising</w:t>
      </w:r>
      <w:r w:rsidRPr="00C5286B">
        <w:rPr>
          <w:rFonts w:ascii="Times New Roman" w:hAnsi="Times New Roman" w:cs="Times New Roman"/>
        </w:rPr>
        <w:t xml:space="preserve"> initiatives</w:t>
      </w:r>
      <w:proofErr w:type="gramStart"/>
      <w:r w:rsidRPr="00C5286B">
        <w:rPr>
          <w:rFonts w:ascii="Times New Roman" w:hAnsi="Times New Roman" w:cs="Times New Roman"/>
        </w:rPr>
        <w:t xml:space="preserve">.  </w:t>
      </w:r>
      <w:proofErr w:type="gramEnd"/>
      <w:r>
        <w:rPr>
          <w:rFonts w:ascii="Times New Roman" w:hAnsi="Times New Roman" w:cs="Times New Roman"/>
        </w:rPr>
        <w:t>The credit union used its branch network as collection points for blankets, books, school supplies, and other essentials in coordination with organizations like Toys for Tots or Fostering Change. These collection initiatives augment the fundraising initiatives for organizations geared to assist low- and moderate-income families.</w:t>
      </w:r>
    </w:p>
    <w:p w14:paraId="167452ED" w14:textId="77777777" w:rsidR="008544CA" w:rsidRDefault="008544CA" w:rsidP="00250940">
      <w:pPr>
        <w:pStyle w:val="ListParagraph"/>
        <w:jc w:val="both"/>
        <w:rPr>
          <w:rFonts w:ascii="Times New Roman" w:hAnsi="Times New Roman" w:cs="Times New Roman"/>
        </w:rPr>
      </w:pPr>
    </w:p>
    <w:p w14:paraId="079DF9A3" w14:textId="77777777" w:rsidR="008544CA" w:rsidRPr="00415D99" w:rsidRDefault="008544CA" w:rsidP="00250940">
      <w:pPr>
        <w:pStyle w:val="ListParagraph"/>
        <w:numPr>
          <w:ilvl w:val="0"/>
          <w:numId w:val="21"/>
        </w:numPr>
        <w:jc w:val="both"/>
        <w:rPr>
          <w:rFonts w:ascii="Times New Roman" w:hAnsi="Times New Roman" w:cs="Times New Roman"/>
          <w:i/>
        </w:rPr>
      </w:pPr>
      <w:proofErr w:type="spellStart"/>
      <w:r w:rsidRPr="00415D99">
        <w:rPr>
          <w:rFonts w:ascii="Times New Roman" w:hAnsi="Times New Roman" w:cs="Times New Roman"/>
          <w:i/>
        </w:rPr>
        <w:t>LCU</w:t>
      </w:r>
      <w:proofErr w:type="spellEnd"/>
      <w:r w:rsidRPr="00415D99">
        <w:rPr>
          <w:rFonts w:ascii="Times New Roman" w:hAnsi="Times New Roman" w:cs="Times New Roman"/>
          <w:i/>
        </w:rPr>
        <w:t xml:space="preserve"> Fresh Start</w:t>
      </w:r>
      <w:r>
        <w:rPr>
          <w:rFonts w:ascii="Times New Roman" w:hAnsi="Times New Roman" w:cs="Times New Roman"/>
          <w:i/>
        </w:rPr>
        <w:t xml:space="preserve"> </w:t>
      </w:r>
      <w:r>
        <w:rPr>
          <w:rFonts w:ascii="Times New Roman" w:hAnsi="Times New Roman" w:cs="Times New Roman"/>
        </w:rPr>
        <w:t>– The credit union provides coaching for applicants with damaged credit histories. The goal of the coaching is to help applicants understand their options, but also create a plan for a successful application, including information about budgeting and credit improvement.</w:t>
      </w:r>
    </w:p>
    <w:p w14:paraId="527E83C8" w14:textId="77777777" w:rsidR="008544CA" w:rsidRPr="00A314F3" w:rsidRDefault="008544CA" w:rsidP="00250940">
      <w:pPr>
        <w:widowControl w:val="0"/>
        <w:ind w:left="720"/>
        <w:jc w:val="both"/>
        <w:rPr>
          <w:rFonts w:ascii="Courier" w:hAnsi="Courier" w:cs="Courier"/>
        </w:rPr>
      </w:pPr>
    </w:p>
    <w:p w14:paraId="5A9277E1" w14:textId="77777777" w:rsidR="008544CA" w:rsidRPr="00A314F3" w:rsidRDefault="008544CA" w:rsidP="00250940">
      <w:pPr>
        <w:widowControl w:val="0"/>
        <w:numPr>
          <w:ilvl w:val="0"/>
          <w:numId w:val="20"/>
        </w:numPr>
        <w:jc w:val="both"/>
        <w:rPr>
          <w:rFonts w:ascii="Courier" w:hAnsi="Courier" w:cs="Courier"/>
        </w:rPr>
      </w:pPr>
      <w:r>
        <w:rPr>
          <w:i/>
        </w:rPr>
        <w:t>Worcester Branch</w:t>
      </w:r>
      <w:r w:rsidRPr="00A314F3">
        <w:rPr>
          <w:b/>
          <w:i/>
        </w:rPr>
        <w:t xml:space="preserve"> – </w:t>
      </w:r>
      <w:r>
        <w:t>The credit union maintained a branch in a low-income census tract in Worcester MA. This branch provides essential retail services for a low- and moderate-income community.</w:t>
      </w:r>
    </w:p>
    <w:p w14:paraId="400DE5FA" w14:textId="77777777" w:rsidR="008544CA" w:rsidRPr="00421B47" w:rsidRDefault="008544CA" w:rsidP="00250940">
      <w:pPr>
        <w:widowControl w:val="0"/>
        <w:ind w:left="720"/>
        <w:jc w:val="both"/>
        <w:rPr>
          <w:rFonts w:ascii="Courier" w:hAnsi="Courier" w:cs="Courier"/>
        </w:rPr>
      </w:pPr>
    </w:p>
    <w:p w14:paraId="703C8F98" w14:textId="77777777" w:rsidR="008544CA" w:rsidRPr="00AA46E0" w:rsidRDefault="008544CA" w:rsidP="00250940">
      <w:pPr>
        <w:widowControl w:val="0"/>
        <w:numPr>
          <w:ilvl w:val="0"/>
          <w:numId w:val="20"/>
        </w:numPr>
        <w:jc w:val="both"/>
        <w:rPr>
          <w:rFonts w:ascii="Courier" w:hAnsi="Courier" w:cs="Courier"/>
        </w:rPr>
      </w:pPr>
      <w:r w:rsidRPr="005D4B4E">
        <w:rPr>
          <w:i/>
        </w:rPr>
        <w:t>Massachusetts Interest on Lawyers Trust Accounts (</w:t>
      </w:r>
      <w:proofErr w:type="spellStart"/>
      <w:r w:rsidRPr="005D4B4E">
        <w:rPr>
          <w:i/>
        </w:rPr>
        <w:t>IOLTAs</w:t>
      </w:r>
      <w:proofErr w:type="spellEnd"/>
      <w:r w:rsidRPr="005D4B4E">
        <w:rPr>
          <w:i/>
        </w:rPr>
        <w:t>)</w:t>
      </w:r>
      <w:r w:rsidRPr="00A314F3">
        <w:rPr>
          <w:b/>
          <w:i/>
        </w:rPr>
        <w:t xml:space="preserve"> – </w:t>
      </w:r>
      <w:r>
        <w:t>Leominster Credit Union</w:t>
      </w:r>
      <w:r w:rsidRPr="00A314F3">
        <w:t xml:space="preserve"> participates in the </w:t>
      </w:r>
      <w:proofErr w:type="spellStart"/>
      <w:r>
        <w:t>IOLTA</w:t>
      </w:r>
      <w:proofErr w:type="spellEnd"/>
      <w:r>
        <w:t xml:space="preserve"> program, an initiative to utilize interest earned on accounts to support free legal programs for low- and moderate-income individuals in Massachusetts. The credit union operates as a leadership institution, remitting a higher rate of interest than the federal funds rate to continue fundraising efforts on behalf of local organizations</w:t>
      </w:r>
      <w:proofErr w:type="gramStart"/>
      <w:r>
        <w:t xml:space="preserve">.  </w:t>
      </w:r>
      <w:proofErr w:type="gramEnd"/>
      <w:r>
        <w:t xml:space="preserve">During the evaluation period, the credit union remitted over $55,103 in interest through this program.  </w:t>
      </w:r>
      <w:r w:rsidRPr="00A314F3">
        <w:t xml:space="preserve">  </w:t>
      </w:r>
    </w:p>
    <w:p w14:paraId="40D46295" w14:textId="77777777" w:rsidR="00F314E5" w:rsidRPr="00F314E5" w:rsidRDefault="00F314E5" w:rsidP="00250940">
      <w:pPr>
        <w:jc w:val="both"/>
        <w:rPr>
          <w:bCs/>
          <w:color w:val="000000"/>
        </w:rPr>
      </w:pPr>
    </w:p>
    <w:p w14:paraId="2ED6C187" w14:textId="77777777" w:rsidR="003912CC" w:rsidRPr="00AC55EF" w:rsidRDefault="003912CC" w:rsidP="00250940">
      <w:pPr>
        <w:jc w:val="both"/>
        <w:rPr>
          <w:b/>
          <w:bCs/>
          <w:sz w:val="28"/>
          <w:szCs w:val="28"/>
          <w:highlight w:val="yellow"/>
        </w:rPr>
      </w:pPr>
    </w:p>
    <w:p w14:paraId="7FCB11E2" w14:textId="77777777" w:rsidR="003912CC" w:rsidRPr="00AC55EF" w:rsidRDefault="003912CC" w:rsidP="00250940">
      <w:pPr>
        <w:jc w:val="both"/>
        <w:rPr>
          <w:b/>
          <w:bCs/>
          <w:sz w:val="28"/>
          <w:szCs w:val="28"/>
          <w:highlight w:val="yellow"/>
        </w:rPr>
      </w:pPr>
    </w:p>
    <w:p w14:paraId="2C7A13FF" w14:textId="77777777" w:rsidR="003912CC" w:rsidRPr="00AC55EF" w:rsidRDefault="003912CC" w:rsidP="00250940">
      <w:pPr>
        <w:jc w:val="both"/>
        <w:rPr>
          <w:b/>
          <w:bCs/>
          <w:sz w:val="28"/>
          <w:szCs w:val="28"/>
          <w:highlight w:val="yellow"/>
        </w:rPr>
      </w:pPr>
    </w:p>
    <w:p w14:paraId="625DF214" w14:textId="77777777" w:rsidR="003912CC" w:rsidRPr="00AC55EF" w:rsidRDefault="003912CC" w:rsidP="00250940">
      <w:pPr>
        <w:jc w:val="both"/>
        <w:rPr>
          <w:b/>
          <w:bCs/>
          <w:sz w:val="28"/>
          <w:szCs w:val="28"/>
          <w:highlight w:val="yellow"/>
        </w:rPr>
      </w:pPr>
    </w:p>
    <w:p w14:paraId="491CDE4E" w14:textId="77777777" w:rsidR="003912CC" w:rsidRPr="00AC55EF" w:rsidRDefault="003912CC" w:rsidP="00250940">
      <w:pPr>
        <w:jc w:val="both"/>
        <w:rPr>
          <w:b/>
          <w:bCs/>
          <w:sz w:val="28"/>
          <w:szCs w:val="28"/>
          <w:highlight w:val="yellow"/>
        </w:rPr>
      </w:pPr>
    </w:p>
    <w:p w14:paraId="73892588" w14:textId="77777777" w:rsidR="003912CC" w:rsidRPr="00AC55EF" w:rsidRDefault="003912CC" w:rsidP="00250940">
      <w:pPr>
        <w:jc w:val="both"/>
        <w:rPr>
          <w:b/>
          <w:bCs/>
          <w:sz w:val="28"/>
          <w:szCs w:val="28"/>
          <w:highlight w:val="yellow"/>
        </w:rPr>
      </w:pPr>
    </w:p>
    <w:p w14:paraId="6F71D262" w14:textId="77777777" w:rsidR="003912CC" w:rsidRPr="00AC55EF" w:rsidRDefault="003912CC" w:rsidP="00250940">
      <w:pPr>
        <w:jc w:val="both"/>
        <w:rPr>
          <w:b/>
          <w:bCs/>
          <w:sz w:val="28"/>
          <w:szCs w:val="28"/>
          <w:highlight w:val="yellow"/>
        </w:rPr>
      </w:pPr>
    </w:p>
    <w:p w14:paraId="7CA0DCBA" w14:textId="77777777" w:rsidR="003912CC" w:rsidRPr="00AC55EF" w:rsidRDefault="003912CC" w:rsidP="00250940">
      <w:pPr>
        <w:jc w:val="both"/>
        <w:rPr>
          <w:b/>
          <w:bCs/>
          <w:sz w:val="28"/>
          <w:szCs w:val="28"/>
          <w:highlight w:val="yellow"/>
        </w:rPr>
      </w:pPr>
    </w:p>
    <w:p w14:paraId="4240D7C3" w14:textId="77777777" w:rsidR="003912CC" w:rsidRPr="00AC55EF" w:rsidRDefault="003912CC" w:rsidP="00250940">
      <w:pPr>
        <w:jc w:val="both"/>
        <w:rPr>
          <w:b/>
          <w:bCs/>
          <w:sz w:val="28"/>
          <w:szCs w:val="28"/>
          <w:highlight w:val="yellow"/>
        </w:rPr>
      </w:pPr>
    </w:p>
    <w:p w14:paraId="4CA227FC" w14:textId="77777777" w:rsidR="003912CC" w:rsidRPr="00AC55EF" w:rsidRDefault="003912CC" w:rsidP="00250940">
      <w:pPr>
        <w:jc w:val="both"/>
        <w:rPr>
          <w:b/>
          <w:bCs/>
          <w:sz w:val="28"/>
          <w:szCs w:val="28"/>
          <w:highlight w:val="yellow"/>
        </w:rPr>
      </w:pPr>
    </w:p>
    <w:p w14:paraId="03E4C7B7" w14:textId="77777777" w:rsidR="003912CC" w:rsidRPr="00AC55EF" w:rsidRDefault="003912CC" w:rsidP="00250940">
      <w:pPr>
        <w:jc w:val="both"/>
        <w:rPr>
          <w:b/>
          <w:bCs/>
          <w:sz w:val="28"/>
          <w:szCs w:val="28"/>
          <w:highlight w:val="yellow"/>
        </w:rPr>
      </w:pPr>
    </w:p>
    <w:p w14:paraId="7ACE70CC" w14:textId="77777777" w:rsidR="003912CC" w:rsidRPr="00AC55EF" w:rsidRDefault="003912CC" w:rsidP="003912CC">
      <w:pPr>
        <w:jc w:val="center"/>
        <w:rPr>
          <w:b/>
          <w:bCs/>
          <w:sz w:val="28"/>
          <w:szCs w:val="28"/>
          <w:highlight w:val="yellow"/>
        </w:rPr>
      </w:pPr>
    </w:p>
    <w:p w14:paraId="5CCA4096" w14:textId="77777777" w:rsidR="003912CC" w:rsidRPr="00AC55EF" w:rsidRDefault="003912CC" w:rsidP="003912CC">
      <w:pPr>
        <w:jc w:val="center"/>
        <w:rPr>
          <w:b/>
          <w:bCs/>
          <w:sz w:val="28"/>
          <w:szCs w:val="28"/>
          <w:highlight w:val="yellow"/>
        </w:rPr>
      </w:pPr>
    </w:p>
    <w:p w14:paraId="561CABB5" w14:textId="77777777" w:rsidR="00094C5B" w:rsidRPr="00AC55EF" w:rsidRDefault="00094C5B" w:rsidP="003912CC">
      <w:pPr>
        <w:jc w:val="center"/>
        <w:rPr>
          <w:b/>
          <w:bCs/>
          <w:sz w:val="28"/>
          <w:szCs w:val="28"/>
          <w:highlight w:val="yellow"/>
        </w:rPr>
      </w:pPr>
    </w:p>
    <w:p w14:paraId="24F42A34" w14:textId="77777777" w:rsidR="003912CC" w:rsidRPr="00AC55EF" w:rsidRDefault="003912CC" w:rsidP="003912CC">
      <w:pPr>
        <w:jc w:val="center"/>
        <w:rPr>
          <w:b/>
          <w:bCs/>
          <w:sz w:val="28"/>
          <w:szCs w:val="28"/>
          <w:highlight w:val="yellow"/>
        </w:rPr>
      </w:pPr>
    </w:p>
    <w:p w14:paraId="4603D280" w14:textId="77777777" w:rsidR="00F94B29" w:rsidRDefault="00F94B29" w:rsidP="00957548">
      <w:pPr>
        <w:rPr>
          <w:b/>
          <w:bCs/>
          <w:sz w:val="28"/>
          <w:szCs w:val="28"/>
        </w:rPr>
      </w:pPr>
    </w:p>
    <w:p w14:paraId="4C2356EC" w14:textId="77777777" w:rsidR="00DC1D20" w:rsidRDefault="00DC1D20">
      <w:pPr>
        <w:spacing w:after="160" w:line="259" w:lineRule="auto"/>
        <w:rPr>
          <w:b/>
          <w:bCs/>
          <w:sz w:val="28"/>
          <w:szCs w:val="28"/>
        </w:rPr>
      </w:pPr>
      <w:r>
        <w:rPr>
          <w:b/>
          <w:bCs/>
          <w:sz w:val="28"/>
          <w:szCs w:val="28"/>
        </w:rPr>
        <w:br w:type="page"/>
      </w:r>
    </w:p>
    <w:p w14:paraId="1BAF4887" w14:textId="62254DB7" w:rsidR="003912CC" w:rsidRPr="000961FE" w:rsidRDefault="003912CC" w:rsidP="003912CC">
      <w:pPr>
        <w:jc w:val="center"/>
        <w:rPr>
          <w:b/>
          <w:bCs/>
          <w:sz w:val="28"/>
          <w:szCs w:val="28"/>
        </w:rPr>
      </w:pPr>
      <w:r w:rsidRPr="000961FE">
        <w:rPr>
          <w:b/>
          <w:bCs/>
          <w:sz w:val="28"/>
          <w:szCs w:val="28"/>
        </w:rPr>
        <w:lastRenderedPageBreak/>
        <w:t>GLOSSARY</w:t>
      </w:r>
    </w:p>
    <w:p w14:paraId="2E7E1638" w14:textId="77777777" w:rsidR="003912CC" w:rsidRPr="000961FE" w:rsidRDefault="003912CC" w:rsidP="003912CC">
      <w:pPr>
        <w:rPr>
          <w:b/>
          <w:bCs/>
        </w:rPr>
      </w:pPr>
    </w:p>
    <w:p w14:paraId="36273E82" w14:textId="77777777" w:rsidR="003912CC" w:rsidRPr="000961FE" w:rsidRDefault="003912CC" w:rsidP="00250940">
      <w:pPr>
        <w:jc w:val="both"/>
      </w:pPr>
      <w:r w:rsidRPr="000961FE">
        <w:rPr>
          <w:b/>
          <w:bCs/>
        </w:rPr>
        <w:t>Aggregate Lending:</w:t>
      </w:r>
      <w:r w:rsidRPr="000961FE">
        <w:t xml:space="preserve">  The number of loans originated and purchased by all reporting lenders in specified income categories as a percentage of the aggregate number of loans originated and purchased by all reporting lenders in the metropolitan area/assessment area.</w:t>
      </w:r>
    </w:p>
    <w:p w14:paraId="1A95C4BD" w14:textId="77777777" w:rsidR="003912CC" w:rsidRPr="000961FE" w:rsidRDefault="003912CC" w:rsidP="00250940">
      <w:pPr>
        <w:jc w:val="both"/>
        <w:rPr>
          <w:b/>
          <w:bCs/>
        </w:rPr>
      </w:pPr>
    </w:p>
    <w:p w14:paraId="7EA95362" w14:textId="77777777" w:rsidR="003912CC" w:rsidRPr="000961FE" w:rsidRDefault="003912CC" w:rsidP="00250940">
      <w:pPr>
        <w:jc w:val="both"/>
        <w:rPr>
          <w:i/>
          <w:iCs/>
        </w:rPr>
      </w:pPr>
      <w:r w:rsidRPr="000961FE">
        <w:rPr>
          <w:b/>
          <w:bCs/>
        </w:rPr>
        <w:t xml:space="preserve">Area Median Income:  </w:t>
      </w:r>
      <w:r w:rsidRPr="000961FE">
        <w:t xml:space="preserve">The median family income for the </w:t>
      </w:r>
      <w:proofErr w:type="spellStart"/>
      <w:r w:rsidRPr="000961FE">
        <w:t>MSA</w:t>
      </w:r>
      <w:proofErr w:type="spellEnd"/>
      <w:r w:rsidRPr="000961FE">
        <w:t xml:space="preserve">, if a person or geography is located in an </w:t>
      </w:r>
      <w:proofErr w:type="spellStart"/>
      <w:r w:rsidRPr="000961FE">
        <w:t>MSA</w:t>
      </w:r>
      <w:proofErr w:type="spellEnd"/>
      <w:proofErr w:type="gramStart"/>
      <w:r w:rsidRPr="000961FE">
        <w:t>;</w:t>
      </w:r>
      <w:proofErr w:type="gramEnd"/>
      <w:r w:rsidRPr="000961FE">
        <w:t xml:space="preserve"> or the statewide nonmetropolitan median family income, if a person or geography is located outside an </w:t>
      </w:r>
      <w:proofErr w:type="spellStart"/>
      <w:r w:rsidRPr="000961FE">
        <w:t>MSA</w:t>
      </w:r>
      <w:proofErr w:type="spellEnd"/>
      <w:r w:rsidRPr="000961FE">
        <w:rPr>
          <w:i/>
          <w:iCs/>
        </w:rPr>
        <w:t>.</w:t>
      </w:r>
    </w:p>
    <w:p w14:paraId="40F0D6CE" w14:textId="77777777" w:rsidR="003912CC" w:rsidRPr="000961FE" w:rsidRDefault="003912CC" w:rsidP="00250940">
      <w:pPr>
        <w:jc w:val="both"/>
        <w:rPr>
          <w:b/>
          <w:bCs/>
        </w:rPr>
      </w:pPr>
    </w:p>
    <w:p w14:paraId="726D6E94" w14:textId="77777777" w:rsidR="003912CC" w:rsidRPr="000961FE" w:rsidRDefault="003912CC" w:rsidP="00250940">
      <w:pPr>
        <w:jc w:val="both"/>
      </w:pPr>
      <w:r w:rsidRPr="000961FE">
        <w:rPr>
          <w:b/>
          <w:bCs/>
        </w:rPr>
        <w:t>Assessment Area:</w:t>
      </w:r>
      <w:r w:rsidRPr="000961FE">
        <w:t xml:space="preserve">  A geographic area delineated by the institution under the requirements of the Community Reinvestment Act.</w:t>
      </w:r>
    </w:p>
    <w:p w14:paraId="6B382A7C" w14:textId="77777777" w:rsidR="003912CC" w:rsidRPr="000961FE" w:rsidRDefault="003912CC" w:rsidP="00250940">
      <w:pPr>
        <w:jc w:val="both"/>
        <w:rPr>
          <w:b/>
          <w:bCs/>
        </w:rPr>
      </w:pPr>
    </w:p>
    <w:p w14:paraId="64C2C7AA" w14:textId="77777777" w:rsidR="003912CC" w:rsidRPr="000961FE" w:rsidRDefault="003912CC" w:rsidP="00250940">
      <w:pPr>
        <w:jc w:val="both"/>
      </w:pPr>
      <w:r w:rsidRPr="000961FE">
        <w:rPr>
          <w:b/>
          <w:bCs/>
        </w:rPr>
        <w:t xml:space="preserve">Census Tract:  </w:t>
      </w:r>
      <w:r w:rsidRPr="000961FE">
        <w:t>A small, relatively permanent statistical subdivision of a county or equivalent entity</w:t>
      </w:r>
      <w:proofErr w:type="gramStart"/>
      <w:r w:rsidRPr="000961FE">
        <w:t xml:space="preserve">.  </w:t>
      </w:r>
      <w:proofErr w:type="gramEnd"/>
      <w:r w:rsidRPr="000961FE">
        <w:t>The primary purpose of census tracts is to provide a stable set of geographic units for the presentation of statistical data</w:t>
      </w:r>
      <w:proofErr w:type="gramStart"/>
      <w:r w:rsidRPr="000961FE">
        <w:t xml:space="preserve">.  </w:t>
      </w:r>
      <w:proofErr w:type="gramEnd"/>
      <w:r w:rsidRPr="000961FE">
        <w:t>Census tracts generally have a population size between 1,200 and 8,000 people, with an optimum size of 4,000 people</w:t>
      </w:r>
      <w:proofErr w:type="gramStart"/>
      <w:r w:rsidRPr="000961FE">
        <w:t>.  </w:t>
      </w:r>
      <w:proofErr w:type="gramEnd"/>
      <w:r w:rsidRPr="000961FE">
        <w:t>Census tract boundaries generally follow visible and identifiable features, but they may follow nonvisible legal boundaries in some instances</w:t>
      </w:r>
      <w:proofErr w:type="gramStart"/>
      <w:r w:rsidRPr="000961FE">
        <w:t>.  </w:t>
      </w:r>
      <w:proofErr w:type="gramEnd"/>
      <w:r w:rsidRPr="000961FE">
        <w:t xml:space="preserve">State and county boundaries always are census tract boundaries.  </w:t>
      </w:r>
    </w:p>
    <w:p w14:paraId="1F729EE6" w14:textId="77777777" w:rsidR="003912CC" w:rsidRPr="000961FE" w:rsidRDefault="003912CC" w:rsidP="00250940">
      <w:pPr>
        <w:jc w:val="both"/>
        <w:rPr>
          <w:b/>
          <w:bCs/>
        </w:rPr>
      </w:pPr>
    </w:p>
    <w:p w14:paraId="0B46A4BD" w14:textId="77777777" w:rsidR="003912CC" w:rsidRPr="000961FE" w:rsidRDefault="003912CC" w:rsidP="00250940">
      <w:pPr>
        <w:widowControl w:val="0"/>
        <w:jc w:val="both"/>
      </w:pPr>
      <w:r w:rsidRPr="000961FE">
        <w:rPr>
          <w:b/>
          <w:bCs/>
        </w:rPr>
        <w:t xml:space="preserve">Combined Statistical Area (CSA):  </w:t>
      </w:r>
      <w:r w:rsidRPr="000961FE">
        <w:t xml:space="preserve">A combination of several adjacent metropolitan statistical areas or </w:t>
      </w:r>
      <w:proofErr w:type="spellStart"/>
      <w:r w:rsidRPr="000961FE">
        <w:t>micropolitan</w:t>
      </w:r>
      <w:proofErr w:type="spellEnd"/>
      <w:r w:rsidRPr="000961FE">
        <w:t xml:space="preserve"> statistical areas or a mix of the two, which </w:t>
      </w:r>
      <w:proofErr w:type="gramStart"/>
      <w:r w:rsidRPr="000961FE">
        <w:t>are linked</w:t>
      </w:r>
      <w:proofErr w:type="gramEnd"/>
      <w:r w:rsidRPr="000961FE">
        <w:t xml:space="preserve"> by economic ties.  </w:t>
      </w:r>
    </w:p>
    <w:p w14:paraId="302AAF91" w14:textId="77777777" w:rsidR="003912CC" w:rsidRPr="000961FE" w:rsidRDefault="003912CC" w:rsidP="00250940">
      <w:pPr>
        <w:jc w:val="both"/>
      </w:pPr>
    </w:p>
    <w:p w14:paraId="709E1D66" w14:textId="77777777" w:rsidR="003912CC" w:rsidRPr="000961FE" w:rsidRDefault="003912CC" w:rsidP="00250940">
      <w:pPr>
        <w:jc w:val="both"/>
        <w:rPr>
          <w:b/>
          <w:bCs/>
        </w:rPr>
      </w:pPr>
      <w:r w:rsidRPr="000961FE">
        <w:rPr>
          <w:b/>
          <w:bCs/>
        </w:rPr>
        <w:t xml:space="preserve">Consumer Loan(s):  </w:t>
      </w:r>
      <w:r w:rsidRPr="000961FE">
        <w:t>A loan(s) to one or more individuals for household, family, or other personal expenditures</w:t>
      </w:r>
      <w:proofErr w:type="gramStart"/>
      <w:r w:rsidRPr="000961FE">
        <w:t xml:space="preserve">.  </w:t>
      </w:r>
      <w:proofErr w:type="gramEnd"/>
      <w:r w:rsidRPr="000961FE">
        <w:t>A consumer loan does not include a home mortgage, small business, or small farm loan</w:t>
      </w:r>
      <w:proofErr w:type="gramStart"/>
      <w:r w:rsidRPr="000961FE">
        <w:t xml:space="preserve">.  </w:t>
      </w:r>
      <w:proofErr w:type="gramEnd"/>
      <w:r w:rsidRPr="000961FE">
        <w:t>This definition includes the following categories: motor vehicle loans, credit card loans, home equity loans, other secured consumer loans, and other unsecured consumer loans.</w:t>
      </w:r>
    </w:p>
    <w:p w14:paraId="7CDAB615" w14:textId="77777777" w:rsidR="003912CC" w:rsidRPr="000961FE" w:rsidRDefault="003912CC" w:rsidP="00250940">
      <w:pPr>
        <w:pStyle w:val="HTMLPreformatted"/>
        <w:jc w:val="both"/>
        <w:rPr>
          <w:rFonts w:ascii="Times New Roman" w:hAnsi="Times New Roman"/>
          <w:sz w:val="24"/>
          <w:szCs w:val="24"/>
        </w:rPr>
      </w:pPr>
    </w:p>
    <w:p w14:paraId="6D883059"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Core Based Statistical Area (</w:t>
      </w:r>
      <w:proofErr w:type="spellStart"/>
      <w:r w:rsidRPr="000961FE">
        <w:rPr>
          <w:b/>
          <w:bCs/>
        </w:rPr>
        <w:t>CBSA</w:t>
      </w:r>
      <w:proofErr w:type="spellEnd"/>
      <w:r w:rsidRPr="000961FE">
        <w:rPr>
          <w:b/>
          <w:bCs/>
        </w:rPr>
        <w:t xml:space="preserve">):  </w:t>
      </w:r>
      <w:r w:rsidRPr="000961FE">
        <w:t>The county or counties or equivalent entities associated with at least one core (urbanized area or urban cluster) of at least 10,000 population, plus adjacent counties having a high degree of social and economic integration with the core as measured through commuting ties with the counties associated with the core</w:t>
      </w:r>
      <w:proofErr w:type="gramStart"/>
      <w:r w:rsidRPr="000961FE">
        <w:t xml:space="preserve">.  </w:t>
      </w:r>
      <w:proofErr w:type="gramEnd"/>
      <w:r w:rsidRPr="000961FE">
        <w:t xml:space="preserve">Metropolitan and </w:t>
      </w:r>
      <w:proofErr w:type="spellStart"/>
      <w:r w:rsidRPr="000961FE">
        <w:t>Micropolitan</w:t>
      </w:r>
      <w:proofErr w:type="spellEnd"/>
      <w:r w:rsidRPr="000961FE">
        <w:t xml:space="preserve"> Statistical Areas are the two categories of </w:t>
      </w:r>
      <w:proofErr w:type="spellStart"/>
      <w:r w:rsidRPr="000961FE">
        <w:t>CBSAs</w:t>
      </w:r>
      <w:proofErr w:type="spellEnd"/>
      <w:r w:rsidRPr="000961FE">
        <w:t xml:space="preserve">. </w:t>
      </w:r>
    </w:p>
    <w:p w14:paraId="1CB3B5C1" w14:textId="77777777" w:rsidR="003912CC" w:rsidRPr="000961FE" w:rsidRDefault="003912CC" w:rsidP="00250940">
      <w:pPr>
        <w:pStyle w:val="HTMLPreformatted"/>
        <w:jc w:val="both"/>
        <w:rPr>
          <w:rFonts w:ascii="Times New Roman" w:hAnsi="Times New Roman"/>
          <w:sz w:val="24"/>
          <w:szCs w:val="24"/>
        </w:rPr>
      </w:pPr>
    </w:p>
    <w:p w14:paraId="3550647C"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Family:</w:t>
      </w:r>
      <w:r w:rsidRPr="000961FE">
        <w:t xml:space="preserve">  Includes a householder and one or more other persons living in the same household who are related to the householder by birth, marriage, or adoption</w:t>
      </w:r>
      <w:proofErr w:type="gramStart"/>
      <w:r w:rsidRPr="000961FE">
        <w:t xml:space="preserve">.  </w:t>
      </w:r>
      <w:proofErr w:type="gramEnd"/>
      <w:r w:rsidRPr="000961FE">
        <w:t>The number of family households always equals the number of families; however, a family household may also include non-relatives living with the family</w:t>
      </w:r>
      <w:proofErr w:type="gramStart"/>
      <w:r w:rsidRPr="000961FE">
        <w:t xml:space="preserve">.  </w:t>
      </w:r>
      <w:proofErr w:type="gramEnd"/>
      <w:r w:rsidRPr="000961FE">
        <w:t>Families are classified by type as either a married-couple family or other family</w:t>
      </w:r>
      <w:proofErr w:type="gramStart"/>
      <w:r w:rsidRPr="000961FE">
        <w:t xml:space="preserve">.  </w:t>
      </w:r>
      <w:proofErr w:type="gramEnd"/>
      <w:r w:rsidRPr="000961FE">
        <w:t>Other family is further classified into “male householder” (a family with a male householder and no wife present) or “female householder” (a family with a female householder and no husband present).</w:t>
      </w:r>
    </w:p>
    <w:p w14:paraId="682BCBCD"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33660BE"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Family Income:</w:t>
      </w:r>
      <w:r w:rsidRPr="000961FE">
        <w:t xml:space="preserve">  Includes the income of all members of a family that are age 15 and older.</w:t>
      </w:r>
    </w:p>
    <w:p w14:paraId="082A6119"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CDBAA29"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0961FE">
        <w:rPr>
          <w:b/>
          <w:bCs/>
        </w:rPr>
        <w:t>FFIEC</w:t>
      </w:r>
      <w:proofErr w:type="spellEnd"/>
      <w:r w:rsidRPr="000961FE">
        <w:rPr>
          <w:b/>
          <w:bCs/>
        </w:rPr>
        <w:t xml:space="preserve">-Estimated Income Data:  </w:t>
      </w:r>
      <w:r w:rsidRPr="000961FE">
        <w:t>The Federal Financial Institutions Examination Council (</w:t>
      </w:r>
      <w:proofErr w:type="spellStart"/>
      <w:r w:rsidRPr="000961FE">
        <w:t>FFIEC</w:t>
      </w:r>
      <w:proofErr w:type="spellEnd"/>
      <w:r w:rsidRPr="000961FE">
        <w:t xml:space="preserve">) issues annual estimates which update median family income from the metropolitan and </w:t>
      </w:r>
      <w:r w:rsidRPr="000961FE">
        <w:lastRenderedPageBreak/>
        <w:t>nonmetropolitan areas</w:t>
      </w:r>
      <w:proofErr w:type="gramStart"/>
      <w:r w:rsidRPr="000961FE">
        <w:t xml:space="preserve">.  </w:t>
      </w:r>
      <w:proofErr w:type="gramEnd"/>
      <w:r w:rsidRPr="000961FE">
        <w:t xml:space="preserve">The </w:t>
      </w:r>
      <w:proofErr w:type="spellStart"/>
      <w:r w:rsidRPr="000961FE">
        <w:t>FFIEC</w:t>
      </w:r>
      <w:proofErr w:type="spellEnd"/>
      <w:r w:rsidRPr="000961FE">
        <w:t xml:space="preserve"> uses American Community Survey data and factors in information from other sources to arrive at an annual estimate that more closely reflects current economic conditions.</w:t>
      </w:r>
    </w:p>
    <w:p w14:paraId="721BDBEE"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1D12F0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Full-Scope Review:  </w:t>
      </w:r>
      <w:r w:rsidRPr="000961FE">
        <w:t>A full-scope review is accomplished when examiners complete all applicable interagency examination procedures for an assessment area</w:t>
      </w:r>
      <w:proofErr w:type="gramStart"/>
      <w:r w:rsidRPr="000961FE">
        <w:t xml:space="preserve">.  </w:t>
      </w:r>
      <w:proofErr w:type="gramEnd"/>
      <w:r w:rsidRPr="000961FE">
        <w:t>Performance under applicable tests is analyzed considering performance context, quantitative factors (for example, geographic distribution, borrower profile, and total number and dollar amount of investments), and qualitative factors (for example, innovativeness, complexity, and responsiveness).</w:t>
      </w:r>
    </w:p>
    <w:p w14:paraId="4105D2DE"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77778C0"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961FE">
        <w:rPr>
          <w:b/>
          <w:bCs/>
        </w:rPr>
        <w:t xml:space="preserve">Geography:  </w:t>
      </w:r>
      <w:r w:rsidRPr="000961FE">
        <w:t>A census tract delineated by the United States Bureau of the Census in the most recent decennial census</w:t>
      </w:r>
      <w:proofErr w:type="gramStart"/>
      <w:r w:rsidRPr="000961FE">
        <w:t xml:space="preserve">.  </w:t>
      </w:r>
      <w:proofErr w:type="gramEnd"/>
      <w:r w:rsidRPr="000961FE">
        <w:br/>
      </w:r>
    </w:p>
    <w:p w14:paraId="5D601904"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Home Mortgage Disclosure Act (HMDA):  </w:t>
      </w:r>
      <w:r w:rsidRPr="000961FE">
        <w:t>The statute that requires certain mortgage lenders that do business or have banking offices in a metropolitan statistical area to file annual summary reports of their mortgage lending activity</w:t>
      </w:r>
      <w:proofErr w:type="gramStart"/>
      <w:r w:rsidRPr="000961FE">
        <w:t xml:space="preserve">.  </w:t>
      </w:r>
      <w:proofErr w:type="gramEnd"/>
      <w:r w:rsidRPr="000961FE">
        <w:t>The reports include such data as the race, gender, and the income of applicants; the amount of loan requested; and the disposition of the application (approved, denied, and withdrawn).</w:t>
      </w:r>
    </w:p>
    <w:p w14:paraId="4AACA24B"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BDAEA0A"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961FE">
        <w:rPr>
          <w:b/>
          <w:bCs/>
        </w:rPr>
        <w:t>Home Mortgage Disclosure Loan Application Register (HMDA LAR):</w:t>
      </w:r>
      <w:r w:rsidRPr="000961FE">
        <w:t xml:space="preserve">  The HMDA </w:t>
      </w:r>
      <w:proofErr w:type="spellStart"/>
      <w:r w:rsidRPr="000961FE">
        <w:t>LARs</w:t>
      </w:r>
      <w:proofErr w:type="spellEnd"/>
      <w:r w:rsidRPr="000961FE">
        <w:t xml:space="preserve"> record all applications received for residential purchase, refinance, home improvement, and temporary-to-permanent construction loans.</w:t>
      </w:r>
      <w:proofErr w:type="gramEnd"/>
    </w:p>
    <w:p w14:paraId="785176D1"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848336C" w14:textId="77777777" w:rsidR="003912CC" w:rsidRPr="000961FE" w:rsidRDefault="003912CC" w:rsidP="0025094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0961FE">
        <w:rPr>
          <w:rFonts w:ascii="Times New Roman" w:hAnsi="Times New Roman"/>
          <w:b/>
          <w:sz w:val="24"/>
          <w:szCs w:val="24"/>
        </w:rPr>
        <w:t>Home Mortgage Loans:</w:t>
      </w:r>
      <w:r w:rsidRPr="000961FE">
        <w:rPr>
          <w:rFonts w:ascii="Times New Roman" w:hAnsi="Times New Roman"/>
          <w:sz w:val="24"/>
          <w:szCs w:val="24"/>
        </w:rPr>
        <w:t xml:space="preserve">  Includes home purchase and home improvement loans as defined in the HMDA regulation</w:t>
      </w:r>
      <w:proofErr w:type="gramStart"/>
      <w:r w:rsidRPr="000961FE">
        <w:rPr>
          <w:rFonts w:ascii="Times New Roman" w:hAnsi="Times New Roman"/>
          <w:sz w:val="24"/>
          <w:szCs w:val="24"/>
        </w:rPr>
        <w:t>.</w:t>
      </w:r>
      <w:r w:rsidRPr="000961FE">
        <w:rPr>
          <w:rFonts w:ascii="Times New Roman" w:hAnsi="Times New Roman"/>
        </w:rPr>
        <w:t xml:space="preserve">  </w:t>
      </w:r>
      <w:proofErr w:type="gramEnd"/>
      <w:r w:rsidRPr="000961FE">
        <w:rPr>
          <w:rFonts w:ascii="Times New Roman" w:hAnsi="Times New Roman"/>
          <w:sz w:val="24"/>
          <w:szCs w:val="24"/>
        </w:rPr>
        <w:t xml:space="preserve">This definition also includes multi-family (five or more families) dwelling loans, loans to purchase manufactured homes, and </w:t>
      </w:r>
      <w:r w:rsidR="000961FE" w:rsidRPr="000961FE">
        <w:rPr>
          <w:rFonts w:ascii="Times New Roman" w:hAnsi="Times New Roman"/>
          <w:sz w:val="24"/>
          <w:szCs w:val="24"/>
        </w:rPr>
        <w:t>refinancing</w:t>
      </w:r>
      <w:r w:rsidRPr="000961FE">
        <w:rPr>
          <w:rFonts w:ascii="Times New Roman" w:hAnsi="Times New Roman"/>
          <w:sz w:val="24"/>
          <w:szCs w:val="24"/>
        </w:rPr>
        <w:t xml:space="preserve"> of home improvement and home purchase loans.</w:t>
      </w:r>
    </w:p>
    <w:p w14:paraId="34E9AE0C" w14:textId="77777777" w:rsidR="003912CC" w:rsidRPr="000961FE" w:rsidRDefault="003912CC" w:rsidP="00250940">
      <w:pPr>
        <w:pStyle w:val="BodyT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p>
    <w:p w14:paraId="03C6C6D9"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Household:</w:t>
      </w:r>
      <w:r w:rsidRPr="000961FE">
        <w:t xml:space="preserve">  Includes all persons occupying a housing unit</w:t>
      </w:r>
      <w:proofErr w:type="gramStart"/>
      <w:r w:rsidRPr="000961FE">
        <w:t xml:space="preserve">.  </w:t>
      </w:r>
      <w:proofErr w:type="gramEnd"/>
      <w:r w:rsidRPr="000961FE">
        <w:t>Persons not living in households are classified as living in group quarters</w:t>
      </w:r>
      <w:proofErr w:type="gramStart"/>
      <w:r w:rsidRPr="000961FE">
        <w:t xml:space="preserve">.  </w:t>
      </w:r>
      <w:proofErr w:type="gramEnd"/>
      <w:r w:rsidRPr="000961FE">
        <w:t>In 100 percent tabulations, the count of households always equals the count of occupied housing units.</w:t>
      </w:r>
    </w:p>
    <w:p w14:paraId="7BC7270E"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2323514"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Household Income:</w:t>
      </w:r>
      <w:r w:rsidRPr="000961FE">
        <w:t xml:space="preserve">  Includes the income of the householder and all other persons that are age 15 and older in the household, whether related to the householder or not</w:t>
      </w:r>
      <w:proofErr w:type="gramStart"/>
      <w:r w:rsidRPr="000961FE">
        <w:t xml:space="preserve">.  </w:t>
      </w:r>
      <w:proofErr w:type="gramEnd"/>
      <w:r w:rsidRPr="000961FE">
        <w:t>Because many households are only one person, median household income is usually less than median family income.</w:t>
      </w:r>
    </w:p>
    <w:p w14:paraId="7B2B16CE"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F16D52C"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Housing Unit:  </w:t>
      </w:r>
      <w:r w:rsidRPr="000961FE">
        <w:t xml:space="preserve">Includes a house, an apartment, a mobile home, a group of rooms, or a single room that </w:t>
      </w:r>
      <w:proofErr w:type="gramStart"/>
      <w:r w:rsidRPr="000961FE">
        <w:t>is occupied</w:t>
      </w:r>
      <w:proofErr w:type="gramEnd"/>
      <w:r w:rsidRPr="000961FE">
        <w:t xml:space="preserve"> as separate living quarters.</w:t>
      </w:r>
    </w:p>
    <w:p w14:paraId="69FCC808"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192CCF3"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Limited-Scope Review:  </w:t>
      </w:r>
      <w:r w:rsidRPr="000961FE">
        <w:t xml:space="preserve">A limited scope review </w:t>
      </w:r>
      <w:proofErr w:type="gramStart"/>
      <w:r w:rsidRPr="000961FE">
        <w:t>is accomplished</w:t>
      </w:r>
      <w:proofErr w:type="gramEnd"/>
      <w:r w:rsidRPr="000961FE">
        <w:t xml:space="preserve"> when examiners do not complete all applicable interagency examination procedures for an assessment area.  </w:t>
      </w:r>
    </w:p>
    <w:p w14:paraId="17CD4B4A"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t xml:space="preserve">Performance under applicable tests </w:t>
      </w:r>
      <w:proofErr w:type="gramStart"/>
      <w:r w:rsidRPr="000961FE">
        <w:t>is often analyzed</w:t>
      </w:r>
      <w:proofErr w:type="gramEnd"/>
      <w:r w:rsidRPr="000961FE">
        <w:t xml:space="preserve"> using only quantitative factors (for example, geographic distribution, borrower profile, total number and dollar amount of investments, and branch distribution).</w:t>
      </w:r>
    </w:p>
    <w:p w14:paraId="39CE148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961FE">
        <w:rPr>
          <w:b/>
          <w:bCs/>
        </w:rPr>
        <w:t xml:space="preserve">Low-Income:  </w:t>
      </w:r>
      <w:r w:rsidRPr="000961FE">
        <w:t>Individual income that is less than 50 percent of the area median income, or a median family income that is less than 50 percent in the case of a geography.</w:t>
      </w:r>
      <w:proofErr w:type="gramEnd"/>
      <w:r w:rsidRPr="000961FE">
        <w:t xml:space="preserve"> </w:t>
      </w:r>
    </w:p>
    <w:p w14:paraId="31F62CD3"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4C2273D1"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lastRenderedPageBreak/>
        <w:t xml:space="preserve">Market Share:  </w:t>
      </w:r>
      <w:r w:rsidRPr="000961FE">
        <w:t>The number of loans originated and purchased by the institution as a percentage of the aggregate number of loans originated and purchased by all reporting lenders in the metropolitan area/assessment area.</w:t>
      </w:r>
    </w:p>
    <w:p w14:paraId="60C1F89C"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C6B50CB"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Median Income:  </w:t>
      </w:r>
      <w:r w:rsidRPr="000961FE">
        <w:t xml:space="preserve">The median income divides the income distribution into two equal parts, </w:t>
      </w:r>
      <w:proofErr w:type="gramStart"/>
      <w:r w:rsidRPr="000961FE">
        <w:t>one having</w:t>
      </w:r>
      <w:proofErr w:type="gramEnd"/>
      <w:r w:rsidRPr="000961FE">
        <w:t xml:space="preserve"> incomes above the median and other having incomes below the median.</w:t>
      </w:r>
    </w:p>
    <w:p w14:paraId="0C07203D"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86C893F"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Metropolitan Division (MD):  </w:t>
      </w:r>
      <w:r w:rsidRPr="000961FE">
        <w:t xml:space="preserve">A county or group of counties within a </w:t>
      </w:r>
      <w:proofErr w:type="spellStart"/>
      <w:r w:rsidRPr="000961FE">
        <w:t>CBSA</w:t>
      </w:r>
      <w:proofErr w:type="spellEnd"/>
      <w:r w:rsidRPr="000961FE">
        <w:t xml:space="preserve"> that contain(s) an urbanized area with a population of at least 2.5 million</w:t>
      </w:r>
      <w:proofErr w:type="gramStart"/>
      <w:r w:rsidRPr="000961FE">
        <w:t xml:space="preserve">.  </w:t>
      </w:r>
      <w:proofErr w:type="gramEnd"/>
      <w:r w:rsidRPr="000961FE">
        <w:t xml:space="preserve">A MD is one or more main/secondary counties representing an employment center or centers, plus adjacent counties associated with the main/secondary county or counties through commuting ties.  </w:t>
      </w:r>
    </w:p>
    <w:p w14:paraId="46D9FB7F"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33920729"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Metropolitan Statistical Area (</w:t>
      </w:r>
      <w:proofErr w:type="spellStart"/>
      <w:r w:rsidRPr="000961FE">
        <w:rPr>
          <w:b/>
          <w:bCs/>
        </w:rPr>
        <w:t>MSA</w:t>
      </w:r>
      <w:proofErr w:type="spellEnd"/>
      <w:r w:rsidRPr="000961FE">
        <w:rPr>
          <w:b/>
          <w:bCs/>
        </w:rPr>
        <w:t xml:space="preserve">):  </w:t>
      </w:r>
      <w:proofErr w:type="spellStart"/>
      <w:r w:rsidRPr="000961FE">
        <w:t>CBSA</w:t>
      </w:r>
      <w:proofErr w:type="spellEnd"/>
      <w:r w:rsidRPr="000961FE">
        <w:t xml:space="preserve"> associated with at least one urbanized area having a population of at least 50,000</w:t>
      </w:r>
      <w:proofErr w:type="gramStart"/>
      <w:r w:rsidRPr="000961FE">
        <w:t xml:space="preserve">.  </w:t>
      </w:r>
      <w:proofErr w:type="gramEnd"/>
      <w:r w:rsidRPr="000961FE">
        <w:t xml:space="preserve">The </w:t>
      </w:r>
      <w:proofErr w:type="spellStart"/>
      <w:r w:rsidRPr="000961FE">
        <w:t>MSA</w:t>
      </w:r>
      <w:proofErr w:type="spellEnd"/>
      <w:r w:rsidRPr="000961FE">
        <w:t xml:space="preserve"> comprises the central county or counties or equivalent entities containing the core, plus adjacent outlying counties having a high degree of social and economic integration with the central county or counties as measured through commuting. </w:t>
      </w:r>
    </w:p>
    <w:p w14:paraId="04298970"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488A437C"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spellStart"/>
      <w:r w:rsidRPr="000961FE">
        <w:rPr>
          <w:b/>
          <w:bCs/>
        </w:rPr>
        <w:t>Micropolitan</w:t>
      </w:r>
      <w:proofErr w:type="spellEnd"/>
      <w:r w:rsidRPr="000961FE">
        <w:rPr>
          <w:b/>
          <w:bCs/>
        </w:rPr>
        <w:t xml:space="preserve"> Statistical Area:  </w:t>
      </w:r>
      <w:proofErr w:type="spellStart"/>
      <w:r w:rsidRPr="000961FE">
        <w:t>CBSA</w:t>
      </w:r>
      <w:proofErr w:type="spellEnd"/>
      <w:r w:rsidRPr="000961FE">
        <w:t xml:space="preserve"> associated with at least one urbanized area having a population of at least 10,000, but less than 50,000.</w:t>
      </w:r>
    </w:p>
    <w:p w14:paraId="7B4BD5EB"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275A8B7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Middle-Income:  </w:t>
      </w:r>
      <w:r w:rsidRPr="000961FE">
        <w:t>Individual income that is at least 80 percent and less than 120 percent of the area median income, or a median family income that is at least 80 and less than 120 percent in the case of a geography.</w:t>
      </w:r>
    </w:p>
    <w:p w14:paraId="57A507B5"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1257C6C"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0961FE">
        <w:rPr>
          <w:b/>
          <w:bCs/>
        </w:rPr>
        <w:t>Moderate-Income:</w:t>
      </w:r>
      <w:r w:rsidRPr="000961FE">
        <w:t xml:space="preserve">  Individual income that is at least 50 percent and less than 80 percent of the area median income, or a median family income that is at least 50 and less than 80 percent in the case of a geography.</w:t>
      </w:r>
    </w:p>
    <w:p w14:paraId="46233AFD"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09ACA3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Multi-family:  </w:t>
      </w:r>
      <w:r w:rsidRPr="000961FE">
        <w:t>Refers to</w:t>
      </w:r>
      <w:r w:rsidRPr="000961FE">
        <w:rPr>
          <w:b/>
          <w:bCs/>
        </w:rPr>
        <w:t xml:space="preserve"> </w:t>
      </w:r>
      <w:r w:rsidRPr="000961FE">
        <w:t>a residential structure that contains five or more units.</w:t>
      </w:r>
    </w:p>
    <w:p w14:paraId="5D4C4C5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3196D7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Nonmetropolitan Area:</w:t>
      </w:r>
      <w:r w:rsidRPr="000961FE">
        <w:t xml:space="preserve">  All areas outside of metropolitan areas</w:t>
      </w:r>
      <w:proofErr w:type="gramStart"/>
      <w:r w:rsidRPr="000961FE">
        <w:t xml:space="preserve">.  </w:t>
      </w:r>
      <w:proofErr w:type="gramEnd"/>
      <w:r w:rsidRPr="000961FE">
        <w:t>The definition of nonmetropolitan area is not consistent with the definition of rural areas</w:t>
      </w:r>
      <w:proofErr w:type="gramStart"/>
      <w:r w:rsidRPr="000961FE">
        <w:t xml:space="preserve">.  </w:t>
      </w:r>
      <w:proofErr w:type="gramEnd"/>
      <w:r w:rsidRPr="000961FE">
        <w:t>Urban and rural classifications cut across the other hierarchies</w:t>
      </w:r>
      <w:proofErr w:type="gramStart"/>
      <w:r w:rsidRPr="000961FE">
        <w:t xml:space="preserve">.  </w:t>
      </w:r>
      <w:proofErr w:type="gramEnd"/>
      <w:r w:rsidRPr="000961FE">
        <w:t>For example, there is generally urban and rural territory within metropolitan and nonmetropolitan areas.</w:t>
      </w:r>
    </w:p>
    <w:p w14:paraId="11892921"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5FB819F"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Owner-Occupied Units:</w:t>
      </w:r>
      <w:r w:rsidRPr="000961FE">
        <w:t xml:space="preserve">  Includes units occupied by the owner or co-owner, even if the unit </w:t>
      </w:r>
      <w:proofErr w:type="gramStart"/>
      <w:r w:rsidRPr="000961FE">
        <w:t>has not been fully paid for</w:t>
      </w:r>
      <w:proofErr w:type="gramEnd"/>
      <w:r w:rsidRPr="000961FE">
        <w:t xml:space="preserve"> or is mortgaged.</w:t>
      </w:r>
    </w:p>
    <w:p w14:paraId="2CA8982A"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AE25035"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napToGrid w:val="0"/>
        </w:rPr>
      </w:pPr>
      <w:r w:rsidRPr="000961FE">
        <w:rPr>
          <w:b/>
          <w:bCs/>
        </w:rPr>
        <w:t>Rated Area:</w:t>
      </w:r>
      <w:r w:rsidRPr="000961FE">
        <w:t xml:space="preserve">  </w:t>
      </w:r>
      <w:r w:rsidRPr="000961FE">
        <w:rPr>
          <w:snapToGrid w:val="0"/>
        </w:rPr>
        <w:t>A rated area is a state or multistate metropolitan area</w:t>
      </w:r>
      <w:proofErr w:type="gramStart"/>
      <w:r w:rsidRPr="000961FE">
        <w:rPr>
          <w:snapToGrid w:val="0"/>
        </w:rPr>
        <w:t xml:space="preserve">.  </w:t>
      </w:r>
      <w:proofErr w:type="gramEnd"/>
      <w:r w:rsidRPr="000961FE">
        <w:rPr>
          <w:snapToGrid w:val="0"/>
        </w:rPr>
        <w:t>For an institution with domestic branches in only one state, the institution’s CRA rating would be the state rating</w:t>
      </w:r>
      <w:proofErr w:type="gramStart"/>
      <w:r w:rsidRPr="000961FE">
        <w:rPr>
          <w:snapToGrid w:val="0"/>
        </w:rPr>
        <w:t xml:space="preserve">.  </w:t>
      </w:r>
      <w:proofErr w:type="gramEnd"/>
      <w:r w:rsidRPr="000961FE">
        <w:rPr>
          <w:snapToGrid w:val="0"/>
        </w:rPr>
        <w:t>If an institution maintains domestic branches in more than one state, the institution will receive a rating for each state in which those branches are located</w:t>
      </w:r>
      <w:proofErr w:type="gramStart"/>
      <w:r w:rsidRPr="000961FE">
        <w:rPr>
          <w:snapToGrid w:val="0"/>
        </w:rPr>
        <w:t xml:space="preserve">.  </w:t>
      </w:r>
      <w:proofErr w:type="gramEnd"/>
      <w:r w:rsidRPr="000961FE">
        <w:rPr>
          <w:snapToGrid w:val="0"/>
        </w:rPr>
        <w:t xml:space="preserve">If an institution maintains domestic branches in two or more states within a multistate metropolitan area, the institution will receive a rating for the multistate metropolitan area.  </w:t>
      </w:r>
    </w:p>
    <w:p w14:paraId="372BF000"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14:paraId="2BA2F54F"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Rural Area:</w:t>
      </w:r>
      <w:r w:rsidRPr="000961FE">
        <w:t xml:space="preserve">  Territories, populations, and housing units that </w:t>
      </w:r>
      <w:proofErr w:type="gramStart"/>
      <w:r w:rsidRPr="000961FE">
        <w:t>are not classified</w:t>
      </w:r>
      <w:proofErr w:type="gramEnd"/>
      <w:r w:rsidRPr="000961FE">
        <w:t xml:space="preserve"> as urban.</w:t>
      </w:r>
    </w:p>
    <w:p w14:paraId="25A9B237"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A26ABA3"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Small Business Loan:</w:t>
      </w:r>
      <w:r w:rsidRPr="000961FE">
        <w:t xml:space="preserve">  A loan included in “loans to small businesses” as defined in the Consolidated Report of Condition and Income (Call Report)</w:t>
      </w:r>
      <w:proofErr w:type="gramStart"/>
      <w:r w:rsidRPr="000961FE">
        <w:t xml:space="preserve">.  </w:t>
      </w:r>
      <w:proofErr w:type="gramEnd"/>
      <w:r w:rsidRPr="000961FE">
        <w:t xml:space="preserve">These loans have original amounts of $1 million or less and are </w:t>
      </w:r>
      <w:proofErr w:type="gramStart"/>
      <w:r w:rsidRPr="000961FE">
        <w:t>either secured</w:t>
      </w:r>
      <w:proofErr w:type="gramEnd"/>
      <w:r w:rsidRPr="000961FE">
        <w:t xml:space="preserve"> by nonfarm nonresidential properties or are classified as commercial and industrial loans.</w:t>
      </w:r>
    </w:p>
    <w:p w14:paraId="38938D3E"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F9E554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 xml:space="preserve">Small Farm Loan:  </w:t>
      </w:r>
      <w:r w:rsidRPr="000961FE">
        <w:t>A loan included in “loans to small farms” as defined in the instructions for preparation of the Consolidated Report of Condition and Income (Call Report)</w:t>
      </w:r>
      <w:proofErr w:type="gramStart"/>
      <w:r w:rsidRPr="000961FE">
        <w:t xml:space="preserve">.  </w:t>
      </w:r>
      <w:proofErr w:type="gramEnd"/>
      <w:r w:rsidRPr="000961FE">
        <w:t xml:space="preserve">These loans have original amounts of $500,000 or less and are </w:t>
      </w:r>
      <w:proofErr w:type="gramStart"/>
      <w:r w:rsidRPr="000961FE">
        <w:t>either secured</w:t>
      </w:r>
      <w:proofErr w:type="gramEnd"/>
      <w:r w:rsidRPr="000961FE">
        <w:t xml:space="preserve"> by farmland, including farm residential and other improvements, or are classified as loans to finance agricultural production and other loans to farmers.</w:t>
      </w:r>
    </w:p>
    <w:p w14:paraId="483A186D"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77C7D7B3"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Underserved Middle-Income Nonmetropolitan Geographies:</w:t>
      </w:r>
      <w:r w:rsidRPr="000961FE">
        <w:t xml:space="preserve">  A nonmetropolitan middle-income geography will be designated as underserved if it meets criteria for population size, density, and dispersion indicating the area’s population is sufficiently small, thin, and distant from a population center that the tract is likely to have difficulty financing the fixed costs of meeting essential community needs. </w:t>
      </w:r>
    </w:p>
    <w:p w14:paraId="48AAE084"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5E7416C5"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rsidRPr="000961FE">
        <w:rPr>
          <w:b/>
          <w:bCs/>
        </w:rPr>
        <w:t>Upper-Income:</w:t>
      </w:r>
      <w:r w:rsidRPr="000961FE">
        <w:t xml:space="preserve">  Individual income that is 120 percent or more of the area median income, or a median family income that is 120 percent or more in the case of a geography.</w:t>
      </w:r>
      <w:proofErr w:type="gramEnd"/>
      <w:r w:rsidRPr="000961FE">
        <w:t xml:space="preserve"> </w:t>
      </w:r>
    </w:p>
    <w:p w14:paraId="269A7635"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14:paraId="0EB5A5A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rPr>
          <w:b/>
          <w:bCs/>
        </w:rPr>
        <w:t>Urban</w:t>
      </w:r>
      <w:r w:rsidRPr="000961FE">
        <w:t xml:space="preserve"> </w:t>
      </w:r>
      <w:r w:rsidRPr="000961FE">
        <w:rPr>
          <w:b/>
          <w:bCs/>
        </w:rPr>
        <w:t xml:space="preserve">Area:  </w:t>
      </w:r>
      <w:r w:rsidRPr="000961FE">
        <w:t>All territories, populations, and housing units in urbanized areas and in places of 2,500 or more persons outside urbanized areas</w:t>
      </w:r>
      <w:proofErr w:type="gramStart"/>
      <w:r w:rsidRPr="000961FE">
        <w:t xml:space="preserve">.  </w:t>
      </w:r>
      <w:proofErr w:type="gramEnd"/>
      <w:r w:rsidRPr="000961FE">
        <w:t xml:space="preserve">More specifically, “urban” consists of territory, persons, and housing units in places of 2,500 or more persons incorporated as cities, villages, boroughs (except in Alaska and New York), and towns (except in the New England states, New York, and Wisconsin).  </w:t>
      </w:r>
    </w:p>
    <w:p w14:paraId="69A09556"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08E01BF" w14:textId="77777777" w:rsidR="003912CC" w:rsidRPr="000961FE" w:rsidRDefault="003912CC" w:rsidP="00250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961FE">
        <w:t>“Urban” excludes the rural portions of “extended cities”; census designated place of 2,500 or more persons; and other territory, incorporated or unincorporated, including in urbanized areas.</w:t>
      </w:r>
    </w:p>
    <w:p w14:paraId="72E5DFBD" w14:textId="77777777" w:rsidR="003912CC" w:rsidRPr="000961FE" w:rsidRDefault="003912CC" w:rsidP="00391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14:paraId="77C55051" w14:textId="77777777" w:rsidR="003912CC" w:rsidRPr="000961FE" w:rsidRDefault="003912CC" w:rsidP="00391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pacing w:val="-4"/>
          <w:sz w:val="28"/>
          <w:szCs w:val="28"/>
        </w:rPr>
        <w:sectPr w:rsidR="003912CC" w:rsidRPr="000961FE">
          <w:footerReference w:type="default" r:id="rId9"/>
          <w:pgSz w:w="12240" w:h="15840"/>
          <w:pgMar w:top="1440" w:right="1440" w:bottom="1440" w:left="1440" w:header="720" w:footer="720" w:gutter="0"/>
          <w:cols w:space="720"/>
        </w:sectPr>
      </w:pPr>
    </w:p>
    <w:p w14:paraId="67A71A9A" w14:textId="77777777" w:rsidR="003912CC" w:rsidRPr="000961FE" w:rsidRDefault="003912CC" w:rsidP="003912CC">
      <w:pPr>
        <w:tabs>
          <w:tab w:val="center" w:pos="4680"/>
        </w:tabs>
        <w:jc w:val="center"/>
        <w:rPr>
          <w:b/>
          <w:spacing w:val="-3"/>
          <w:sz w:val="28"/>
          <w:szCs w:val="28"/>
        </w:rPr>
      </w:pPr>
      <w:r w:rsidRPr="000961FE">
        <w:rPr>
          <w:b/>
          <w:spacing w:val="-4"/>
          <w:sz w:val="28"/>
          <w:szCs w:val="28"/>
        </w:rPr>
        <w:lastRenderedPageBreak/>
        <w:t>PERFORMANCE EVALUATION DISCLOSURE GUIDE</w:t>
      </w:r>
    </w:p>
    <w:p w14:paraId="10B4646F" w14:textId="77777777" w:rsidR="003912CC" w:rsidRPr="000961FE" w:rsidRDefault="003912CC" w:rsidP="003912CC">
      <w:pPr>
        <w:tabs>
          <w:tab w:val="left" w:pos="720"/>
          <w:tab w:val="left" w:pos="1320"/>
          <w:tab w:val="left" w:pos="1680"/>
        </w:tabs>
        <w:jc w:val="both"/>
        <w:rPr>
          <w:spacing w:val="-3"/>
        </w:rPr>
      </w:pPr>
    </w:p>
    <w:p w14:paraId="737DABAC" w14:textId="77777777" w:rsidR="003912CC" w:rsidRPr="000961FE" w:rsidRDefault="003912CC" w:rsidP="003912CC">
      <w:pPr>
        <w:tabs>
          <w:tab w:val="left" w:pos="720"/>
          <w:tab w:val="left" w:pos="1320"/>
          <w:tab w:val="left" w:pos="1680"/>
        </w:tabs>
        <w:ind w:left="720" w:hanging="720"/>
        <w:jc w:val="both"/>
        <w:rPr>
          <w:spacing w:val="-3"/>
        </w:rPr>
      </w:pPr>
      <w:r w:rsidRPr="000961FE">
        <w:rPr>
          <w:spacing w:val="-3"/>
        </w:rPr>
        <w:tab/>
        <w:t>Massachusetts General Laws Chapter 167, Section 14, as amended, require all financial institution to take the following actions within 30 business days of receipt of the CRA evaluation of their institution:</w:t>
      </w:r>
    </w:p>
    <w:p w14:paraId="372FCBEA" w14:textId="77777777" w:rsidR="003912CC" w:rsidRPr="000961FE" w:rsidRDefault="003912CC" w:rsidP="003912CC">
      <w:pPr>
        <w:tabs>
          <w:tab w:val="left" w:pos="720"/>
          <w:tab w:val="left" w:pos="1320"/>
          <w:tab w:val="left" w:pos="1680"/>
        </w:tabs>
        <w:jc w:val="both"/>
        <w:rPr>
          <w:spacing w:val="-3"/>
        </w:rPr>
      </w:pPr>
    </w:p>
    <w:p w14:paraId="3FAE8F2C" w14:textId="77777777" w:rsidR="003912CC" w:rsidRPr="000961FE" w:rsidRDefault="003912CC" w:rsidP="003912CC">
      <w:pPr>
        <w:tabs>
          <w:tab w:val="left" w:pos="720"/>
          <w:tab w:val="left" w:pos="1320"/>
          <w:tab w:val="left" w:pos="1680"/>
        </w:tabs>
        <w:ind w:left="1320" w:hanging="1320"/>
        <w:jc w:val="both"/>
        <w:rPr>
          <w:spacing w:val="-3"/>
        </w:rPr>
      </w:pPr>
      <w:r w:rsidRPr="000961FE">
        <w:rPr>
          <w:spacing w:val="-3"/>
        </w:rPr>
        <w:tab/>
        <w:t xml:space="preserve">1) </w:t>
      </w:r>
      <w:r w:rsidRPr="000961FE">
        <w:rPr>
          <w:spacing w:val="-3"/>
        </w:rPr>
        <w:tab/>
        <w:t>Make its most current CRA performance evaluation available to the public</w:t>
      </w:r>
      <w:proofErr w:type="gramStart"/>
      <w:r w:rsidRPr="000961FE">
        <w:rPr>
          <w:spacing w:val="-3"/>
        </w:rPr>
        <w:t>;</w:t>
      </w:r>
      <w:proofErr w:type="gramEnd"/>
    </w:p>
    <w:p w14:paraId="26B7698C" w14:textId="77777777" w:rsidR="003912CC" w:rsidRPr="000961FE" w:rsidRDefault="003912CC" w:rsidP="003912CC">
      <w:pPr>
        <w:tabs>
          <w:tab w:val="left" w:pos="720"/>
          <w:tab w:val="left" w:pos="1320"/>
          <w:tab w:val="left" w:pos="1680"/>
        </w:tabs>
        <w:jc w:val="both"/>
        <w:rPr>
          <w:spacing w:val="-3"/>
        </w:rPr>
      </w:pPr>
    </w:p>
    <w:p w14:paraId="6558DC2D" w14:textId="77777777" w:rsidR="003912CC" w:rsidRPr="000961FE" w:rsidRDefault="003912CC" w:rsidP="003912CC">
      <w:pPr>
        <w:tabs>
          <w:tab w:val="left" w:pos="720"/>
          <w:tab w:val="left" w:pos="1320"/>
          <w:tab w:val="left" w:pos="1680"/>
        </w:tabs>
        <w:ind w:left="1320" w:hanging="1320"/>
        <w:jc w:val="both"/>
        <w:rPr>
          <w:spacing w:val="-3"/>
        </w:rPr>
      </w:pPr>
      <w:r w:rsidRPr="000961FE">
        <w:rPr>
          <w:spacing w:val="-3"/>
        </w:rPr>
        <w:tab/>
        <w:t>2)</w:t>
      </w:r>
      <w:r w:rsidRPr="000961FE">
        <w:rPr>
          <w:spacing w:val="-3"/>
        </w:rPr>
        <w:tab/>
        <w:t>At a minimum, place the evaluation in the institution's CRA public file located at the head office and at a designated office in each assessment area</w:t>
      </w:r>
      <w:proofErr w:type="gramStart"/>
      <w:r w:rsidRPr="000961FE">
        <w:rPr>
          <w:spacing w:val="-3"/>
        </w:rPr>
        <w:t>;</w:t>
      </w:r>
      <w:proofErr w:type="gramEnd"/>
    </w:p>
    <w:p w14:paraId="1D038CA8" w14:textId="77777777" w:rsidR="003912CC" w:rsidRPr="000961FE" w:rsidRDefault="003912CC" w:rsidP="003912CC">
      <w:pPr>
        <w:tabs>
          <w:tab w:val="left" w:pos="720"/>
          <w:tab w:val="left" w:pos="1320"/>
          <w:tab w:val="left" w:pos="1680"/>
        </w:tabs>
        <w:jc w:val="both"/>
        <w:rPr>
          <w:spacing w:val="-3"/>
        </w:rPr>
      </w:pPr>
    </w:p>
    <w:p w14:paraId="2C37C87F" w14:textId="77777777" w:rsidR="003912CC" w:rsidRPr="000961FE" w:rsidRDefault="003912CC" w:rsidP="003912CC">
      <w:pPr>
        <w:tabs>
          <w:tab w:val="left" w:pos="720"/>
          <w:tab w:val="left" w:pos="1320"/>
          <w:tab w:val="left" w:pos="1680"/>
        </w:tabs>
        <w:ind w:left="1320" w:hanging="1320"/>
        <w:jc w:val="both"/>
        <w:rPr>
          <w:spacing w:val="-3"/>
        </w:rPr>
      </w:pPr>
      <w:r w:rsidRPr="000961FE">
        <w:rPr>
          <w:spacing w:val="-3"/>
        </w:rPr>
        <w:tab/>
        <w:t>3)</w:t>
      </w:r>
      <w:r w:rsidRPr="000961FE">
        <w:rPr>
          <w:spacing w:val="-3"/>
        </w:rPr>
        <w:tab/>
        <w:t xml:space="preserve">Add the following language to the institution's required CRA public notice that </w:t>
      </w:r>
      <w:proofErr w:type="gramStart"/>
      <w:r w:rsidRPr="000961FE">
        <w:rPr>
          <w:spacing w:val="-3"/>
        </w:rPr>
        <w:t>is posted</w:t>
      </w:r>
      <w:proofErr w:type="gramEnd"/>
      <w:r w:rsidRPr="000961FE">
        <w:rPr>
          <w:spacing w:val="-3"/>
        </w:rPr>
        <w:t xml:space="preserve"> in each depository facility:</w:t>
      </w:r>
    </w:p>
    <w:p w14:paraId="73138434" w14:textId="77777777" w:rsidR="003912CC" w:rsidRPr="000961FE" w:rsidRDefault="003912CC" w:rsidP="003912CC">
      <w:pPr>
        <w:tabs>
          <w:tab w:val="left" w:pos="720"/>
          <w:tab w:val="left" w:pos="1320"/>
          <w:tab w:val="left" w:pos="1680"/>
        </w:tabs>
        <w:jc w:val="both"/>
        <w:rPr>
          <w:spacing w:val="-3"/>
        </w:rPr>
      </w:pPr>
    </w:p>
    <w:p w14:paraId="4EC3B773" w14:textId="56EC18B1" w:rsidR="003912CC" w:rsidRPr="000961FE" w:rsidRDefault="003912CC" w:rsidP="003912CC">
      <w:pPr>
        <w:tabs>
          <w:tab w:val="left" w:pos="720"/>
          <w:tab w:val="left" w:pos="1320"/>
          <w:tab w:val="left" w:pos="1680"/>
        </w:tabs>
        <w:ind w:left="1320" w:hanging="1320"/>
        <w:jc w:val="both"/>
        <w:rPr>
          <w:spacing w:val="-3"/>
        </w:rPr>
      </w:pPr>
      <w:r w:rsidRPr="000961FE">
        <w:rPr>
          <w:spacing w:val="-3"/>
        </w:rPr>
        <w:tab/>
      </w:r>
      <w:r w:rsidRPr="000961FE">
        <w:rPr>
          <w:spacing w:val="-3"/>
        </w:rPr>
        <w:tab/>
        <w:t>"You may obtain the public section of our most recent CRA Performance Evaluation, which was prepared by the Massachusetts Division o</w:t>
      </w:r>
      <w:r w:rsidR="001668DF">
        <w:rPr>
          <w:spacing w:val="-3"/>
        </w:rPr>
        <w:t>f Banks, at (</w:t>
      </w:r>
      <w:r w:rsidR="00237EBC">
        <w:rPr>
          <w:spacing w:val="-3"/>
        </w:rPr>
        <w:t>20 Adams St</w:t>
      </w:r>
      <w:r w:rsidR="004869E5">
        <w:rPr>
          <w:spacing w:val="-3"/>
        </w:rPr>
        <w:t>,</w:t>
      </w:r>
      <w:r w:rsidR="00774FD7">
        <w:rPr>
          <w:spacing w:val="-3"/>
        </w:rPr>
        <w:t xml:space="preserve"> Leominster</w:t>
      </w:r>
      <w:r w:rsidR="004869E5">
        <w:rPr>
          <w:spacing w:val="-3"/>
        </w:rPr>
        <w:t>,</w:t>
      </w:r>
      <w:r w:rsidR="00774FD7">
        <w:rPr>
          <w:spacing w:val="-3"/>
        </w:rPr>
        <w:t xml:space="preserve"> MA 01435)</w:t>
      </w:r>
    </w:p>
    <w:p w14:paraId="45619AA8" w14:textId="77777777" w:rsidR="003912CC" w:rsidRPr="000961FE" w:rsidRDefault="003912CC" w:rsidP="003912CC">
      <w:pPr>
        <w:tabs>
          <w:tab w:val="left" w:pos="720"/>
          <w:tab w:val="left" w:pos="1320"/>
          <w:tab w:val="left" w:pos="1680"/>
        </w:tabs>
        <w:jc w:val="both"/>
        <w:rPr>
          <w:spacing w:val="-3"/>
        </w:rPr>
      </w:pPr>
    </w:p>
    <w:p w14:paraId="4C76FDBD" w14:textId="77777777" w:rsidR="003912CC" w:rsidRPr="000961FE" w:rsidRDefault="003912CC" w:rsidP="003912CC">
      <w:pPr>
        <w:tabs>
          <w:tab w:val="left" w:pos="720"/>
          <w:tab w:val="left" w:pos="1320"/>
          <w:tab w:val="left" w:pos="1680"/>
        </w:tabs>
        <w:ind w:left="1320" w:hanging="1320"/>
        <w:jc w:val="both"/>
        <w:rPr>
          <w:spacing w:val="-3"/>
        </w:rPr>
      </w:pPr>
      <w:r w:rsidRPr="000961FE">
        <w:rPr>
          <w:spacing w:val="-3"/>
        </w:rPr>
        <w:tab/>
      </w:r>
      <w:r w:rsidRPr="000961FE">
        <w:rPr>
          <w:spacing w:val="-3"/>
        </w:rPr>
        <w:tab/>
        <w:t>[Please Note:  If the institution has more than one assessment area, each office (other than off</w:t>
      </w:r>
      <w:r w:rsidRPr="000961FE">
        <w:rPr>
          <w:spacing w:val="-3"/>
        </w:rPr>
        <w:noBreakHyphen/>
        <w:t>premises electronic deposit facilities) in that community shall also include the address of the designated office for that assessment area.]</w:t>
      </w:r>
    </w:p>
    <w:p w14:paraId="0BF12C48" w14:textId="77777777" w:rsidR="003912CC" w:rsidRPr="000961FE" w:rsidRDefault="003912CC" w:rsidP="003912CC">
      <w:pPr>
        <w:tabs>
          <w:tab w:val="left" w:pos="720"/>
          <w:tab w:val="left" w:pos="1320"/>
          <w:tab w:val="left" w:pos="1680"/>
        </w:tabs>
        <w:jc w:val="both"/>
        <w:rPr>
          <w:spacing w:val="-3"/>
        </w:rPr>
      </w:pPr>
    </w:p>
    <w:p w14:paraId="3E3C79DB" w14:textId="77777777" w:rsidR="003912CC" w:rsidRPr="000961FE" w:rsidRDefault="003912CC" w:rsidP="003912CC">
      <w:pPr>
        <w:tabs>
          <w:tab w:val="left" w:pos="720"/>
          <w:tab w:val="left" w:pos="1320"/>
          <w:tab w:val="left" w:pos="1680"/>
        </w:tabs>
        <w:ind w:left="1320" w:hanging="1320"/>
        <w:jc w:val="both"/>
        <w:rPr>
          <w:spacing w:val="-3"/>
        </w:rPr>
      </w:pPr>
      <w:r w:rsidRPr="000961FE">
        <w:rPr>
          <w:spacing w:val="-3"/>
        </w:rPr>
        <w:tab/>
        <w:t>4)</w:t>
      </w:r>
      <w:r w:rsidRPr="000961FE">
        <w:rPr>
          <w:spacing w:val="-3"/>
        </w:rPr>
        <w:tab/>
        <w:t>Provide a copy of its current evaluation to the public, upon request</w:t>
      </w:r>
      <w:proofErr w:type="gramStart"/>
      <w:r w:rsidRPr="000961FE">
        <w:rPr>
          <w:spacing w:val="-3"/>
        </w:rPr>
        <w:t xml:space="preserve">.  </w:t>
      </w:r>
      <w:proofErr w:type="gramEnd"/>
      <w:r w:rsidRPr="000961FE">
        <w:rPr>
          <w:spacing w:val="-3"/>
        </w:rPr>
        <w:t xml:space="preserve">In connection with this, the institution is authorized to charge a </w:t>
      </w:r>
      <w:proofErr w:type="gramStart"/>
      <w:r w:rsidRPr="000961FE">
        <w:rPr>
          <w:spacing w:val="-3"/>
        </w:rPr>
        <w:t>fee which</w:t>
      </w:r>
      <w:proofErr w:type="gramEnd"/>
      <w:r w:rsidRPr="000961FE">
        <w:rPr>
          <w:spacing w:val="-3"/>
        </w:rPr>
        <w:t xml:space="preserve"> does not exceed the cost of reproduction and mailing (if applicable).</w:t>
      </w:r>
    </w:p>
    <w:p w14:paraId="311BAD23" w14:textId="77777777" w:rsidR="003912CC" w:rsidRPr="000961FE" w:rsidRDefault="003912CC" w:rsidP="003912CC">
      <w:pPr>
        <w:tabs>
          <w:tab w:val="left" w:pos="720"/>
          <w:tab w:val="left" w:pos="1320"/>
          <w:tab w:val="left" w:pos="1680"/>
        </w:tabs>
        <w:jc w:val="both"/>
        <w:rPr>
          <w:spacing w:val="-3"/>
        </w:rPr>
      </w:pPr>
    </w:p>
    <w:p w14:paraId="0DCDE4BF" w14:textId="77777777" w:rsidR="003912CC" w:rsidRPr="000961FE" w:rsidRDefault="003912CC" w:rsidP="003912CC">
      <w:pPr>
        <w:tabs>
          <w:tab w:val="left" w:pos="720"/>
          <w:tab w:val="left" w:pos="1320"/>
          <w:tab w:val="left" w:pos="1680"/>
        </w:tabs>
        <w:jc w:val="both"/>
        <w:rPr>
          <w:spacing w:val="-3"/>
        </w:rPr>
      </w:pPr>
    </w:p>
    <w:p w14:paraId="2ECD1C60" w14:textId="77777777" w:rsidR="003912CC" w:rsidRDefault="003912CC" w:rsidP="003912CC">
      <w:pPr>
        <w:tabs>
          <w:tab w:val="left" w:pos="720"/>
          <w:tab w:val="left" w:pos="1320"/>
          <w:tab w:val="left" w:pos="1680"/>
        </w:tabs>
        <w:ind w:left="720" w:hanging="720"/>
        <w:jc w:val="both"/>
        <w:rPr>
          <w:spacing w:val="-3"/>
        </w:rPr>
      </w:pPr>
      <w:r w:rsidRPr="000961FE">
        <w:rPr>
          <w:spacing w:val="-3"/>
        </w:rPr>
        <w:tab/>
        <w:t>The format and content of the institution's evaluation, as prepared by its supervisory agencies, may not be altered or abridged in any manner</w:t>
      </w:r>
      <w:proofErr w:type="gramStart"/>
      <w:r w:rsidRPr="000961FE">
        <w:rPr>
          <w:spacing w:val="-3"/>
        </w:rPr>
        <w:t xml:space="preserve">.  </w:t>
      </w:r>
      <w:proofErr w:type="gramEnd"/>
      <w:r w:rsidRPr="000961FE">
        <w:rPr>
          <w:spacing w:val="-3"/>
        </w:rPr>
        <w:t>The institution is encouraged to include its response to the evaluation in its CRA public file.</w:t>
      </w:r>
    </w:p>
    <w:p w14:paraId="0DC65011" w14:textId="77777777" w:rsidR="00C17780" w:rsidRDefault="00C17780"/>
    <w:sectPr w:rsidR="00C177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E0596B" w14:textId="77777777" w:rsidR="003314B5" w:rsidRDefault="003314B5" w:rsidP="00F94B29">
      <w:r>
        <w:separator/>
      </w:r>
    </w:p>
  </w:endnote>
  <w:endnote w:type="continuationSeparator" w:id="0">
    <w:p w14:paraId="27FE87ED" w14:textId="77777777" w:rsidR="003314B5" w:rsidRDefault="003314B5" w:rsidP="00F9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altName w:val="Arial Narrow"/>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FD330" w14:textId="77777777" w:rsidR="003314B5" w:rsidRDefault="003314B5">
    <w:pPr>
      <w:pStyle w:val="Footer"/>
      <w:jc w:val="center"/>
    </w:pPr>
  </w:p>
  <w:p w14:paraId="4FB5AF47" w14:textId="77777777" w:rsidR="003314B5" w:rsidRDefault="00331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401786"/>
      <w:docPartObj>
        <w:docPartGallery w:val="Page Numbers (Bottom of Page)"/>
        <w:docPartUnique/>
      </w:docPartObj>
    </w:sdtPr>
    <w:sdtEndPr>
      <w:rPr>
        <w:noProof/>
      </w:rPr>
    </w:sdtEndPr>
    <w:sdtContent>
      <w:p w14:paraId="3B1465FE" w14:textId="3C8AE2C0" w:rsidR="003314B5" w:rsidRDefault="003314B5">
        <w:pPr>
          <w:pStyle w:val="Footer"/>
          <w:jc w:val="center"/>
        </w:pPr>
        <w:r>
          <w:fldChar w:fldCharType="begin"/>
        </w:r>
        <w:r>
          <w:instrText xml:space="preserve"> PAGE   \* MERGEFORMAT </w:instrText>
        </w:r>
        <w:r>
          <w:fldChar w:fldCharType="separate"/>
        </w:r>
        <w:r w:rsidR="00055E0D">
          <w:rPr>
            <w:noProof/>
          </w:rPr>
          <w:t>20</w:t>
        </w:r>
        <w:r>
          <w:rPr>
            <w:noProof/>
          </w:rPr>
          <w:fldChar w:fldCharType="end"/>
        </w:r>
      </w:p>
    </w:sdtContent>
  </w:sdt>
  <w:p w14:paraId="1899A6E1" w14:textId="77777777" w:rsidR="003314B5" w:rsidRDefault="0033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201B7" w14:textId="77777777" w:rsidR="003314B5" w:rsidRDefault="003314B5" w:rsidP="00F94B29">
      <w:r>
        <w:separator/>
      </w:r>
    </w:p>
  </w:footnote>
  <w:footnote w:type="continuationSeparator" w:id="0">
    <w:p w14:paraId="68CF559E" w14:textId="77777777" w:rsidR="003314B5" w:rsidRDefault="003314B5" w:rsidP="00F94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784"/>
    <w:multiLevelType w:val="hybridMultilevel"/>
    <w:tmpl w:val="B4801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58068C"/>
    <w:multiLevelType w:val="hybridMultilevel"/>
    <w:tmpl w:val="8F262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96F07C8"/>
    <w:multiLevelType w:val="hybridMultilevel"/>
    <w:tmpl w:val="587C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4D6A46"/>
    <w:multiLevelType w:val="hybridMultilevel"/>
    <w:tmpl w:val="B3903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A96813"/>
    <w:multiLevelType w:val="hybridMultilevel"/>
    <w:tmpl w:val="C62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F3CCC"/>
    <w:multiLevelType w:val="hybridMultilevel"/>
    <w:tmpl w:val="287C9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251D76"/>
    <w:multiLevelType w:val="hybridMultilevel"/>
    <w:tmpl w:val="284EB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CD25E9E"/>
    <w:multiLevelType w:val="hybridMultilevel"/>
    <w:tmpl w:val="4C1E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893B4F"/>
    <w:multiLevelType w:val="hybridMultilevel"/>
    <w:tmpl w:val="27A2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AA54AC"/>
    <w:multiLevelType w:val="hybridMultilevel"/>
    <w:tmpl w:val="3E000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434D9"/>
    <w:multiLevelType w:val="hybridMultilevel"/>
    <w:tmpl w:val="68923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FD310B"/>
    <w:multiLevelType w:val="hybridMultilevel"/>
    <w:tmpl w:val="6DF26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DCA055C"/>
    <w:multiLevelType w:val="hybridMultilevel"/>
    <w:tmpl w:val="80BC5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06A0243"/>
    <w:multiLevelType w:val="hybridMultilevel"/>
    <w:tmpl w:val="D90A0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3212E"/>
    <w:multiLevelType w:val="singleLevel"/>
    <w:tmpl w:val="04090001"/>
    <w:lvl w:ilvl="0">
      <w:start w:val="1"/>
      <w:numFmt w:val="bullet"/>
      <w:lvlText w:val=""/>
      <w:lvlJc w:val="left"/>
      <w:pPr>
        <w:ind w:left="720" w:hanging="360"/>
      </w:pPr>
      <w:rPr>
        <w:rFonts w:ascii="Symbol" w:hAnsi="Symbol" w:hint="default"/>
      </w:rPr>
    </w:lvl>
  </w:abstractNum>
  <w:abstractNum w:abstractNumId="15" w15:restartNumberingAfterBreak="0">
    <w:nsid w:val="639511E1"/>
    <w:multiLevelType w:val="multilevel"/>
    <w:tmpl w:val="2FCE3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AF6AA3"/>
    <w:multiLevelType w:val="hybridMultilevel"/>
    <w:tmpl w:val="859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5"/>
  </w:num>
  <w:num w:numId="4">
    <w:abstractNumId w:val="1"/>
  </w:num>
  <w:num w:numId="5">
    <w:abstractNumId w:val="1"/>
  </w:num>
  <w:num w:numId="6">
    <w:abstractNumId w:val="11"/>
  </w:num>
  <w:num w:numId="7">
    <w:abstractNumId w:val="11"/>
  </w:num>
  <w:num w:numId="8">
    <w:abstractNumId w:val="0"/>
  </w:num>
  <w:num w:numId="9">
    <w:abstractNumId w:val="0"/>
  </w:num>
  <w:num w:numId="10">
    <w:abstractNumId w:val="7"/>
  </w:num>
  <w:num w:numId="11">
    <w:abstractNumId w:val="4"/>
  </w:num>
  <w:num w:numId="12">
    <w:abstractNumId w:val="5"/>
  </w:num>
  <w:num w:numId="13">
    <w:abstractNumId w:val="16"/>
  </w:num>
  <w:num w:numId="14">
    <w:abstractNumId w:val="12"/>
  </w:num>
  <w:num w:numId="15">
    <w:abstractNumId w:val="13"/>
  </w:num>
  <w:num w:numId="16">
    <w:abstractNumId w:val="2"/>
  </w:num>
  <w:num w:numId="17">
    <w:abstractNumId w:val="9"/>
  </w:num>
  <w:num w:numId="18">
    <w:abstractNumId w:val="8"/>
  </w:num>
  <w:num w:numId="19">
    <w:abstractNumId w:val="3"/>
  </w:num>
  <w:num w:numId="20">
    <w:abstractNumId w:val="6"/>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CC"/>
    <w:rsid w:val="0001757D"/>
    <w:rsid w:val="000228BD"/>
    <w:rsid w:val="000239D0"/>
    <w:rsid w:val="000552E0"/>
    <w:rsid w:val="00055E0D"/>
    <w:rsid w:val="0006162D"/>
    <w:rsid w:val="000711A1"/>
    <w:rsid w:val="000812C0"/>
    <w:rsid w:val="00094C5B"/>
    <w:rsid w:val="00095926"/>
    <w:rsid w:val="000961FE"/>
    <w:rsid w:val="000A0040"/>
    <w:rsid w:val="000A020D"/>
    <w:rsid w:val="000D47D0"/>
    <w:rsid w:val="000E6557"/>
    <w:rsid w:val="000F4B12"/>
    <w:rsid w:val="000F6038"/>
    <w:rsid w:val="001202D8"/>
    <w:rsid w:val="00141D12"/>
    <w:rsid w:val="001527F2"/>
    <w:rsid w:val="00154167"/>
    <w:rsid w:val="00161D16"/>
    <w:rsid w:val="001643E9"/>
    <w:rsid w:val="00164715"/>
    <w:rsid w:val="001668DF"/>
    <w:rsid w:val="0017641A"/>
    <w:rsid w:val="001A302E"/>
    <w:rsid w:val="001A4D21"/>
    <w:rsid w:val="001A75BE"/>
    <w:rsid w:val="001B38D6"/>
    <w:rsid w:val="001C5F84"/>
    <w:rsid w:val="001D6063"/>
    <w:rsid w:val="00213F78"/>
    <w:rsid w:val="002232FC"/>
    <w:rsid w:val="00224471"/>
    <w:rsid w:val="00226976"/>
    <w:rsid w:val="00237EBC"/>
    <w:rsid w:val="00243017"/>
    <w:rsid w:val="00250940"/>
    <w:rsid w:val="00270EFB"/>
    <w:rsid w:val="002768B8"/>
    <w:rsid w:val="0028795B"/>
    <w:rsid w:val="0029649E"/>
    <w:rsid w:val="002A6FAB"/>
    <w:rsid w:val="002B0EF4"/>
    <w:rsid w:val="002B170F"/>
    <w:rsid w:val="002C2748"/>
    <w:rsid w:val="002C5AA6"/>
    <w:rsid w:val="002C68BC"/>
    <w:rsid w:val="002D765B"/>
    <w:rsid w:val="002F109F"/>
    <w:rsid w:val="002F39DE"/>
    <w:rsid w:val="00302041"/>
    <w:rsid w:val="00305A1A"/>
    <w:rsid w:val="00307CF6"/>
    <w:rsid w:val="003133A1"/>
    <w:rsid w:val="00324D21"/>
    <w:rsid w:val="00327759"/>
    <w:rsid w:val="003314B5"/>
    <w:rsid w:val="00351C75"/>
    <w:rsid w:val="00351CA4"/>
    <w:rsid w:val="00362318"/>
    <w:rsid w:val="00363437"/>
    <w:rsid w:val="00372FBC"/>
    <w:rsid w:val="00375701"/>
    <w:rsid w:val="003817A2"/>
    <w:rsid w:val="003912CC"/>
    <w:rsid w:val="00391469"/>
    <w:rsid w:val="0039562C"/>
    <w:rsid w:val="003A6221"/>
    <w:rsid w:val="003B667C"/>
    <w:rsid w:val="003B772E"/>
    <w:rsid w:val="003C07A8"/>
    <w:rsid w:val="003C382B"/>
    <w:rsid w:val="003C612E"/>
    <w:rsid w:val="003E6ECB"/>
    <w:rsid w:val="00400176"/>
    <w:rsid w:val="00402FAB"/>
    <w:rsid w:val="00416B86"/>
    <w:rsid w:val="00417826"/>
    <w:rsid w:val="00420161"/>
    <w:rsid w:val="00421BD8"/>
    <w:rsid w:val="00484658"/>
    <w:rsid w:val="004869E5"/>
    <w:rsid w:val="004872CE"/>
    <w:rsid w:val="00490540"/>
    <w:rsid w:val="0049343D"/>
    <w:rsid w:val="004B3577"/>
    <w:rsid w:val="004E5AFF"/>
    <w:rsid w:val="0051180F"/>
    <w:rsid w:val="00513459"/>
    <w:rsid w:val="00514BD9"/>
    <w:rsid w:val="0053621E"/>
    <w:rsid w:val="00536AEF"/>
    <w:rsid w:val="0055130A"/>
    <w:rsid w:val="0056477D"/>
    <w:rsid w:val="00575CD1"/>
    <w:rsid w:val="00595092"/>
    <w:rsid w:val="00595988"/>
    <w:rsid w:val="00597B81"/>
    <w:rsid w:val="005A374A"/>
    <w:rsid w:val="005A52DA"/>
    <w:rsid w:val="005B0D73"/>
    <w:rsid w:val="005B187B"/>
    <w:rsid w:val="005C0D23"/>
    <w:rsid w:val="005E4F45"/>
    <w:rsid w:val="006042CD"/>
    <w:rsid w:val="006048F2"/>
    <w:rsid w:val="00616682"/>
    <w:rsid w:val="00616A67"/>
    <w:rsid w:val="0065620E"/>
    <w:rsid w:val="006843EB"/>
    <w:rsid w:val="00684A72"/>
    <w:rsid w:val="00694FE9"/>
    <w:rsid w:val="006A70A1"/>
    <w:rsid w:val="006B020A"/>
    <w:rsid w:val="006B2E79"/>
    <w:rsid w:val="006C0684"/>
    <w:rsid w:val="006F27A5"/>
    <w:rsid w:val="007036CB"/>
    <w:rsid w:val="00720E16"/>
    <w:rsid w:val="007241EF"/>
    <w:rsid w:val="007244AC"/>
    <w:rsid w:val="00725281"/>
    <w:rsid w:val="00725DA9"/>
    <w:rsid w:val="00726F33"/>
    <w:rsid w:val="00751953"/>
    <w:rsid w:val="00765819"/>
    <w:rsid w:val="00774FD7"/>
    <w:rsid w:val="00775344"/>
    <w:rsid w:val="00776EBF"/>
    <w:rsid w:val="00784DC4"/>
    <w:rsid w:val="007A41E6"/>
    <w:rsid w:val="007A53A5"/>
    <w:rsid w:val="007B2D0F"/>
    <w:rsid w:val="007B66A6"/>
    <w:rsid w:val="007E42D1"/>
    <w:rsid w:val="007F611F"/>
    <w:rsid w:val="0080021C"/>
    <w:rsid w:val="008046F9"/>
    <w:rsid w:val="008245EE"/>
    <w:rsid w:val="00847176"/>
    <w:rsid w:val="008544CA"/>
    <w:rsid w:val="00854E8A"/>
    <w:rsid w:val="00860708"/>
    <w:rsid w:val="008666AD"/>
    <w:rsid w:val="008666D8"/>
    <w:rsid w:val="00871387"/>
    <w:rsid w:val="00877F63"/>
    <w:rsid w:val="008913A3"/>
    <w:rsid w:val="008A1075"/>
    <w:rsid w:val="008A44E3"/>
    <w:rsid w:val="008B77A5"/>
    <w:rsid w:val="008C7905"/>
    <w:rsid w:val="008D006A"/>
    <w:rsid w:val="0090338F"/>
    <w:rsid w:val="00907467"/>
    <w:rsid w:val="00914C75"/>
    <w:rsid w:val="00917242"/>
    <w:rsid w:val="00922A26"/>
    <w:rsid w:val="009305BA"/>
    <w:rsid w:val="00957548"/>
    <w:rsid w:val="00975846"/>
    <w:rsid w:val="00992356"/>
    <w:rsid w:val="00997298"/>
    <w:rsid w:val="009A7E05"/>
    <w:rsid w:val="009B0922"/>
    <w:rsid w:val="009D0E57"/>
    <w:rsid w:val="009D6479"/>
    <w:rsid w:val="009E4DC5"/>
    <w:rsid w:val="009E510E"/>
    <w:rsid w:val="009F2DDB"/>
    <w:rsid w:val="009F6FB2"/>
    <w:rsid w:val="00A00C11"/>
    <w:rsid w:val="00A076AC"/>
    <w:rsid w:val="00A1575F"/>
    <w:rsid w:val="00A200BB"/>
    <w:rsid w:val="00A22650"/>
    <w:rsid w:val="00A235A2"/>
    <w:rsid w:val="00A23934"/>
    <w:rsid w:val="00A37A2C"/>
    <w:rsid w:val="00A44C19"/>
    <w:rsid w:val="00A56A2C"/>
    <w:rsid w:val="00AB3CB4"/>
    <w:rsid w:val="00AC55EF"/>
    <w:rsid w:val="00AD153F"/>
    <w:rsid w:val="00AD7BEA"/>
    <w:rsid w:val="00AF7297"/>
    <w:rsid w:val="00B328AB"/>
    <w:rsid w:val="00B72637"/>
    <w:rsid w:val="00B74AB2"/>
    <w:rsid w:val="00B80514"/>
    <w:rsid w:val="00B80DFC"/>
    <w:rsid w:val="00B93567"/>
    <w:rsid w:val="00BB1B65"/>
    <w:rsid w:val="00BB72D4"/>
    <w:rsid w:val="00BF42E2"/>
    <w:rsid w:val="00C002EF"/>
    <w:rsid w:val="00C12DF3"/>
    <w:rsid w:val="00C12E32"/>
    <w:rsid w:val="00C16E9F"/>
    <w:rsid w:val="00C17780"/>
    <w:rsid w:val="00C35732"/>
    <w:rsid w:val="00C5043F"/>
    <w:rsid w:val="00C52961"/>
    <w:rsid w:val="00C60F89"/>
    <w:rsid w:val="00C72F20"/>
    <w:rsid w:val="00C80BEE"/>
    <w:rsid w:val="00C830A8"/>
    <w:rsid w:val="00C938E2"/>
    <w:rsid w:val="00C96A89"/>
    <w:rsid w:val="00CA05CA"/>
    <w:rsid w:val="00CA7001"/>
    <w:rsid w:val="00CB26AE"/>
    <w:rsid w:val="00CC618A"/>
    <w:rsid w:val="00CD1EAA"/>
    <w:rsid w:val="00CE3B84"/>
    <w:rsid w:val="00CF48CF"/>
    <w:rsid w:val="00D03807"/>
    <w:rsid w:val="00D110B4"/>
    <w:rsid w:val="00D32526"/>
    <w:rsid w:val="00D37DE9"/>
    <w:rsid w:val="00D74B25"/>
    <w:rsid w:val="00D8763B"/>
    <w:rsid w:val="00DA0228"/>
    <w:rsid w:val="00DA3FDC"/>
    <w:rsid w:val="00DB02B1"/>
    <w:rsid w:val="00DB2D7B"/>
    <w:rsid w:val="00DC1D20"/>
    <w:rsid w:val="00DC439C"/>
    <w:rsid w:val="00DE054B"/>
    <w:rsid w:val="00DE351C"/>
    <w:rsid w:val="00DE6B65"/>
    <w:rsid w:val="00E272A1"/>
    <w:rsid w:val="00E34AA2"/>
    <w:rsid w:val="00E434DE"/>
    <w:rsid w:val="00E50C24"/>
    <w:rsid w:val="00E51D94"/>
    <w:rsid w:val="00E60F5F"/>
    <w:rsid w:val="00E64B33"/>
    <w:rsid w:val="00E85422"/>
    <w:rsid w:val="00E906F3"/>
    <w:rsid w:val="00EC05EC"/>
    <w:rsid w:val="00EC1EED"/>
    <w:rsid w:val="00EE6216"/>
    <w:rsid w:val="00F001BB"/>
    <w:rsid w:val="00F1266B"/>
    <w:rsid w:val="00F217DE"/>
    <w:rsid w:val="00F30D3F"/>
    <w:rsid w:val="00F314E5"/>
    <w:rsid w:val="00F46D38"/>
    <w:rsid w:val="00F47FF7"/>
    <w:rsid w:val="00F5471C"/>
    <w:rsid w:val="00F55FA2"/>
    <w:rsid w:val="00F625DF"/>
    <w:rsid w:val="00F746E9"/>
    <w:rsid w:val="00F83AC9"/>
    <w:rsid w:val="00F91D31"/>
    <w:rsid w:val="00F94B29"/>
    <w:rsid w:val="00F94B8A"/>
    <w:rsid w:val="00FA56C2"/>
    <w:rsid w:val="00FB445F"/>
    <w:rsid w:val="00FC128E"/>
    <w:rsid w:val="00FF3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69348F70"/>
  <w15:chartTrackingRefBased/>
  <w15:docId w15:val="{C576CE0D-EC61-47CF-931A-33DC694F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12C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912CC"/>
    <w:pPr>
      <w:keepNext/>
      <w:tabs>
        <w:tab w:val="left" w:pos="480"/>
        <w:tab w:val="left" w:pos="960"/>
        <w:tab w:val="left" w:pos="6840"/>
      </w:tabs>
      <w:jc w:val="both"/>
      <w:outlineLvl w:val="0"/>
    </w:pPr>
    <w:rPr>
      <w:rFonts w:ascii="Arial" w:hAnsi="Arial"/>
      <w:b/>
      <w:bCs/>
      <w:spacing w:val="-3"/>
      <w:sz w:val="20"/>
      <w:szCs w:val="20"/>
      <w:u w:val="single"/>
    </w:rPr>
  </w:style>
  <w:style w:type="paragraph" w:styleId="Heading2">
    <w:name w:val="heading 2"/>
    <w:basedOn w:val="Normal"/>
    <w:next w:val="Normal"/>
    <w:link w:val="Heading2Char"/>
    <w:uiPriority w:val="99"/>
    <w:semiHidden/>
    <w:unhideWhenUsed/>
    <w:qFormat/>
    <w:rsid w:val="003912CC"/>
    <w:pPr>
      <w:keepNext/>
      <w:tabs>
        <w:tab w:val="left" w:pos="-1440"/>
        <w:tab w:val="left" w:leader="do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1"/>
    </w:pPr>
    <w:rPr>
      <w:rFonts w:ascii="Arial" w:hAnsi="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912CC"/>
    <w:rPr>
      <w:rFonts w:ascii="Arial" w:eastAsia="Times New Roman" w:hAnsi="Arial" w:cs="Times New Roman"/>
      <w:b/>
      <w:bCs/>
      <w:spacing w:val="-3"/>
      <w:sz w:val="20"/>
      <w:szCs w:val="20"/>
      <w:u w:val="single"/>
    </w:rPr>
  </w:style>
  <w:style w:type="character" w:customStyle="1" w:styleId="Heading2Char">
    <w:name w:val="Heading 2 Char"/>
    <w:basedOn w:val="DefaultParagraphFont"/>
    <w:link w:val="Heading2"/>
    <w:uiPriority w:val="99"/>
    <w:semiHidden/>
    <w:rsid w:val="003912CC"/>
    <w:rPr>
      <w:rFonts w:ascii="Arial" w:eastAsia="Times New Roman" w:hAnsi="Arial" w:cs="Times New Roman"/>
      <w:b/>
      <w:bCs/>
      <w:sz w:val="20"/>
      <w:szCs w:val="20"/>
      <w:u w:val="single"/>
    </w:rPr>
  </w:style>
  <w:style w:type="paragraph" w:styleId="HTMLPreformatted">
    <w:name w:val="HTML Preformatted"/>
    <w:basedOn w:val="Normal"/>
    <w:link w:val="HTMLPreformattedChar"/>
    <w:uiPriority w:val="99"/>
    <w:semiHidden/>
    <w:unhideWhenUsed/>
    <w:rsid w:val="00391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semiHidden/>
    <w:rsid w:val="003912CC"/>
    <w:rPr>
      <w:rFonts w:ascii="Courier New" w:eastAsia="Times New Roman" w:hAnsi="Courier New" w:cs="Times New Roman"/>
      <w:sz w:val="20"/>
      <w:szCs w:val="20"/>
    </w:rPr>
  </w:style>
  <w:style w:type="character" w:customStyle="1" w:styleId="FootnoteTextChar">
    <w:name w:val="Footnote Text Char"/>
    <w:basedOn w:val="DefaultParagraphFont"/>
    <w:link w:val="FootnoteText"/>
    <w:uiPriority w:val="99"/>
    <w:semiHidden/>
    <w:rsid w:val="003912CC"/>
    <w:rPr>
      <w:rFonts w:ascii="Univers Condensed" w:eastAsia="Times New Roman" w:hAnsi="Univers Condensed" w:cs="Times New Roman"/>
      <w:sz w:val="20"/>
      <w:szCs w:val="20"/>
    </w:rPr>
  </w:style>
  <w:style w:type="paragraph" w:styleId="FootnoteText">
    <w:name w:val="footnote text"/>
    <w:basedOn w:val="Normal"/>
    <w:link w:val="FootnoteTextChar"/>
    <w:uiPriority w:val="99"/>
    <w:semiHidden/>
    <w:unhideWhenUsed/>
    <w:rsid w:val="003912CC"/>
    <w:rPr>
      <w:rFonts w:ascii="Univers Condensed" w:hAnsi="Univers Condensed"/>
      <w:sz w:val="20"/>
      <w:szCs w:val="20"/>
    </w:rPr>
  </w:style>
  <w:style w:type="character" w:customStyle="1" w:styleId="CommentTextChar">
    <w:name w:val="Comment Text Char"/>
    <w:basedOn w:val="DefaultParagraphFont"/>
    <w:link w:val="CommentText"/>
    <w:uiPriority w:val="99"/>
    <w:semiHidden/>
    <w:rsid w:val="003912CC"/>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3912CC"/>
    <w:rPr>
      <w:sz w:val="20"/>
      <w:szCs w:val="20"/>
    </w:rPr>
  </w:style>
  <w:style w:type="character" w:customStyle="1" w:styleId="HeaderChar">
    <w:name w:val="Header Char"/>
    <w:basedOn w:val="DefaultParagraphFont"/>
    <w:link w:val="Header"/>
    <w:uiPriority w:val="99"/>
    <w:rsid w:val="003912CC"/>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912CC"/>
    <w:pPr>
      <w:tabs>
        <w:tab w:val="center" w:pos="4680"/>
        <w:tab w:val="right" w:pos="9360"/>
      </w:tabs>
    </w:pPr>
    <w:rPr>
      <w:sz w:val="20"/>
      <w:szCs w:val="20"/>
    </w:rPr>
  </w:style>
  <w:style w:type="character" w:customStyle="1" w:styleId="FooterChar">
    <w:name w:val="Footer Char"/>
    <w:basedOn w:val="DefaultParagraphFont"/>
    <w:link w:val="Footer"/>
    <w:uiPriority w:val="99"/>
    <w:rsid w:val="003912C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912CC"/>
    <w:pPr>
      <w:tabs>
        <w:tab w:val="center" w:pos="4680"/>
        <w:tab w:val="right" w:pos="9360"/>
      </w:tabs>
    </w:pPr>
    <w:rPr>
      <w:sz w:val="20"/>
      <w:szCs w:val="20"/>
    </w:rPr>
  </w:style>
  <w:style w:type="paragraph" w:styleId="BodyText">
    <w:name w:val="Body Text"/>
    <w:basedOn w:val="Normal"/>
    <w:link w:val="BodyTextChar"/>
    <w:uiPriority w:val="99"/>
    <w:semiHidden/>
    <w:unhideWhenUsed/>
    <w:rsid w:val="003912CC"/>
    <w:pPr>
      <w:widowControl w:val="0"/>
      <w:spacing w:after="120"/>
    </w:pPr>
    <w:rPr>
      <w:rFonts w:ascii="Courier" w:hAnsi="Courier"/>
      <w:sz w:val="20"/>
      <w:szCs w:val="20"/>
    </w:rPr>
  </w:style>
  <w:style w:type="character" w:customStyle="1" w:styleId="BodyTextChar">
    <w:name w:val="Body Text Char"/>
    <w:basedOn w:val="DefaultParagraphFont"/>
    <w:link w:val="BodyText"/>
    <w:uiPriority w:val="99"/>
    <w:semiHidden/>
    <w:rsid w:val="003912CC"/>
    <w:rPr>
      <w:rFonts w:ascii="Courier" w:eastAsia="Times New Roman" w:hAnsi="Courier" w:cs="Times New Roman"/>
      <w:sz w:val="20"/>
      <w:szCs w:val="20"/>
    </w:rPr>
  </w:style>
  <w:style w:type="character" w:customStyle="1" w:styleId="PlainTextChar">
    <w:name w:val="Plain Text Char"/>
    <w:basedOn w:val="DefaultParagraphFont"/>
    <w:link w:val="PlainText"/>
    <w:uiPriority w:val="99"/>
    <w:semiHidden/>
    <w:rsid w:val="003912CC"/>
    <w:rPr>
      <w:rFonts w:ascii="Courier New" w:eastAsia="Times New Roman" w:hAnsi="Courier New" w:cs="Times New Roman"/>
      <w:sz w:val="20"/>
      <w:szCs w:val="20"/>
    </w:rPr>
  </w:style>
  <w:style w:type="paragraph" w:styleId="PlainText">
    <w:name w:val="Plain Text"/>
    <w:basedOn w:val="Normal"/>
    <w:link w:val="PlainTextChar"/>
    <w:uiPriority w:val="99"/>
    <w:semiHidden/>
    <w:unhideWhenUsed/>
    <w:rsid w:val="003912CC"/>
    <w:rPr>
      <w:rFonts w:ascii="Courier New" w:hAnsi="Courier New"/>
      <w:sz w:val="20"/>
      <w:szCs w:val="20"/>
    </w:rPr>
  </w:style>
  <w:style w:type="character" w:customStyle="1" w:styleId="CommentSubjectChar">
    <w:name w:val="Comment Subject Char"/>
    <w:basedOn w:val="CommentTextChar"/>
    <w:link w:val="CommentSubject"/>
    <w:uiPriority w:val="99"/>
    <w:semiHidden/>
    <w:rsid w:val="003912CC"/>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3912CC"/>
    <w:rPr>
      <w:b/>
      <w:bCs/>
    </w:rPr>
  </w:style>
  <w:style w:type="character" w:customStyle="1" w:styleId="BalloonTextChar">
    <w:name w:val="Balloon Text Char"/>
    <w:basedOn w:val="DefaultParagraphFont"/>
    <w:link w:val="BalloonText"/>
    <w:uiPriority w:val="99"/>
    <w:semiHidden/>
    <w:rsid w:val="003912CC"/>
    <w:rPr>
      <w:rFonts w:ascii="Tahoma" w:eastAsia="Times New Roman" w:hAnsi="Tahoma" w:cs="Times New Roman"/>
      <w:sz w:val="16"/>
      <w:szCs w:val="16"/>
    </w:rPr>
  </w:style>
  <w:style w:type="paragraph" w:styleId="BalloonText">
    <w:name w:val="Balloon Text"/>
    <w:basedOn w:val="Normal"/>
    <w:link w:val="BalloonTextChar"/>
    <w:uiPriority w:val="99"/>
    <w:semiHidden/>
    <w:unhideWhenUsed/>
    <w:rsid w:val="003912CC"/>
    <w:rPr>
      <w:rFonts w:ascii="Tahoma" w:hAnsi="Tahoma"/>
      <w:sz w:val="16"/>
      <w:szCs w:val="16"/>
    </w:rPr>
  </w:style>
  <w:style w:type="paragraph" w:styleId="ListParagraph">
    <w:name w:val="List Paragraph"/>
    <w:basedOn w:val="Normal"/>
    <w:uiPriority w:val="99"/>
    <w:qFormat/>
    <w:rsid w:val="003912CC"/>
    <w:pPr>
      <w:widowControl w:val="0"/>
      <w:ind w:left="720"/>
    </w:pPr>
    <w:rPr>
      <w:rFonts w:ascii="Courier" w:hAnsi="Courier" w:cs="Courier"/>
    </w:rPr>
  </w:style>
  <w:style w:type="character" w:customStyle="1" w:styleId="QuickFormat1Char">
    <w:name w:val="QuickFormat1 Char"/>
    <w:link w:val="QuickFormat1"/>
    <w:uiPriority w:val="99"/>
    <w:semiHidden/>
    <w:locked/>
    <w:rsid w:val="003912CC"/>
    <w:rPr>
      <w:rFonts w:ascii="Times New Roman" w:hAnsi="Times New Roman" w:cs="Times New Roman"/>
      <w:b/>
      <w:color w:val="000000"/>
      <w:lang w:val="x-none" w:eastAsia="x-none"/>
    </w:rPr>
  </w:style>
  <w:style w:type="paragraph" w:customStyle="1" w:styleId="QuickFormat1">
    <w:name w:val="QuickFormat1"/>
    <w:basedOn w:val="Normal"/>
    <w:link w:val="QuickFormat1Char"/>
    <w:uiPriority w:val="99"/>
    <w:semiHidden/>
    <w:rsid w:val="003912CC"/>
    <w:pPr>
      <w:widowControl w:val="0"/>
      <w:snapToGrid w:val="0"/>
      <w:jc w:val="center"/>
    </w:pPr>
    <w:rPr>
      <w:rFonts w:eastAsiaTheme="minorHAnsi"/>
      <w:b/>
      <w:color w:val="000000"/>
      <w:sz w:val="22"/>
      <w:szCs w:val="22"/>
      <w:lang w:val="x-none" w:eastAsia="x-none"/>
    </w:rPr>
  </w:style>
  <w:style w:type="paragraph" w:customStyle="1" w:styleId="Default">
    <w:name w:val="Default"/>
    <w:uiPriority w:val="99"/>
    <w:semiHidden/>
    <w:rsid w:val="003912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EmptyCellLayoutStyle">
    <w:name w:val="EmptyCellLayoutStyle"/>
    <w:uiPriority w:val="99"/>
    <w:semiHidden/>
    <w:rsid w:val="003912CC"/>
    <w:pPr>
      <w:spacing w:line="256" w:lineRule="auto"/>
    </w:pPr>
    <w:rPr>
      <w:rFonts w:ascii="Times New Roman" w:eastAsia="Times New Roman" w:hAnsi="Times New Roman" w:cs="Times New Roman"/>
      <w:sz w:val="2"/>
      <w:szCs w:val="20"/>
    </w:rPr>
  </w:style>
  <w:style w:type="table" w:customStyle="1" w:styleId="TableGrid4">
    <w:name w:val="Table Grid4"/>
    <w:basedOn w:val="TableNormal"/>
    <w:next w:val="TableGrid"/>
    <w:rsid w:val="00A44C19"/>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99"/>
    <w:rsid w:val="00A44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4FE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7532">
      <w:bodyDiv w:val="1"/>
      <w:marLeft w:val="0"/>
      <w:marRight w:val="0"/>
      <w:marTop w:val="0"/>
      <w:marBottom w:val="0"/>
      <w:divBdr>
        <w:top w:val="none" w:sz="0" w:space="0" w:color="auto"/>
        <w:left w:val="none" w:sz="0" w:space="0" w:color="auto"/>
        <w:bottom w:val="none" w:sz="0" w:space="0" w:color="auto"/>
        <w:right w:val="none" w:sz="0" w:space="0" w:color="auto"/>
      </w:divBdr>
    </w:div>
    <w:div w:id="280646489">
      <w:bodyDiv w:val="1"/>
      <w:marLeft w:val="0"/>
      <w:marRight w:val="0"/>
      <w:marTop w:val="0"/>
      <w:marBottom w:val="0"/>
      <w:divBdr>
        <w:top w:val="none" w:sz="0" w:space="0" w:color="auto"/>
        <w:left w:val="none" w:sz="0" w:space="0" w:color="auto"/>
        <w:bottom w:val="none" w:sz="0" w:space="0" w:color="auto"/>
        <w:right w:val="none" w:sz="0" w:space="0" w:color="auto"/>
      </w:divBdr>
    </w:div>
    <w:div w:id="900561812">
      <w:bodyDiv w:val="1"/>
      <w:marLeft w:val="0"/>
      <w:marRight w:val="0"/>
      <w:marTop w:val="0"/>
      <w:marBottom w:val="0"/>
      <w:divBdr>
        <w:top w:val="none" w:sz="0" w:space="0" w:color="auto"/>
        <w:left w:val="none" w:sz="0" w:space="0" w:color="auto"/>
        <w:bottom w:val="none" w:sz="0" w:space="0" w:color="auto"/>
        <w:right w:val="none" w:sz="0" w:space="0" w:color="auto"/>
      </w:divBdr>
    </w:div>
    <w:div w:id="958490514">
      <w:bodyDiv w:val="1"/>
      <w:marLeft w:val="0"/>
      <w:marRight w:val="0"/>
      <w:marTop w:val="0"/>
      <w:marBottom w:val="0"/>
      <w:divBdr>
        <w:top w:val="none" w:sz="0" w:space="0" w:color="auto"/>
        <w:left w:val="none" w:sz="0" w:space="0" w:color="auto"/>
        <w:bottom w:val="none" w:sz="0" w:space="0" w:color="auto"/>
        <w:right w:val="none" w:sz="0" w:space="0" w:color="auto"/>
      </w:divBdr>
    </w:div>
    <w:div w:id="1015612236">
      <w:bodyDiv w:val="1"/>
      <w:marLeft w:val="0"/>
      <w:marRight w:val="0"/>
      <w:marTop w:val="0"/>
      <w:marBottom w:val="0"/>
      <w:divBdr>
        <w:top w:val="none" w:sz="0" w:space="0" w:color="auto"/>
        <w:left w:val="none" w:sz="0" w:space="0" w:color="auto"/>
        <w:bottom w:val="none" w:sz="0" w:space="0" w:color="auto"/>
        <w:right w:val="none" w:sz="0" w:space="0" w:color="auto"/>
      </w:divBdr>
    </w:div>
    <w:div w:id="1109084588">
      <w:bodyDiv w:val="1"/>
      <w:marLeft w:val="0"/>
      <w:marRight w:val="0"/>
      <w:marTop w:val="0"/>
      <w:marBottom w:val="0"/>
      <w:divBdr>
        <w:top w:val="none" w:sz="0" w:space="0" w:color="auto"/>
        <w:left w:val="none" w:sz="0" w:space="0" w:color="auto"/>
        <w:bottom w:val="none" w:sz="0" w:space="0" w:color="auto"/>
        <w:right w:val="none" w:sz="0" w:space="0" w:color="auto"/>
      </w:divBdr>
    </w:div>
    <w:div w:id="1137379162">
      <w:bodyDiv w:val="1"/>
      <w:marLeft w:val="0"/>
      <w:marRight w:val="0"/>
      <w:marTop w:val="0"/>
      <w:marBottom w:val="0"/>
      <w:divBdr>
        <w:top w:val="none" w:sz="0" w:space="0" w:color="auto"/>
        <w:left w:val="none" w:sz="0" w:space="0" w:color="auto"/>
        <w:bottom w:val="none" w:sz="0" w:space="0" w:color="auto"/>
        <w:right w:val="none" w:sz="0" w:space="0" w:color="auto"/>
      </w:divBdr>
    </w:div>
    <w:div w:id="1190028737">
      <w:bodyDiv w:val="1"/>
      <w:marLeft w:val="0"/>
      <w:marRight w:val="0"/>
      <w:marTop w:val="0"/>
      <w:marBottom w:val="0"/>
      <w:divBdr>
        <w:top w:val="none" w:sz="0" w:space="0" w:color="auto"/>
        <w:left w:val="none" w:sz="0" w:space="0" w:color="auto"/>
        <w:bottom w:val="none" w:sz="0" w:space="0" w:color="auto"/>
        <w:right w:val="none" w:sz="0" w:space="0" w:color="auto"/>
      </w:divBdr>
    </w:div>
    <w:div w:id="1191333003">
      <w:bodyDiv w:val="1"/>
      <w:marLeft w:val="0"/>
      <w:marRight w:val="0"/>
      <w:marTop w:val="0"/>
      <w:marBottom w:val="0"/>
      <w:divBdr>
        <w:top w:val="none" w:sz="0" w:space="0" w:color="auto"/>
        <w:left w:val="none" w:sz="0" w:space="0" w:color="auto"/>
        <w:bottom w:val="none" w:sz="0" w:space="0" w:color="auto"/>
        <w:right w:val="none" w:sz="0" w:space="0" w:color="auto"/>
      </w:divBdr>
    </w:div>
    <w:div w:id="1238975655">
      <w:bodyDiv w:val="1"/>
      <w:marLeft w:val="0"/>
      <w:marRight w:val="0"/>
      <w:marTop w:val="0"/>
      <w:marBottom w:val="0"/>
      <w:divBdr>
        <w:top w:val="none" w:sz="0" w:space="0" w:color="auto"/>
        <w:left w:val="none" w:sz="0" w:space="0" w:color="auto"/>
        <w:bottom w:val="none" w:sz="0" w:space="0" w:color="auto"/>
        <w:right w:val="none" w:sz="0" w:space="0" w:color="auto"/>
      </w:divBdr>
    </w:div>
    <w:div w:id="1279684466">
      <w:bodyDiv w:val="1"/>
      <w:marLeft w:val="0"/>
      <w:marRight w:val="0"/>
      <w:marTop w:val="0"/>
      <w:marBottom w:val="0"/>
      <w:divBdr>
        <w:top w:val="none" w:sz="0" w:space="0" w:color="auto"/>
        <w:left w:val="none" w:sz="0" w:space="0" w:color="auto"/>
        <w:bottom w:val="none" w:sz="0" w:space="0" w:color="auto"/>
        <w:right w:val="none" w:sz="0" w:space="0" w:color="auto"/>
      </w:divBdr>
    </w:div>
    <w:div w:id="1428770420">
      <w:bodyDiv w:val="1"/>
      <w:marLeft w:val="0"/>
      <w:marRight w:val="0"/>
      <w:marTop w:val="0"/>
      <w:marBottom w:val="0"/>
      <w:divBdr>
        <w:top w:val="none" w:sz="0" w:space="0" w:color="auto"/>
        <w:left w:val="none" w:sz="0" w:space="0" w:color="auto"/>
        <w:bottom w:val="none" w:sz="0" w:space="0" w:color="auto"/>
        <w:right w:val="none" w:sz="0" w:space="0" w:color="auto"/>
      </w:divBdr>
    </w:div>
    <w:div w:id="1481730183">
      <w:bodyDiv w:val="1"/>
      <w:marLeft w:val="0"/>
      <w:marRight w:val="0"/>
      <w:marTop w:val="0"/>
      <w:marBottom w:val="0"/>
      <w:divBdr>
        <w:top w:val="none" w:sz="0" w:space="0" w:color="auto"/>
        <w:left w:val="none" w:sz="0" w:space="0" w:color="auto"/>
        <w:bottom w:val="none" w:sz="0" w:space="0" w:color="auto"/>
        <w:right w:val="none" w:sz="0" w:space="0" w:color="auto"/>
      </w:divBdr>
    </w:div>
    <w:div w:id="1699352134">
      <w:bodyDiv w:val="1"/>
      <w:marLeft w:val="0"/>
      <w:marRight w:val="0"/>
      <w:marTop w:val="0"/>
      <w:marBottom w:val="0"/>
      <w:divBdr>
        <w:top w:val="none" w:sz="0" w:space="0" w:color="auto"/>
        <w:left w:val="none" w:sz="0" w:space="0" w:color="auto"/>
        <w:bottom w:val="none" w:sz="0" w:space="0" w:color="auto"/>
        <w:right w:val="none" w:sz="0" w:space="0" w:color="auto"/>
      </w:divBdr>
    </w:div>
    <w:div w:id="1847285521">
      <w:bodyDiv w:val="1"/>
      <w:marLeft w:val="0"/>
      <w:marRight w:val="0"/>
      <w:marTop w:val="0"/>
      <w:marBottom w:val="0"/>
      <w:divBdr>
        <w:top w:val="none" w:sz="0" w:space="0" w:color="auto"/>
        <w:left w:val="none" w:sz="0" w:space="0" w:color="auto"/>
        <w:bottom w:val="none" w:sz="0" w:space="0" w:color="auto"/>
        <w:right w:val="none" w:sz="0" w:space="0" w:color="auto"/>
      </w:divBdr>
    </w:div>
    <w:div w:id="196680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92D4B-7ECA-47B2-B17E-0B053EC6D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8735</Words>
  <Characters>49792</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Richard (DOB)</dc:creator>
  <cp:keywords/>
  <dc:description/>
  <cp:lastModifiedBy>Weydt, Irene (DOB)</cp:lastModifiedBy>
  <cp:revision>3</cp:revision>
  <cp:lastPrinted>2021-03-03T15:54:00Z</cp:lastPrinted>
  <dcterms:created xsi:type="dcterms:W3CDTF">2021-03-03T15:36:00Z</dcterms:created>
  <dcterms:modified xsi:type="dcterms:W3CDTF">2021-03-03T15:54:00Z</dcterms:modified>
</cp:coreProperties>
</file>