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4D910" w14:textId="77777777" w:rsidR="002C36EB" w:rsidRDefault="002C36EB" w:rsidP="00214E56">
      <w:pPr>
        <w:pStyle w:val="CM16"/>
        <w:keepNext/>
        <w:jc w:val="center"/>
        <w:rPr>
          <w:rFonts w:ascii="Arial" w:hAnsi="Arial" w:cs="Arial"/>
          <w:b/>
          <w:bCs/>
          <w:color w:val="000000"/>
          <w:sz w:val="56"/>
          <w:szCs w:val="56"/>
        </w:rPr>
      </w:pPr>
    </w:p>
    <w:p w14:paraId="2BBEC62D" w14:textId="269B8472" w:rsidR="00BA41E6" w:rsidRPr="00694DDE" w:rsidRDefault="00BA41E6" w:rsidP="00214E56">
      <w:pPr>
        <w:pStyle w:val="CM16"/>
        <w:keepNext/>
        <w:jc w:val="center"/>
        <w:rPr>
          <w:rFonts w:ascii="Arial" w:hAnsi="Arial" w:cs="Arial"/>
          <w:sz w:val="56"/>
          <w:szCs w:val="56"/>
        </w:rPr>
      </w:pPr>
      <w:r w:rsidRPr="00694DDE">
        <w:rPr>
          <w:rFonts w:ascii="Arial" w:hAnsi="Arial" w:cs="Arial"/>
          <w:b/>
          <w:bCs/>
          <w:color w:val="000000"/>
          <w:sz w:val="56"/>
          <w:szCs w:val="56"/>
        </w:rPr>
        <w:t>Letter Health Consultation</w:t>
      </w:r>
    </w:p>
    <w:p w14:paraId="362B3BE8" w14:textId="77777777" w:rsidR="00D035D3" w:rsidRDefault="00D035D3" w:rsidP="00D035D3">
      <w:pPr>
        <w:pStyle w:val="CM26"/>
        <w:keepNext/>
        <w:jc w:val="center"/>
        <w:rPr>
          <w:rFonts w:ascii="Arial" w:hAnsi="Arial" w:cs="Arial"/>
          <w:color w:val="000000"/>
        </w:rPr>
      </w:pPr>
    </w:p>
    <w:p w14:paraId="593BF91A" w14:textId="77777777" w:rsidR="008C7957" w:rsidRPr="00694DDE" w:rsidRDefault="008C7957" w:rsidP="00D035D3">
      <w:pPr>
        <w:pStyle w:val="CM26"/>
        <w:keepNext/>
        <w:jc w:val="center"/>
        <w:rPr>
          <w:rFonts w:ascii="Arial" w:hAnsi="Arial" w:cs="Arial"/>
          <w:color w:val="000000"/>
        </w:rPr>
      </w:pPr>
    </w:p>
    <w:p w14:paraId="28D7CFA6" w14:textId="77777777" w:rsidR="00214E56" w:rsidRDefault="00214E56" w:rsidP="00D035D3">
      <w:pPr>
        <w:pStyle w:val="CM26"/>
        <w:keepNext/>
        <w:jc w:val="center"/>
        <w:rPr>
          <w:rFonts w:ascii="Arial" w:hAnsi="Arial" w:cs="Arial"/>
          <w:color w:val="000000"/>
        </w:rPr>
      </w:pPr>
    </w:p>
    <w:p w14:paraId="64885A10" w14:textId="77777777" w:rsidR="00214E56" w:rsidRDefault="00214E56" w:rsidP="00D035D3">
      <w:pPr>
        <w:pStyle w:val="CM26"/>
        <w:keepNext/>
        <w:jc w:val="center"/>
        <w:rPr>
          <w:rFonts w:ascii="Arial" w:hAnsi="Arial" w:cs="Arial"/>
          <w:color w:val="000000"/>
        </w:rPr>
      </w:pPr>
    </w:p>
    <w:p w14:paraId="776FACF3" w14:textId="77777777" w:rsidR="00214E56" w:rsidRDefault="00214E56" w:rsidP="00D035D3">
      <w:pPr>
        <w:pStyle w:val="CM26"/>
        <w:keepNext/>
        <w:jc w:val="center"/>
        <w:rPr>
          <w:rFonts w:ascii="Arial" w:hAnsi="Arial" w:cs="Arial"/>
          <w:color w:val="000000"/>
        </w:rPr>
      </w:pPr>
    </w:p>
    <w:p w14:paraId="5F590457" w14:textId="77777777" w:rsidR="00214E56" w:rsidRDefault="00214E56" w:rsidP="00D035D3">
      <w:pPr>
        <w:pStyle w:val="CM26"/>
        <w:keepNext/>
        <w:jc w:val="center"/>
        <w:rPr>
          <w:rFonts w:ascii="Arial" w:hAnsi="Arial" w:cs="Arial"/>
          <w:color w:val="000000"/>
        </w:rPr>
      </w:pPr>
    </w:p>
    <w:p w14:paraId="50C57494" w14:textId="124AEC54" w:rsidR="00BA41E6" w:rsidRPr="00694DDE" w:rsidRDefault="00BA41E6" w:rsidP="00D035D3">
      <w:pPr>
        <w:pStyle w:val="CM26"/>
        <w:keepNext/>
        <w:jc w:val="center"/>
        <w:rPr>
          <w:rFonts w:ascii="Arial" w:hAnsi="Arial" w:cs="Arial"/>
          <w:color w:val="000000"/>
        </w:rPr>
      </w:pPr>
      <w:r w:rsidRPr="00694DDE">
        <w:rPr>
          <w:rFonts w:ascii="Arial" w:hAnsi="Arial" w:cs="Arial"/>
          <w:color w:val="000000"/>
        </w:rPr>
        <w:t>Fire at Clean Harbors Reclamation Facility</w:t>
      </w:r>
    </w:p>
    <w:p w14:paraId="42162F80" w14:textId="77777777" w:rsidR="00BA41E6" w:rsidRPr="00694DDE" w:rsidRDefault="00BA41E6" w:rsidP="00D035D3">
      <w:pPr>
        <w:pStyle w:val="CM27"/>
        <w:keepNext/>
        <w:jc w:val="center"/>
        <w:rPr>
          <w:rFonts w:ascii="Arial" w:hAnsi="Arial" w:cs="Arial"/>
          <w:color w:val="000000"/>
        </w:rPr>
      </w:pPr>
      <w:r w:rsidRPr="00694DDE">
        <w:rPr>
          <w:rFonts w:ascii="Arial" w:hAnsi="Arial" w:cs="Arial"/>
          <w:color w:val="000000"/>
        </w:rPr>
        <w:t xml:space="preserve">1 Hill Avenue, Braintree, Norfolk County, Massachusetts </w:t>
      </w:r>
    </w:p>
    <w:p w14:paraId="042711E1" w14:textId="77777777" w:rsidR="00D035D3" w:rsidRPr="00694DDE" w:rsidRDefault="00D035D3" w:rsidP="00BA41E6">
      <w:pPr>
        <w:pStyle w:val="CM17"/>
        <w:keepNext/>
        <w:spacing w:after="1836"/>
        <w:jc w:val="center"/>
        <w:rPr>
          <w:rFonts w:ascii="Arial" w:hAnsi="Arial" w:cs="Arial"/>
          <w:b/>
          <w:bCs/>
          <w:color w:val="000000"/>
        </w:rPr>
      </w:pPr>
    </w:p>
    <w:p w14:paraId="68292441" w14:textId="74E239BD" w:rsidR="00BA41E6" w:rsidRPr="00694DDE" w:rsidRDefault="7D98598D" w:rsidP="00BA41E6">
      <w:pPr>
        <w:pStyle w:val="CM17"/>
        <w:keepNext/>
        <w:spacing w:after="1836"/>
        <w:jc w:val="center"/>
        <w:rPr>
          <w:rFonts w:ascii="Arial" w:hAnsi="Arial" w:cs="Arial"/>
          <w:color w:val="000000"/>
        </w:rPr>
      </w:pPr>
      <w:r w:rsidRPr="23A4FC9A">
        <w:rPr>
          <w:rFonts w:ascii="Arial" w:hAnsi="Arial" w:cs="Arial"/>
          <w:b/>
          <w:bCs/>
          <w:color w:val="000000" w:themeColor="text1"/>
        </w:rPr>
        <w:t xml:space="preserve">Prepared by the Massachusetts Department of Public Health </w:t>
      </w:r>
    </w:p>
    <w:p w14:paraId="0D60BAE4" w14:textId="325B5C8A" w:rsidR="00BA41E6" w:rsidRPr="00694DDE" w:rsidRDefault="002C36EB" w:rsidP="00BA41E6">
      <w:pPr>
        <w:pStyle w:val="CM17"/>
        <w:keepNext/>
        <w:spacing w:after="2392"/>
        <w:jc w:val="center"/>
        <w:rPr>
          <w:rFonts w:ascii="Arial" w:hAnsi="Arial" w:cs="Arial"/>
          <w:color w:val="000000"/>
        </w:rPr>
      </w:pPr>
      <w:r>
        <w:rPr>
          <w:rFonts w:ascii="Arial" w:hAnsi="Arial" w:cs="Arial"/>
          <w:noProof/>
          <w:color w:val="000000" w:themeColor="text1"/>
        </w:rPr>
        <mc:AlternateContent>
          <mc:Choice Requires="wps">
            <w:drawing>
              <wp:anchor distT="0" distB="0" distL="114300" distR="114300" simplePos="0" relativeHeight="251658241" behindDoc="0" locked="0" layoutInCell="1" allowOverlap="1" wp14:anchorId="53B441C1" wp14:editId="5A855F78">
                <wp:simplePos x="0" y="0"/>
                <wp:positionH relativeFrom="column">
                  <wp:posOffset>2844800</wp:posOffset>
                </wp:positionH>
                <wp:positionV relativeFrom="paragraph">
                  <wp:posOffset>860425</wp:posOffset>
                </wp:positionV>
                <wp:extent cx="330200" cy="279400"/>
                <wp:effectExtent l="0" t="0" r="12700" b="25400"/>
                <wp:wrapNone/>
                <wp:docPr id="5" name="Oval 5"/>
                <wp:cNvGraphicFramePr/>
                <a:graphic xmlns:a="http://schemas.openxmlformats.org/drawingml/2006/main">
                  <a:graphicData uri="http://schemas.microsoft.com/office/word/2010/wordprocessingShape">
                    <wps:wsp>
                      <wps:cNvSpPr/>
                      <wps:spPr>
                        <a:xfrm>
                          <a:off x="0" y="0"/>
                          <a:ext cx="330200" cy="279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xmlns:pic="http://schemas.openxmlformats.org/drawingml/2006/picture" xmlns:a14="http://schemas.microsoft.com/office/drawing/2010/main" xmlns:w16sdtdh="http://schemas.microsoft.com/office/word/2020/wordml/sdtdatahash" xmlns:oel="http://schemas.microsoft.com/office/2019/extlst">
            <w:pict w14:anchorId="74BFA972">
              <v:oval id="Oval 5" style="position:absolute;margin-left:224pt;margin-top:67.75pt;width:26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32287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">
                <v:stroke joinstyle="miter"/>
              </v:oval>
            </w:pict>
          </mc:Fallback>
        </mc:AlternateContent>
      </w:r>
      <w:r w:rsidR="006D41C1">
        <w:rPr>
          <w:rFonts w:ascii="Arial" w:hAnsi="Arial" w:cs="Arial"/>
          <w:noProof/>
          <w:color w:val="000000" w:themeColor="text1"/>
        </w:rPr>
        <mc:AlternateContent>
          <mc:Choice Requires="wps">
            <w:drawing>
              <wp:anchor distT="0" distB="0" distL="114300" distR="114300" simplePos="0" relativeHeight="251658240" behindDoc="0" locked="0" layoutInCell="1" allowOverlap="1" wp14:anchorId="279E6AA0" wp14:editId="450407AB">
                <wp:simplePos x="0" y="0"/>
                <wp:positionH relativeFrom="column">
                  <wp:posOffset>2876550</wp:posOffset>
                </wp:positionH>
                <wp:positionV relativeFrom="paragraph">
                  <wp:posOffset>1275715</wp:posOffset>
                </wp:positionV>
                <wp:extent cx="222250" cy="247650"/>
                <wp:effectExtent l="0" t="0" r="25400" b="19050"/>
                <wp:wrapNone/>
                <wp:docPr id="1" name="Oval 1"/>
                <wp:cNvGraphicFramePr/>
                <a:graphic xmlns:a="http://schemas.openxmlformats.org/drawingml/2006/main">
                  <a:graphicData uri="http://schemas.microsoft.com/office/word/2010/wordprocessingShape">
                    <wps:wsp>
                      <wps:cNvSpPr/>
                      <wps:spPr>
                        <a:xfrm>
                          <a:off x="0" y="0"/>
                          <a:ext cx="222250" cy="2476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xmlns:pic="http://schemas.openxmlformats.org/drawingml/2006/picture" xmlns:a14="http://schemas.microsoft.com/office/drawing/2010/main" xmlns:w16sdtdh="http://schemas.microsoft.com/office/word/2020/wordml/sdtdatahash" xmlns:oel="http://schemas.microsoft.com/office/2019/extlst">
            <w:pict w14:anchorId="618AAC4C">
              <v:oval id="Oval 1" style="position:absolute;margin-left:226.5pt;margin-top:100.45pt;width:1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3A663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">
                <v:stroke joinstyle="miter"/>
              </v:oval>
            </w:pict>
          </mc:Fallback>
        </mc:AlternateContent>
      </w:r>
      <w:r w:rsidR="2C4B0A28" w:rsidRPr="23A4FC9A">
        <w:rPr>
          <w:rFonts w:ascii="Arial" w:hAnsi="Arial" w:cs="Arial"/>
          <w:color w:val="000000" w:themeColor="text1"/>
        </w:rPr>
        <w:t>Public Rel</w:t>
      </w:r>
      <w:r w:rsidR="49734335" w:rsidRPr="23A4FC9A">
        <w:rPr>
          <w:rFonts w:ascii="Arial" w:hAnsi="Arial" w:cs="Arial"/>
          <w:color w:val="000000" w:themeColor="text1"/>
        </w:rPr>
        <w:t>e</w:t>
      </w:r>
      <w:r w:rsidR="2C4B0A28" w:rsidRPr="23A4FC9A">
        <w:rPr>
          <w:rFonts w:ascii="Arial" w:hAnsi="Arial" w:cs="Arial"/>
          <w:color w:val="000000" w:themeColor="text1"/>
        </w:rPr>
        <w:t xml:space="preserve">ase </w:t>
      </w:r>
      <w:r w:rsidR="799DA2AC" w:rsidRPr="23A4FC9A">
        <w:rPr>
          <w:rFonts w:ascii="Arial" w:hAnsi="Arial" w:cs="Arial"/>
          <w:color w:val="000000" w:themeColor="text1"/>
        </w:rPr>
        <w:t xml:space="preserve">date: </w:t>
      </w:r>
      <w:r w:rsidR="62CCA868" w:rsidRPr="23A4FC9A">
        <w:rPr>
          <w:rFonts w:ascii="Arial" w:hAnsi="Arial" w:cs="Arial"/>
          <w:color w:val="000000" w:themeColor="text1"/>
        </w:rPr>
        <w:t>Ju</w:t>
      </w:r>
      <w:r w:rsidR="06F3C231" w:rsidRPr="23A4FC9A">
        <w:rPr>
          <w:rFonts w:ascii="Arial" w:hAnsi="Arial" w:cs="Arial"/>
          <w:color w:val="000000" w:themeColor="text1"/>
        </w:rPr>
        <w:t>ly</w:t>
      </w:r>
      <w:r w:rsidR="62CCA868" w:rsidRPr="23A4FC9A">
        <w:rPr>
          <w:rFonts w:ascii="Arial" w:hAnsi="Arial" w:cs="Arial"/>
          <w:color w:val="000000" w:themeColor="text1"/>
        </w:rPr>
        <w:t xml:space="preserve"> </w:t>
      </w:r>
      <w:r w:rsidR="74A3FDE8" w:rsidRPr="23A4FC9A">
        <w:rPr>
          <w:rFonts w:ascii="Arial" w:hAnsi="Arial" w:cs="Arial"/>
          <w:color w:val="000000" w:themeColor="text1"/>
        </w:rPr>
        <w:t>21</w:t>
      </w:r>
      <w:r w:rsidR="7D98598D" w:rsidRPr="23A4FC9A">
        <w:rPr>
          <w:rFonts w:ascii="Arial" w:hAnsi="Arial" w:cs="Arial"/>
          <w:color w:val="000000" w:themeColor="text1"/>
        </w:rPr>
        <w:t>, 2023</w:t>
      </w:r>
    </w:p>
    <w:p w14:paraId="129F1B88" w14:textId="77777777" w:rsidR="00385834" w:rsidRDefault="00385834" w:rsidP="552EF0C9">
      <w:pPr>
        <w:pStyle w:val="Default"/>
        <w:keepNext/>
        <w:jc w:val="center"/>
        <w:rPr>
          <w:rFonts w:asciiTheme="minorHAnsi" w:eastAsiaTheme="minorEastAsia" w:hAnsiTheme="minorHAnsi" w:cstheme="minorBidi"/>
          <w:b/>
          <w:bCs/>
        </w:rPr>
      </w:pPr>
    </w:p>
    <w:p w14:paraId="194B4F2F" w14:textId="77777777" w:rsidR="00385834" w:rsidRDefault="00385834" w:rsidP="552EF0C9">
      <w:pPr>
        <w:pStyle w:val="Default"/>
        <w:keepNext/>
        <w:jc w:val="center"/>
        <w:rPr>
          <w:rFonts w:asciiTheme="minorHAnsi" w:eastAsiaTheme="minorEastAsia" w:hAnsiTheme="minorHAnsi" w:cstheme="minorBidi"/>
          <w:b/>
          <w:bCs/>
        </w:rPr>
      </w:pPr>
    </w:p>
    <w:p w14:paraId="45CDC1B4" w14:textId="77777777" w:rsidR="00385834" w:rsidRDefault="00385834" w:rsidP="552EF0C9">
      <w:pPr>
        <w:pStyle w:val="Default"/>
        <w:keepNext/>
        <w:jc w:val="center"/>
        <w:rPr>
          <w:rFonts w:asciiTheme="minorHAnsi" w:eastAsiaTheme="minorEastAsia" w:hAnsiTheme="minorHAnsi" w:cstheme="minorBidi"/>
          <w:b/>
          <w:bCs/>
        </w:rPr>
      </w:pPr>
    </w:p>
    <w:p w14:paraId="64AC1B19" w14:textId="77777777" w:rsidR="000A0D1C" w:rsidRDefault="000A0D1C" w:rsidP="552EF0C9">
      <w:pPr>
        <w:pStyle w:val="Default"/>
        <w:keepNext/>
        <w:jc w:val="center"/>
        <w:rPr>
          <w:rFonts w:asciiTheme="minorHAnsi" w:eastAsiaTheme="minorEastAsia" w:hAnsiTheme="minorHAnsi" w:cstheme="minorBidi"/>
          <w:b/>
          <w:bCs/>
        </w:rPr>
      </w:pPr>
    </w:p>
    <w:p w14:paraId="0C2E4F81" w14:textId="77777777" w:rsidR="000A0D1C" w:rsidRDefault="000A0D1C" w:rsidP="552EF0C9">
      <w:pPr>
        <w:pStyle w:val="Default"/>
        <w:keepNext/>
        <w:jc w:val="center"/>
        <w:rPr>
          <w:rFonts w:asciiTheme="minorHAnsi" w:eastAsiaTheme="minorEastAsia" w:hAnsiTheme="minorHAnsi" w:cstheme="minorBidi"/>
          <w:b/>
          <w:bCs/>
        </w:rPr>
      </w:pPr>
    </w:p>
    <w:p w14:paraId="08438026" w14:textId="77777777" w:rsidR="000A0D1C" w:rsidRDefault="000A0D1C" w:rsidP="552EF0C9">
      <w:pPr>
        <w:pStyle w:val="Default"/>
        <w:keepNext/>
        <w:jc w:val="center"/>
        <w:rPr>
          <w:rFonts w:asciiTheme="minorHAnsi" w:eastAsiaTheme="minorEastAsia" w:hAnsiTheme="minorHAnsi" w:cstheme="minorBidi"/>
          <w:b/>
          <w:bCs/>
        </w:rPr>
        <w:sectPr w:rsidR="000A0D1C" w:rsidSect="00536668">
          <w:footerReference w:type="default" r:id="rId8"/>
          <w:pgSz w:w="12240" w:h="15840"/>
          <w:pgMar w:top="1440" w:right="1440" w:bottom="1440" w:left="1440" w:header="720" w:footer="720" w:gutter="0"/>
          <w:pgNumType w:start="1"/>
          <w:cols w:space="720"/>
          <w:docGrid w:linePitch="360"/>
        </w:sectPr>
      </w:pPr>
    </w:p>
    <w:p w14:paraId="2B53F35C" w14:textId="77777777" w:rsidR="000A0D1C" w:rsidRDefault="000A0D1C" w:rsidP="552EF0C9">
      <w:pPr>
        <w:pStyle w:val="Default"/>
        <w:keepNext/>
        <w:jc w:val="center"/>
        <w:rPr>
          <w:rFonts w:asciiTheme="minorHAnsi" w:eastAsiaTheme="minorEastAsia" w:hAnsiTheme="minorHAnsi" w:cstheme="minorBidi"/>
          <w:b/>
          <w:bCs/>
        </w:rPr>
      </w:pPr>
    </w:p>
    <w:p w14:paraId="66F5774D" w14:textId="0792F1D3" w:rsidR="2672669C" w:rsidRPr="00214E56" w:rsidRDefault="2672669C" w:rsidP="552EF0C9">
      <w:pPr>
        <w:pStyle w:val="Default"/>
        <w:keepNext/>
        <w:jc w:val="center"/>
        <w:rPr>
          <w:rFonts w:asciiTheme="minorHAnsi" w:eastAsiaTheme="minorEastAsia" w:hAnsiTheme="minorHAnsi" w:cstheme="minorBidi"/>
        </w:rPr>
      </w:pPr>
      <w:r w:rsidRPr="00214E56">
        <w:rPr>
          <w:rFonts w:asciiTheme="minorHAnsi" w:eastAsiaTheme="minorEastAsia" w:hAnsiTheme="minorHAnsi" w:cstheme="minorBidi"/>
          <w:b/>
          <w:bCs/>
        </w:rPr>
        <w:t>Health Consultation: A Note of Explanation</w:t>
      </w:r>
      <w:r w:rsidRPr="00214E56">
        <w:rPr>
          <w:rFonts w:asciiTheme="minorHAnsi" w:eastAsiaTheme="minorEastAsia" w:hAnsiTheme="minorHAnsi" w:cstheme="minorBidi"/>
        </w:rPr>
        <w:t xml:space="preserve"> </w:t>
      </w:r>
    </w:p>
    <w:p w14:paraId="02223D99" w14:textId="6470E097" w:rsidR="552EF0C9" w:rsidRPr="00214E56" w:rsidRDefault="552EF0C9" w:rsidP="552EF0C9">
      <w:pPr>
        <w:pStyle w:val="Default"/>
        <w:keepNext/>
        <w:rPr>
          <w:rFonts w:asciiTheme="minorHAnsi" w:eastAsiaTheme="minorEastAsia" w:hAnsiTheme="minorHAnsi" w:cstheme="minorBidi"/>
        </w:rPr>
      </w:pPr>
    </w:p>
    <w:p w14:paraId="1818E002" w14:textId="77777777" w:rsidR="008B321C" w:rsidRDefault="5593F31C" w:rsidP="23A4FC9A">
      <w:pPr>
        <w:pStyle w:val="Default"/>
        <w:keepNext/>
        <w:jc w:val="both"/>
        <w:rPr>
          <w:rFonts w:asciiTheme="minorHAnsi" w:eastAsiaTheme="minorEastAsia" w:hAnsiTheme="minorHAnsi" w:cstheme="minorBidi"/>
        </w:rPr>
      </w:pPr>
      <w:r w:rsidRPr="23A4FC9A">
        <w:rPr>
          <w:rFonts w:asciiTheme="minorHAnsi" w:eastAsiaTheme="minorEastAsia" w:hAnsiTheme="minorHAnsi" w:cstheme="minorBidi"/>
        </w:rPr>
        <w:t xml:space="preserve">A </w:t>
      </w:r>
      <w:r w:rsidR="18DA8CDA" w:rsidRPr="23A4FC9A">
        <w:rPr>
          <w:rFonts w:asciiTheme="minorHAnsi" w:eastAsiaTheme="minorEastAsia" w:hAnsiTheme="minorHAnsi" w:cstheme="minorBidi"/>
        </w:rPr>
        <w:t xml:space="preserve">Massachusetts Department of Health </w:t>
      </w:r>
      <w:r w:rsidR="5AD2999B" w:rsidRPr="23A4FC9A">
        <w:rPr>
          <w:rFonts w:asciiTheme="minorHAnsi" w:eastAsiaTheme="minorEastAsia" w:hAnsiTheme="minorHAnsi" w:cstheme="minorBidi"/>
        </w:rPr>
        <w:t>(</w:t>
      </w:r>
      <w:r w:rsidRPr="23A4FC9A">
        <w:rPr>
          <w:rFonts w:asciiTheme="minorHAnsi" w:eastAsiaTheme="minorEastAsia" w:hAnsiTheme="minorHAnsi" w:cstheme="minorBidi"/>
        </w:rPr>
        <w:t>MDPH</w:t>
      </w:r>
      <w:r w:rsidR="5AD2999B" w:rsidRPr="23A4FC9A">
        <w:rPr>
          <w:rFonts w:asciiTheme="minorHAnsi" w:eastAsiaTheme="minorEastAsia" w:hAnsiTheme="minorHAnsi" w:cstheme="minorBidi"/>
        </w:rPr>
        <w:t>)</w:t>
      </w:r>
      <w:r w:rsidRPr="23A4FC9A">
        <w:rPr>
          <w:rFonts w:asciiTheme="minorHAnsi" w:eastAsiaTheme="minorEastAsia" w:hAnsiTheme="minorHAnsi" w:cstheme="minorBidi"/>
        </w:rPr>
        <w:t xml:space="preserve"> health consultation is a verbal or written response from MDPH to a specific request for information about health risks related to a specific site, a chemical release, or the presence of hazardous material.</w:t>
      </w:r>
      <w:r w:rsidR="13FD194C" w:rsidRPr="23A4FC9A">
        <w:rPr>
          <w:rFonts w:asciiTheme="minorHAnsi" w:eastAsiaTheme="minorEastAsia" w:hAnsiTheme="minorHAnsi" w:cstheme="minorBidi"/>
        </w:rPr>
        <w:t xml:space="preserve"> T</w:t>
      </w:r>
      <w:r w:rsidRPr="23A4FC9A">
        <w:rPr>
          <w:rFonts w:asciiTheme="minorHAnsi" w:eastAsiaTheme="minorEastAsia" w:hAnsiTheme="minorHAnsi" w:cstheme="minorBidi"/>
        </w:rPr>
        <w:t xml:space="preserve">o prevent or mitigate exposures, a consultation may lead to specific actions, such as restricting use of or replacing water supplies; intensifying environmental sampling; restricting site access; or removing the contaminated material. In addition, consultations may recommend additional public health actions, such as conducting health surveillance activities to evaluate exposure or trends in adverse health outcomes; conducting biological indicators of exposure studies to assess exposure; and providing health education for health care providers and community members. </w:t>
      </w:r>
    </w:p>
    <w:p w14:paraId="75243647" w14:textId="77777777" w:rsidR="008B321C" w:rsidRDefault="008B321C" w:rsidP="23A4FC9A">
      <w:pPr>
        <w:pStyle w:val="Default"/>
        <w:keepNext/>
        <w:jc w:val="both"/>
        <w:rPr>
          <w:rFonts w:asciiTheme="minorHAnsi" w:eastAsiaTheme="minorEastAsia" w:hAnsiTheme="minorHAnsi" w:cstheme="minorBidi"/>
        </w:rPr>
      </w:pPr>
    </w:p>
    <w:p w14:paraId="0AA0EE1B" w14:textId="511A2C01" w:rsidR="2672669C" w:rsidRPr="00214E56" w:rsidRDefault="5593F31C" w:rsidP="23A4FC9A">
      <w:pPr>
        <w:pStyle w:val="Default"/>
        <w:keepNext/>
        <w:jc w:val="both"/>
        <w:rPr>
          <w:rFonts w:asciiTheme="minorHAnsi" w:eastAsiaTheme="minorEastAsia" w:hAnsiTheme="minorHAnsi" w:cstheme="minorBidi"/>
        </w:rPr>
      </w:pPr>
      <w:r w:rsidRPr="23A4FC9A">
        <w:rPr>
          <w:rFonts w:asciiTheme="minorHAnsi" w:eastAsiaTheme="minorEastAsia" w:hAnsiTheme="minorHAnsi" w:cstheme="minorBidi"/>
        </w:rPr>
        <w:t xml:space="preserve">This </w:t>
      </w:r>
      <w:r w:rsidR="6E366480" w:rsidRPr="23A4FC9A">
        <w:rPr>
          <w:rFonts w:asciiTheme="minorHAnsi" w:eastAsiaTheme="minorEastAsia" w:hAnsiTheme="minorHAnsi" w:cstheme="minorBidi"/>
        </w:rPr>
        <w:t xml:space="preserve">letter </w:t>
      </w:r>
      <w:r w:rsidRPr="23A4FC9A">
        <w:rPr>
          <w:rFonts w:asciiTheme="minorHAnsi" w:eastAsiaTheme="minorEastAsia" w:hAnsiTheme="minorHAnsi" w:cstheme="minorBidi"/>
        </w:rPr>
        <w:t xml:space="preserve">concludes the health consultation process for </w:t>
      </w:r>
      <w:r w:rsidR="02A532A9" w:rsidRPr="23A4FC9A">
        <w:rPr>
          <w:rFonts w:asciiTheme="minorHAnsi" w:eastAsiaTheme="minorEastAsia" w:hAnsiTheme="minorHAnsi" w:cstheme="minorBidi"/>
        </w:rPr>
        <w:t>the</w:t>
      </w:r>
      <w:r w:rsidR="02A532A9">
        <w:t xml:space="preserve"> </w:t>
      </w:r>
      <w:r w:rsidR="02A532A9" w:rsidRPr="23A4FC9A">
        <w:rPr>
          <w:rFonts w:asciiTheme="minorHAnsi" w:eastAsiaTheme="minorEastAsia" w:hAnsiTheme="minorHAnsi" w:cstheme="minorBidi"/>
        </w:rPr>
        <w:t>Fire at Clean Harbors Reclamation Facility</w:t>
      </w:r>
      <w:r w:rsidRPr="23A4FC9A">
        <w:rPr>
          <w:rFonts w:asciiTheme="minorHAnsi" w:eastAsiaTheme="minorEastAsia" w:hAnsiTheme="minorHAnsi" w:cstheme="minorBidi"/>
        </w:rPr>
        <w:t xml:space="preserve">, unless additional information is obtained by </w:t>
      </w:r>
      <w:r w:rsidR="6BFA3EF3" w:rsidRPr="23A4FC9A">
        <w:rPr>
          <w:rFonts w:asciiTheme="minorHAnsi" w:eastAsiaTheme="minorEastAsia" w:hAnsiTheme="minorHAnsi" w:cstheme="minorBidi"/>
        </w:rPr>
        <w:t>MDPH</w:t>
      </w:r>
      <w:r w:rsidRPr="23A4FC9A">
        <w:rPr>
          <w:rFonts w:asciiTheme="minorHAnsi" w:eastAsiaTheme="minorEastAsia" w:hAnsiTheme="minorHAnsi" w:cstheme="minorBidi"/>
        </w:rPr>
        <w:t xml:space="preserve"> which, in the Agency’s opinion, indicates a need to revise or append the conclusions previously issued.</w:t>
      </w:r>
    </w:p>
    <w:p w14:paraId="5C1D6514" w14:textId="1D3C2E6E" w:rsidR="552EF0C9" w:rsidRPr="00214E56" w:rsidRDefault="552EF0C9" w:rsidP="00214E56">
      <w:pPr>
        <w:pStyle w:val="Default"/>
        <w:keepNext/>
        <w:jc w:val="both"/>
        <w:rPr>
          <w:rFonts w:asciiTheme="minorHAnsi" w:eastAsiaTheme="minorEastAsia" w:hAnsiTheme="minorHAnsi" w:cstheme="minorBidi"/>
        </w:rPr>
      </w:pPr>
    </w:p>
    <w:p w14:paraId="78D89E6B" w14:textId="4D5F94CB" w:rsidR="5214D96C" w:rsidRDefault="0889D62C" w:rsidP="00214E56">
      <w:pPr>
        <w:spacing w:after="0" w:line="240" w:lineRule="auto"/>
        <w:jc w:val="both"/>
        <w:rPr>
          <w:rFonts w:ascii="Calibri" w:eastAsia="Calibri" w:hAnsi="Calibri" w:cs="Calibri"/>
          <w:sz w:val="24"/>
          <w:szCs w:val="24"/>
        </w:rPr>
      </w:pPr>
      <w:r w:rsidRPr="23A4FC9A">
        <w:rPr>
          <w:rFonts w:ascii="Calibri" w:eastAsia="Calibri" w:hAnsi="Calibri" w:cs="Calibri"/>
          <w:sz w:val="24"/>
          <w:szCs w:val="24"/>
        </w:rPr>
        <w:t xml:space="preserve">This health consultation was made possible by a </w:t>
      </w:r>
      <w:r w:rsidR="1AF90DC7" w:rsidRPr="23A4FC9A">
        <w:rPr>
          <w:rFonts w:ascii="Calibri" w:eastAsia="Calibri" w:hAnsi="Calibri" w:cs="Calibri"/>
          <w:sz w:val="24"/>
          <w:szCs w:val="24"/>
        </w:rPr>
        <w:t>C</w:t>
      </w:r>
      <w:r w:rsidRPr="23A4FC9A">
        <w:rPr>
          <w:rFonts w:ascii="Calibri" w:eastAsia="Calibri" w:hAnsi="Calibri" w:cs="Calibri"/>
          <w:sz w:val="24"/>
          <w:szCs w:val="24"/>
        </w:rPr>
        <w:t xml:space="preserve">ooperative </w:t>
      </w:r>
      <w:r w:rsidR="77118BCA" w:rsidRPr="23A4FC9A">
        <w:rPr>
          <w:rFonts w:ascii="Calibri" w:eastAsia="Calibri" w:hAnsi="Calibri" w:cs="Calibri"/>
          <w:sz w:val="24"/>
          <w:szCs w:val="24"/>
        </w:rPr>
        <w:t>A</w:t>
      </w:r>
      <w:r w:rsidRPr="23A4FC9A">
        <w:rPr>
          <w:rFonts w:ascii="Calibri" w:eastAsia="Calibri" w:hAnsi="Calibri" w:cs="Calibri"/>
          <w:sz w:val="24"/>
          <w:szCs w:val="24"/>
        </w:rPr>
        <w:t>greement [program # TS-23-0001] from the Agency for Toxic Substances and Disease Registry (ATSDR). Its contents are solely the responsibility of the Massachusetts Department of Public Health and do not necessarily represent the official views of the ATSDR, or the U.S. Department of Health and Human Services.</w:t>
      </w:r>
    </w:p>
    <w:p w14:paraId="00841D28" w14:textId="675F3A55" w:rsidR="00536668" w:rsidRDefault="00536668">
      <w:pPr>
        <w:spacing w:line="259" w:lineRule="auto"/>
        <w:rPr>
          <w:rFonts w:ascii="Calibri" w:eastAsia="Calibri" w:hAnsi="Calibri" w:cs="Calibri"/>
          <w:sz w:val="24"/>
          <w:szCs w:val="24"/>
        </w:rPr>
      </w:pPr>
      <w:r>
        <w:rPr>
          <w:rFonts w:ascii="Calibri" w:eastAsia="Calibri" w:hAnsi="Calibri" w:cs="Calibri"/>
          <w:sz w:val="24"/>
          <w:szCs w:val="24"/>
        </w:rPr>
        <w:br w:type="page"/>
      </w:r>
    </w:p>
    <w:p w14:paraId="3A6F84C1" w14:textId="5E0DCFC8" w:rsidR="00BA41E6" w:rsidRPr="006F78DA" w:rsidRDefault="3DB56259" w:rsidP="006C429C">
      <w:pPr>
        <w:pStyle w:val="Heading1"/>
      </w:pPr>
      <w:r>
        <w:lastRenderedPageBreak/>
        <w:t>Introduction</w:t>
      </w:r>
    </w:p>
    <w:p w14:paraId="7E085B23" w14:textId="3A8E631C" w:rsidR="000023CF" w:rsidRPr="00BB3AA8" w:rsidRDefault="000023CF" w:rsidP="00E71A9D">
      <w:pPr>
        <w:keepNext/>
        <w:spacing w:after="0" w:line="240" w:lineRule="auto"/>
        <w:ind w:left="720"/>
        <w:rPr>
          <w:b/>
          <w:bCs/>
        </w:rPr>
      </w:pPr>
    </w:p>
    <w:p w14:paraId="0311B0E9" w14:textId="18288C3A" w:rsidR="00E71A9D" w:rsidRDefault="00094B81" w:rsidP="008B0977">
      <w:pPr>
        <w:pStyle w:val="Heading2"/>
        <w:spacing w:after="0" w:line="240" w:lineRule="auto"/>
      </w:pPr>
      <w:r>
        <w:t>1.1</w:t>
      </w:r>
      <w:r>
        <w:tab/>
      </w:r>
      <w:r w:rsidR="004F5207" w:rsidRPr="006F78DA">
        <w:t>S</w:t>
      </w:r>
      <w:r w:rsidR="006F78DA" w:rsidRPr="006F78DA">
        <w:t>ummary</w:t>
      </w:r>
    </w:p>
    <w:p w14:paraId="40D8374D" w14:textId="0E5358DE" w:rsidR="002D7BE1" w:rsidRPr="00E71A9D" w:rsidRDefault="3B478DF7" w:rsidP="00FD7D2D">
      <w:pPr>
        <w:keepNext/>
        <w:spacing w:after="0" w:line="240" w:lineRule="auto"/>
        <w:jc w:val="both"/>
        <w:rPr>
          <w:rFonts w:ascii="Times New Roman" w:hAnsi="Times New Roman" w:cs="Times New Roman"/>
          <w:kern w:val="0"/>
          <w:sz w:val="28"/>
          <w:szCs w:val="28"/>
          <w14:ligatures w14:val="none"/>
        </w:rPr>
      </w:pPr>
      <w:r w:rsidRPr="00E71A9D">
        <w:rPr>
          <w:sz w:val="24"/>
          <w:szCs w:val="24"/>
        </w:rPr>
        <w:t>T</w:t>
      </w:r>
      <w:r w:rsidR="400F6F5D" w:rsidRPr="00E71A9D">
        <w:rPr>
          <w:sz w:val="24"/>
          <w:szCs w:val="24"/>
        </w:rPr>
        <w:t xml:space="preserve">he Massachusetts Department of Public Health, Bureau of </w:t>
      </w:r>
      <w:r w:rsidR="6F8F3168" w:rsidRPr="00E71A9D">
        <w:rPr>
          <w:sz w:val="24"/>
          <w:szCs w:val="24"/>
        </w:rPr>
        <w:t xml:space="preserve">Climate and </w:t>
      </w:r>
      <w:r w:rsidR="400F6F5D" w:rsidRPr="00E71A9D">
        <w:rPr>
          <w:sz w:val="24"/>
          <w:szCs w:val="24"/>
        </w:rPr>
        <w:t>Environment Health (MDPH/B</w:t>
      </w:r>
      <w:r w:rsidR="0B7BC722" w:rsidRPr="00E71A9D">
        <w:rPr>
          <w:sz w:val="24"/>
          <w:szCs w:val="24"/>
        </w:rPr>
        <w:t>C</w:t>
      </w:r>
      <w:r w:rsidR="400F6F5D" w:rsidRPr="00E71A9D">
        <w:rPr>
          <w:sz w:val="24"/>
          <w:szCs w:val="24"/>
        </w:rPr>
        <w:t xml:space="preserve">EH) </w:t>
      </w:r>
      <w:r w:rsidRPr="00E71A9D">
        <w:rPr>
          <w:sz w:val="24"/>
          <w:szCs w:val="24"/>
        </w:rPr>
        <w:t xml:space="preserve">was asked by the </w:t>
      </w:r>
      <w:r w:rsidR="02A532A9">
        <w:rPr>
          <w:sz w:val="24"/>
          <w:szCs w:val="24"/>
        </w:rPr>
        <w:t>T</w:t>
      </w:r>
      <w:r w:rsidR="02A532A9" w:rsidRPr="00E71A9D">
        <w:rPr>
          <w:sz w:val="24"/>
          <w:szCs w:val="24"/>
        </w:rPr>
        <w:t xml:space="preserve">own </w:t>
      </w:r>
      <w:r w:rsidRPr="00E71A9D">
        <w:rPr>
          <w:sz w:val="24"/>
          <w:szCs w:val="24"/>
        </w:rPr>
        <w:t xml:space="preserve">of Braintree </w:t>
      </w:r>
      <w:r w:rsidR="0ADB208C">
        <w:rPr>
          <w:sz w:val="24"/>
          <w:szCs w:val="24"/>
        </w:rPr>
        <w:t xml:space="preserve">(Braintree Town Council or BTC) </w:t>
      </w:r>
      <w:r w:rsidRPr="00E71A9D">
        <w:rPr>
          <w:sz w:val="24"/>
          <w:szCs w:val="24"/>
        </w:rPr>
        <w:t>to evaluate the health risk</w:t>
      </w:r>
      <w:r w:rsidR="145EE6F4" w:rsidRPr="00E71A9D">
        <w:rPr>
          <w:sz w:val="24"/>
          <w:szCs w:val="24"/>
        </w:rPr>
        <w:t>s</w:t>
      </w:r>
      <w:r w:rsidRPr="00E71A9D">
        <w:rPr>
          <w:sz w:val="24"/>
          <w:szCs w:val="24"/>
        </w:rPr>
        <w:t xml:space="preserve"> associated with </w:t>
      </w:r>
      <w:r w:rsidR="145EE6F4" w:rsidRPr="00E71A9D">
        <w:rPr>
          <w:sz w:val="24"/>
          <w:szCs w:val="24"/>
        </w:rPr>
        <w:t xml:space="preserve">a </w:t>
      </w:r>
      <w:r w:rsidR="400F6F5D" w:rsidRPr="00E71A9D">
        <w:rPr>
          <w:sz w:val="24"/>
          <w:szCs w:val="24"/>
        </w:rPr>
        <w:t xml:space="preserve">fire </w:t>
      </w:r>
      <w:r w:rsidR="145EE6F4" w:rsidRPr="00E71A9D">
        <w:rPr>
          <w:sz w:val="24"/>
          <w:szCs w:val="24"/>
        </w:rPr>
        <w:t xml:space="preserve">that occurred </w:t>
      </w:r>
      <w:r w:rsidR="400F6F5D" w:rsidRPr="00E71A9D">
        <w:rPr>
          <w:sz w:val="24"/>
          <w:szCs w:val="24"/>
        </w:rPr>
        <w:t>at the Clean Harbors Reclamation Facility in Braintree, Massachusetts</w:t>
      </w:r>
      <w:r w:rsidR="145EE6F4" w:rsidRPr="00E71A9D">
        <w:rPr>
          <w:sz w:val="24"/>
          <w:szCs w:val="24"/>
        </w:rPr>
        <w:t xml:space="preserve"> on February 16, 2023.</w:t>
      </w:r>
      <w:r w:rsidR="400F6F5D" w:rsidRPr="00E71A9D">
        <w:rPr>
          <w:sz w:val="24"/>
          <w:szCs w:val="24"/>
        </w:rPr>
        <w:t xml:space="preserve"> </w:t>
      </w:r>
      <w:r w:rsidR="45D47941" w:rsidRPr="00E71A9D">
        <w:rPr>
          <w:kern w:val="0"/>
          <w:sz w:val="24"/>
          <w:szCs w:val="24"/>
          <w14:ligatures w14:val="none"/>
        </w:rPr>
        <w:t xml:space="preserve">The </w:t>
      </w:r>
      <w:r w:rsidR="41918827" w:rsidRPr="00E71A9D">
        <w:rPr>
          <w:kern w:val="0"/>
          <w:sz w:val="24"/>
          <w:szCs w:val="24"/>
          <w14:ligatures w14:val="none"/>
        </w:rPr>
        <w:t>e</w:t>
      </w:r>
      <w:r w:rsidR="5B655F20" w:rsidRPr="00E71A9D">
        <w:rPr>
          <w:kern w:val="0"/>
          <w:sz w:val="24"/>
          <w:szCs w:val="24"/>
          <w14:ligatures w14:val="none"/>
        </w:rPr>
        <w:t xml:space="preserve">nvironmental </w:t>
      </w:r>
      <w:r w:rsidR="027027C5" w:rsidRPr="00E71A9D">
        <w:rPr>
          <w:kern w:val="0"/>
          <w:sz w:val="24"/>
          <w:szCs w:val="24"/>
          <w14:ligatures w14:val="none"/>
        </w:rPr>
        <w:t xml:space="preserve">hazards associated with this incident include </w:t>
      </w:r>
      <w:r w:rsidR="24705DE7" w:rsidRPr="00E71A9D">
        <w:rPr>
          <w:kern w:val="0"/>
          <w:sz w:val="24"/>
          <w:szCs w:val="24"/>
          <w14:ligatures w14:val="none"/>
        </w:rPr>
        <w:t xml:space="preserve">those generated by the </w:t>
      </w:r>
      <w:r w:rsidR="027027C5" w:rsidRPr="00E71A9D">
        <w:rPr>
          <w:kern w:val="0"/>
          <w:sz w:val="24"/>
          <w:szCs w:val="24"/>
          <w14:ligatures w14:val="none"/>
        </w:rPr>
        <w:t>fire</w:t>
      </w:r>
      <w:r w:rsidR="2804085F" w:rsidRPr="00E71A9D">
        <w:rPr>
          <w:kern w:val="0"/>
          <w:sz w:val="24"/>
          <w:szCs w:val="24"/>
          <w14:ligatures w14:val="none"/>
        </w:rPr>
        <w:t xml:space="preserve"> or</w:t>
      </w:r>
      <w:r w:rsidR="027027C5" w:rsidRPr="00E71A9D">
        <w:rPr>
          <w:kern w:val="0"/>
          <w:sz w:val="24"/>
          <w:szCs w:val="24"/>
          <w14:ligatures w14:val="none"/>
        </w:rPr>
        <w:t xml:space="preserve"> fire</w:t>
      </w:r>
      <w:r w:rsidR="00E4F6C3" w:rsidRPr="00E71A9D">
        <w:rPr>
          <w:kern w:val="0"/>
          <w:sz w:val="24"/>
          <w:szCs w:val="24"/>
          <w14:ligatures w14:val="none"/>
        </w:rPr>
        <w:t xml:space="preserve"> suppression</w:t>
      </w:r>
      <w:r w:rsidR="027027C5" w:rsidRPr="00E71A9D">
        <w:rPr>
          <w:kern w:val="0"/>
          <w:sz w:val="24"/>
          <w:szCs w:val="24"/>
          <w14:ligatures w14:val="none"/>
        </w:rPr>
        <w:t xml:space="preserve">, </w:t>
      </w:r>
      <w:r w:rsidR="2D868E39" w:rsidRPr="00E71A9D">
        <w:rPr>
          <w:kern w:val="0"/>
          <w:sz w:val="24"/>
          <w:szCs w:val="24"/>
          <w14:ligatures w14:val="none"/>
        </w:rPr>
        <w:t xml:space="preserve">including </w:t>
      </w:r>
      <w:r w:rsidR="345251CF" w:rsidRPr="00E71A9D">
        <w:rPr>
          <w:kern w:val="0"/>
          <w:sz w:val="24"/>
          <w:szCs w:val="24"/>
          <w14:ligatures w14:val="none"/>
        </w:rPr>
        <w:t xml:space="preserve">the release of </w:t>
      </w:r>
      <w:r w:rsidR="027027C5" w:rsidRPr="00E71A9D">
        <w:rPr>
          <w:kern w:val="0"/>
          <w:sz w:val="24"/>
          <w:szCs w:val="24"/>
          <w14:ligatures w14:val="none"/>
        </w:rPr>
        <w:t>contaminated debris and combustion by-products</w:t>
      </w:r>
      <w:r w:rsidR="027027C5" w:rsidRPr="00E71A9D">
        <w:rPr>
          <w:sz w:val="24"/>
          <w:szCs w:val="24"/>
        </w:rPr>
        <w:t xml:space="preserve"> to the air</w:t>
      </w:r>
      <w:r w:rsidR="6B002233" w:rsidRPr="00E71A9D">
        <w:rPr>
          <w:sz w:val="24"/>
          <w:szCs w:val="24"/>
        </w:rPr>
        <w:t xml:space="preserve"> and</w:t>
      </w:r>
      <w:r w:rsidR="7C167A6C" w:rsidRPr="00E71A9D">
        <w:rPr>
          <w:sz w:val="24"/>
          <w:szCs w:val="24"/>
        </w:rPr>
        <w:t xml:space="preserve"> the nearby </w:t>
      </w:r>
      <w:r w:rsidR="6B002233" w:rsidRPr="00E71A9D">
        <w:rPr>
          <w:sz w:val="24"/>
          <w:szCs w:val="24"/>
        </w:rPr>
        <w:t>Fore River</w:t>
      </w:r>
      <w:r w:rsidR="027027C5" w:rsidRPr="00E71A9D">
        <w:rPr>
          <w:kern w:val="0"/>
          <w:sz w:val="24"/>
          <w:szCs w:val="24"/>
          <w14:ligatures w14:val="none"/>
        </w:rPr>
        <w:t xml:space="preserve">. </w:t>
      </w:r>
      <w:r w:rsidR="239EB347" w:rsidRPr="00E71A9D">
        <w:rPr>
          <w:sz w:val="24"/>
          <w:szCs w:val="24"/>
        </w:rPr>
        <w:t xml:space="preserve">As the </w:t>
      </w:r>
      <w:r w:rsidR="68790B97">
        <w:rPr>
          <w:sz w:val="24"/>
          <w:szCs w:val="24"/>
        </w:rPr>
        <w:t>location</w:t>
      </w:r>
      <w:r w:rsidR="54A98149" w:rsidRPr="00E71A9D">
        <w:rPr>
          <w:sz w:val="24"/>
          <w:szCs w:val="24"/>
        </w:rPr>
        <w:t xml:space="preserve"> of the incident was </w:t>
      </w:r>
      <w:r w:rsidR="239EB347" w:rsidRPr="00E71A9D">
        <w:rPr>
          <w:sz w:val="24"/>
          <w:szCs w:val="24"/>
        </w:rPr>
        <w:t xml:space="preserve">unlikely to result in </w:t>
      </w:r>
      <w:r w:rsidR="39C355ED" w:rsidRPr="00E71A9D">
        <w:rPr>
          <w:sz w:val="24"/>
          <w:szCs w:val="24"/>
        </w:rPr>
        <w:t xml:space="preserve">harmful levels of contaminants in </w:t>
      </w:r>
      <w:r w:rsidR="48B3003B" w:rsidRPr="00E71A9D">
        <w:rPr>
          <w:sz w:val="24"/>
          <w:szCs w:val="24"/>
        </w:rPr>
        <w:t xml:space="preserve">drinking water, </w:t>
      </w:r>
      <w:r w:rsidR="592B0AC9" w:rsidRPr="00E71A9D">
        <w:rPr>
          <w:sz w:val="24"/>
          <w:szCs w:val="24"/>
        </w:rPr>
        <w:t>residential soil</w:t>
      </w:r>
      <w:r w:rsidR="50F65611" w:rsidRPr="00E71A9D">
        <w:rPr>
          <w:sz w:val="24"/>
          <w:szCs w:val="24"/>
        </w:rPr>
        <w:t xml:space="preserve">, </w:t>
      </w:r>
      <w:r w:rsidR="4DC2FB9B" w:rsidRPr="00E71A9D">
        <w:rPr>
          <w:sz w:val="24"/>
          <w:szCs w:val="24"/>
        </w:rPr>
        <w:t xml:space="preserve">or </w:t>
      </w:r>
      <w:r w:rsidR="592B0AC9" w:rsidRPr="00E71A9D">
        <w:rPr>
          <w:sz w:val="24"/>
          <w:szCs w:val="24"/>
        </w:rPr>
        <w:t>surface water</w:t>
      </w:r>
      <w:r w:rsidR="37ACFD52" w:rsidRPr="00E71A9D">
        <w:rPr>
          <w:sz w:val="24"/>
          <w:szCs w:val="24"/>
        </w:rPr>
        <w:t xml:space="preserve">, </w:t>
      </w:r>
      <w:r w:rsidR="043C95E4" w:rsidRPr="00E71A9D" w:rsidDel="0065055D">
        <w:rPr>
          <w:kern w:val="0"/>
          <w:sz w:val="24"/>
          <w:szCs w:val="24"/>
          <w14:ligatures w14:val="none"/>
        </w:rPr>
        <w:t>th</w:t>
      </w:r>
      <w:r w:rsidR="19CD9B80" w:rsidRPr="00E71A9D" w:rsidDel="0065055D">
        <w:rPr>
          <w:kern w:val="0"/>
          <w:sz w:val="24"/>
          <w:szCs w:val="24"/>
          <w14:ligatures w14:val="none"/>
        </w:rPr>
        <w:t>e quantitative</w:t>
      </w:r>
      <w:r w:rsidR="19CD9B80" w:rsidRPr="00E71A9D">
        <w:rPr>
          <w:kern w:val="0"/>
          <w:sz w:val="24"/>
          <w:szCs w:val="24"/>
          <w14:ligatures w14:val="none"/>
        </w:rPr>
        <w:t xml:space="preserve"> </w:t>
      </w:r>
      <w:r w:rsidR="19CD9B80" w:rsidRPr="00E71A9D" w:rsidDel="0065055D">
        <w:rPr>
          <w:kern w:val="0"/>
          <w:sz w:val="24"/>
          <w:szCs w:val="24"/>
          <w14:ligatures w14:val="none"/>
        </w:rPr>
        <w:t xml:space="preserve">evaluation </w:t>
      </w:r>
      <w:r w:rsidR="448709F5" w:rsidRPr="00E71A9D" w:rsidDel="0065055D">
        <w:rPr>
          <w:kern w:val="0"/>
          <w:sz w:val="24"/>
          <w:szCs w:val="24"/>
          <w14:ligatures w14:val="none"/>
        </w:rPr>
        <w:t xml:space="preserve">described </w:t>
      </w:r>
      <w:r w:rsidR="223CE28D" w:rsidRPr="00E71A9D" w:rsidDel="0065055D">
        <w:rPr>
          <w:kern w:val="0"/>
          <w:sz w:val="24"/>
          <w:szCs w:val="24"/>
          <w14:ligatures w14:val="none"/>
        </w:rPr>
        <w:t>in this</w:t>
      </w:r>
      <w:r w:rsidR="027027C5" w:rsidRPr="00E71A9D" w:rsidDel="0065055D">
        <w:rPr>
          <w:kern w:val="0"/>
          <w:sz w:val="24"/>
          <w:szCs w:val="24"/>
          <w14:ligatures w14:val="none"/>
        </w:rPr>
        <w:t xml:space="preserve"> consultation</w:t>
      </w:r>
      <w:r w:rsidR="027027C5" w:rsidRPr="00E71A9D" w:rsidDel="0048287F">
        <w:rPr>
          <w:kern w:val="0"/>
          <w:sz w:val="24"/>
          <w:szCs w:val="24"/>
          <w14:ligatures w14:val="none"/>
        </w:rPr>
        <w:t xml:space="preserve"> </w:t>
      </w:r>
      <w:r w:rsidR="027027C5" w:rsidRPr="00E71A9D">
        <w:rPr>
          <w:kern w:val="0"/>
          <w:sz w:val="24"/>
          <w:szCs w:val="24"/>
          <w14:ligatures w14:val="none"/>
        </w:rPr>
        <w:t>focus</w:t>
      </w:r>
      <w:r w:rsidR="592B0AC9" w:rsidRPr="00E71A9D">
        <w:rPr>
          <w:sz w:val="24"/>
          <w:szCs w:val="24"/>
        </w:rPr>
        <w:t>es</w:t>
      </w:r>
      <w:r w:rsidR="027027C5" w:rsidRPr="00E71A9D">
        <w:rPr>
          <w:kern w:val="0"/>
          <w:sz w:val="24"/>
          <w:szCs w:val="24"/>
          <w14:ligatures w14:val="none"/>
        </w:rPr>
        <w:t xml:space="preserve"> on breathing fire-related </w:t>
      </w:r>
      <w:r w:rsidR="75E4705C">
        <w:rPr>
          <w:kern w:val="0"/>
          <w:sz w:val="24"/>
          <w:szCs w:val="24"/>
          <w14:ligatures w14:val="none"/>
        </w:rPr>
        <w:t>airborne</w:t>
      </w:r>
      <w:r w:rsidR="75E4705C" w:rsidRPr="00E71A9D">
        <w:rPr>
          <w:kern w:val="0"/>
          <w:sz w:val="24"/>
          <w:szCs w:val="24"/>
          <w14:ligatures w14:val="none"/>
        </w:rPr>
        <w:t xml:space="preserve"> </w:t>
      </w:r>
      <w:r w:rsidR="027027C5" w:rsidRPr="00E71A9D">
        <w:rPr>
          <w:kern w:val="0"/>
          <w:sz w:val="24"/>
          <w:szCs w:val="24"/>
          <w14:ligatures w14:val="none"/>
        </w:rPr>
        <w:t>contaminants.</w:t>
      </w:r>
      <w:r w:rsidR="592B0AC9" w:rsidRPr="00E71A9D">
        <w:rPr>
          <w:kern w:val="0"/>
          <w:sz w:val="24"/>
          <w:szCs w:val="24"/>
          <w14:ligatures w14:val="none"/>
        </w:rPr>
        <w:t xml:space="preserve"> </w:t>
      </w:r>
      <w:r w:rsidR="12250D5E" w:rsidRPr="00E71A9D">
        <w:rPr>
          <w:kern w:val="0"/>
          <w:sz w:val="24"/>
          <w:szCs w:val="24"/>
          <w14:ligatures w14:val="none"/>
        </w:rPr>
        <w:t>Other n</w:t>
      </w:r>
      <w:r w:rsidR="62DEF431" w:rsidRPr="00E71A9D">
        <w:rPr>
          <w:kern w:val="0"/>
          <w:sz w:val="24"/>
          <w:szCs w:val="24"/>
          <w14:ligatures w14:val="none"/>
        </w:rPr>
        <w:t>on-inhala</w:t>
      </w:r>
      <w:r w:rsidR="37512920" w:rsidRPr="00E71A9D">
        <w:rPr>
          <w:kern w:val="0"/>
          <w:sz w:val="24"/>
          <w:szCs w:val="24"/>
          <w14:ligatures w14:val="none"/>
        </w:rPr>
        <w:t>tion pathway</w:t>
      </w:r>
      <w:r w:rsidR="0A55D9F9" w:rsidRPr="00E71A9D">
        <w:rPr>
          <w:kern w:val="0"/>
          <w:sz w:val="24"/>
          <w:szCs w:val="24"/>
          <w14:ligatures w14:val="none"/>
        </w:rPr>
        <w:t>s (e.g., ingestion or dermal exposure)</w:t>
      </w:r>
      <w:r w:rsidR="37512920" w:rsidRPr="00E71A9D">
        <w:rPr>
          <w:kern w:val="0"/>
          <w:sz w:val="24"/>
          <w:szCs w:val="24"/>
          <w14:ligatures w14:val="none"/>
        </w:rPr>
        <w:t xml:space="preserve"> were evaluated </w:t>
      </w:r>
      <w:r w:rsidR="6D78D2BE" w:rsidRPr="00E71A9D">
        <w:rPr>
          <w:kern w:val="0"/>
          <w:sz w:val="24"/>
          <w:szCs w:val="24"/>
          <w14:ligatures w14:val="none"/>
        </w:rPr>
        <w:t>quali</w:t>
      </w:r>
      <w:r w:rsidR="2800D644" w:rsidRPr="00E71A9D">
        <w:rPr>
          <w:kern w:val="0"/>
          <w:sz w:val="24"/>
          <w:szCs w:val="24"/>
          <w14:ligatures w14:val="none"/>
        </w:rPr>
        <w:t>tatively.</w:t>
      </w:r>
      <w:r w:rsidR="065D5031" w:rsidRPr="00E71A9D">
        <w:rPr>
          <w:kern w:val="0"/>
          <w:sz w:val="24"/>
          <w:szCs w:val="24"/>
          <w14:ligatures w14:val="none"/>
        </w:rPr>
        <w:t xml:space="preserve"> </w:t>
      </w:r>
      <w:r w:rsidR="4E5C7C47" w:rsidRPr="00E71A9D">
        <w:rPr>
          <w:sz w:val="24"/>
          <w:szCs w:val="24"/>
        </w:rPr>
        <w:t>Based on our evaluation,</w:t>
      </w:r>
      <w:r w:rsidR="5AA30AE6" w:rsidRPr="00E71A9D">
        <w:rPr>
          <w:sz w:val="24"/>
          <w:szCs w:val="24"/>
        </w:rPr>
        <w:t xml:space="preserve"> </w:t>
      </w:r>
      <w:r w:rsidR="1F7D2265" w:rsidRPr="00E71A9D">
        <w:rPr>
          <w:sz w:val="24"/>
          <w:szCs w:val="24"/>
        </w:rPr>
        <w:t xml:space="preserve">sensitive people </w:t>
      </w:r>
      <w:r w:rsidR="1D5C2F06" w:rsidRPr="00E71A9D">
        <w:rPr>
          <w:sz w:val="24"/>
          <w:szCs w:val="24"/>
        </w:rPr>
        <w:t>m</w:t>
      </w:r>
      <w:r w:rsidR="4E5C7C47" w:rsidRPr="00E71A9D">
        <w:rPr>
          <w:sz w:val="24"/>
          <w:szCs w:val="24"/>
        </w:rPr>
        <w:t xml:space="preserve">ay have experienced short-term </w:t>
      </w:r>
      <w:r w:rsidR="2C1DFBBF" w:rsidRPr="00E71A9D">
        <w:rPr>
          <w:sz w:val="24"/>
          <w:szCs w:val="24"/>
        </w:rPr>
        <w:t xml:space="preserve">respiratory effects, such as </w:t>
      </w:r>
      <w:r w:rsidR="4E5C7C47" w:rsidRPr="00E71A9D">
        <w:rPr>
          <w:sz w:val="24"/>
          <w:szCs w:val="24"/>
        </w:rPr>
        <w:t>irritation</w:t>
      </w:r>
      <w:r w:rsidR="08925266" w:rsidRPr="00E71A9D">
        <w:rPr>
          <w:sz w:val="24"/>
          <w:szCs w:val="24"/>
        </w:rPr>
        <w:t xml:space="preserve">, </w:t>
      </w:r>
      <w:r w:rsidR="4E5C7C47" w:rsidRPr="00E71A9D">
        <w:rPr>
          <w:sz w:val="24"/>
          <w:szCs w:val="24"/>
        </w:rPr>
        <w:t xml:space="preserve">and </w:t>
      </w:r>
      <w:r w:rsidR="55642683" w:rsidRPr="00E71A9D">
        <w:rPr>
          <w:sz w:val="24"/>
          <w:szCs w:val="24"/>
        </w:rPr>
        <w:t>may</w:t>
      </w:r>
      <w:r w:rsidR="4520554B" w:rsidRPr="00E71A9D">
        <w:rPr>
          <w:sz w:val="24"/>
          <w:szCs w:val="24"/>
        </w:rPr>
        <w:t xml:space="preserve"> have</w:t>
      </w:r>
      <w:r w:rsidR="4E5C7C47" w:rsidRPr="00E71A9D">
        <w:rPr>
          <w:sz w:val="24"/>
          <w:szCs w:val="24"/>
        </w:rPr>
        <w:t xml:space="preserve"> </w:t>
      </w:r>
      <w:r w:rsidR="596B5D85">
        <w:rPr>
          <w:sz w:val="24"/>
          <w:szCs w:val="24"/>
        </w:rPr>
        <w:t>had</w:t>
      </w:r>
      <w:r w:rsidR="596B5D85" w:rsidRPr="00E71A9D">
        <w:rPr>
          <w:sz w:val="24"/>
          <w:szCs w:val="24"/>
        </w:rPr>
        <w:t xml:space="preserve"> </w:t>
      </w:r>
      <w:r w:rsidR="38F3512D" w:rsidRPr="00E71A9D">
        <w:rPr>
          <w:sz w:val="24"/>
          <w:szCs w:val="24"/>
        </w:rPr>
        <w:t>an increased</w:t>
      </w:r>
      <w:r w:rsidR="4E5C7C47" w:rsidRPr="00E71A9D">
        <w:rPr>
          <w:sz w:val="24"/>
          <w:szCs w:val="24"/>
        </w:rPr>
        <w:t xml:space="preserve"> risk of cardiovascular effects</w:t>
      </w:r>
      <w:r w:rsidR="0BF9A642" w:rsidRPr="00E71A9D">
        <w:rPr>
          <w:sz w:val="24"/>
          <w:szCs w:val="24"/>
        </w:rPr>
        <w:t xml:space="preserve"> </w:t>
      </w:r>
      <w:r w:rsidR="2F1E642F" w:rsidRPr="00E71A9D">
        <w:rPr>
          <w:sz w:val="24"/>
          <w:szCs w:val="24"/>
        </w:rPr>
        <w:t>associated with</w:t>
      </w:r>
      <w:r w:rsidR="504B32FA" w:rsidRPr="00E71A9D">
        <w:rPr>
          <w:sz w:val="24"/>
          <w:szCs w:val="24"/>
        </w:rPr>
        <w:t xml:space="preserve"> breathing </w:t>
      </w:r>
      <w:r w:rsidR="6C95D055" w:rsidRPr="00E71A9D">
        <w:rPr>
          <w:sz w:val="24"/>
          <w:szCs w:val="24"/>
        </w:rPr>
        <w:t xml:space="preserve">contaminants </w:t>
      </w:r>
      <w:r w:rsidR="68D10B1C" w:rsidRPr="00E71A9D">
        <w:rPr>
          <w:sz w:val="24"/>
          <w:szCs w:val="24"/>
        </w:rPr>
        <w:t>from</w:t>
      </w:r>
      <w:r w:rsidR="597D78AF" w:rsidRPr="00E71A9D">
        <w:rPr>
          <w:sz w:val="24"/>
          <w:szCs w:val="24"/>
        </w:rPr>
        <w:t xml:space="preserve"> the fire</w:t>
      </w:r>
      <w:r w:rsidR="4E5C7C47" w:rsidRPr="00E71A9D">
        <w:rPr>
          <w:sz w:val="24"/>
          <w:szCs w:val="24"/>
        </w:rPr>
        <w:t xml:space="preserve">. </w:t>
      </w:r>
      <w:r w:rsidR="753BD992" w:rsidRPr="00E71A9D">
        <w:rPr>
          <w:sz w:val="24"/>
          <w:szCs w:val="24"/>
        </w:rPr>
        <w:t>W</w:t>
      </w:r>
      <w:r w:rsidR="72598E03" w:rsidRPr="00E71A9D">
        <w:rPr>
          <w:sz w:val="24"/>
          <w:szCs w:val="24"/>
        </w:rPr>
        <w:t xml:space="preserve">e do not expect </w:t>
      </w:r>
      <w:r w:rsidR="3F539802" w:rsidRPr="00E71A9D">
        <w:rPr>
          <w:sz w:val="24"/>
          <w:szCs w:val="24"/>
        </w:rPr>
        <w:t xml:space="preserve">that </w:t>
      </w:r>
      <w:r w:rsidR="34730E93" w:rsidRPr="00E71A9D">
        <w:rPr>
          <w:sz w:val="24"/>
          <w:szCs w:val="24"/>
        </w:rPr>
        <w:t>th</w:t>
      </w:r>
      <w:r w:rsidR="39F2326D" w:rsidRPr="00E71A9D">
        <w:rPr>
          <w:sz w:val="24"/>
          <w:szCs w:val="24"/>
        </w:rPr>
        <w:t xml:space="preserve">is </w:t>
      </w:r>
      <w:r w:rsidR="00F35A03">
        <w:rPr>
          <w:sz w:val="24"/>
          <w:szCs w:val="24"/>
        </w:rPr>
        <w:t>brief (</w:t>
      </w:r>
      <w:r w:rsidR="39F2326D" w:rsidRPr="00E71A9D">
        <w:rPr>
          <w:sz w:val="24"/>
          <w:szCs w:val="24"/>
        </w:rPr>
        <w:t>acute</w:t>
      </w:r>
      <w:r w:rsidR="00F35A03">
        <w:rPr>
          <w:sz w:val="24"/>
          <w:szCs w:val="24"/>
        </w:rPr>
        <w:t>)</w:t>
      </w:r>
      <w:r w:rsidR="39F2326D" w:rsidRPr="00E71A9D">
        <w:rPr>
          <w:sz w:val="24"/>
          <w:szCs w:val="24"/>
        </w:rPr>
        <w:t xml:space="preserve"> exposure would result in</w:t>
      </w:r>
      <w:r w:rsidR="12CF342A" w:rsidRPr="00E71A9D">
        <w:rPr>
          <w:sz w:val="24"/>
          <w:szCs w:val="24"/>
        </w:rPr>
        <w:t xml:space="preserve"> </w:t>
      </w:r>
      <w:r w:rsidR="6A5137E5" w:rsidRPr="00E71A9D">
        <w:rPr>
          <w:sz w:val="24"/>
          <w:szCs w:val="24"/>
        </w:rPr>
        <w:t>any</w:t>
      </w:r>
      <w:r w:rsidR="724C73C1" w:rsidRPr="00E71A9D">
        <w:rPr>
          <w:sz w:val="24"/>
          <w:szCs w:val="24"/>
        </w:rPr>
        <w:t xml:space="preserve"> </w:t>
      </w:r>
      <w:r w:rsidR="12CF342A" w:rsidRPr="00E71A9D">
        <w:rPr>
          <w:sz w:val="24"/>
          <w:szCs w:val="24"/>
        </w:rPr>
        <w:t>long-term health impacts</w:t>
      </w:r>
      <w:r w:rsidR="532E2339" w:rsidRPr="00E71A9D">
        <w:rPr>
          <w:sz w:val="24"/>
          <w:szCs w:val="24"/>
        </w:rPr>
        <w:t xml:space="preserve">, and we do not expect that the fire has resulted in opportunities for </w:t>
      </w:r>
      <w:r w:rsidR="10225110" w:rsidRPr="00E71A9D">
        <w:rPr>
          <w:sz w:val="24"/>
          <w:szCs w:val="24"/>
        </w:rPr>
        <w:t>continued (chronic) exposure</w:t>
      </w:r>
      <w:r w:rsidR="2C06DDC1" w:rsidRPr="00E71A9D">
        <w:rPr>
          <w:sz w:val="24"/>
          <w:szCs w:val="24"/>
        </w:rPr>
        <w:t xml:space="preserve"> </w:t>
      </w:r>
      <w:r w:rsidR="7D0A7E31" w:rsidRPr="00E71A9D">
        <w:rPr>
          <w:sz w:val="24"/>
          <w:szCs w:val="24"/>
        </w:rPr>
        <w:t xml:space="preserve">to </w:t>
      </w:r>
      <w:r w:rsidR="39287C93" w:rsidRPr="00E71A9D">
        <w:rPr>
          <w:sz w:val="24"/>
          <w:szCs w:val="24"/>
        </w:rPr>
        <w:t xml:space="preserve">residual </w:t>
      </w:r>
      <w:r w:rsidR="7D0A7E31" w:rsidRPr="00E71A9D">
        <w:rPr>
          <w:sz w:val="24"/>
          <w:szCs w:val="24"/>
        </w:rPr>
        <w:t>contamination</w:t>
      </w:r>
      <w:r w:rsidR="72598E03" w:rsidRPr="00E71A9D">
        <w:rPr>
          <w:sz w:val="24"/>
          <w:szCs w:val="24"/>
        </w:rPr>
        <w:t>.</w:t>
      </w:r>
      <w:r w:rsidR="0C8BB768" w:rsidRPr="00E71A9D">
        <w:rPr>
          <w:sz w:val="24"/>
          <w:szCs w:val="24"/>
        </w:rPr>
        <w:t xml:space="preserve"> </w:t>
      </w:r>
    </w:p>
    <w:p w14:paraId="54770F01" w14:textId="77777777" w:rsidR="00E71A9D" w:rsidRDefault="00E71A9D" w:rsidP="00E71A9D">
      <w:pPr>
        <w:pStyle w:val="Heading2"/>
        <w:spacing w:after="0" w:line="240" w:lineRule="auto"/>
      </w:pPr>
    </w:p>
    <w:p w14:paraId="471EAF42" w14:textId="43C97EA6" w:rsidR="00E71A9D" w:rsidRDefault="00094B81" w:rsidP="00B576C2">
      <w:pPr>
        <w:pStyle w:val="Heading2"/>
        <w:spacing w:after="0" w:line="240" w:lineRule="auto"/>
      </w:pPr>
      <w:r>
        <w:t>1.2</w:t>
      </w:r>
      <w:r>
        <w:tab/>
      </w:r>
      <w:r w:rsidR="004F5207" w:rsidRPr="006F78DA">
        <w:t>B</w:t>
      </w:r>
      <w:r w:rsidR="006F78DA">
        <w:t>ackground</w:t>
      </w:r>
    </w:p>
    <w:p w14:paraId="6F7EA986" w14:textId="03D8D776" w:rsidR="00F35DEC" w:rsidRDefault="5AB837F7" w:rsidP="00FD7D2D">
      <w:pPr>
        <w:keepNext/>
        <w:spacing w:after="0" w:line="240" w:lineRule="auto"/>
        <w:jc w:val="both"/>
        <w:rPr>
          <w:sz w:val="24"/>
          <w:szCs w:val="24"/>
        </w:rPr>
      </w:pPr>
      <w:r w:rsidRPr="23A4FC9A">
        <w:rPr>
          <w:sz w:val="24"/>
          <w:szCs w:val="24"/>
        </w:rPr>
        <w:t xml:space="preserve">Clean Harbors Reclamation Facility is the largest </w:t>
      </w:r>
      <w:r w:rsidR="4F982A1E" w:rsidRPr="23A4FC9A">
        <w:rPr>
          <w:sz w:val="24"/>
          <w:szCs w:val="24"/>
        </w:rPr>
        <w:t xml:space="preserve">hazardous </w:t>
      </w:r>
      <w:r w:rsidRPr="23A4FC9A">
        <w:rPr>
          <w:sz w:val="24"/>
          <w:szCs w:val="24"/>
        </w:rPr>
        <w:t xml:space="preserve">waste </w:t>
      </w:r>
      <w:r w:rsidR="2AD4D24B" w:rsidRPr="23A4FC9A">
        <w:rPr>
          <w:sz w:val="24"/>
          <w:szCs w:val="24"/>
        </w:rPr>
        <w:t>treatment, storage, and transfer</w:t>
      </w:r>
      <w:r w:rsidRPr="23A4FC9A">
        <w:rPr>
          <w:sz w:val="24"/>
          <w:szCs w:val="24"/>
        </w:rPr>
        <w:t xml:space="preserve"> facility in New England</w:t>
      </w:r>
      <w:r w:rsidR="7A436408" w:rsidRPr="23A4FC9A">
        <w:rPr>
          <w:sz w:val="24"/>
          <w:szCs w:val="24"/>
        </w:rPr>
        <w:t>, and is licensed by the Massachusetts Department of Environmental Protection (MassDEP)</w:t>
      </w:r>
      <w:r w:rsidRPr="23A4FC9A">
        <w:rPr>
          <w:sz w:val="24"/>
          <w:szCs w:val="24"/>
        </w:rPr>
        <w:t xml:space="preserve">. It stores and processes a broad range of hazardous materials in </w:t>
      </w:r>
      <w:r w:rsidR="13F3805B" w:rsidRPr="23A4FC9A">
        <w:rPr>
          <w:sz w:val="24"/>
          <w:szCs w:val="24"/>
        </w:rPr>
        <w:t xml:space="preserve">various </w:t>
      </w:r>
      <w:r w:rsidR="4D593A24" w:rsidRPr="23A4FC9A">
        <w:rPr>
          <w:sz w:val="24"/>
          <w:szCs w:val="24"/>
        </w:rPr>
        <w:t>forms</w:t>
      </w:r>
      <w:r w:rsidRPr="23A4FC9A">
        <w:rPr>
          <w:sz w:val="24"/>
          <w:szCs w:val="24"/>
        </w:rPr>
        <w:t xml:space="preserve"> (</w:t>
      </w:r>
      <w:r w:rsidR="629D3CAD" w:rsidRPr="23A4FC9A">
        <w:rPr>
          <w:sz w:val="24"/>
          <w:szCs w:val="24"/>
        </w:rPr>
        <w:t>CH,</w:t>
      </w:r>
      <w:r w:rsidR="60D5A75E" w:rsidRPr="23A4FC9A">
        <w:rPr>
          <w:sz w:val="24"/>
          <w:szCs w:val="24"/>
        </w:rPr>
        <w:t xml:space="preserve"> </w:t>
      </w:r>
      <w:r w:rsidR="13EDEAC1" w:rsidRPr="23A4FC9A">
        <w:rPr>
          <w:sz w:val="24"/>
          <w:szCs w:val="24"/>
        </w:rPr>
        <w:t>2023</w:t>
      </w:r>
      <w:r w:rsidR="4D593A24" w:rsidRPr="23A4FC9A">
        <w:rPr>
          <w:sz w:val="24"/>
          <w:szCs w:val="24"/>
        </w:rPr>
        <w:t>).</w:t>
      </w:r>
      <w:r w:rsidRPr="23A4FC9A">
        <w:rPr>
          <w:sz w:val="24"/>
          <w:szCs w:val="24"/>
        </w:rPr>
        <w:t xml:space="preserve"> Clean Harbors is located along the Fore River Basin, which houses several industrial properties including: the Calpine Fore River Energy Center, the Braintree Electric Light Department, Twin Rivers Technology, New England Fertilizer Company, Massachusetts Water Resources Authority intermediate pump station, Citgo, and Sprague Energy (MDPH</w:t>
      </w:r>
      <w:r w:rsidR="4BAE4C24" w:rsidRPr="23A4FC9A">
        <w:rPr>
          <w:sz w:val="24"/>
          <w:szCs w:val="24"/>
        </w:rPr>
        <w:t>/MassDEP/MAPC</w:t>
      </w:r>
      <w:r w:rsidRPr="23A4FC9A">
        <w:rPr>
          <w:sz w:val="24"/>
          <w:szCs w:val="24"/>
        </w:rPr>
        <w:t>, 2019).</w:t>
      </w:r>
    </w:p>
    <w:p w14:paraId="627F2B52" w14:textId="77777777" w:rsidR="00E71A9D" w:rsidRPr="00E71A9D" w:rsidRDefault="00E71A9D" w:rsidP="00E71A9D">
      <w:pPr>
        <w:keepNext/>
        <w:spacing w:after="0" w:line="240" w:lineRule="auto"/>
        <w:rPr>
          <w:sz w:val="24"/>
          <w:szCs w:val="24"/>
        </w:rPr>
      </w:pPr>
    </w:p>
    <w:p w14:paraId="3C46113E" w14:textId="39FFE085" w:rsidR="00F35DEC" w:rsidRPr="00E71A9D" w:rsidRDefault="41882916" w:rsidP="00FD7D2D">
      <w:pPr>
        <w:keepNext/>
        <w:spacing w:after="0" w:line="240" w:lineRule="auto"/>
        <w:jc w:val="both"/>
        <w:rPr>
          <w:sz w:val="24"/>
          <w:szCs w:val="24"/>
        </w:rPr>
      </w:pPr>
      <w:r w:rsidRPr="00E71A9D">
        <w:rPr>
          <w:sz w:val="24"/>
          <w:szCs w:val="24"/>
        </w:rPr>
        <w:t>On</w:t>
      </w:r>
      <w:r w:rsidR="542BE9E1" w:rsidRPr="00E71A9D">
        <w:rPr>
          <w:sz w:val="24"/>
          <w:szCs w:val="24"/>
        </w:rPr>
        <w:t xml:space="preserve"> the evening of February 16, 2023, at approximately 10</w:t>
      </w:r>
      <w:r w:rsidR="3928907E" w:rsidRPr="00E71A9D">
        <w:rPr>
          <w:sz w:val="24"/>
          <w:szCs w:val="24"/>
        </w:rPr>
        <w:t xml:space="preserve"> </w:t>
      </w:r>
      <w:r w:rsidR="542BE9E1" w:rsidRPr="00E71A9D">
        <w:rPr>
          <w:sz w:val="24"/>
          <w:szCs w:val="24"/>
        </w:rPr>
        <w:t xml:space="preserve">PM, smoke and a possible fire was reported in the loading dock area of the Clean Harbors Reclamation Facility on 1 Hill Ave (BTC, 2023). </w:t>
      </w:r>
      <w:r w:rsidR="71281E9A" w:rsidRPr="00E71A9D">
        <w:rPr>
          <w:sz w:val="24"/>
          <w:szCs w:val="24"/>
        </w:rPr>
        <w:t>T</w:t>
      </w:r>
      <w:r w:rsidR="542BE9E1" w:rsidRPr="00E71A9D">
        <w:rPr>
          <w:sz w:val="24"/>
          <w:szCs w:val="24"/>
        </w:rPr>
        <w:t xml:space="preserve">he Braintree Fire Department (BFD) </w:t>
      </w:r>
      <w:r w:rsidR="7A9D7557" w:rsidRPr="00E71A9D">
        <w:rPr>
          <w:sz w:val="24"/>
          <w:szCs w:val="24"/>
        </w:rPr>
        <w:t>was</w:t>
      </w:r>
      <w:r w:rsidR="542BE9E1" w:rsidRPr="00E71A9D">
        <w:rPr>
          <w:sz w:val="24"/>
          <w:szCs w:val="24"/>
        </w:rPr>
        <w:t xml:space="preserve"> dispatched to this area </w:t>
      </w:r>
      <w:r w:rsidR="0568D60D" w:rsidRPr="00E71A9D">
        <w:rPr>
          <w:sz w:val="24"/>
          <w:szCs w:val="24"/>
        </w:rPr>
        <w:t xml:space="preserve">and </w:t>
      </w:r>
      <w:r w:rsidR="3CA1D5C6" w:rsidRPr="00E71A9D">
        <w:rPr>
          <w:sz w:val="24"/>
          <w:szCs w:val="24"/>
        </w:rPr>
        <w:t>rep</w:t>
      </w:r>
      <w:r w:rsidR="4D0D2A6D" w:rsidRPr="00E71A9D">
        <w:rPr>
          <w:sz w:val="24"/>
          <w:szCs w:val="24"/>
        </w:rPr>
        <w:t>o</w:t>
      </w:r>
      <w:r w:rsidR="3CA1D5C6" w:rsidRPr="00E71A9D">
        <w:rPr>
          <w:sz w:val="24"/>
          <w:szCs w:val="24"/>
        </w:rPr>
        <w:t>rted</w:t>
      </w:r>
      <w:r w:rsidR="0568D60D" w:rsidRPr="00E71A9D">
        <w:rPr>
          <w:sz w:val="24"/>
          <w:szCs w:val="24"/>
        </w:rPr>
        <w:t xml:space="preserve"> that </w:t>
      </w:r>
      <w:r w:rsidR="542BE9E1" w:rsidRPr="00E71A9D">
        <w:rPr>
          <w:sz w:val="24"/>
          <w:szCs w:val="24"/>
        </w:rPr>
        <w:t xml:space="preserve">four of </w:t>
      </w:r>
      <w:r w:rsidR="5D058920" w:rsidRPr="00E71A9D">
        <w:rPr>
          <w:sz w:val="24"/>
          <w:szCs w:val="24"/>
        </w:rPr>
        <w:t xml:space="preserve">the </w:t>
      </w:r>
      <w:r w:rsidR="542BE9E1" w:rsidRPr="00E71A9D">
        <w:rPr>
          <w:sz w:val="24"/>
          <w:szCs w:val="24"/>
        </w:rPr>
        <w:t xml:space="preserve">nine trailers in the vicinity of the loading dock were </w:t>
      </w:r>
      <w:r w:rsidR="01AF1F58" w:rsidRPr="00E71A9D">
        <w:rPr>
          <w:sz w:val="24"/>
          <w:szCs w:val="24"/>
        </w:rPr>
        <w:t xml:space="preserve">fully involved in </w:t>
      </w:r>
      <w:r w:rsidR="066E44C1" w:rsidRPr="00E71A9D">
        <w:rPr>
          <w:sz w:val="24"/>
          <w:szCs w:val="24"/>
        </w:rPr>
        <w:t>an on-site</w:t>
      </w:r>
      <w:r w:rsidR="01AF1F58" w:rsidRPr="00E71A9D">
        <w:rPr>
          <w:sz w:val="24"/>
          <w:szCs w:val="24"/>
        </w:rPr>
        <w:t xml:space="preserve"> fire</w:t>
      </w:r>
      <w:r w:rsidR="542BE9E1" w:rsidRPr="00E71A9D">
        <w:rPr>
          <w:sz w:val="24"/>
          <w:szCs w:val="24"/>
        </w:rPr>
        <w:t xml:space="preserve">. The BFD controlled the fire, and the remaining five trailers were not </w:t>
      </w:r>
      <w:r w:rsidR="269D6465" w:rsidRPr="00E71A9D">
        <w:rPr>
          <w:sz w:val="24"/>
          <w:szCs w:val="24"/>
        </w:rPr>
        <w:t>involved</w:t>
      </w:r>
      <w:r w:rsidR="542BE9E1" w:rsidRPr="00E71A9D">
        <w:rPr>
          <w:sz w:val="24"/>
          <w:szCs w:val="24"/>
        </w:rPr>
        <w:t xml:space="preserve">. </w:t>
      </w:r>
    </w:p>
    <w:p w14:paraId="722C7960" w14:textId="77777777" w:rsidR="00E71A9D" w:rsidRDefault="00E71A9D" w:rsidP="00E71A9D">
      <w:pPr>
        <w:keepNext/>
        <w:spacing w:after="0" w:line="240" w:lineRule="auto"/>
        <w:rPr>
          <w:sz w:val="24"/>
          <w:szCs w:val="24"/>
        </w:rPr>
      </w:pPr>
    </w:p>
    <w:p w14:paraId="730D59A9" w14:textId="15336739" w:rsidR="00F35DEC" w:rsidRPr="00E71A9D" w:rsidRDefault="124B5089" w:rsidP="00364D96">
      <w:pPr>
        <w:keepNext/>
        <w:spacing w:after="0" w:line="240" w:lineRule="auto"/>
        <w:jc w:val="both"/>
        <w:rPr>
          <w:sz w:val="24"/>
          <w:szCs w:val="24"/>
        </w:rPr>
      </w:pPr>
      <w:r w:rsidRPr="00E71A9D">
        <w:rPr>
          <w:sz w:val="24"/>
          <w:szCs w:val="24"/>
        </w:rPr>
        <w:t xml:space="preserve">According to </w:t>
      </w:r>
      <w:r w:rsidR="4525142D" w:rsidRPr="00E71A9D">
        <w:rPr>
          <w:sz w:val="24"/>
          <w:szCs w:val="24"/>
        </w:rPr>
        <w:t xml:space="preserve">a </w:t>
      </w:r>
      <w:r w:rsidR="4993CDA2" w:rsidRPr="00E71A9D">
        <w:rPr>
          <w:sz w:val="24"/>
          <w:szCs w:val="24"/>
        </w:rPr>
        <w:t>D</w:t>
      </w:r>
      <w:r w:rsidR="4993CDA2" w:rsidRPr="2B0C61C7">
        <w:rPr>
          <w:sz w:val="24"/>
          <w:szCs w:val="24"/>
        </w:rPr>
        <w:t xml:space="preserve">epartment of </w:t>
      </w:r>
      <w:r w:rsidR="4993CDA2" w:rsidRPr="00E71A9D">
        <w:rPr>
          <w:sz w:val="24"/>
          <w:szCs w:val="24"/>
        </w:rPr>
        <w:t>F</w:t>
      </w:r>
      <w:r w:rsidR="4993CDA2" w:rsidRPr="2B0C61C7">
        <w:rPr>
          <w:sz w:val="24"/>
          <w:szCs w:val="24"/>
        </w:rPr>
        <w:t xml:space="preserve">ire </w:t>
      </w:r>
      <w:r w:rsidR="4993CDA2" w:rsidRPr="00E71A9D">
        <w:rPr>
          <w:sz w:val="24"/>
          <w:szCs w:val="24"/>
        </w:rPr>
        <w:t>S</w:t>
      </w:r>
      <w:r w:rsidR="4993CDA2" w:rsidRPr="2B0C61C7">
        <w:rPr>
          <w:sz w:val="24"/>
          <w:szCs w:val="24"/>
        </w:rPr>
        <w:t xml:space="preserve">ervices </w:t>
      </w:r>
      <w:r w:rsidR="4993CDA2">
        <w:rPr>
          <w:sz w:val="24"/>
          <w:szCs w:val="24"/>
        </w:rPr>
        <w:t>(</w:t>
      </w:r>
      <w:r w:rsidRPr="00E71A9D">
        <w:rPr>
          <w:sz w:val="24"/>
          <w:szCs w:val="24"/>
        </w:rPr>
        <w:t>DFS</w:t>
      </w:r>
      <w:r w:rsidR="4993CDA2">
        <w:rPr>
          <w:sz w:val="24"/>
          <w:szCs w:val="24"/>
        </w:rPr>
        <w:t>)</w:t>
      </w:r>
      <w:r w:rsidRPr="00E71A9D">
        <w:rPr>
          <w:sz w:val="24"/>
          <w:szCs w:val="24"/>
        </w:rPr>
        <w:t xml:space="preserve"> </w:t>
      </w:r>
      <w:r w:rsidR="2330B440" w:rsidRPr="00E71A9D">
        <w:rPr>
          <w:sz w:val="24"/>
          <w:szCs w:val="24"/>
        </w:rPr>
        <w:t>Hazardous Materials Emergency Response Division Team (</w:t>
      </w:r>
      <w:r w:rsidRPr="00E71A9D">
        <w:rPr>
          <w:sz w:val="24"/>
          <w:szCs w:val="24"/>
        </w:rPr>
        <w:t>HazMat</w:t>
      </w:r>
      <w:r w:rsidR="2330B440" w:rsidRPr="00E71A9D">
        <w:rPr>
          <w:sz w:val="24"/>
          <w:szCs w:val="24"/>
        </w:rPr>
        <w:t>)</w:t>
      </w:r>
      <w:r w:rsidRPr="00E71A9D">
        <w:rPr>
          <w:sz w:val="24"/>
          <w:szCs w:val="24"/>
        </w:rPr>
        <w:t xml:space="preserve"> </w:t>
      </w:r>
      <w:r w:rsidR="46D97F10" w:rsidRPr="00E71A9D">
        <w:rPr>
          <w:sz w:val="24"/>
          <w:szCs w:val="24"/>
        </w:rPr>
        <w:t xml:space="preserve">incident </w:t>
      </w:r>
      <w:r w:rsidRPr="00E71A9D">
        <w:rPr>
          <w:sz w:val="24"/>
          <w:szCs w:val="24"/>
        </w:rPr>
        <w:t>report</w:t>
      </w:r>
      <w:r w:rsidR="42FF4BEF" w:rsidRPr="00E71A9D">
        <w:rPr>
          <w:sz w:val="24"/>
          <w:szCs w:val="24"/>
        </w:rPr>
        <w:t xml:space="preserve"> provided by MassDEP</w:t>
      </w:r>
      <w:r w:rsidRPr="00E71A9D">
        <w:rPr>
          <w:sz w:val="24"/>
          <w:szCs w:val="24"/>
        </w:rPr>
        <w:t xml:space="preserve">, the fire </w:t>
      </w:r>
      <w:r w:rsidR="2330B440" w:rsidRPr="00E71A9D">
        <w:rPr>
          <w:sz w:val="24"/>
          <w:szCs w:val="24"/>
        </w:rPr>
        <w:t xml:space="preserve">burned for </w:t>
      </w:r>
      <w:r w:rsidRPr="00E71A9D">
        <w:rPr>
          <w:sz w:val="24"/>
          <w:szCs w:val="24"/>
        </w:rPr>
        <w:t xml:space="preserve">4 hours and 37 minutes (DFS, 2023). The BFD did not use firefighting foam and applied water only to the burning trailers. </w:t>
      </w:r>
      <w:r w:rsidR="75B92A3B" w:rsidRPr="2B0C61C7">
        <w:rPr>
          <w:sz w:val="24"/>
          <w:szCs w:val="24"/>
        </w:rPr>
        <w:t xml:space="preserve">Approximately </w:t>
      </w:r>
      <w:r w:rsidRPr="00E71A9D">
        <w:rPr>
          <w:sz w:val="24"/>
          <w:szCs w:val="24"/>
        </w:rPr>
        <w:t xml:space="preserve">330,000 gallons of firefighting water </w:t>
      </w:r>
      <w:r w:rsidR="554236FF" w:rsidRPr="00E71A9D">
        <w:rPr>
          <w:sz w:val="24"/>
          <w:szCs w:val="24"/>
        </w:rPr>
        <w:t>w</w:t>
      </w:r>
      <w:r w:rsidR="0DD600B1" w:rsidRPr="00E71A9D">
        <w:rPr>
          <w:sz w:val="24"/>
          <w:szCs w:val="24"/>
        </w:rPr>
        <w:t>as captured</w:t>
      </w:r>
      <w:r w:rsidRPr="00E71A9D">
        <w:rPr>
          <w:sz w:val="24"/>
          <w:szCs w:val="24"/>
        </w:rPr>
        <w:t xml:space="preserve"> in fracture tanks</w:t>
      </w:r>
      <w:r w:rsidR="00F35DEC" w:rsidRPr="00E71A9D">
        <w:rPr>
          <w:rStyle w:val="FootnoteReference"/>
          <w:sz w:val="24"/>
          <w:szCs w:val="24"/>
        </w:rPr>
        <w:footnoteReference w:id="2"/>
      </w:r>
      <w:r w:rsidRPr="00E71A9D">
        <w:rPr>
          <w:sz w:val="24"/>
          <w:szCs w:val="24"/>
        </w:rPr>
        <w:t xml:space="preserve"> to be shipped off-site for processing and proper disposal. In addition to the BFD, representatives from </w:t>
      </w:r>
      <w:r w:rsidRPr="00E71A9D">
        <w:rPr>
          <w:sz w:val="24"/>
          <w:szCs w:val="24"/>
        </w:rPr>
        <w:lastRenderedPageBreak/>
        <w:t xml:space="preserve">Clean Harbors, DFS State HazMat Team, Massachusetts State Police Fire Investigators, MassDEP, the Coast Guard, Brewster Ambulance, and emergency response personnel from Quincy, Weymouth, Randolph, and Holbrook </w:t>
      </w:r>
      <w:r w:rsidR="1C6726E7" w:rsidRPr="00E71A9D">
        <w:rPr>
          <w:sz w:val="24"/>
          <w:szCs w:val="24"/>
        </w:rPr>
        <w:t>participated in the response to</w:t>
      </w:r>
      <w:r w:rsidRPr="00E71A9D">
        <w:rPr>
          <w:sz w:val="24"/>
          <w:szCs w:val="24"/>
        </w:rPr>
        <w:t xml:space="preserve"> the fire (BTC, 2023).</w:t>
      </w:r>
      <w:r w:rsidR="1C95047C">
        <w:rPr>
          <w:sz w:val="24"/>
          <w:szCs w:val="24"/>
        </w:rPr>
        <w:t xml:space="preserve"> </w:t>
      </w:r>
      <w:r w:rsidR="1C95047C" w:rsidRPr="2B0C61C7">
        <w:rPr>
          <w:sz w:val="24"/>
          <w:szCs w:val="24"/>
        </w:rPr>
        <w:t xml:space="preserve">Because the fire constituted a potential release of oil and hazardous material, Clean Harbors notified MassDEP of the potential release in accordance with the Massachusetts Contingency Plan (MCP) and retained a Licensed Site Professional (LSP) to oversee response actions.  </w:t>
      </w:r>
    </w:p>
    <w:p w14:paraId="43822535" w14:textId="77777777" w:rsidR="00E71A9D" w:rsidRDefault="00E71A9D" w:rsidP="00E71A9D">
      <w:pPr>
        <w:keepNext/>
        <w:spacing w:after="0" w:line="240" w:lineRule="auto"/>
        <w:rPr>
          <w:sz w:val="24"/>
          <w:szCs w:val="24"/>
        </w:rPr>
      </w:pPr>
    </w:p>
    <w:p w14:paraId="6235993C" w14:textId="7B790663" w:rsidR="00F35DEC" w:rsidRDefault="124B5089" w:rsidP="00364D96">
      <w:pPr>
        <w:keepNext/>
        <w:spacing w:after="0" w:line="240" w:lineRule="auto"/>
        <w:jc w:val="both"/>
        <w:rPr>
          <w:sz w:val="24"/>
          <w:szCs w:val="24"/>
        </w:rPr>
      </w:pPr>
      <w:r w:rsidRPr="23A4FC9A">
        <w:rPr>
          <w:sz w:val="24"/>
          <w:szCs w:val="24"/>
        </w:rPr>
        <w:t xml:space="preserve">According to the Immediate Response Action Completion (IRAC) report completed by the </w:t>
      </w:r>
      <w:r w:rsidR="5098B863" w:rsidRPr="23A4FC9A">
        <w:rPr>
          <w:sz w:val="24"/>
          <w:szCs w:val="24"/>
        </w:rPr>
        <w:t xml:space="preserve">Tetra Tech </w:t>
      </w:r>
      <w:r w:rsidRPr="23A4FC9A">
        <w:rPr>
          <w:sz w:val="24"/>
          <w:szCs w:val="24"/>
        </w:rPr>
        <w:t>LSP, on behalf of Clean Harbors, the winds were light and variable on the night of the fire (TTI, 2023). Using the meteorological data from MassDEP</w:t>
      </w:r>
      <w:r w:rsidR="7B922F8D" w:rsidRPr="23A4FC9A">
        <w:rPr>
          <w:sz w:val="24"/>
          <w:szCs w:val="24"/>
        </w:rPr>
        <w:t xml:space="preserve">’s air monitoring station on </w:t>
      </w:r>
      <w:proofErr w:type="spellStart"/>
      <w:r w:rsidR="7B922F8D" w:rsidRPr="23A4FC9A">
        <w:rPr>
          <w:sz w:val="24"/>
          <w:szCs w:val="24"/>
        </w:rPr>
        <w:t>Monatiquot</w:t>
      </w:r>
      <w:proofErr w:type="spellEnd"/>
      <w:r w:rsidR="7B922F8D" w:rsidRPr="23A4FC9A">
        <w:rPr>
          <w:sz w:val="24"/>
          <w:szCs w:val="24"/>
        </w:rPr>
        <w:t xml:space="preserve"> Street in Weymouth</w:t>
      </w:r>
      <w:r w:rsidRPr="23A4FC9A">
        <w:rPr>
          <w:sz w:val="24"/>
          <w:szCs w:val="24"/>
        </w:rPr>
        <w:t xml:space="preserve">, the LSP </w:t>
      </w:r>
      <w:r w:rsidR="08A2A650" w:rsidRPr="23A4FC9A">
        <w:rPr>
          <w:sz w:val="24"/>
          <w:szCs w:val="24"/>
        </w:rPr>
        <w:t>opined that</w:t>
      </w:r>
      <w:r w:rsidRPr="23A4FC9A">
        <w:rPr>
          <w:sz w:val="24"/>
          <w:szCs w:val="24"/>
        </w:rPr>
        <w:t xml:space="preserve"> smoke from the Clean Harbors fire was likely disbursed in multiple directions from the facility location (TTI, 2023). </w:t>
      </w:r>
    </w:p>
    <w:p w14:paraId="415A8292" w14:textId="77777777" w:rsidR="00E71A9D" w:rsidRPr="00E71A9D" w:rsidRDefault="00E71A9D" w:rsidP="00E71A9D">
      <w:pPr>
        <w:keepNext/>
        <w:spacing w:after="0" w:line="240" w:lineRule="auto"/>
        <w:rPr>
          <w:sz w:val="24"/>
          <w:szCs w:val="24"/>
        </w:rPr>
      </w:pPr>
    </w:p>
    <w:p w14:paraId="3D4481EB" w14:textId="7A60F4CD" w:rsidR="00F35DEC" w:rsidRPr="00E71A9D" w:rsidRDefault="1178C33A" w:rsidP="00364D96">
      <w:pPr>
        <w:keepNext/>
        <w:spacing w:after="0" w:line="240" w:lineRule="auto"/>
        <w:jc w:val="both"/>
        <w:rPr>
          <w:sz w:val="24"/>
          <w:szCs w:val="24"/>
        </w:rPr>
      </w:pPr>
      <w:r w:rsidRPr="00E71A9D">
        <w:rPr>
          <w:sz w:val="24"/>
          <w:szCs w:val="24"/>
        </w:rPr>
        <w:t xml:space="preserve">According to the </w:t>
      </w:r>
      <w:proofErr w:type="spellStart"/>
      <w:r w:rsidRPr="00E71A9D">
        <w:rPr>
          <w:sz w:val="24"/>
          <w:szCs w:val="24"/>
        </w:rPr>
        <w:t>HAZMat</w:t>
      </w:r>
      <w:proofErr w:type="spellEnd"/>
      <w:r w:rsidRPr="00E71A9D">
        <w:rPr>
          <w:sz w:val="24"/>
          <w:szCs w:val="24"/>
        </w:rPr>
        <w:t xml:space="preserve"> Fire </w:t>
      </w:r>
      <w:r w:rsidR="6B7AA0C9" w:rsidRPr="00E71A9D">
        <w:rPr>
          <w:sz w:val="24"/>
          <w:szCs w:val="24"/>
        </w:rPr>
        <w:t>i</w:t>
      </w:r>
      <w:r w:rsidRPr="00E71A9D">
        <w:rPr>
          <w:sz w:val="24"/>
          <w:szCs w:val="24"/>
        </w:rPr>
        <w:t xml:space="preserve">ncident report, there were approximately 75 55-gallon drums of highly flammable liquids and solids in the trailer where the fire originated (DFS, 2023). These materials included carcinogenic and toxic chemicals. According to the IRAC report, approximately 18,786 pounds of combusted material </w:t>
      </w:r>
      <w:r w:rsidR="00296639">
        <w:rPr>
          <w:sz w:val="24"/>
          <w:szCs w:val="24"/>
        </w:rPr>
        <w:t>were</w:t>
      </w:r>
      <w:r w:rsidR="00296639" w:rsidRPr="00E71A9D">
        <w:rPr>
          <w:sz w:val="24"/>
          <w:szCs w:val="24"/>
        </w:rPr>
        <w:t xml:space="preserve"> </w:t>
      </w:r>
      <w:r w:rsidRPr="00E71A9D">
        <w:rPr>
          <w:sz w:val="24"/>
          <w:szCs w:val="24"/>
        </w:rPr>
        <w:t xml:space="preserve">emitted into the air during the fire (TTI, 2023). </w:t>
      </w:r>
    </w:p>
    <w:p w14:paraId="3F2FE4E0" w14:textId="77777777" w:rsidR="00E71A9D" w:rsidRDefault="00E71A9D" w:rsidP="00E71A9D">
      <w:pPr>
        <w:keepNext/>
        <w:spacing w:after="0" w:line="240" w:lineRule="auto"/>
        <w:rPr>
          <w:sz w:val="24"/>
          <w:szCs w:val="24"/>
        </w:rPr>
      </w:pPr>
    </w:p>
    <w:p w14:paraId="6A37C5DC" w14:textId="07BF0094" w:rsidR="00F35DEC" w:rsidRPr="00E71A9D" w:rsidRDefault="5E419FCC" w:rsidP="00364D96">
      <w:pPr>
        <w:keepNext/>
        <w:spacing w:after="0" w:line="240" w:lineRule="auto"/>
        <w:jc w:val="both"/>
        <w:rPr>
          <w:sz w:val="24"/>
          <w:szCs w:val="24"/>
        </w:rPr>
      </w:pPr>
      <w:r w:rsidRPr="23A4FC9A">
        <w:rPr>
          <w:sz w:val="24"/>
          <w:szCs w:val="24"/>
        </w:rPr>
        <w:t xml:space="preserve">MDPH and MassDEP have collaborated with the Braintree Town Council, Mayor’s Office, and Health Department to support the town and its residents in understanding the </w:t>
      </w:r>
      <w:r w:rsidR="4B4944B6" w:rsidRPr="23A4FC9A">
        <w:rPr>
          <w:sz w:val="24"/>
          <w:szCs w:val="24"/>
        </w:rPr>
        <w:t xml:space="preserve">potential </w:t>
      </w:r>
      <w:r w:rsidRPr="23A4FC9A">
        <w:rPr>
          <w:sz w:val="24"/>
          <w:szCs w:val="24"/>
        </w:rPr>
        <w:t xml:space="preserve">health effects related to the fire. </w:t>
      </w:r>
      <w:r w:rsidR="0DD3F53E" w:rsidRPr="23A4FC9A">
        <w:rPr>
          <w:sz w:val="24"/>
          <w:szCs w:val="24"/>
        </w:rPr>
        <w:t xml:space="preserve">The </w:t>
      </w:r>
      <w:r w:rsidR="743BD6FA" w:rsidRPr="23A4FC9A">
        <w:rPr>
          <w:sz w:val="24"/>
          <w:szCs w:val="24"/>
        </w:rPr>
        <w:t xml:space="preserve">purpose </w:t>
      </w:r>
      <w:r w:rsidR="48BF69DD" w:rsidRPr="23A4FC9A">
        <w:rPr>
          <w:sz w:val="24"/>
          <w:szCs w:val="24"/>
        </w:rPr>
        <w:t>of</w:t>
      </w:r>
      <w:r w:rsidR="0DD3F53E" w:rsidRPr="23A4FC9A">
        <w:rPr>
          <w:sz w:val="24"/>
          <w:szCs w:val="24"/>
        </w:rPr>
        <w:t xml:space="preserve"> this health consultation is to </w:t>
      </w:r>
      <w:r w:rsidR="00A896CA" w:rsidRPr="23A4FC9A">
        <w:rPr>
          <w:sz w:val="24"/>
          <w:szCs w:val="24"/>
        </w:rPr>
        <w:t xml:space="preserve">respond to </w:t>
      </w:r>
      <w:r w:rsidR="1FCB7F5A" w:rsidRPr="23A4FC9A">
        <w:rPr>
          <w:sz w:val="24"/>
          <w:szCs w:val="24"/>
        </w:rPr>
        <w:t>requests from the</w:t>
      </w:r>
      <w:r w:rsidR="00A896CA" w:rsidRPr="23A4FC9A">
        <w:rPr>
          <w:sz w:val="24"/>
          <w:szCs w:val="24"/>
        </w:rPr>
        <w:t xml:space="preserve"> </w:t>
      </w:r>
      <w:r w:rsidR="238B5C2F" w:rsidRPr="23A4FC9A">
        <w:rPr>
          <w:sz w:val="24"/>
          <w:szCs w:val="24"/>
        </w:rPr>
        <w:t>Town of Braintree</w:t>
      </w:r>
      <w:r w:rsidR="00A896CA" w:rsidRPr="23A4FC9A">
        <w:rPr>
          <w:sz w:val="24"/>
          <w:szCs w:val="24"/>
        </w:rPr>
        <w:t xml:space="preserve"> </w:t>
      </w:r>
      <w:r w:rsidR="02DE1A8D" w:rsidRPr="23A4FC9A">
        <w:rPr>
          <w:sz w:val="24"/>
          <w:szCs w:val="24"/>
        </w:rPr>
        <w:t xml:space="preserve">to </w:t>
      </w:r>
      <w:r w:rsidR="00A896CA" w:rsidRPr="23A4FC9A">
        <w:rPr>
          <w:sz w:val="24"/>
          <w:szCs w:val="24"/>
        </w:rPr>
        <w:t>address</w:t>
      </w:r>
      <w:r w:rsidR="0DD3F53E" w:rsidRPr="23A4FC9A">
        <w:rPr>
          <w:sz w:val="24"/>
          <w:szCs w:val="24"/>
        </w:rPr>
        <w:t xml:space="preserve"> health</w:t>
      </w:r>
      <w:r w:rsidR="5063A78B" w:rsidRPr="23A4FC9A">
        <w:rPr>
          <w:sz w:val="24"/>
          <w:szCs w:val="24"/>
        </w:rPr>
        <w:t>-related</w:t>
      </w:r>
      <w:r w:rsidR="0DD3F53E" w:rsidRPr="23A4FC9A">
        <w:rPr>
          <w:sz w:val="24"/>
          <w:szCs w:val="24"/>
        </w:rPr>
        <w:t xml:space="preserve"> </w:t>
      </w:r>
      <w:r w:rsidR="5AA99E94" w:rsidRPr="23A4FC9A">
        <w:rPr>
          <w:sz w:val="24"/>
          <w:szCs w:val="24"/>
        </w:rPr>
        <w:t>concerns</w:t>
      </w:r>
      <w:r w:rsidR="0DD3F53E" w:rsidRPr="23A4FC9A">
        <w:rPr>
          <w:sz w:val="24"/>
          <w:szCs w:val="24"/>
        </w:rPr>
        <w:t xml:space="preserve"> </w:t>
      </w:r>
      <w:r w:rsidR="3DAF9E5E" w:rsidRPr="23A4FC9A">
        <w:rPr>
          <w:sz w:val="24"/>
          <w:szCs w:val="24"/>
        </w:rPr>
        <w:t>communicated</w:t>
      </w:r>
      <w:r w:rsidR="0DD3F53E" w:rsidRPr="23A4FC9A">
        <w:rPr>
          <w:sz w:val="24"/>
          <w:szCs w:val="24"/>
        </w:rPr>
        <w:t xml:space="preserve"> by Braintree residents. </w:t>
      </w:r>
      <w:r w:rsidR="1410DC6F" w:rsidRPr="23A4FC9A">
        <w:rPr>
          <w:sz w:val="24"/>
          <w:szCs w:val="24"/>
        </w:rPr>
        <w:t xml:space="preserve"> </w:t>
      </w:r>
    </w:p>
    <w:p w14:paraId="381978C8" w14:textId="77777777" w:rsidR="00366DDE" w:rsidRDefault="00366DDE" w:rsidP="00E71A9D">
      <w:pPr>
        <w:keepNext/>
        <w:spacing w:after="0" w:line="240" w:lineRule="auto"/>
        <w:rPr>
          <w:sz w:val="24"/>
          <w:szCs w:val="24"/>
        </w:rPr>
      </w:pPr>
    </w:p>
    <w:p w14:paraId="5415923A" w14:textId="435F00A6" w:rsidR="2A7AEB67" w:rsidRPr="00E71A9D" w:rsidRDefault="7B2E590D" w:rsidP="00364D96">
      <w:pPr>
        <w:keepNext/>
        <w:spacing w:after="0" w:line="240" w:lineRule="auto"/>
        <w:jc w:val="both"/>
        <w:rPr>
          <w:sz w:val="24"/>
          <w:szCs w:val="24"/>
        </w:rPr>
      </w:pPr>
      <w:r w:rsidRPr="00E71A9D">
        <w:rPr>
          <w:sz w:val="24"/>
          <w:szCs w:val="24"/>
        </w:rPr>
        <w:t>The MDPH/B</w:t>
      </w:r>
      <w:r w:rsidR="27731197" w:rsidRPr="00E71A9D">
        <w:rPr>
          <w:sz w:val="24"/>
          <w:szCs w:val="24"/>
        </w:rPr>
        <w:t>C</w:t>
      </w:r>
      <w:r w:rsidRPr="00E71A9D">
        <w:rPr>
          <w:sz w:val="24"/>
          <w:szCs w:val="24"/>
        </w:rPr>
        <w:t>EH Environmental Toxicology Program, under a cooperative agreement with the U.S. Agency for Toxic Substances and Disease Registry (ATSDR), routinely works with federal, state, and municipal officials to understand the presence and nature of health hazards in Massachusetts communities.</w:t>
      </w:r>
      <w:r w:rsidR="2A7AEB67" w:rsidRPr="00E71A9D">
        <w:rPr>
          <w:rStyle w:val="FootnoteReference"/>
          <w:sz w:val="24"/>
          <w:szCs w:val="24"/>
        </w:rPr>
        <w:footnoteReference w:id="3"/>
      </w:r>
      <w:r w:rsidRPr="00E71A9D">
        <w:rPr>
          <w:sz w:val="24"/>
          <w:szCs w:val="24"/>
        </w:rPr>
        <w:t xml:space="preserve"> Consistent with this role, MDPH/B</w:t>
      </w:r>
      <w:r w:rsidR="041A5966" w:rsidRPr="00E71A9D">
        <w:rPr>
          <w:sz w:val="24"/>
          <w:szCs w:val="24"/>
        </w:rPr>
        <w:t>C</w:t>
      </w:r>
      <w:r w:rsidRPr="00E71A9D">
        <w:rPr>
          <w:sz w:val="24"/>
          <w:szCs w:val="24"/>
        </w:rPr>
        <w:t xml:space="preserve">EH has reviewed environmental data provided by MassDEP, and the </w:t>
      </w:r>
      <w:proofErr w:type="spellStart"/>
      <w:r w:rsidRPr="00E71A9D">
        <w:rPr>
          <w:sz w:val="24"/>
          <w:szCs w:val="24"/>
        </w:rPr>
        <w:t>TetraTech</w:t>
      </w:r>
      <w:proofErr w:type="spellEnd"/>
      <w:r w:rsidRPr="00E71A9D">
        <w:rPr>
          <w:sz w:val="24"/>
          <w:szCs w:val="24"/>
        </w:rPr>
        <w:t xml:space="preserve"> LSP working under contract to Clean Harbors to evaluate the potential for health effects from exposure to fire-related contaminants. This letter health consultation has been prepared </w:t>
      </w:r>
      <w:r w:rsidR="4A80B9D6">
        <w:rPr>
          <w:sz w:val="24"/>
          <w:szCs w:val="24"/>
        </w:rPr>
        <w:t>in</w:t>
      </w:r>
      <w:r w:rsidRPr="00E71A9D">
        <w:rPr>
          <w:sz w:val="24"/>
          <w:szCs w:val="24"/>
        </w:rPr>
        <w:t xml:space="preserve"> cooperation and coordination with MassDEP and the Town of Braintree.</w:t>
      </w:r>
    </w:p>
    <w:p w14:paraId="39B6A261" w14:textId="5420F42A" w:rsidR="2FC8CFC9" w:rsidRDefault="2FC8CFC9" w:rsidP="2FC8CFC9">
      <w:pPr>
        <w:keepNext/>
      </w:pPr>
    </w:p>
    <w:p w14:paraId="3ABF657F" w14:textId="00A4A482" w:rsidR="00F35DEC" w:rsidRDefault="00787FF1" w:rsidP="4E0E408D">
      <w:pPr>
        <w:keepNext/>
        <w:spacing w:line="259" w:lineRule="auto"/>
      </w:pPr>
      <w:r>
        <w:br w:type="page"/>
      </w:r>
    </w:p>
    <w:p w14:paraId="35580CB4" w14:textId="6197EC7C" w:rsidR="00BA41E6" w:rsidRPr="00D670F6" w:rsidRDefault="00BA41E6" w:rsidP="006C429C">
      <w:pPr>
        <w:pStyle w:val="Heading1"/>
      </w:pPr>
      <w:r w:rsidRPr="00D670F6">
        <w:lastRenderedPageBreak/>
        <w:t>Approach</w:t>
      </w:r>
    </w:p>
    <w:p w14:paraId="62A88261" w14:textId="77777777" w:rsidR="00421029" w:rsidRDefault="00421029" w:rsidP="00B915D3">
      <w:pPr>
        <w:spacing w:after="0" w:line="240" w:lineRule="auto"/>
      </w:pPr>
    </w:p>
    <w:p w14:paraId="6EFC768F" w14:textId="54939F25" w:rsidR="006E06F8" w:rsidRPr="00421029" w:rsidRDefault="737644A3" w:rsidP="23A4FC9A">
      <w:pPr>
        <w:keepNext/>
        <w:spacing w:after="0" w:line="240" w:lineRule="auto"/>
        <w:rPr>
          <w:sz w:val="24"/>
          <w:szCs w:val="24"/>
        </w:rPr>
      </w:pPr>
      <w:r w:rsidRPr="23A4FC9A">
        <w:rPr>
          <w:sz w:val="24"/>
          <w:szCs w:val="24"/>
        </w:rPr>
        <w:t>MDPH/</w:t>
      </w:r>
      <w:r w:rsidRPr="5F645328">
        <w:rPr>
          <w:sz w:val="24"/>
          <w:szCs w:val="24"/>
        </w:rPr>
        <w:t>B</w:t>
      </w:r>
      <w:r w:rsidR="0A0CD9FF" w:rsidRPr="5F645328">
        <w:rPr>
          <w:sz w:val="24"/>
          <w:szCs w:val="24"/>
        </w:rPr>
        <w:t>C</w:t>
      </w:r>
      <w:r w:rsidRPr="5F645328">
        <w:rPr>
          <w:sz w:val="24"/>
          <w:szCs w:val="24"/>
        </w:rPr>
        <w:t>EH</w:t>
      </w:r>
      <w:r w:rsidR="2051B0D4" w:rsidRPr="23A4FC9A">
        <w:rPr>
          <w:sz w:val="24"/>
          <w:szCs w:val="24"/>
        </w:rPr>
        <w:t xml:space="preserve"> </w:t>
      </w:r>
      <w:r w:rsidR="72F57F2B" w:rsidRPr="23A4FC9A">
        <w:rPr>
          <w:sz w:val="24"/>
          <w:szCs w:val="24"/>
        </w:rPr>
        <w:t>identified</w:t>
      </w:r>
      <w:r w:rsidR="7C069AFD" w:rsidRPr="23A4FC9A">
        <w:rPr>
          <w:sz w:val="24"/>
          <w:szCs w:val="24"/>
        </w:rPr>
        <w:t xml:space="preserve"> </w:t>
      </w:r>
      <w:r w:rsidR="2051B0D4" w:rsidRPr="23A4FC9A">
        <w:rPr>
          <w:sz w:val="24"/>
          <w:szCs w:val="24"/>
        </w:rPr>
        <w:t xml:space="preserve">potential pathways of exposure to determine whether fire-related contaminants in air, </w:t>
      </w:r>
      <w:r w:rsidR="4318D5FA" w:rsidRPr="23A4FC9A">
        <w:rPr>
          <w:sz w:val="24"/>
          <w:szCs w:val="24"/>
        </w:rPr>
        <w:t xml:space="preserve">soil, or </w:t>
      </w:r>
      <w:r w:rsidR="2051B0D4" w:rsidRPr="23A4FC9A">
        <w:rPr>
          <w:sz w:val="24"/>
          <w:szCs w:val="24"/>
        </w:rPr>
        <w:t xml:space="preserve">water in the vicinity of the Clean Harbors Facility have the potential to </w:t>
      </w:r>
      <w:r w:rsidRPr="23A4FC9A">
        <w:rPr>
          <w:sz w:val="24"/>
          <w:szCs w:val="24"/>
        </w:rPr>
        <w:t>cause adverse health effects for</w:t>
      </w:r>
      <w:r w:rsidR="2051B0D4" w:rsidRPr="23A4FC9A">
        <w:rPr>
          <w:sz w:val="24"/>
          <w:szCs w:val="24"/>
        </w:rPr>
        <w:t xml:space="preserve"> residents in the surrounding neighborhoods. Evaluating exposure pathways involves examining specific ways in which people might contact site-related contamination. </w:t>
      </w:r>
      <w:r w:rsidR="7FFB411D" w:rsidRPr="23A4FC9A">
        <w:rPr>
          <w:sz w:val="24"/>
          <w:szCs w:val="24"/>
        </w:rPr>
        <w:t xml:space="preserve">Human exposure pathways are identified by examining </w:t>
      </w:r>
      <w:r w:rsidR="2051B0D4" w:rsidRPr="23A4FC9A">
        <w:rPr>
          <w:sz w:val="24"/>
          <w:szCs w:val="24"/>
        </w:rPr>
        <w:t xml:space="preserve">environmental and human </w:t>
      </w:r>
      <w:r w:rsidRPr="23A4FC9A">
        <w:rPr>
          <w:sz w:val="24"/>
          <w:szCs w:val="24"/>
        </w:rPr>
        <w:t>factors</w:t>
      </w:r>
      <w:r w:rsidR="2051B0D4" w:rsidRPr="23A4FC9A">
        <w:rPr>
          <w:sz w:val="24"/>
          <w:szCs w:val="24"/>
        </w:rPr>
        <w:t xml:space="preserve"> that might cause </w:t>
      </w:r>
      <w:r w:rsidR="0FD78FE3" w:rsidRPr="23A4FC9A">
        <w:rPr>
          <w:sz w:val="24"/>
          <w:szCs w:val="24"/>
        </w:rPr>
        <w:t xml:space="preserve">a person to be </w:t>
      </w:r>
      <w:r w:rsidR="2051B0D4" w:rsidRPr="23A4FC9A">
        <w:rPr>
          <w:sz w:val="24"/>
          <w:szCs w:val="24"/>
        </w:rPr>
        <w:t>expos</w:t>
      </w:r>
      <w:r w:rsidR="15C29CED" w:rsidRPr="23A4FC9A">
        <w:rPr>
          <w:sz w:val="24"/>
          <w:szCs w:val="24"/>
        </w:rPr>
        <w:t>ed</w:t>
      </w:r>
      <w:r w:rsidR="2051B0D4" w:rsidRPr="23A4FC9A">
        <w:rPr>
          <w:sz w:val="24"/>
          <w:szCs w:val="24"/>
        </w:rPr>
        <w:t xml:space="preserve"> to contaminants. </w:t>
      </w:r>
      <w:r w:rsidR="45202731" w:rsidRPr="23A4FC9A">
        <w:rPr>
          <w:sz w:val="24"/>
          <w:szCs w:val="24"/>
        </w:rPr>
        <w:t>A</w:t>
      </w:r>
      <w:r w:rsidR="0D4BE70B" w:rsidRPr="23A4FC9A">
        <w:rPr>
          <w:sz w:val="24"/>
          <w:szCs w:val="24"/>
        </w:rPr>
        <w:t xml:space="preserve"> person can only be poten</w:t>
      </w:r>
      <w:r w:rsidR="63C44E73" w:rsidRPr="23A4FC9A">
        <w:rPr>
          <w:sz w:val="24"/>
          <w:szCs w:val="24"/>
        </w:rPr>
        <w:t xml:space="preserve">tially </w:t>
      </w:r>
      <w:r w:rsidR="0D4BE70B" w:rsidRPr="23A4FC9A">
        <w:rPr>
          <w:sz w:val="24"/>
          <w:szCs w:val="24"/>
        </w:rPr>
        <w:t xml:space="preserve">harmed by contamination </w:t>
      </w:r>
      <w:r w:rsidR="1FF9A293" w:rsidRPr="23A4FC9A">
        <w:rPr>
          <w:sz w:val="24"/>
          <w:szCs w:val="24"/>
        </w:rPr>
        <w:t xml:space="preserve">when </w:t>
      </w:r>
      <w:r w:rsidR="64838D52" w:rsidRPr="23A4FC9A">
        <w:rPr>
          <w:sz w:val="24"/>
          <w:szCs w:val="24"/>
        </w:rPr>
        <w:t xml:space="preserve">there is both a source of contamination and </w:t>
      </w:r>
      <w:r w:rsidR="1FF9A293" w:rsidRPr="23A4FC9A">
        <w:rPr>
          <w:sz w:val="24"/>
          <w:szCs w:val="24"/>
        </w:rPr>
        <w:t>an exposure pathway</w:t>
      </w:r>
      <w:r w:rsidR="0A27391E" w:rsidRPr="23A4FC9A">
        <w:rPr>
          <w:sz w:val="24"/>
          <w:szCs w:val="24"/>
        </w:rPr>
        <w:t xml:space="preserve"> to that contaminant</w:t>
      </w:r>
      <w:r w:rsidR="180BE7AC" w:rsidRPr="23A4FC9A">
        <w:rPr>
          <w:sz w:val="24"/>
          <w:szCs w:val="24"/>
        </w:rPr>
        <w:t>, such as ingesting, inhaling, or touching a chemical</w:t>
      </w:r>
      <w:r w:rsidR="1FF9A293" w:rsidRPr="23A4FC9A">
        <w:rPr>
          <w:sz w:val="24"/>
          <w:szCs w:val="24"/>
        </w:rPr>
        <w:t>.</w:t>
      </w:r>
      <w:r w:rsidR="1D5D2DF1" w:rsidRPr="23A4FC9A">
        <w:rPr>
          <w:sz w:val="24"/>
          <w:szCs w:val="24"/>
        </w:rPr>
        <w:t xml:space="preserve"> If there is no pathway of exposure, there is no potential for harm.</w:t>
      </w:r>
      <w:r w:rsidR="1FF9A293" w:rsidRPr="23A4FC9A">
        <w:rPr>
          <w:sz w:val="24"/>
          <w:szCs w:val="24"/>
        </w:rPr>
        <w:t xml:space="preserve"> </w:t>
      </w:r>
    </w:p>
    <w:p w14:paraId="7D8BAC82" w14:textId="77777777" w:rsidR="006E06F8" w:rsidRPr="00421029" w:rsidRDefault="006E06F8" w:rsidP="00A73AAF">
      <w:pPr>
        <w:keepNext/>
        <w:spacing w:after="0" w:line="240" w:lineRule="auto"/>
        <w:rPr>
          <w:sz w:val="24"/>
          <w:szCs w:val="24"/>
        </w:rPr>
      </w:pPr>
    </w:p>
    <w:p w14:paraId="4182E13F" w14:textId="5123839C" w:rsidR="00547D53" w:rsidRPr="00421029" w:rsidRDefault="42367BC6" w:rsidP="00364D96">
      <w:pPr>
        <w:keepNext/>
        <w:spacing w:after="0" w:line="240" w:lineRule="auto"/>
        <w:jc w:val="both"/>
        <w:rPr>
          <w:sz w:val="24"/>
          <w:szCs w:val="24"/>
        </w:rPr>
      </w:pPr>
      <w:r w:rsidRPr="23A4FC9A">
        <w:rPr>
          <w:sz w:val="24"/>
          <w:szCs w:val="24"/>
        </w:rPr>
        <w:t xml:space="preserve">The </w:t>
      </w:r>
      <w:r w:rsidR="6EBF0857" w:rsidRPr="23A4FC9A">
        <w:rPr>
          <w:sz w:val="24"/>
          <w:szCs w:val="24"/>
        </w:rPr>
        <w:t xml:space="preserve">ATSDR Public Health Guidance Manual </w:t>
      </w:r>
      <w:r w:rsidR="69A9CD71" w:rsidRPr="23A4FC9A">
        <w:rPr>
          <w:sz w:val="24"/>
          <w:szCs w:val="24"/>
        </w:rPr>
        <w:t>considers five elements</w:t>
      </w:r>
      <w:r w:rsidR="74EC836C" w:rsidRPr="23A4FC9A">
        <w:rPr>
          <w:sz w:val="24"/>
          <w:szCs w:val="24"/>
        </w:rPr>
        <w:t xml:space="preserve"> when conducting a pathway evaluation</w:t>
      </w:r>
      <w:r w:rsidR="69A9CD71" w:rsidRPr="23A4FC9A">
        <w:rPr>
          <w:sz w:val="24"/>
          <w:szCs w:val="24"/>
        </w:rPr>
        <w:t xml:space="preserve">: a contaminant source, environmental fate and transport, an exposure point, an exposure route, </w:t>
      </w:r>
      <w:r w:rsidR="44D90C59" w:rsidRPr="23A4FC9A">
        <w:rPr>
          <w:sz w:val="24"/>
          <w:szCs w:val="24"/>
        </w:rPr>
        <w:t xml:space="preserve">and </w:t>
      </w:r>
      <w:r w:rsidR="69A9CD71" w:rsidRPr="23A4FC9A">
        <w:rPr>
          <w:sz w:val="24"/>
          <w:szCs w:val="24"/>
        </w:rPr>
        <w:t>a potentially exposed population</w:t>
      </w:r>
      <w:r w:rsidR="1E32E883" w:rsidRPr="23A4FC9A">
        <w:rPr>
          <w:sz w:val="24"/>
          <w:szCs w:val="24"/>
        </w:rPr>
        <w:t xml:space="preserve"> (ATSDR, </w:t>
      </w:r>
      <w:r w:rsidR="08CEA737" w:rsidRPr="23A4FC9A">
        <w:rPr>
          <w:sz w:val="24"/>
          <w:szCs w:val="24"/>
        </w:rPr>
        <w:t>2023</w:t>
      </w:r>
      <w:r w:rsidR="706912B5" w:rsidRPr="23A4FC9A">
        <w:rPr>
          <w:sz w:val="24"/>
          <w:szCs w:val="24"/>
        </w:rPr>
        <w:t>a</w:t>
      </w:r>
      <w:r w:rsidR="1E32E883" w:rsidRPr="23A4FC9A">
        <w:rPr>
          <w:sz w:val="24"/>
          <w:szCs w:val="24"/>
        </w:rPr>
        <w:t>)</w:t>
      </w:r>
      <w:r w:rsidR="69A9CD71" w:rsidRPr="23A4FC9A">
        <w:rPr>
          <w:sz w:val="24"/>
          <w:szCs w:val="24"/>
        </w:rPr>
        <w:t>.</w:t>
      </w:r>
      <w:r w:rsidR="0BE3209E" w:rsidRPr="23A4FC9A">
        <w:rPr>
          <w:sz w:val="24"/>
          <w:szCs w:val="24"/>
        </w:rPr>
        <w:t xml:space="preserve"> </w:t>
      </w:r>
      <w:r w:rsidR="69A9CD71" w:rsidRPr="23A4FC9A">
        <w:rPr>
          <w:sz w:val="24"/>
          <w:szCs w:val="24"/>
        </w:rPr>
        <w:t xml:space="preserve">When all five </w:t>
      </w:r>
      <w:r w:rsidR="44D90C59" w:rsidRPr="23A4FC9A">
        <w:rPr>
          <w:sz w:val="24"/>
          <w:szCs w:val="24"/>
        </w:rPr>
        <w:t>elements</w:t>
      </w:r>
      <w:r w:rsidR="69A9CD71" w:rsidRPr="23A4FC9A">
        <w:rPr>
          <w:sz w:val="24"/>
          <w:szCs w:val="24"/>
        </w:rPr>
        <w:t xml:space="preserve"> are present, the exposure pathway is </w:t>
      </w:r>
      <w:r w:rsidR="44D90C59" w:rsidRPr="23A4FC9A">
        <w:rPr>
          <w:sz w:val="24"/>
          <w:szCs w:val="24"/>
        </w:rPr>
        <w:t>considered</w:t>
      </w:r>
      <w:r w:rsidR="69A9CD71" w:rsidRPr="23A4FC9A">
        <w:rPr>
          <w:sz w:val="24"/>
          <w:szCs w:val="24"/>
        </w:rPr>
        <w:t xml:space="preserve"> </w:t>
      </w:r>
      <w:r w:rsidR="727FD12E" w:rsidRPr="23A4FC9A">
        <w:rPr>
          <w:sz w:val="24"/>
          <w:szCs w:val="24"/>
        </w:rPr>
        <w:t>“</w:t>
      </w:r>
      <w:r w:rsidR="69A9CD71" w:rsidRPr="23A4FC9A">
        <w:rPr>
          <w:sz w:val="24"/>
          <w:szCs w:val="24"/>
        </w:rPr>
        <w:t>complete</w:t>
      </w:r>
      <w:r w:rsidR="2199B7FE" w:rsidRPr="23A4FC9A">
        <w:rPr>
          <w:sz w:val="24"/>
          <w:szCs w:val="24"/>
        </w:rPr>
        <w:t>.</w:t>
      </w:r>
      <w:r w:rsidR="46B5B315" w:rsidRPr="23A4FC9A">
        <w:rPr>
          <w:sz w:val="24"/>
          <w:szCs w:val="24"/>
        </w:rPr>
        <w:t>”</w:t>
      </w:r>
      <w:r w:rsidR="69A9CD71" w:rsidRPr="23A4FC9A">
        <w:rPr>
          <w:sz w:val="24"/>
          <w:szCs w:val="24"/>
        </w:rPr>
        <w:t xml:space="preserve"> The identification of a complete exposure pathway does not mean that the exposure will result in harmful health effects. </w:t>
      </w:r>
      <w:r w:rsidR="52CD0CB4" w:rsidRPr="23A4FC9A">
        <w:rPr>
          <w:sz w:val="24"/>
          <w:szCs w:val="24"/>
        </w:rPr>
        <w:t xml:space="preserve">The likelihood of health effects depends on specific exposure conditions such as the exposure duration, </w:t>
      </w:r>
      <w:r w:rsidR="6C2FE07B" w:rsidRPr="23A4FC9A">
        <w:rPr>
          <w:sz w:val="24"/>
          <w:szCs w:val="24"/>
        </w:rPr>
        <w:t xml:space="preserve">the nature or </w:t>
      </w:r>
      <w:r w:rsidR="52CD0CB4" w:rsidRPr="23A4FC9A">
        <w:rPr>
          <w:sz w:val="24"/>
          <w:szCs w:val="24"/>
        </w:rPr>
        <w:t>toxicity</w:t>
      </w:r>
      <w:r w:rsidR="054FAD91" w:rsidRPr="23A4FC9A">
        <w:rPr>
          <w:sz w:val="24"/>
          <w:szCs w:val="24"/>
        </w:rPr>
        <w:t xml:space="preserve"> of the contaminant, the magnitude or </w:t>
      </w:r>
      <w:r w:rsidR="52CD0CB4" w:rsidRPr="23A4FC9A">
        <w:rPr>
          <w:sz w:val="24"/>
          <w:szCs w:val="24"/>
        </w:rPr>
        <w:t>concentration</w:t>
      </w:r>
      <w:r w:rsidR="61A84DCC" w:rsidRPr="23A4FC9A">
        <w:rPr>
          <w:sz w:val="24"/>
          <w:szCs w:val="24"/>
        </w:rPr>
        <w:t xml:space="preserve"> of the contamination</w:t>
      </w:r>
      <w:r w:rsidR="52CD0CB4" w:rsidRPr="23A4FC9A">
        <w:rPr>
          <w:sz w:val="24"/>
          <w:szCs w:val="24"/>
        </w:rPr>
        <w:t>, and frequency</w:t>
      </w:r>
      <w:r w:rsidR="5A13DDF1" w:rsidRPr="23A4FC9A">
        <w:rPr>
          <w:sz w:val="24"/>
          <w:szCs w:val="24"/>
        </w:rPr>
        <w:t xml:space="preserve"> or how often someone is exposed</w:t>
      </w:r>
      <w:r w:rsidR="52CD0CB4" w:rsidRPr="23A4FC9A">
        <w:rPr>
          <w:sz w:val="24"/>
          <w:szCs w:val="24"/>
        </w:rPr>
        <w:t xml:space="preserve">. Therefore, even if exposure has occurred, human health might not be affected. </w:t>
      </w:r>
    </w:p>
    <w:p w14:paraId="5C3C459C" w14:textId="0EECFAB3" w:rsidR="552EF0C9" w:rsidRPr="00421029" w:rsidRDefault="552EF0C9" w:rsidP="552EF0C9">
      <w:pPr>
        <w:keepNext/>
        <w:spacing w:after="0" w:line="240" w:lineRule="auto"/>
        <w:rPr>
          <w:sz w:val="24"/>
          <w:szCs w:val="24"/>
        </w:rPr>
      </w:pPr>
    </w:p>
    <w:p w14:paraId="1B442C77" w14:textId="5F649913" w:rsidR="00093F1B" w:rsidRPr="00421029" w:rsidRDefault="2051B0D4" w:rsidP="00364D96">
      <w:pPr>
        <w:keepNext/>
        <w:spacing w:after="0" w:line="240" w:lineRule="auto"/>
        <w:jc w:val="both"/>
        <w:rPr>
          <w:sz w:val="24"/>
          <w:szCs w:val="24"/>
        </w:rPr>
      </w:pPr>
      <w:r w:rsidRPr="00421029">
        <w:rPr>
          <w:sz w:val="24"/>
          <w:szCs w:val="24"/>
        </w:rPr>
        <w:t xml:space="preserve">To determine whether </w:t>
      </w:r>
      <w:r w:rsidR="435546DA" w:rsidRPr="00421029">
        <w:rPr>
          <w:sz w:val="24"/>
          <w:szCs w:val="24"/>
        </w:rPr>
        <w:t xml:space="preserve">adverse </w:t>
      </w:r>
      <w:r w:rsidRPr="00421029">
        <w:rPr>
          <w:sz w:val="24"/>
          <w:szCs w:val="24"/>
        </w:rPr>
        <w:t xml:space="preserve">health effects are possible, </w:t>
      </w:r>
      <w:r w:rsidR="41B61A40">
        <w:rPr>
          <w:sz w:val="24"/>
          <w:szCs w:val="24"/>
        </w:rPr>
        <w:t>MDPH/B</w:t>
      </w:r>
      <w:r w:rsidR="32A00744">
        <w:rPr>
          <w:sz w:val="24"/>
          <w:szCs w:val="24"/>
        </w:rPr>
        <w:t>C</w:t>
      </w:r>
      <w:r w:rsidR="41B61A40">
        <w:rPr>
          <w:sz w:val="24"/>
          <w:szCs w:val="24"/>
        </w:rPr>
        <w:t>EH</w:t>
      </w:r>
      <w:r w:rsidRPr="00421029">
        <w:rPr>
          <w:sz w:val="24"/>
          <w:szCs w:val="24"/>
        </w:rPr>
        <w:t xml:space="preserve"> </w:t>
      </w:r>
      <w:r w:rsidR="7C157612" w:rsidRPr="00421029">
        <w:rPr>
          <w:sz w:val="24"/>
          <w:szCs w:val="24"/>
        </w:rPr>
        <w:t>compare</w:t>
      </w:r>
      <w:r w:rsidR="41B61A40">
        <w:rPr>
          <w:sz w:val="24"/>
          <w:szCs w:val="24"/>
        </w:rPr>
        <w:t>s</w:t>
      </w:r>
      <w:r w:rsidR="299F8550" w:rsidRPr="00421029">
        <w:rPr>
          <w:sz w:val="24"/>
          <w:szCs w:val="24"/>
        </w:rPr>
        <w:t xml:space="preserve"> </w:t>
      </w:r>
      <w:r w:rsidRPr="00421029">
        <w:rPr>
          <w:sz w:val="24"/>
          <w:szCs w:val="24"/>
        </w:rPr>
        <w:t xml:space="preserve">contaminant concentrations to health-based screening </w:t>
      </w:r>
      <w:r w:rsidR="7FFB411D" w:rsidRPr="00421029">
        <w:rPr>
          <w:sz w:val="24"/>
          <w:szCs w:val="24"/>
        </w:rPr>
        <w:t>values</w:t>
      </w:r>
      <w:r w:rsidR="299F8550" w:rsidRPr="00421029">
        <w:rPr>
          <w:sz w:val="24"/>
          <w:szCs w:val="24"/>
        </w:rPr>
        <w:t xml:space="preserve"> (SVs</w:t>
      </w:r>
      <w:r w:rsidR="54921D65" w:rsidRPr="00421029">
        <w:rPr>
          <w:sz w:val="24"/>
          <w:szCs w:val="24"/>
        </w:rPr>
        <w:t>)</w:t>
      </w:r>
      <w:r w:rsidR="38795993" w:rsidRPr="00421029">
        <w:rPr>
          <w:sz w:val="24"/>
          <w:szCs w:val="24"/>
        </w:rPr>
        <w:t>.</w:t>
      </w:r>
      <w:r w:rsidR="54921D65" w:rsidRPr="00421029">
        <w:rPr>
          <w:sz w:val="24"/>
          <w:szCs w:val="24"/>
        </w:rPr>
        <w:t xml:space="preserve"> </w:t>
      </w:r>
      <w:r w:rsidR="7C069AFD" w:rsidRPr="00421029">
        <w:rPr>
          <w:sz w:val="24"/>
          <w:szCs w:val="24"/>
        </w:rPr>
        <w:t xml:space="preserve">SVs </w:t>
      </w:r>
      <w:r w:rsidR="299F8550" w:rsidRPr="00421029">
        <w:rPr>
          <w:sz w:val="24"/>
          <w:szCs w:val="24"/>
        </w:rPr>
        <w:t>are concentrations in environmental media, such as soil, water, or air, that account for both toxicity and potential exposure. SVs represent a concentration that is expected to be safe for all individuals, including potentially sensitive or vulnerable individuals.</w:t>
      </w:r>
      <w:r w:rsidR="54921D65" w:rsidRPr="00421029">
        <w:rPr>
          <w:sz w:val="24"/>
          <w:szCs w:val="24"/>
        </w:rPr>
        <w:t xml:space="preserve"> </w:t>
      </w:r>
      <w:r w:rsidR="08A76532" w:rsidRPr="00421029">
        <w:rPr>
          <w:sz w:val="24"/>
          <w:szCs w:val="24"/>
        </w:rPr>
        <w:t xml:space="preserve">Scientists that </w:t>
      </w:r>
      <w:r w:rsidR="299F8550" w:rsidRPr="00421029">
        <w:rPr>
          <w:sz w:val="24"/>
          <w:szCs w:val="24"/>
        </w:rPr>
        <w:t>assess</w:t>
      </w:r>
      <w:r w:rsidR="4E6A0FE9" w:rsidRPr="00421029">
        <w:rPr>
          <w:sz w:val="24"/>
          <w:szCs w:val="24"/>
        </w:rPr>
        <w:t xml:space="preserve"> human health</w:t>
      </w:r>
      <w:r w:rsidR="299F8550" w:rsidRPr="00421029">
        <w:rPr>
          <w:sz w:val="24"/>
          <w:szCs w:val="24"/>
        </w:rPr>
        <w:t xml:space="preserve"> use a variety of health-based screening values</w:t>
      </w:r>
      <w:r w:rsidR="54921D65" w:rsidRPr="00421029">
        <w:rPr>
          <w:sz w:val="24"/>
          <w:szCs w:val="24"/>
        </w:rPr>
        <w:t xml:space="preserve"> that have</w:t>
      </w:r>
      <w:r w:rsidR="299F8550" w:rsidRPr="00421029">
        <w:rPr>
          <w:sz w:val="24"/>
          <w:szCs w:val="24"/>
        </w:rPr>
        <w:t xml:space="preserve"> been scientifically peer-reviewed or derived using scientifically peer-reviewed values and published by </w:t>
      </w:r>
      <w:r w:rsidR="3586A7C9" w:rsidRPr="00421029">
        <w:rPr>
          <w:sz w:val="24"/>
          <w:szCs w:val="24"/>
        </w:rPr>
        <w:t xml:space="preserve">authoritative organizations, such as </w:t>
      </w:r>
      <w:r w:rsidR="299F8550" w:rsidRPr="00421029">
        <w:rPr>
          <w:sz w:val="24"/>
          <w:szCs w:val="24"/>
        </w:rPr>
        <w:t xml:space="preserve">Federal and State Agencies. ATSDR develops </w:t>
      </w:r>
      <w:r w:rsidR="54921D65" w:rsidRPr="00421029">
        <w:rPr>
          <w:sz w:val="24"/>
          <w:szCs w:val="24"/>
        </w:rPr>
        <w:t>SVs</w:t>
      </w:r>
      <w:r w:rsidR="00AA7139" w:rsidRPr="00421029">
        <w:rPr>
          <w:rStyle w:val="FootnoteReference"/>
          <w:sz w:val="24"/>
          <w:szCs w:val="24"/>
        </w:rPr>
        <w:footnoteReference w:id="4"/>
      </w:r>
      <w:r w:rsidR="299F8550" w:rsidRPr="00421029">
        <w:rPr>
          <w:sz w:val="24"/>
          <w:szCs w:val="24"/>
        </w:rPr>
        <w:t xml:space="preserve"> for a specified exposure period: </w:t>
      </w:r>
      <w:r w:rsidR="66EFEFEF" w:rsidRPr="00421029">
        <w:rPr>
          <w:sz w:val="24"/>
          <w:szCs w:val="24"/>
        </w:rPr>
        <w:t>exposure</w:t>
      </w:r>
      <w:r w:rsidR="64FB1B69" w:rsidRPr="00421029">
        <w:rPr>
          <w:sz w:val="24"/>
          <w:szCs w:val="24"/>
        </w:rPr>
        <w:t>s</w:t>
      </w:r>
      <w:r w:rsidR="66EFEFEF" w:rsidRPr="00421029">
        <w:rPr>
          <w:sz w:val="24"/>
          <w:szCs w:val="24"/>
        </w:rPr>
        <w:t xml:space="preserve"> that </w:t>
      </w:r>
      <w:r w:rsidR="60AEF436" w:rsidRPr="00421029">
        <w:rPr>
          <w:sz w:val="24"/>
          <w:szCs w:val="24"/>
        </w:rPr>
        <w:t>are</w:t>
      </w:r>
      <w:r w:rsidR="66EFEFEF" w:rsidRPr="00421029">
        <w:rPr>
          <w:sz w:val="24"/>
          <w:szCs w:val="24"/>
        </w:rPr>
        <w:t xml:space="preserve"> </w:t>
      </w:r>
      <w:r w:rsidR="299F8550" w:rsidRPr="00421029">
        <w:rPr>
          <w:sz w:val="24"/>
          <w:szCs w:val="24"/>
        </w:rPr>
        <w:t>14 days or less</w:t>
      </w:r>
      <w:r w:rsidR="3B47F207" w:rsidRPr="00421029">
        <w:rPr>
          <w:sz w:val="24"/>
          <w:szCs w:val="24"/>
        </w:rPr>
        <w:t xml:space="preserve"> (acute</w:t>
      </w:r>
      <w:r w:rsidR="299F8550" w:rsidRPr="00421029">
        <w:rPr>
          <w:sz w:val="24"/>
          <w:szCs w:val="24"/>
        </w:rPr>
        <w:t xml:space="preserve">), </w:t>
      </w:r>
      <w:r w:rsidR="19642311" w:rsidRPr="00421029">
        <w:rPr>
          <w:sz w:val="24"/>
          <w:szCs w:val="24"/>
        </w:rPr>
        <w:t xml:space="preserve">exposures that are from </w:t>
      </w:r>
      <w:r w:rsidR="299F8550" w:rsidRPr="00421029">
        <w:rPr>
          <w:sz w:val="24"/>
          <w:szCs w:val="24"/>
        </w:rPr>
        <w:t>15 to 364 days</w:t>
      </w:r>
      <w:r w:rsidR="6AD232E0" w:rsidRPr="00421029">
        <w:rPr>
          <w:sz w:val="24"/>
          <w:szCs w:val="24"/>
        </w:rPr>
        <w:t xml:space="preserve"> (intermediate</w:t>
      </w:r>
      <w:r w:rsidR="299F8550" w:rsidRPr="00421029">
        <w:rPr>
          <w:sz w:val="24"/>
          <w:szCs w:val="24"/>
        </w:rPr>
        <w:t xml:space="preserve">), or </w:t>
      </w:r>
      <w:r w:rsidR="3306799A" w:rsidRPr="00421029">
        <w:rPr>
          <w:sz w:val="24"/>
          <w:szCs w:val="24"/>
        </w:rPr>
        <w:t>those that last more than a year or longer (</w:t>
      </w:r>
      <w:r w:rsidR="299F8550" w:rsidRPr="00421029">
        <w:rPr>
          <w:sz w:val="24"/>
          <w:szCs w:val="24"/>
        </w:rPr>
        <w:t xml:space="preserve">chronic). </w:t>
      </w:r>
      <w:r w:rsidR="187322CE" w:rsidRPr="00421029">
        <w:rPr>
          <w:sz w:val="24"/>
          <w:szCs w:val="24"/>
        </w:rPr>
        <w:t>MDPH/B</w:t>
      </w:r>
      <w:r w:rsidR="5FA8CA82" w:rsidRPr="00421029">
        <w:rPr>
          <w:sz w:val="24"/>
          <w:szCs w:val="24"/>
        </w:rPr>
        <w:t>C</w:t>
      </w:r>
      <w:r w:rsidR="187322CE" w:rsidRPr="00421029">
        <w:rPr>
          <w:sz w:val="24"/>
          <w:szCs w:val="24"/>
        </w:rPr>
        <w:t xml:space="preserve">EH prioritizes ATSDR </w:t>
      </w:r>
      <w:r w:rsidR="4EF09606" w:rsidRPr="00421029">
        <w:rPr>
          <w:sz w:val="24"/>
          <w:szCs w:val="24"/>
        </w:rPr>
        <w:t>SVs</w:t>
      </w:r>
      <w:r w:rsidR="187322CE" w:rsidRPr="00421029">
        <w:rPr>
          <w:sz w:val="24"/>
          <w:szCs w:val="24"/>
        </w:rPr>
        <w:t xml:space="preserve">, which are typically the most </w:t>
      </w:r>
      <w:r w:rsidR="2A670EFD" w:rsidRPr="00421029">
        <w:rPr>
          <w:sz w:val="24"/>
          <w:szCs w:val="24"/>
        </w:rPr>
        <w:t>health protective</w:t>
      </w:r>
      <w:r w:rsidR="187322CE" w:rsidRPr="00421029">
        <w:rPr>
          <w:sz w:val="24"/>
          <w:szCs w:val="24"/>
        </w:rPr>
        <w:t xml:space="preserve">. If ATSDR </w:t>
      </w:r>
      <w:r w:rsidR="4EF09606" w:rsidRPr="00421029">
        <w:rPr>
          <w:sz w:val="24"/>
          <w:szCs w:val="24"/>
        </w:rPr>
        <w:t>S</w:t>
      </w:r>
      <w:r w:rsidR="187322CE" w:rsidRPr="00421029">
        <w:rPr>
          <w:sz w:val="24"/>
          <w:szCs w:val="24"/>
        </w:rPr>
        <w:t xml:space="preserve">Vs </w:t>
      </w:r>
      <w:r w:rsidR="397BE335">
        <w:rPr>
          <w:sz w:val="24"/>
          <w:szCs w:val="24"/>
        </w:rPr>
        <w:t>a</w:t>
      </w:r>
      <w:r w:rsidR="397BE335" w:rsidRPr="00421029">
        <w:rPr>
          <w:sz w:val="24"/>
          <w:szCs w:val="24"/>
        </w:rPr>
        <w:t xml:space="preserve">re </w:t>
      </w:r>
      <w:r w:rsidR="187322CE" w:rsidRPr="00421029">
        <w:rPr>
          <w:sz w:val="24"/>
          <w:szCs w:val="24"/>
        </w:rPr>
        <w:t>not available, MDPH/B</w:t>
      </w:r>
      <w:r w:rsidR="61846175" w:rsidRPr="00421029">
        <w:rPr>
          <w:sz w:val="24"/>
          <w:szCs w:val="24"/>
        </w:rPr>
        <w:t>C</w:t>
      </w:r>
      <w:r w:rsidR="187322CE" w:rsidRPr="00421029">
        <w:rPr>
          <w:sz w:val="24"/>
          <w:szCs w:val="24"/>
        </w:rPr>
        <w:t xml:space="preserve">EH </w:t>
      </w:r>
      <w:r w:rsidR="397BE335" w:rsidRPr="00421029">
        <w:rPr>
          <w:sz w:val="24"/>
          <w:szCs w:val="24"/>
        </w:rPr>
        <w:t>consider</w:t>
      </w:r>
      <w:r w:rsidR="397BE335">
        <w:rPr>
          <w:sz w:val="24"/>
          <w:szCs w:val="24"/>
        </w:rPr>
        <w:t>s</w:t>
      </w:r>
      <w:r w:rsidR="397BE335" w:rsidRPr="00421029">
        <w:rPr>
          <w:sz w:val="24"/>
          <w:szCs w:val="24"/>
        </w:rPr>
        <w:t xml:space="preserve"> </w:t>
      </w:r>
      <w:r w:rsidR="0641D5A1" w:rsidRPr="00421029">
        <w:rPr>
          <w:sz w:val="24"/>
          <w:szCs w:val="24"/>
        </w:rPr>
        <w:t xml:space="preserve">US </w:t>
      </w:r>
      <w:r w:rsidR="187322CE" w:rsidRPr="00421029">
        <w:rPr>
          <w:sz w:val="24"/>
          <w:szCs w:val="24"/>
        </w:rPr>
        <w:t>E</w:t>
      </w:r>
      <w:r w:rsidR="05A7AD7D" w:rsidRPr="00421029">
        <w:rPr>
          <w:sz w:val="24"/>
          <w:szCs w:val="24"/>
        </w:rPr>
        <w:t xml:space="preserve">nvironmental </w:t>
      </w:r>
      <w:r w:rsidR="187322CE" w:rsidRPr="00421029">
        <w:rPr>
          <w:sz w:val="24"/>
          <w:szCs w:val="24"/>
        </w:rPr>
        <w:t>P</w:t>
      </w:r>
      <w:r w:rsidR="55435C20" w:rsidRPr="00421029">
        <w:rPr>
          <w:sz w:val="24"/>
          <w:szCs w:val="24"/>
        </w:rPr>
        <w:t xml:space="preserve">rotection </w:t>
      </w:r>
      <w:r w:rsidR="187322CE" w:rsidRPr="00421029">
        <w:rPr>
          <w:sz w:val="24"/>
          <w:szCs w:val="24"/>
        </w:rPr>
        <w:t>A</w:t>
      </w:r>
      <w:r w:rsidR="1783099D" w:rsidRPr="00421029">
        <w:rPr>
          <w:sz w:val="24"/>
          <w:szCs w:val="24"/>
        </w:rPr>
        <w:t>gency</w:t>
      </w:r>
      <w:r w:rsidR="397BE335">
        <w:rPr>
          <w:sz w:val="24"/>
          <w:szCs w:val="24"/>
        </w:rPr>
        <w:t xml:space="preserve"> (EPA)</w:t>
      </w:r>
      <w:r w:rsidR="187322CE" w:rsidRPr="00421029">
        <w:rPr>
          <w:sz w:val="24"/>
          <w:szCs w:val="24"/>
        </w:rPr>
        <w:t>, W</w:t>
      </w:r>
      <w:r w:rsidR="028C6C76" w:rsidRPr="00421029">
        <w:rPr>
          <w:sz w:val="24"/>
          <w:szCs w:val="24"/>
        </w:rPr>
        <w:t>orld</w:t>
      </w:r>
      <w:r w:rsidR="70237A5F" w:rsidRPr="00421029">
        <w:rPr>
          <w:sz w:val="24"/>
          <w:szCs w:val="24"/>
        </w:rPr>
        <w:t xml:space="preserve"> </w:t>
      </w:r>
      <w:r w:rsidR="187322CE" w:rsidRPr="00421029">
        <w:rPr>
          <w:sz w:val="24"/>
          <w:szCs w:val="24"/>
        </w:rPr>
        <w:t>H</w:t>
      </w:r>
      <w:r w:rsidR="509904CB" w:rsidRPr="00421029">
        <w:rPr>
          <w:sz w:val="24"/>
          <w:szCs w:val="24"/>
        </w:rPr>
        <w:t xml:space="preserve">ealth </w:t>
      </w:r>
      <w:r w:rsidR="187322CE" w:rsidRPr="00421029">
        <w:rPr>
          <w:sz w:val="24"/>
          <w:szCs w:val="24"/>
        </w:rPr>
        <w:t>O</w:t>
      </w:r>
      <w:r w:rsidR="5E61891F" w:rsidRPr="00421029">
        <w:rPr>
          <w:sz w:val="24"/>
          <w:szCs w:val="24"/>
        </w:rPr>
        <w:t>rganization</w:t>
      </w:r>
      <w:r w:rsidR="397BE335">
        <w:rPr>
          <w:sz w:val="24"/>
          <w:szCs w:val="24"/>
        </w:rPr>
        <w:t xml:space="preserve"> (WHO)</w:t>
      </w:r>
      <w:r w:rsidR="187322CE" w:rsidRPr="00421029">
        <w:rPr>
          <w:sz w:val="24"/>
          <w:szCs w:val="24"/>
        </w:rPr>
        <w:t>, and state</w:t>
      </w:r>
      <w:r w:rsidR="4921DCCD" w:rsidRPr="00421029">
        <w:rPr>
          <w:sz w:val="24"/>
          <w:szCs w:val="24"/>
        </w:rPr>
        <w:t xml:space="preserve"> agency </w:t>
      </w:r>
      <w:r w:rsidR="187322CE" w:rsidRPr="00421029">
        <w:rPr>
          <w:sz w:val="24"/>
          <w:szCs w:val="24"/>
        </w:rPr>
        <w:t>SVs and select</w:t>
      </w:r>
      <w:r w:rsidR="42F59038" w:rsidRPr="00421029">
        <w:rPr>
          <w:sz w:val="24"/>
          <w:szCs w:val="24"/>
        </w:rPr>
        <w:t xml:space="preserve">s </w:t>
      </w:r>
      <w:r w:rsidR="187322CE" w:rsidRPr="00421029">
        <w:rPr>
          <w:sz w:val="24"/>
          <w:szCs w:val="24"/>
        </w:rPr>
        <w:t>the most conservative (i.e.</w:t>
      </w:r>
      <w:r w:rsidR="58F046B5" w:rsidRPr="00421029">
        <w:rPr>
          <w:sz w:val="24"/>
          <w:szCs w:val="24"/>
        </w:rPr>
        <w:t>,</w:t>
      </w:r>
      <w:r w:rsidR="187322CE" w:rsidRPr="00421029">
        <w:rPr>
          <w:sz w:val="24"/>
          <w:szCs w:val="24"/>
        </w:rPr>
        <w:t xml:space="preserve"> </w:t>
      </w:r>
      <w:r w:rsidR="07FC397A" w:rsidRPr="00421029">
        <w:rPr>
          <w:sz w:val="24"/>
          <w:szCs w:val="24"/>
        </w:rPr>
        <w:t xml:space="preserve">lowest or most </w:t>
      </w:r>
      <w:r w:rsidR="187322CE" w:rsidRPr="00421029">
        <w:rPr>
          <w:sz w:val="24"/>
          <w:szCs w:val="24"/>
        </w:rPr>
        <w:t xml:space="preserve">health-protective) guideline. </w:t>
      </w:r>
    </w:p>
    <w:p w14:paraId="2D371C80" w14:textId="77777777" w:rsidR="00093F1B" w:rsidRPr="00421029" w:rsidRDefault="00093F1B" w:rsidP="00477F44">
      <w:pPr>
        <w:widowControl w:val="0"/>
        <w:spacing w:after="0" w:line="240" w:lineRule="auto"/>
        <w:rPr>
          <w:sz w:val="24"/>
          <w:szCs w:val="24"/>
        </w:rPr>
      </w:pPr>
    </w:p>
    <w:p w14:paraId="3264D1F6" w14:textId="6B2925AE" w:rsidR="0091237C" w:rsidRPr="00421029" w:rsidRDefault="008D1F96" w:rsidP="00364D96">
      <w:pPr>
        <w:keepNext/>
        <w:spacing w:after="0" w:line="240" w:lineRule="auto"/>
        <w:jc w:val="both"/>
        <w:rPr>
          <w:sz w:val="24"/>
          <w:szCs w:val="24"/>
        </w:rPr>
      </w:pPr>
      <w:r w:rsidRPr="00421029">
        <w:rPr>
          <w:sz w:val="24"/>
          <w:szCs w:val="24"/>
        </w:rPr>
        <w:t>If contaminant concentrations are less than SVs, adverse health effects are not likely to occur, and no further evaluation is requi</w:t>
      </w:r>
      <w:r w:rsidR="0091237C" w:rsidRPr="00421029">
        <w:rPr>
          <w:sz w:val="24"/>
          <w:szCs w:val="24"/>
        </w:rPr>
        <w:t>red. If contaminant concentrations are greater than SVs, MDPH/</w:t>
      </w:r>
      <w:r w:rsidR="0091237C" w:rsidRPr="671B5E56">
        <w:rPr>
          <w:sz w:val="24"/>
          <w:szCs w:val="24"/>
        </w:rPr>
        <w:t>B</w:t>
      </w:r>
      <w:r w:rsidR="6FA8F30E" w:rsidRPr="671B5E56">
        <w:rPr>
          <w:sz w:val="24"/>
          <w:szCs w:val="24"/>
        </w:rPr>
        <w:t>C</w:t>
      </w:r>
      <w:r w:rsidR="0091237C" w:rsidRPr="671B5E56">
        <w:rPr>
          <w:sz w:val="24"/>
          <w:szCs w:val="24"/>
        </w:rPr>
        <w:t>EH</w:t>
      </w:r>
      <w:r w:rsidR="0091237C" w:rsidRPr="00421029">
        <w:rPr>
          <w:sz w:val="24"/>
          <w:szCs w:val="24"/>
        </w:rPr>
        <w:t xml:space="preserve"> conducts additional evaluation, considering site-specific factors such as how often or for how long individuals were exposed to the contaminant. </w:t>
      </w:r>
    </w:p>
    <w:p w14:paraId="2404E697" w14:textId="77777777" w:rsidR="0091237C" w:rsidRPr="00421029" w:rsidRDefault="0091237C" w:rsidP="00477F44">
      <w:pPr>
        <w:widowControl w:val="0"/>
        <w:spacing w:after="0" w:line="240" w:lineRule="auto"/>
        <w:rPr>
          <w:sz w:val="24"/>
          <w:szCs w:val="24"/>
        </w:rPr>
      </w:pPr>
    </w:p>
    <w:p w14:paraId="38843ACC" w14:textId="0D566C77" w:rsidR="00477F44" w:rsidRPr="00421029" w:rsidRDefault="021C00A7" w:rsidP="00364D96">
      <w:pPr>
        <w:keepNext/>
        <w:spacing w:after="0" w:line="240" w:lineRule="auto"/>
        <w:jc w:val="both"/>
        <w:rPr>
          <w:sz w:val="24"/>
          <w:szCs w:val="24"/>
        </w:rPr>
      </w:pPr>
      <w:r w:rsidRPr="23A4FC9A">
        <w:rPr>
          <w:sz w:val="24"/>
          <w:szCs w:val="24"/>
        </w:rPr>
        <w:lastRenderedPageBreak/>
        <w:t>In addition to comparing contaminant concentrations to SVs, MDPH/</w:t>
      </w:r>
      <w:r w:rsidRPr="671B5E56">
        <w:rPr>
          <w:sz w:val="24"/>
          <w:szCs w:val="24"/>
        </w:rPr>
        <w:t>B</w:t>
      </w:r>
      <w:r w:rsidR="1EEAEA26" w:rsidRPr="671B5E56">
        <w:rPr>
          <w:sz w:val="24"/>
          <w:szCs w:val="24"/>
        </w:rPr>
        <w:t>C</w:t>
      </w:r>
      <w:r w:rsidRPr="671B5E56">
        <w:rPr>
          <w:sz w:val="24"/>
          <w:szCs w:val="24"/>
        </w:rPr>
        <w:t>EH</w:t>
      </w:r>
      <w:r w:rsidR="45E5C4A1" w:rsidRPr="23A4FC9A">
        <w:rPr>
          <w:sz w:val="24"/>
          <w:szCs w:val="24"/>
        </w:rPr>
        <w:t xml:space="preserve"> also </w:t>
      </w:r>
      <w:r w:rsidR="397BE335" w:rsidRPr="23A4FC9A">
        <w:rPr>
          <w:sz w:val="24"/>
          <w:szCs w:val="24"/>
        </w:rPr>
        <w:t xml:space="preserve">evaluates </w:t>
      </w:r>
      <w:r w:rsidR="45E5C4A1" w:rsidRPr="23A4FC9A">
        <w:rPr>
          <w:sz w:val="24"/>
          <w:szCs w:val="24"/>
        </w:rPr>
        <w:t xml:space="preserve">contaminants with no available screening values </w:t>
      </w:r>
      <w:r w:rsidRPr="23A4FC9A">
        <w:rPr>
          <w:sz w:val="24"/>
          <w:szCs w:val="24"/>
        </w:rPr>
        <w:t>as well as</w:t>
      </w:r>
      <w:r w:rsidR="45E5C4A1" w:rsidRPr="23A4FC9A">
        <w:rPr>
          <w:sz w:val="24"/>
          <w:szCs w:val="24"/>
        </w:rPr>
        <w:t xml:space="preserve"> other factors</w:t>
      </w:r>
      <w:r w:rsidRPr="23A4FC9A">
        <w:rPr>
          <w:sz w:val="24"/>
          <w:szCs w:val="24"/>
        </w:rPr>
        <w:t>, such as</w:t>
      </w:r>
      <w:r w:rsidR="45E5C4A1" w:rsidRPr="23A4FC9A">
        <w:rPr>
          <w:sz w:val="24"/>
          <w:szCs w:val="24"/>
        </w:rPr>
        <w:t xml:space="preserve"> community concern</w:t>
      </w:r>
      <w:r w:rsidRPr="23A4FC9A">
        <w:rPr>
          <w:sz w:val="24"/>
          <w:szCs w:val="24"/>
        </w:rPr>
        <w:t>s,</w:t>
      </w:r>
      <w:r w:rsidR="45E5C4A1" w:rsidRPr="23A4FC9A">
        <w:rPr>
          <w:sz w:val="24"/>
          <w:szCs w:val="24"/>
        </w:rPr>
        <w:t xml:space="preserve"> that warrant closer examination.</w:t>
      </w:r>
    </w:p>
    <w:p w14:paraId="4E775763" w14:textId="77777777" w:rsidR="009257AF" w:rsidRPr="00421029" w:rsidRDefault="009257AF" w:rsidP="008D1F96">
      <w:pPr>
        <w:widowControl w:val="0"/>
        <w:spacing w:after="0" w:line="240" w:lineRule="auto"/>
        <w:rPr>
          <w:sz w:val="24"/>
          <w:szCs w:val="24"/>
        </w:rPr>
      </w:pPr>
    </w:p>
    <w:p w14:paraId="20491179" w14:textId="2B5F909B" w:rsidR="00477F44" w:rsidRPr="00421029" w:rsidRDefault="21F3386B" w:rsidP="00364D96">
      <w:pPr>
        <w:keepNext/>
        <w:spacing w:after="0" w:line="240" w:lineRule="auto"/>
        <w:jc w:val="both"/>
        <w:rPr>
          <w:sz w:val="24"/>
          <w:szCs w:val="24"/>
        </w:rPr>
      </w:pPr>
      <w:r w:rsidRPr="00421029">
        <w:rPr>
          <w:sz w:val="24"/>
          <w:szCs w:val="24"/>
        </w:rPr>
        <w:t>For this health consultation, MDPH/</w:t>
      </w:r>
      <w:r w:rsidRPr="6D8970EA">
        <w:rPr>
          <w:sz w:val="24"/>
          <w:szCs w:val="24"/>
        </w:rPr>
        <w:t>B</w:t>
      </w:r>
      <w:r w:rsidR="49BA798B" w:rsidRPr="6D8970EA">
        <w:rPr>
          <w:sz w:val="24"/>
          <w:szCs w:val="24"/>
        </w:rPr>
        <w:t>C</w:t>
      </w:r>
      <w:r w:rsidRPr="6D8970EA">
        <w:rPr>
          <w:sz w:val="24"/>
          <w:szCs w:val="24"/>
        </w:rPr>
        <w:t>EH</w:t>
      </w:r>
      <w:r w:rsidRPr="00421029">
        <w:rPr>
          <w:sz w:val="24"/>
          <w:szCs w:val="24"/>
        </w:rPr>
        <w:t xml:space="preserve"> compared a</w:t>
      </w:r>
      <w:r w:rsidR="351409A2" w:rsidRPr="00421029">
        <w:rPr>
          <w:sz w:val="24"/>
          <w:szCs w:val="24"/>
        </w:rPr>
        <w:t>ir</w:t>
      </w:r>
      <w:r w:rsidR="5CEA544A" w:rsidRPr="00421029">
        <w:rPr>
          <w:sz w:val="24"/>
          <w:szCs w:val="24"/>
        </w:rPr>
        <w:t xml:space="preserve"> </w:t>
      </w:r>
      <w:r w:rsidR="351409A2" w:rsidRPr="00421029">
        <w:rPr>
          <w:sz w:val="24"/>
          <w:szCs w:val="24"/>
        </w:rPr>
        <w:t xml:space="preserve">monitoring </w:t>
      </w:r>
      <w:r w:rsidR="523DFBE7" w:rsidRPr="00421029">
        <w:rPr>
          <w:sz w:val="24"/>
          <w:szCs w:val="24"/>
        </w:rPr>
        <w:t xml:space="preserve">and sampling </w:t>
      </w:r>
      <w:r w:rsidR="351409A2" w:rsidRPr="00421029">
        <w:rPr>
          <w:sz w:val="24"/>
          <w:szCs w:val="24"/>
        </w:rPr>
        <w:t>data to</w:t>
      </w:r>
      <w:r w:rsidR="3EC694FF" w:rsidRPr="00421029">
        <w:rPr>
          <w:sz w:val="24"/>
          <w:szCs w:val="24"/>
        </w:rPr>
        <w:t xml:space="preserve"> </w:t>
      </w:r>
      <w:r w:rsidR="351409A2" w:rsidRPr="00421029">
        <w:rPr>
          <w:sz w:val="24"/>
          <w:szCs w:val="24"/>
        </w:rPr>
        <w:t xml:space="preserve">SVs established by ATSDR, EPA, WHO, or states. </w:t>
      </w:r>
      <w:r w:rsidR="1AE59F12" w:rsidRPr="00421029">
        <w:rPr>
          <w:sz w:val="24"/>
          <w:szCs w:val="24"/>
        </w:rPr>
        <w:t>T</w:t>
      </w:r>
      <w:r w:rsidR="351409A2" w:rsidRPr="00421029">
        <w:rPr>
          <w:sz w:val="24"/>
          <w:szCs w:val="24"/>
        </w:rPr>
        <w:t xml:space="preserve">able </w:t>
      </w:r>
      <w:r w:rsidR="1AE59F12" w:rsidRPr="00421029">
        <w:rPr>
          <w:sz w:val="24"/>
          <w:szCs w:val="24"/>
        </w:rPr>
        <w:t xml:space="preserve">1 </w:t>
      </w:r>
      <w:r w:rsidR="351409A2" w:rsidRPr="00421029">
        <w:rPr>
          <w:sz w:val="24"/>
          <w:szCs w:val="24"/>
        </w:rPr>
        <w:t xml:space="preserve">defines SVs used </w:t>
      </w:r>
      <w:r w:rsidR="1AE59F12" w:rsidRPr="00421029">
        <w:rPr>
          <w:sz w:val="24"/>
          <w:szCs w:val="24"/>
        </w:rPr>
        <w:t xml:space="preserve">for </w:t>
      </w:r>
      <w:r w:rsidR="351409A2" w:rsidRPr="00421029">
        <w:rPr>
          <w:sz w:val="24"/>
          <w:szCs w:val="24"/>
        </w:rPr>
        <w:t xml:space="preserve">this </w:t>
      </w:r>
      <w:r w:rsidR="1AE59F12" w:rsidRPr="00421029">
        <w:rPr>
          <w:sz w:val="24"/>
          <w:szCs w:val="24"/>
        </w:rPr>
        <w:t>health consultation</w:t>
      </w:r>
      <w:r w:rsidR="3EC694FF" w:rsidRPr="00421029">
        <w:rPr>
          <w:sz w:val="24"/>
          <w:szCs w:val="24"/>
        </w:rPr>
        <w:t xml:space="preserve">. </w:t>
      </w:r>
      <w:r w:rsidR="36DC2099" w:rsidRPr="00421029">
        <w:rPr>
          <w:sz w:val="24"/>
          <w:szCs w:val="24"/>
        </w:rPr>
        <w:t>MDPH/</w:t>
      </w:r>
      <w:r w:rsidR="36DC2099" w:rsidRPr="6D8970EA">
        <w:rPr>
          <w:sz w:val="24"/>
          <w:szCs w:val="24"/>
        </w:rPr>
        <w:t>B</w:t>
      </w:r>
      <w:r w:rsidR="43661E58" w:rsidRPr="6D8970EA">
        <w:rPr>
          <w:sz w:val="24"/>
          <w:szCs w:val="24"/>
        </w:rPr>
        <w:t>C</w:t>
      </w:r>
      <w:r w:rsidR="36DC2099" w:rsidRPr="6D8970EA">
        <w:rPr>
          <w:sz w:val="24"/>
          <w:szCs w:val="24"/>
        </w:rPr>
        <w:t>EH</w:t>
      </w:r>
      <w:r w:rsidR="36DC2099" w:rsidRPr="00421029">
        <w:rPr>
          <w:sz w:val="24"/>
          <w:szCs w:val="24"/>
        </w:rPr>
        <w:t xml:space="preserve"> also considered potential exposure of resident</w:t>
      </w:r>
      <w:r w:rsidR="21E92DFD" w:rsidRPr="00421029">
        <w:rPr>
          <w:sz w:val="24"/>
          <w:szCs w:val="24"/>
        </w:rPr>
        <w:t>’</w:t>
      </w:r>
      <w:r w:rsidR="36DC2099" w:rsidRPr="00421029">
        <w:rPr>
          <w:sz w:val="24"/>
          <w:szCs w:val="24"/>
        </w:rPr>
        <w:t>s soil in their yards, and to surface water in the Fore River.</w:t>
      </w:r>
    </w:p>
    <w:p w14:paraId="2AACF453" w14:textId="7847E34B" w:rsidR="1862F009" w:rsidRPr="00421029" w:rsidRDefault="1862F009" w:rsidP="1862F009">
      <w:pPr>
        <w:widowControl w:val="0"/>
        <w:spacing w:after="0" w:line="240" w:lineRule="auto"/>
        <w:rPr>
          <w:sz w:val="24"/>
          <w:szCs w:val="24"/>
        </w:rPr>
      </w:pPr>
    </w:p>
    <w:p w14:paraId="53507F6B" w14:textId="7C065031" w:rsidR="04362A4A" w:rsidRPr="00421029" w:rsidRDefault="191D4BB3" w:rsidP="00364D96">
      <w:pPr>
        <w:keepNext/>
        <w:spacing w:after="0" w:line="240" w:lineRule="auto"/>
        <w:jc w:val="both"/>
        <w:rPr>
          <w:sz w:val="24"/>
          <w:szCs w:val="24"/>
        </w:rPr>
      </w:pPr>
      <w:r w:rsidRPr="23A4FC9A">
        <w:rPr>
          <w:sz w:val="24"/>
          <w:szCs w:val="24"/>
        </w:rPr>
        <w:t>For this health consultation, MDPH</w:t>
      </w:r>
      <w:r w:rsidR="397BE335" w:rsidRPr="23A4FC9A">
        <w:rPr>
          <w:sz w:val="24"/>
          <w:szCs w:val="24"/>
        </w:rPr>
        <w:t>/</w:t>
      </w:r>
      <w:r w:rsidR="397BE335" w:rsidRPr="1A5BF77B">
        <w:rPr>
          <w:sz w:val="24"/>
          <w:szCs w:val="24"/>
        </w:rPr>
        <w:t>B</w:t>
      </w:r>
      <w:r w:rsidR="19BD48A8" w:rsidRPr="1A5BF77B">
        <w:rPr>
          <w:sz w:val="24"/>
          <w:szCs w:val="24"/>
        </w:rPr>
        <w:t>C</w:t>
      </w:r>
      <w:r w:rsidR="397BE335" w:rsidRPr="1A5BF77B">
        <w:rPr>
          <w:sz w:val="24"/>
          <w:szCs w:val="24"/>
        </w:rPr>
        <w:t>EH</w:t>
      </w:r>
      <w:r w:rsidRPr="23A4FC9A">
        <w:rPr>
          <w:sz w:val="24"/>
          <w:szCs w:val="24"/>
        </w:rPr>
        <w:t xml:space="preserve"> considered the specific risks </w:t>
      </w:r>
      <w:r w:rsidR="00BA51D5">
        <w:rPr>
          <w:sz w:val="24"/>
          <w:szCs w:val="24"/>
        </w:rPr>
        <w:t>for</w:t>
      </w:r>
      <w:r w:rsidR="00BA51D5" w:rsidRPr="23A4FC9A">
        <w:rPr>
          <w:sz w:val="24"/>
          <w:szCs w:val="24"/>
        </w:rPr>
        <w:t xml:space="preserve"> </w:t>
      </w:r>
      <w:r w:rsidRPr="23A4FC9A">
        <w:rPr>
          <w:sz w:val="24"/>
          <w:szCs w:val="24"/>
        </w:rPr>
        <w:t>sensitive people. With respect to inhalation exposure, sensitive people include those with existing respiratory or cardiovascular illness that could be exacerbated by exposure to airborne contamin</w:t>
      </w:r>
      <w:r w:rsidR="230140CC" w:rsidRPr="23A4FC9A">
        <w:rPr>
          <w:sz w:val="24"/>
          <w:szCs w:val="24"/>
        </w:rPr>
        <w:t xml:space="preserve">ants like </w:t>
      </w:r>
      <w:r w:rsidRPr="23A4FC9A">
        <w:rPr>
          <w:sz w:val="24"/>
          <w:szCs w:val="24"/>
        </w:rPr>
        <w:t>particulate matter. People at certain life stages are also more likely to experience health effects following exposure to particulate matter, including pregnant people, young children, and people older than 65 ye</w:t>
      </w:r>
      <w:r w:rsidRPr="23A4FC9A">
        <w:rPr>
          <w:rFonts w:eastAsiaTheme="minorEastAsia"/>
          <w:sz w:val="24"/>
          <w:szCs w:val="24"/>
        </w:rPr>
        <w:t>ars of age</w:t>
      </w:r>
      <w:r w:rsidRPr="23A4FC9A">
        <w:rPr>
          <w:rFonts w:eastAsiaTheme="minorEastAsia"/>
          <w:color w:val="000000" w:themeColor="text1"/>
          <w:sz w:val="24"/>
          <w:szCs w:val="24"/>
        </w:rPr>
        <w:t xml:space="preserve"> (ATSDR, 2022</w:t>
      </w:r>
      <w:r w:rsidR="0BE4FE04" w:rsidRPr="23A4FC9A">
        <w:rPr>
          <w:rFonts w:eastAsiaTheme="minorEastAsia"/>
          <w:color w:val="000000" w:themeColor="text1"/>
          <w:sz w:val="24"/>
          <w:szCs w:val="24"/>
        </w:rPr>
        <w:t>a</w:t>
      </w:r>
      <w:r w:rsidRPr="23A4FC9A">
        <w:rPr>
          <w:rFonts w:eastAsiaTheme="minorEastAsia"/>
          <w:color w:val="000000" w:themeColor="text1"/>
          <w:sz w:val="24"/>
          <w:szCs w:val="24"/>
        </w:rPr>
        <w:t>)</w:t>
      </w:r>
      <w:r w:rsidRPr="23A4FC9A">
        <w:rPr>
          <w:rFonts w:eastAsiaTheme="minorEastAsia"/>
          <w:sz w:val="24"/>
          <w:szCs w:val="24"/>
        </w:rPr>
        <w:t xml:space="preserve">. People of lower socioeconomic status are also </w:t>
      </w:r>
      <w:r w:rsidRPr="23A4FC9A">
        <w:rPr>
          <w:rFonts w:eastAsiaTheme="minorEastAsia"/>
          <w:color w:val="000000" w:themeColor="text1"/>
          <w:sz w:val="24"/>
          <w:szCs w:val="24"/>
        </w:rPr>
        <w:t xml:space="preserve">more likely to be sensitive </w:t>
      </w:r>
      <w:r w:rsidR="00FE305F" w:rsidRPr="23A4FC9A">
        <w:rPr>
          <w:rFonts w:eastAsiaTheme="minorEastAsia"/>
          <w:color w:val="000000" w:themeColor="text1"/>
          <w:sz w:val="24"/>
          <w:szCs w:val="24"/>
        </w:rPr>
        <w:t>because of</w:t>
      </w:r>
      <w:r w:rsidRPr="23A4FC9A">
        <w:rPr>
          <w:rFonts w:eastAsiaTheme="minorEastAsia"/>
          <w:color w:val="000000" w:themeColor="text1"/>
          <w:sz w:val="24"/>
          <w:szCs w:val="24"/>
        </w:rPr>
        <w:t xml:space="preserve"> the cumulative impacts from poor environmental conditions, pre-existing health conditions, and social factors such as access to quality healthcare (</w:t>
      </w:r>
      <w:r w:rsidR="66E07B5E" w:rsidRPr="23A4FC9A">
        <w:rPr>
          <w:rFonts w:eastAsiaTheme="minorEastAsia"/>
          <w:color w:val="000000" w:themeColor="text1"/>
          <w:sz w:val="24"/>
          <w:szCs w:val="24"/>
        </w:rPr>
        <w:t>ATSDR</w:t>
      </w:r>
      <w:r w:rsidR="4FA8BA18" w:rsidRPr="23A4FC9A">
        <w:rPr>
          <w:rFonts w:eastAsiaTheme="minorEastAsia"/>
          <w:color w:val="000000" w:themeColor="text1"/>
          <w:sz w:val="24"/>
          <w:szCs w:val="24"/>
        </w:rPr>
        <w:t>,</w:t>
      </w:r>
      <w:r w:rsidR="20DDFDE2" w:rsidRPr="23A4FC9A">
        <w:rPr>
          <w:rFonts w:eastAsiaTheme="minorEastAsia"/>
          <w:color w:val="000000" w:themeColor="text1"/>
          <w:sz w:val="24"/>
          <w:szCs w:val="24"/>
        </w:rPr>
        <w:t xml:space="preserve"> </w:t>
      </w:r>
      <w:r w:rsidR="66E07B5E" w:rsidRPr="23A4FC9A">
        <w:rPr>
          <w:rFonts w:eastAsiaTheme="minorEastAsia"/>
          <w:color w:val="000000" w:themeColor="text1"/>
          <w:sz w:val="24"/>
          <w:szCs w:val="24"/>
        </w:rPr>
        <w:t>2022</w:t>
      </w:r>
      <w:r w:rsidR="36FD467F" w:rsidRPr="23A4FC9A">
        <w:rPr>
          <w:rFonts w:eastAsiaTheme="minorEastAsia"/>
          <w:color w:val="000000" w:themeColor="text1"/>
          <w:sz w:val="24"/>
          <w:szCs w:val="24"/>
        </w:rPr>
        <w:t>a</w:t>
      </w:r>
      <w:r w:rsidR="66E07B5E" w:rsidRPr="23A4FC9A">
        <w:rPr>
          <w:rFonts w:eastAsiaTheme="minorEastAsia"/>
          <w:color w:val="000000" w:themeColor="text1"/>
          <w:sz w:val="24"/>
          <w:szCs w:val="24"/>
        </w:rPr>
        <w:t xml:space="preserve">, </w:t>
      </w:r>
      <w:r w:rsidRPr="23A4FC9A">
        <w:rPr>
          <w:rFonts w:eastAsiaTheme="minorEastAsia"/>
          <w:color w:val="000000" w:themeColor="text1"/>
          <w:sz w:val="24"/>
          <w:szCs w:val="24"/>
        </w:rPr>
        <w:t>ATSDR, 2023</w:t>
      </w:r>
      <w:r w:rsidR="237F27A9" w:rsidRPr="23A4FC9A">
        <w:rPr>
          <w:rFonts w:eastAsiaTheme="minorEastAsia"/>
          <w:color w:val="000000" w:themeColor="text1"/>
          <w:sz w:val="24"/>
          <w:szCs w:val="24"/>
        </w:rPr>
        <w:t>b</w:t>
      </w:r>
      <w:r w:rsidRPr="23A4FC9A">
        <w:rPr>
          <w:rFonts w:eastAsiaTheme="minorEastAsia"/>
          <w:color w:val="000000" w:themeColor="text1"/>
          <w:sz w:val="24"/>
          <w:szCs w:val="24"/>
        </w:rPr>
        <w:t>)</w:t>
      </w:r>
      <w:r w:rsidRPr="23A4FC9A">
        <w:rPr>
          <w:rFonts w:eastAsiaTheme="minorEastAsia"/>
          <w:sz w:val="24"/>
          <w:szCs w:val="24"/>
        </w:rPr>
        <w:t>. This letter health consultation collectively refer</w:t>
      </w:r>
      <w:r w:rsidR="397BE335" w:rsidRPr="23A4FC9A">
        <w:rPr>
          <w:rFonts w:eastAsiaTheme="minorEastAsia"/>
          <w:sz w:val="24"/>
          <w:szCs w:val="24"/>
        </w:rPr>
        <w:t>s</w:t>
      </w:r>
      <w:r w:rsidRPr="23A4FC9A">
        <w:rPr>
          <w:rFonts w:eastAsiaTheme="minorEastAsia"/>
          <w:sz w:val="24"/>
          <w:szCs w:val="24"/>
        </w:rPr>
        <w:t xml:space="preserve"> to these categories as “sensitive” individuals or populat</w:t>
      </w:r>
      <w:r w:rsidRPr="23A4FC9A">
        <w:rPr>
          <w:sz w:val="24"/>
          <w:szCs w:val="24"/>
        </w:rPr>
        <w:t xml:space="preserve">ions throughout this document. </w:t>
      </w:r>
    </w:p>
    <w:p w14:paraId="006700D0" w14:textId="6A4B2221" w:rsidR="552EF0C9" w:rsidRPr="00421029" w:rsidRDefault="552EF0C9" w:rsidP="552EF0C9">
      <w:pPr>
        <w:spacing w:after="0" w:line="240" w:lineRule="auto"/>
        <w:rPr>
          <w:rFonts w:ascii="Calibri" w:eastAsia="Calibri" w:hAnsi="Calibri" w:cs="Calibri"/>
          <w:sz w:val="24"/>
          <w:szCs w:val="24"/>
        </w:rPr>
      </w:pPr>
    </w:p>
    <w:p w14:paraId="311C3AA0" w14:textId="5EA80315" w:rsidR="640F43F5" w:rsidRPr="00421029" w:rsidRDefault="212E4678" w:rsidP="00364D96">
      <w:pPr>
        <w:keepNext/>
        <w:spacing w:after="0" w:line="240" w:lineRule="auto"/>
        <w:jc w:val="both"/>
        <w:rPr>
          <w:rFonts w:ascii="Calibri" w:eastAsia="Calibri" w:hAnsi="Calibri" w:cs="Calibri"/>
          <w:sz w:val="24"/>
          <w:szCs w:val="24"/>
        </w:rPr>
      </w:pPr>
      <w:r w:rsidRPr="00421029">
        <w:rPr>
          <w:rFonts w:ascii="Calibri" w:eastAsia="Calibri" w:hAnsi="Calibri" w:cs="Calibri"/>
          <w:sz w:val="24"/>
          <w:szCs w:val="24"/>
        </w:rPr>
        <w:t>MDPH</w:t>
      </w:r>
      <w:r w:rsidR="48711EDD" w:rsidRPr="2D86063D">
        <w:rPr>
          <w:rFonts w:ascii="Calibri" w:eastAsia="Calibri" w:hAnsi="Calibri" w:cs="Calibri"/>
          <w:sz w:val="24"/>
          <w:szCs w:val="24"/>
        </w:rPr>
        <w:t>/B</w:t>
      </w:r>
      <w:r w:rsidR="071FF2CF" w:rsidRPr="2D86063D">
        <w:rPr>
          <w:rFonts w:ascii="Calibri" w:eastAsia="Calibri" w:hAnsi="Calibri" w:cs="Calibri"/>
          <w:sz w:val="24"/>
          <w:szCs w:val="24"/>
        </w:rPr>
        <w:t>C</w:t>
      </w:r>
      <w:r w:rsidR="48711EDD" w:rsidRPr="2D86063D">
        <w:rPr>
          <w:rFonts w:ascii="Calibri" w:eastAsia="Calibri" w:hAnsi="Calibri" w:cs="Calibri"/>
          <w:sz w:val="24"/>
          <w:szCs w:val="24"/>
        </w:rPr>
        <w:t>EH</w:t>
      </w:r>
      <w:r w:rsidRPr="00421029">
        <w:rPr>
          <w:rFonts w:ascii="Calibri" w:eastAsia="Calibri" w:hAnsi="Calibri" w:cs="Calibri"/>
          <w:sz w:val="24"/>
          <w:szCs w:val="24"/>
        </w:rPr>
        <w:t xml:space="preserve"> also considered</w:t>
      </w:r>
      <w:r w:rsidR="1BF67199" w:rsidRPr="00421029">
        <w:rPr>
          <w:rFonts w:ascii="Calibri" w:eastAsia="Calibri" w:hAnsi="Calibri" w:cs="Calibri"/>
          <w:sz w:val="24"/>
          <w:szCs w:val="24"/>
        </w:rPr>
        <w:t xml:space="preserve"> the</w:t>
      </w:r>
      <w:r w:rsidRPr="00421029">
        <w:rPr>
          <w:rFonts w:ascii="Calibri" w:eastAsia="Calibri" w:hAnsi="Calibri" w:cs="Calibri"/>
          <w:sz w:val="24"/>
          <w:szCs w:val="24"/>
        </w:rPr>
        <w:t xml:space="preserve"> </w:t>
      </w:r>
      <w:r w:rsidR="1BF67199" w:rsidRPr="00421029">
        <w:rPr>
          <w:rFonts w:ascii="Calibri" w:eastAsia="Calibri" w:hAnsi="Calibri" w:cs="Calibri"/>
          <w:sz w:val="24"/>
          <w:szCs w:val="24"/>
        </w:rPr>
        <w:t>state</w:t>
      </w:r>
      <w:r w:rsidR="48711EDD" w:rsidRPr="2D86063D">
        <w:rPr>
          <w:rFonts w:ascii="Calibri" w:eastAsia="Calibri" w:hAnsi="Calibri" w:cs="Calibri"/>
          <w:sz w:val="24"/>
          <w:szCs w:val="24"/>
        </w:rPr>
        <w:t>wide</w:t>
      </w:r>
      <w:r w:rsidR="1BF67199" w:rsidRPr="00421029">
        <w:rPr>
          <w:rFonts w:ascii="Calibri" w:eastAsia="Calibri" w:hAnsi="Calibri" w:cs="Calibri"/>
          <w:sz w:val="24"/>
          <w:szCs w:val="24"/>
        </w:rPr>
        <w:t xml:space="preserve"> Environmental Justice </w:t>
      </w:r>
      <w:r w:rsidR="48711EDD" w:rsidRPr="2D86063D">
        <w:rPr>
          <w:rFonts w:ascii="Calibri" w:eastAsia="Calibri" w:hAnsi="Calibri" w:cs="Calibri"/>
          <w:sz w:val="24"/>
          <w:szCs w:val="24"/>
        </w:rPr>
        <w:t xml:space="preserve">(EJ) Policy </w:t>
      </w:r>
      <w:r w:rsidR="1BF67199" w:rsidRPr="00421029">
        <w:rPr>
          <w:rFonts w:ascii="Calibri" w:eastAsia="Calibri" w:hAnsi="Calibri" w:cs="Calibri"/>
          <w:sz w:val="24"/>
          <w:szCs w:val="24"/>
        </w:rPr>
        <w:t xml:space="preserve">in this </w:t>
      </w:r>
      <w:r w:rsidR="48711EDD" w:rsidRPr="2D86063D">
        <w:rPr>
          <w:rFonts w:ascii="Calibri" w:eastAsia="Calibri" w:hAnsi="Calibri" w:cs="Calibri"/>
          <w:sz w:val="24"/>
          <w:szCs w:val="24"/>
        </w:rPr>
        <w:t>consultation</w:t>
      </w:r>
      <w:r w:rsidR="73BDA8A0" w:rsidRPr="2D86063D">
        <w:rPr>
          <w:rFonts w:ascii="Calibri" w:eastAsia="Calibri" w:hAnsi="Calibri" w:cs="Calibri"/>
          <w:sz w:val="24"/>
          <w:szCs w:val="24"/>
        </w:rPr>
        <w:t>.</w:t>
      </w:r>
      <w:r w:rsidR="640F43F5" w:rsidRPr="00421029">
        <w:rPr>
          <w:rStyle w:val="FootnoteReference"/>
          <w:rFonts w:ascii="Calibri" w:eastAsia="Calibri" w:hAnsi="Calibri" w:cs="Calibri"/>
          <w:sz w:val="24"/>
          <w:szCs w:val="24"/>
        </w:rPr>
        <w:footnoteReference w:id="5"/>
      </w:r>
      <w:r w:rsidR="1BF67199" w:rsidRPr="00421029">
        <w:rPr>
          <w:rFonts w:ascii="Calibri" w:eastAsia="Calibri" w:hAnsi="Calibri" w:cs="Calibri"/>
          <w:sz w:val="24"/>
          <w:szCs w:val="24"/>
        </w:rPr>
        <w:t xml:space="preserve"> </w:t>
      </w:r>
      <w:r w:rsidR="6DA45E60" w:rsidRPr="00421029">
        <w:rPr>
          <w:rFonts w:ascii="Calibri" w:eastAsia="Calibri" w:hAnsi="Calibri" w:cs="Calibri"/>
          <w:sz w:val="24"/>
          <w:szCs w:val="24"/>
        </w:rPr>
        <w:t>As outlined in the EJ Policy</w:t>
      </w:r>
      <w:r w:rsidR="3645AEC4" w:rsidRPr="00421029">
        <w:rPr>
          <w:rFonts w:ascii="Calibri" w:eastAsia="Calibri" w:hAnsi="Calibri" w:cs="Calibri"/>
          <w:sz w:val="24"/>
          <w:szCs w:val="24"/>
        </w:rPr>
        <w:t xml:space="preserve"> (EEA, 2021)</w:t>
      </w:r>
      <w:r w:rsidR="6DA45E60" w:rsidRPr="00421029">
        <w:rPr>
          <w:rFonts w:ascii="Calibri" w:eastAsia="Calibri" w:hAnsi="Calibri" w:cs="Calibri"/>
          <w:sz w:val="24"/>
          <w:szCs w:val="24"/>
        </w:rPr>
        <w:t xml:space="preserve">, communities should be screened to evaluate </w:t>
      </w:r>
      <w:r w:rsidR="6102683F" w:rsidRPr="00421029">
        <w:rPr>
          <w:rFonts w:ascii="Calibri" w:eastAsia="Calibri" w:hAnsi="Calibri" w:cs="Calibri"/>
          <w:sz w:val="24"/>
          <w:szCs w:val="24"/>
        </w:rPr>
        <w:t xml:space="preserve">demographic characteristics, as well as </w:t>
      </w:r>
      <w:r w:rsidR="6DA45E60" w:rsidRPr="00421029">
        <w:rPr>
          <w:rFonts w:ascii="Calibri" w:eastAsia="Calibri" w:hAnsi="Calibri" w:cs="Calibri"/>
          <w:sz w:val="24"/>
          <w:szCs w:val="24"/>
        </w:rPr>
        <w:t>existing health burden and</w:t>
      </w:r>
      <w:r w:rsidR="26827383" w:rsidRPr="00421029">
        <w:rPr>
          <w:rFonts w:ascii="Calibri" w:eastAsia="Calibri" w:hAnsi="Calibri" w:cs="Calibri"/>
          <w:sz w:val="24"/>
          <w:szCs w:val="24"/>
        </w:rPr>
        <w:t xml:space="preserve"> the underlying</w:t>
      </w:r>
      <w:r w:rsidR="6DA45E60" w:rsidRPr="00421029">
        <w:rPr>
          <w:rFonts w:ascii="Calibri" w:eastAsia="Calibri" w:hAnsi="Calibri" w:cs="Calibri"/>
          <w:sz w:val="24"/>
          <w:szCs w:val="24"/>
        </w:rPr>
        <w:t xml:space="preserve"> vulnerabilit</w:t>
      </w:r>
      <w:r w:rsidR="0F526490" w:rsidRPr="00421029">
        <w:rPr>
          <w:rFonts w:ascii="Calibri" w:eastAsia="Calibri" w:hAnsi="Calibri" w:cs="Calibri"/>
          <w:sz w:val="24"/>
          <w:szCs w:val="24"/>
        </w:rPr>
        <w:t>y of the</w:t>
      </w:r>
      <w:r w:rsidR="6DA45E60" w:rsidRPr="00421029">
        <w:rPr>
          <w:rFonts w:ascii="Calibri" w:eastAsia="Calibri" w:hAnsi="Calibri" w:cs="Calibri"/>
          <w:sz w:val="24"/>
          <w:szCs w:val="24"/>
        </w:rPr>
        <w:t xml:space="preserve"> population</w:t>
      </w:r>
      <w:r w:rsidR="557F1A76" w:rsidRPr="00421029">
        <w:rPr>
          <w:rFonts w:ascii="Calibri" w:eastAsia="Calibri" w:hAnsi="Calibri" w:cs="Calibri"/>
          <w:sz w:val="24"/>
          <w:szCs w:val="24"/>
        </w:rPr>
        <w:t xml:space="preserve"> to environmental contamination</w:t>
      </w:r>
      <w:r w:rsidR="6DA45E60" w:rsidRPr="00421029">
        <w:rPr>
          <w:rFonts w:ascii="Calibri" w:eastAsia="Calibri" w:hAnsi="Calibri" w:cs="Calibri"/>
          <w:sz w:val="24"/>
          <w:szCs w:val="24"/>
        </w:rPr>
        <w:t xml:space="preserve">. </w:t>
      </w:r>
      <w:r w:rsidR="21DEB747" w:rsidRPr="00421029">
        <w:rPr>
          <w:rFonts w:ascii="Calibri" w:eastAsia="Calibri" w:hAnsi="Calibri" w:cs="Calibri"/>
          <w:sz w:val="24"/>
          <w:szCs w:val="24"/>
        </w:rPr>
        <w:t>T</w:t>
      </w:r>
      <w:r w:rsidR="6DA45E60" w:rsidRPr="00421029">
        <w:rPr>
          <w:rFonts w:ascii="Calibri" w:eastAsia="Calibri" w:hAnsi="Calibri" w:cs="Calibri"/>
          <w:sz w:val="24"/>
          <w:szCs w:val="24"/>
        </w:rPr>
        <w:t xml:space="preserve">he statewide EJ </w:t>
      </w:r>
      <w:r w:rsidR="0B6DF74C" w:rsidRPr="2D86063D">
        <w:rPr>
          <w:rFonts w:ascii="Calibri" w:eastAsia="Calibri" w:hAnsi="Calibri" w:cs="Calibri"/>
          <w:sz w:val="24"/>
          <w:szCs w:val="24"/>
        </w:rPr>
        <w:t xml:space="preserve">Policy </w:t>
      </w:r>
      <w:r w:rsidR="6DA45E60" w:rsidRPr="00421029">
        <w:rPr>
          <w:rFonts w:ascii="Calibri" w:eastAsia="Calibri" w:hAnsi="Calibri" w:cs="Calibri"/>
          <w:sz w:val="24"/>
          <w:szCs w:val="24"/>
        </w:rPr>
        <w:t xml:space="preserve">identifies four environmentally related health indicators for understanding </w:t>
      </w:r>
      <w:r w:rsidR="2B342C67" w:rsidRPr="00421029">
        <w:rPr>
          <w:rFonts w:ascii="Calibri" w:eastAsia="Calibri" w:hAnsi="Calibri" w:cs="Calibri"/>
          <w:sz w:val="24"/>
          <w:szCs w:val="24"/>
        </w:rPr>
        <w:t>a</w:t>
      </w:r>
      <w:r w:rsidR="6DA45E60" w:rsidRPr="00421029">
        <w:rPr>
          <w:rFonts w:ascii="Calibri" w:eastAsia="Calibri" w:hAnsi="Calibri" w:cs="Calibri"/>
          <w:sz w:val="24"/>
          <w:szCs w:val="24"/>
        </w:rPr>
        <w:t xml:space="preserve"> community’s vulnerability to environmental exposures. The health criteria </w:t>
      </w:r>
      <w:r w:rsidR="3737DF27" w:rsidRPr="00421029">
        <w:rPr>
          <w:rFonts w:ascii="Calibri" w:eastAsia="Calibri" w:hAnsi="Calibri" w:cs="Calibri"/>
          <w:sz w:val="24"/>
          <w:szCs w:val="24"/>
        </w:rPr>
        <w:t>include</w:t>
      </w:r>
      <w:r w:rsidR="6DA45E60" w:rsidRPr="00421029">
        <w:rPr>
          <w:rFonts w:ascii="Calibri" w:eastAsia="Calibri" w:hAnsi="Calibri" w:cs="Calibri"/>
          <w:sz w:val="24"/>
          <w:szCs w:val="24"/>
        </w:rPr>
        <w:t xml:space="preserve"> heart attack hospitalization, childhood lead </w:t>
      </w:r>
      <w:r w:rsidR="083594ED" w:rsidRPr="00421029">
        <w:rPr>
          <w:rFonts w:ascii="Calibri" w:eastAsia="Calibri" w:hAnsi="Calibri" w:cs="Calibri"/>
          <w:sz w:val="24"/>
          <w:szCs w:val="24"/>
        </w:rPr>
        <w:t>poisoning</w:t>
      </w:r>
      <w:r w:rsidR="6DA45E60" w:rsidRPr="00421029">
        <w:rPr>
          <w:rFonts w:ascii="Calibri" w:eastAsia="Calibri" w:hAnsi="Calibri" w:cs="Calibri"/>
          <w:sz w:val="24"/>
          <w:szCs w:val="24"/>
        </w:rPr>
        <w:t>, low birth weight, and childhood asthma emergency department visits. (EEA, 2021).</w:t>
      </w:r>
      <w:r w:rsidR="5BE38034" w:rsidRPr="00421029">
        <w:rPr>
          <w:rFonts w:ascii="Calibri" w:eastAsia="Calibri" w:hAnsi="Calibri" w:cs="Calibri"/>
          <w:sz w:val="24"/>
          <w:szCs w:val="24"/>
        </w:rPr>
        <w:t xml:space="preserve"> This information was collected to inform and prioritize any proposed actions, recognizing that people of</w:t>
      </w:r>
      <w:r w:rsidR="1FC6931A" w:rsidRPr="00421029">
        <w:rPr>
          <w:rFonts w:ascii="Calibri" w:eastAsia="Calibri" w:hAnsi="Calibri" w:cs="Calibri"/>
          <w:sz w:val="24"/>
          <w:szCs w:val="24"/>
        </w:rPr>
        <w:t xml:space="preserve"> color fa</w:t>
      </w:r>
      <w:r w:rsidR="5BE38034" w:rsidRPr="00421029">
        <w:rPr>
          <w:rFonts w:ascii="Calibri" w:eastAsia="Calibri" w:hAnsi="Calibri" w:cs="Calibri"/>
          <w:sz w:val="24"/>
          <w:szCs w:val="24"/>
        </w:rPr>
        <w:t xml:space="preserve">ce higher exposure to air pollution and greater harm from these exposures that should be prioritized (ALA, 2023).  </w:t>
      </w:r>
      <w:r w:rsidR="53BCBDAD" w:rsidRPr="00421029">
        <w:rPr>
          <w:rFonts w:ascii="Calibri" w:eastAsia="Calibri" w:hAnsi="Calibri" w:cs="Calibri"/>
          <w:sz w:val="24"/>
          <w:szCs w:val="24"/>
        </w:rPr>
        <w:t>F</w:t>
      </w:r>
      <w:r w:rsidRPr="00421029">
        <w:rPr>
          <w:rFonts w:ascii="Calibri" w:eastAsia="Calibri" w:hAnsi="Calibri" w:cs="Calibri"/>
          <w:sz w:val="24"/>
          <w:szCs w:val="24"/>
        </w:rPr>
        <w:t>or this health consultation, MDPH</w:t>
      </w:r>
      <w:r w:rsidR="0B6DF74C" w:rsidRPr="2D86063D">
        <w:rPr>
          <w:rFonts w:ascii="Calibri" w:eastAsia="Calibri" w:hAnsi="Calibri" w:cs="Calibri"/>
          <w:sz w:val="24"/>
          <w:szCs w:val="24"/>
        </w:rPr>
        <w:t>/B</w:t>
      </w:r>
      <w:r w:rsidR="27DFBB67" w:rsidRPr="2D86063D">
        <w:rPr>
          <w:rFonts w:ascii="Calibri" w:eastAsia="Calibri" w:hAnsi="Calibri" w:cs="Calibri"/>
          <w:sz w:val="24"/>
          <w:szCs w:val="24"/>
        </w:rPr>
        <w:t>C</w:t>
      </w:r>
      <w:r w:rsidR="0B6DF74C" w:rsidRPr="2D86063D">
        <w:rPr>
          <w:rFonts w:ascii="Calibri" w:eastAsia="Calibri" w:hAnsi="Calibri" w:cs="Calibri"/>
          <w:sz w:val="24"/>
          <w:szCs w:val="24"/>
        </w:rPr>
        <w:t>EH</w:t>
      </w:r>
      <w:r w:rsidRPr="00421029">
        <w:rPr>
          <w:rFonts w:ascii="Calibri" w:eastAsia="Calibri" w:hAnsi="Calibri" w:cs="Calibri"/>
          <w:sz w:val="24"/>
          <w:szCs w:val="24"/>
        </w:rPr>
        <w:t xml:space="preserve"> considered strategies outlined in </w:t>
      </w:r>
      <w:r w:rsidR="365F178A" w:rsidRPr="2D86063D">
        <w:rPr>
          <w:rFonts w:ascii="Calibri" w:eastAsia="Calibri" w:hAnsi="Calibri" w:cs="Calibri"/>
          <w:sz w:val="24"/>
          <w:szCs w:val="24"/>
        </w:rPr>
        <w:t>the EJ Policy</w:t>
      </w:r>
      <w:r w:rsidRPr="00421029">
        <w:rPr>
          <w:rFonts w:ascii="Calibri" w:eastAsia="Calibri" w:hAnsi="Calibri" w:cs="Calibri"/>
          <w:sz w:val="24"/>
          <w:szCs w:val="24"/>
        </w:rPr>
        <w:t xml:space="preserve"> and used the </w:t>
      </w:r>
      <w:r w:rsidR="37413ECF" w:rsidRPr="00421029">
        <w:rPr>
          <w:rFonts w:ascii="Calibri" w:eastAsia="Calibri" w:hAnsi="Calibri" w:cs="Calibri"/>
          <w:sz w:val="24"/>
          <w:szCs w:val="24"/>
        </w:rPr>
        <w:t>recommended</w:t>
      </w:r>
      <w:r w:rsidRPr="00421029">
        <w:rPr>
          <w:rFonts w:ascii="Calibri" w:eastAsia="Calibri" w:hAnsi="Calibri" w:cs="Calibri"/>
          <w:sz w:val="24"/>
          <w:szCs w:val="24"/>
        </w:rPr>
        <w:t xml:space="preserve"> data sources (e.g., household income, race/ethnicity, English language proficiency, hospitalization rates for myocardial infarction, childhood blood lead, low birth weight, and childhood asthma emergency department visits) to </w:t>
      </w:r>
      <w:r w:rsidR="53D20850" w:rsidRPr="00421029">
        <w:rPr>
          <w:rFonts w:ascii="Calibri" w:eastAsia="Calibri" w:hAnsi="Calibri" w:cs="Calibri"/>
          <w:sz w:val="24"/>
          <w:szCs w:val="24"/>
        </w:rPr>
        <w:t>characterize the</w:t>
      </w:r>
      <w:r w:rsidRPr="00421029">
        <w:rPr>
          <w:rFonts w:ascii="Calibri" w:eastAsia="Calibri" w:hAnsi="Calibri" w:cs="Calibri"/>
          <w:sz w:val="24"/>
          <w:szCs w:val="24"/>
        </w:rPr>
        <w:t xml:space="preserve"> </w:t>
      </w:r>
      <w:r w:rsidR="3DAD995D" w:rsidRPr="00421029">
        <w:rPr>
          <w:rFonts w:ascii="Calibri" w:eastAsia="Calibri" w:hAnsi="Calibri" w:cs="Calibri"/>
          <w:sz w:val="24"/>
          <w:szCs w:val="24"/>
        </w:rPr>
        <w:t xml:space="preserve">EJ </w:t>
      </w:r>
      <w:r w:rsidR="6C72BE1F" w:rsidRPr="2D86063D">
        <w:rPr>
          <w:rFonts w:ascii="Calibri" w:eastAsia="Calibri" w:hAnsi="Calibri" w:cs="Calibri"/>
          <w:sz w:val="24"/>
          <w:szCs w:val="24"/>
        </w:rPr>
        <w:t>population</w:t>
      </w:r>
      <w:r w:rsidR="64926C75" w:rsidRPr="2D86063D">
        <w:rPr>
          <w:rFonts w:ascii="Calibri" w:eastAsia="Calibri" w:hAnsi="Calibri" w:cs="Calibri"/>
          <w:sz w:val="24"/>
          <w:szCs w:val="24"/>
        </w:rPr>
        <w:t xml:space="preserve">s </w:t>
      </w:r>
      <w:r w:rsidRPr="00421029">
        <w:rPr>
          <w:rFonts w:ascii="Calibri" w:eastAsia="Calibri" w:hAnsi="Calibri" w:cs="Calibri"/>
          <w:sz w:val="24"/>
          <w:szCs w:val="24"/>
        </w:rPr>
        <w:t xml:space="preserve">surrounding the Clean Harbors site. </w:t>
      </w:r>
    </w:p>
    <w:p w14:paraId="6D84DBAF" w14:textId="7847E34B" w:rsidR="1862F009" w:rsidRDefault="1862F009" w:rsidP="1862F009">
      <w:pPr>
        <w:widowControl w:val="0"/>
        <w:spacing w:after="0" w:line="240" w:lineRule="auto"/>
      </w:pPr>
    </w:p>
    <w:p w14:paraId="64A3701E" w14:textId="77777777" w:rsidR="00FD6537" w:rsidRDefault="00FD6537" w:rsidP="008D1F96">
      <w:pPr>
        <w:widowControl w:val="0"/>
        <w:spacing w:after="0" w:line="240" w:lineRule="auto"/>
      </w:pPr>
    </w:p>
    <w:tbl>
      <w:tblPr>
        <w:tblW w:w="10170" w:type="dxa"/>
        <w:tblLook w:val="04A0" w:firstRow="1" w:lastRow="0" w:firstColumn="1" w:lastColumn="0" w:noHBand="0" w:noVBand="1"/>
      </w:tblPr>
      <w:tblGrid>
        <w:gridCol w:w="3510"/>
        <w:gridCol w:w="1401"/>
        <w:gridCol w:w="4179"/>
        <w:gridCol w:w="1080"/>
      </w:tblGrid>
      <w:tr w:rsidR="00FD6537" w:rsidRPr="00477F44" w14:paraId="7DA3DD96" w14:textId="77777777" w:rsidTr="23A4FC9A">
        <w:trPr>
          <w:trHeight w:val="310"/>
        </w:trPr>
        <w:tc>
          <w:tcPr>
            <w:tcW w:w="10170" w:type="dxa"/>
            <w:gridSpan w:val="4"/>
            <w:tcBorders>
              <w:bottom w:val="single" w:sz="4" w:space="0" w:color="auto"/>
            </w:tcBorders>
            <w:shd w:val="clear" w:color="auto" w:fill="auto"/>
            <w:noWrap/>
            <w:vAlign w:val="bottom"/>
            <w:hideMark/>
          </w:tcPr>
          <w:p w14:paraId="6FFDFB70" w14:textId="77777777" w:rsidR="00FD6537" w:rsidRPr="00477F44" w:rsidRDefault="00FD6537">
            <w:pPr>
              <w:keepNext/>
              <w:spacing w:after="0" w:line="240" w:lineRule="auto"/>
              <w:rPr>
                <w:b/>
                <w:bCs/>
              </w:rPr>
            </w:pPr>
            <w:bookmarkStart w:id="0" w:name="_Hlk137122486"/>
            <w:r w:rsidRPr="00421029">
              <w:rPr>
                <w:b/>
                <w:bCs/>
                <w:sz w:val="24"/>
                <w:szCs w:val="24"/>
              </w:rPr>
              <w:t>Table 1. Screening Value Definitions</w:t>
            </w:r>
          </w:p>
        </w:tc>
      </w:tr>
      <w:tr w:rsidR="00FD6537" w:rsidRPr="00477F44" w14:paraId="38427720" w14:textId="77777777" w:rsidTr="23A4FC9A">
        <w:trPr>
          <w:trHeight w:val="290"/>
        </w:trPr>
        <w:tc>
          <w:tcPr>
            <w:tcW w:w="3510" w:type="dxa"/>
            <w:tcBorders>
              <w:top w:val="nil"/>
              <w:left w:val="single" w:sz="4" w:space="0" w:color="auto"/>
              <w:bottom w:val="single" w:sz="4" w:space="0" w:color="auto"/>
              <w:right w:val="nil"/>
            </w:tcBorders>
            <w:shd w:val="clear" w:color="auto" w:fill="D9E2F3" w:themeFill="accent1" w:themeFillTint="33"/>
            <w:noWrap/>
            <w:vAlign w:val="bottom"/>
            <w:hideMark/>
          </w:tcPr>
          <w:p w14:paraId="1278C4E5" w14:textId="77777777" w:rsidR="00FD6537" w:rsidRPr="00745739" w:rsidRDefault="00FD6537">
            <w:pPr>
              <w:keepNext/>
              <w:spacing w:after="0" w:line="240" w:lineRule="auto"/>
              <w:rPr>
                <w:b/>
                <w:bCs/>
                <w:sz w:val="20"/>
                <w:szCs w:val="20"/>
              </w:rPr>
            </w:pPr>
            <w:r w:rsidRPr="00745739">
              <w:rPr>
                <w:b/>
                <w:bCs/>
                <w:sz w:val="20"/>
                <w:szCs w:val="20"/>
              </w:rPr>
              <w:t>Name</w:t>
            </w:r>
          </w:p>
        </w:tc>
        <w:tc>
          <w:tcPr>
            <w:tcW w:w="1401"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E265358" w14:textId="77777777" w:rsidR="00FD6537" w:rsidRPr="00745739" w:rsidRDefault="00FD6537">
            <w:pPr>
              <w:keepNext/>
              <w:spacing w:after="0" w:line="240" w:lineRule="auto"/>
              <w:rPr>
                <w:b/>
                <w:bCs/>
                <w:sz w:val="20"/>
                <w:szCs w:val="20"/>
              </w:rPr>
            </w:pPr>
            <w:r w:rsidRPr="00745739">
              <w:rPr>
                <w:b/>
                <w:bCs/>
                <w:sz w:val="20"/>
                <w:szCs w:val="20"/>
              </w:rPr>
              <w:t>Abbreviation</w:t>
            </w:r>
          </w:p>
        </w:tc>
        <w:tc>
          <w:tcPr>
            <w:tcW w:w="4179" w:type="dxa"/>
            <w:tcBorders>
              <w:top w:val="nil"/>
              <w:left w:val="nil"/>
              <w:bottom w:val="single" w:sz="4" w:space="0" w:color="auto"/>
              <w:right w:val="single" w:sz="4" w:space="0" w:color="auto"/>
            </w:tcBorders>
            <w:shd w:val="clear" w:color="auto" w:fill="D9E2F3" w:themeFill="accent1" w:themeFillTint="33"/>
            <w:noWrap/>
            <w:vAlign w:val="bottom"/>
            <w:hideMark/>
          </w:tcPr>
          <w:p w14:paraId="5F581BC0" w14:textId="77777777" w:rsidR="00FD6537" w:rsidRPr="00745739" w:rsidRDefault="00FD6537">
            <w:pPr>
              <w:keepNext/>
              <w:spacing w:after="0" w:line="240" w:lineRule="auto"/>
              <w:rPr>
                <w:b/>
                <w:bCs/>
                <w:sz w:val="20"/>
                <w:szCs w:val="20"/>
              </w:rPr>
            </w:pPr>
            <w:r w:rsidRPr="00745739">
              <w:rPr>
                <w:b/>
                <w:bCs/>
                <w:sz w:val="20"/>
                <w:szCs w:val="20"/>
              </w:rPr>
              <w:t>Description</w:t>
            </w:r>
          </w:p>
        </w:tc>
        <w:tc>
          <w:tcPr>
            <w:tcW w:w="108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522D8B36" w14:textId="77777777" w:rsidR="00FD6537" w:rsidRPr="00745739" w:rsidRDefault="00FD6537">
            <w:pPr>
              <w:keepNext/>
              <w:spacing w:after="0" w:line="240" w:lineRule="auto"/>
              <w:rPr>
                <w:b/>
                <w:bCs/>
                <w:sz w:val="20"/>
                <w:szCs w:val="20"/>
              </w:rPr>
            </w:pPr>
            <w:r w:rsidRPr="00745739">
              <w:rPr>
                <w:b/>
                <w:bCs/>
                <w:sz w:val="20"/>
                <w:szCs w:val="20"/>
              </w:rPr>
              <w:t>Reference</w:t>
            </w:r>
          </w:p>
        </w:tc>
      </w:tr>
      <w:tr w:rsidR="00FD6537" w:rsidRPr="00477F44" w14:paraId="15CB0A02" w14:textId="77777777" w:rsidTr="23A4FC9A">
        <w:trPr>
          <w:trHeight w:val="290"/>
        </w:trPr>
        <w:tc>
          <w:tcPr>
            <w:tcW w:w="10170"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8E0DEAA" w14:textId="77777777" w:rsidR="00FD6537" w:rsidRPr="00745739" w:rsidRDefault="00FD6537">
            <w:pPr>
              <w:keepNext/>
              <w:spacing w:after="0" w:line="240" w:lineRule="auto"/>
              <w:jc w:val="center"/>
              <w:rPr>
                <w:sz w:val="20"/>
                <w:szCs w:val="20"/>
              </w:rPr>
            </w:pPr>
            <w:r w:rsidRPr="00745739">
              <w:rPr>
                <w:b/>
                <w:bCs/>
                <w:sz w:val="20"/>
                <w:szCs w:val="20"/>
              </w:rPr>
              <w:t xml:space="preserve">ATSDR </w:t>
            </w:r>
            <w:r>
              <w:rPr>
                <w:b/>
                <w:bCs/>
                <w:sz w:val="20"/>
                <w:szCs w:val="20"/>
              </w:rPr>
              <w:t>Screening</w:t>
            </w:r>
            <w:r w:rsidRPr="00745739">
              <w:rPr>
                <w:b/>
                <w:bCs/>
                <w:sz w:val="20"/>
                <w:szCs w:val="20"/>
              </w:rPr>
              <w:t xml:space="preserve"> Values</w:t>
            </w:r>
          </w:p>
        </w:tc>
      </w:tr>
      <w:tr w:rsidR="00FD6537" w:rsidRPr="00477F44" w14:paraId="080AA02A" w14:textId="77777777" w:rsidTr="23A4FC9A">
        <w:trPr>
          <w:trHeight w:val="332"/>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294BB7EF" w14:textId="77777777" w:rsidR="00FD6537" w:rsidRPr="00745739" w:rsidRDefault="00FD6537">
            <w:pPr>
              <w:keepNext/>
              <w:spacing w:after="0" w:line="240" w:lineRule="auto"/>
              <w:rPr>
                <w:sz w:val="20"/>
                <w:szCs w:val="20"/>
              </w:rPr>
            </w:pPr>
            <w:r w:rsidRPr="00745739">
              <w:rPr>
                <w:sz w:val="20"/>
                <w:szCs w:val="20"/>
              </w:rPr>
              <w:t>Cancer Risk Evaluation Guideline</w:t>
            </w:r>
          </w:p>
        </w:tc>
        <w:tc>
          <w:tcPr>
            <w:tcW w:w="1401" w:type="dxa"/>
            <w:tcBorders>
              <w:top w:val="nil"/>
              <w:left w:val="nil"/>
              <w:bottom w:val="single" w:sz="4" w:space="0" w:color="auto"/>
              <w:right w:val="single" w:sz="4" w:space="0" w:color="auto"/>
            </w:tcBorders>
            <w:shd w:val="clear" w:color="auto" w:fill="auto"/>
            <w:noWrap/>
            <w:vAlign w:val="center"/>
            <w:hideMark/>
          </w:tcPr>
          <w:p w14:paraId="58DC110F" w14:textId="77777777" w:rsidR="00FD6537" w:rsidRPr="00745739" w:rsidRDefault="00FD6537">
            <w:pPr>
              <w:keepNext/>
              <w:spacing w:after="0" w:line="240" w:lineRule="auto"/>
              <w:jc w:val="center"/>
              <w:rPr>
                <w:sz w:val="20"/>
                <w:szCs w:val="20"/>
              </w:rPr>
            </w:pPr>
            <w:r w:rsidRPr="00745739">
              <w:rPr>
                <w:sz w:val="20"/>
                <w:szCs w:val="20"/>
              </w:rPr>
              <w:t>CREG</w:t>
            </w:r>
          </w:p>
        </w:tc>
        <w:tc>
          <w:tcPr>
            <w:tcW w:w="4179" w:type="dxa"/>
            <w:tcBorders>
              <w:top w:val="nil"/>
              <w:left w:val="nil"/>
              <w:bottom w:val="single" w:sz="4" w:space="0" w:color="auto"/>
              <w:right w:val="single" w:sz="4" w:space="0" w:color="auto"/>
            </w:tcBorders>
            <w:shd w:val="clear" w:color="auto" w:fill="auto"/>
            <w:noWrap/>
            <w:vAlign w:val="center"/>
            <w:hideMark/>
          </w:tcPr>
          <w:p w14:paraId="0D873FFF" w14:textId="77777777" w:rsidR="00FD6537" w:rsidRPr="00745739" w:rsidRDefault="00FD6537">
            <w:pPr>
              <w:keepNext/>
              <w:spacing w:after="0" w:line="240" w:lineRule="auto"/>
              <w:rPr>
                <w:sz w:val="20"/>
                <w:szCs w:val="20"/>
              </w:rPr>
            </w:pPr>
            <w:r w:rsidRPr="00745739">
              <w:rPr>
                <w:sz w:val="20"/>
                <w:szCs w:val="20"/>
              </w:rPr>
              <w:t xml:space="preserve">ATSDR </w:t>
            </w:r>
            <w:r>
              <w:rPr>
                <w:sz w:val="20"/>
                <w:szCs w:val="20"/>
              </w:rPr>
              <w:t>S</w:t>
            </w:r>
            <w:r w:rsidRPr="00745739">
              <w:rPr>
                <w:sz w:val="20"/>
                <w:szCs w:val="20"/>
              </w:rPr>
              <w:t>V based on carcinogenic effects.</w:t>
            </w:r>
          </w:p>
        </w:tc>
        <w:tc>
          <w:tcPr>
            <w:tcW w:w="1080" w:type="dxa"/>
            <w:tcBorders>
              <w:top w:val="nil"/>
              <w:left w:val="nil"/>
              <w:bottom w:val="single" w:sz="4" w:space="0" w:color="auto"/>
              <w:right w:val="single" w:sz="4" w:space="0" w:color="auto"/>
            </w:tcBorders>
            <w:shd w:val="clear" w:color="auto" w:fill="auto"/>
            <w:noWrap/>
            <w:vAlign w:val="center"/>
            <w:hideMark/>
          </w:tcPr>
          <w:p w14:paraId="18AEE16C" w14:textId="77777777" w:rsidR="00FD6537" w:rsidRPr="00745739" w:rsidRDefault="00FD6537">
            <w:pPr>
              <w:keepNext/>
              <w:spacing w:after="0" w:line="240" w:lineRule="auto"/>
              <w:jc w:val="center"/>
              <w:rPr>
                <w:sz w:val="20"/>
                <w:szCs w:val="20"/>
              </w:rPr>
            </w:pPr>
            <w:r w:rsidRPr="00745739">
              <w:rPr>
                <w:sz w:val="20"/>
                <w:szCs w:val="20"/>
              </w:rPr>
              <w:t>ATSDR, 2022b</w:t>
            </w:r>
          </w:p>
        </w:tc>
      </w:tr>
      <w:tr w:rsidR="00FD6537" w:rsidRPr="00477F44" w14:paraId="129509F0" w14:textId="77777777" w:rsidTr="23A4FC9A">
        <w:trPr>
          <w:trHeight w:val="557"/>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1AAF1A04" w14:textId="77777777" w:rsidR="00FD6537" w:rsidRPr="00745739" w:rsidRDefault="00FD6537">
            <w:pPr>
              <w:keepNext/>
              <w:spacing w:after="0" w:line="240" w:lineRule="auto"/>
              <w:rPr>
                <w:sz w:val="20"/>
                <w:szCs w:val="20"/>
              </w:rPr>
            </w:pPr>
            <w:r w:rsidRPr="00745739">
              <w:rPr>
                <w:sz w:val="20"/>
                <w:szCs w:val="20"/>
              </w:rPr>
              <w:t>Environmental Media Evaluation Guide</w:t>
            </w:r>
          </w:p>
        </w:tc>
        <w:tc>
          <w:tcPr>
            <w:tcW w:w="1401" w:type="dxa"/>
            <w:tcBorders>
              <w:top w:val="nil"/>
              <w:left w:val="nil"/>
              <w:bottom w:val="single" w:sz="4" w:space="0" w:color="auto"/>
              <w:right w:val="single" w:sz="4" w:space="0" w:color="auto"/>
            </w:tcBorders>
            <w:shd w:val="clear" w:color="auto" w:fill="auto"/>
            <w:noWrap/>
            <w:vAlign w:val="center"/>
            <w:hideMark/>
          </w:tcPr>
          <w:p w14:paraId="4A85CC1E" w14:textId="77777777" w:rsidR="00FD6537" w:rsidRPr="00745739" w:rsidRDefault="00FD6537">
            <w:pPr>
              <w:keepNext/>
              <w:spacing w:after="0" w:line="240" w:lineRule="auto"/>
              <w:jc w:val="center"/>
              <w:rPr>
                <w:sz w:val="20"/>
                <w:szCs w:val="20"/>
              </w:rPr>
            </w:pPr>
            <w:r w:rsidRPr="00745739">
              <w:rPr>
                <w:sz w:val="20"/>
                <w:szCs w:val="20"/>
              </w:rPr>
              <w:t>EMEG</w:t>
            </w:r>
          </w:p>
        </w:tc>
        <w:tc>
          <w:tcPr>
            <w:tcW w:w="4179" w:type="dxa"/>
            <w:tcBorders>
              <w:top w:val="nil"/>
              <w:left w:val="nil"/>
              <w:bottom w:val="single" w:sz="4" w:space="0" w:color="auto"/>
              <w:right w:val="single" w:sz="4" w:space="0" w:color="auto"/>
            </w:tcBorders>
            <w:shd w:val="clear" w:color="auto" w:fill="auto"/>
            <w:vAlign w:val="center"/>
            <w:hideMark/>
          </w:tcPr>
          <w:p w14:paraId="09F46B60" w14:textId="77777777" w:rsidR="00FD6537" w:rsidRPr="00745739" w:rsidRDefault="00FD6537">
            <w:pPr>
              <w:keepNext/>
              <w:spacing w:after="0" w:line="240" w:lineRule="auto"/>
              <w:rPr>
                <w:sz w:val="20"/>
                <w:szCs w:val="20"/>
              </w:rPr>
            </w:pPr>
            <w:r w:rsidRPr="00745739">
              <w:rPr>
                <w:sz w:val="20"/>
                <w:szCs w:val="20"/>
              </w:rPr>
              <w:t xml:space="preserve">ATSDR </w:t>
            </w:r>
            <w:r>
              <w:rPr>
                <w:sz w:val="20"/>
                <w:szCs w:val="20"/>
              </w:rPr>
              <w:t>S</w:t>
            </w:r>
            <w:r w:rsidRPr="00745739">
              <w:rPr>
                <w:sz w:val="20"/>
                <w:szCs w:val="20"/>
              </w:rPr>
              <w:t>V based on non-carcinogenic effects, equivalent to ATSDR minimal risk levels (MRL).</w:t>
            </w:r>
          </w:p>
        </w:tc>
        <w:tc>
          <w:tcPr>
            <w:tcW w:w="1080" w:type="dxa"/>
            <w:tcBorders>
              <w:top w:val="nil"/>
              <w:left w:val="nil"/>
              <w:bottom w:val="single" w:sz="4" w:space="0" w:color="auto"/>
              <w:right w:val="single" w:sz="4" w:space="0" w:color="auto"/>
            </w:tcBorders>
            <w:shd w:val="clear" w:color="auto" w:fill="auto"/>
            <w:noWrap/>
            <w:vAlign w:val="center"/>
            <w:hideMark/>
          </w:tcPr>
          <w:p w14:paraId="00C7F880" w14:textId="77777777" w:rsidR="00FD6537" w:rsidRPr="00745739" w:rsidRDefault="00FD6537">
            <w:pPr>
              <w:keepNext/>
              <w:spacing w:after="0" w:line="240" w:lineRule="auto"/>
              <w:jc w:val="center"/>
              <w:rPr>
                <w:sz w:val="20"/>
                <w:szCs w:val="20"/>
              </w:rPr>
            </w:pPr>
            <w:r w:rsidRPr="00745739">
              <w:rPr>
                <w:sz w:val="20"/>
                <w:szCs w:val="20"/>
              </w:rPr>
              <w:t>ATSDR, 2022b</w:t>
            </w:r>
          </w:p>
        </w:tc>
      </w:tr>
      <w:tr w:rsidR="00FD6537" w:rsidRPr="00477F44" w14:paraId="0941F098" w14:textId="77777777" w:rsidTr="23A4FC9A">
        <w:trPr>
          <w:trHeight w:val="62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7AAB01F2" w14:textId="77777777" w:rsidR="00FD6537" w:rsidRPr="00745739" w:rsidRDefault="00FD6537">
            <w:pPr>
              <w:keepNext/>
              <w:spacing w:after="0" w:line="240" w:lineRule="auto"/>
              <w:rPr>
                <w:sz w:val="20"/>
                <w:szCs w:val="20"/>
              </w:rPr>
            </w:pPr>
            <w:r w:rsidRPr="00745739">
              <w:rPr>
                <w:sz w:val="20"/>
                <w:szCs w:val="20"/>
              </w:rPr>
              <w:t>Reference Dose Media Evaluation Guides</w:t>
            </w:r>
          </w:p>
        </w:tc>
        <w:tc>
          <w:tcPr>
            <w:tcW w:w="1401" w:type="dxa"/>
            <w:tcBorders>
              <w:top w:val="nil"/>
              <w:left w:val="nil"/>
              <w:bottom w:val="single" w:sz="4" w:space="0" w:color="auto"/>
              <w:right w:val="single" w:sz="4" w:space="0" w:color="auto"/>
            </w:tcBorders>
            <w:shd w:val="clear" w:color="auto" w:fill="auto"/>
            <w:noWrap/>
            <w:vAlign w:val="center"/>
            <w:hideMark/>
          </w:tcPr>
          <w:p w14:paraId="0D768A61" w14:textId="77777777" w:rsidR="00FD6537" w:rsidRPr="00745739" w:rsidRDefault="00FD6537">
            <w:pPr>
              <w:keepNext/>
              <w:spacing w:after="0" w:line="240" w:lineRule="auto"/>
              <w:jc w:val="center"/>
              <w:rPr>
                <w:sz w:val="20"/>
                <w:szCs w:val="20"/>
              </w:rPr>
            </w:pPr>
            <w:r w:rsidRPr="00745739">
              <w:rPr>
                <w:sz w:val="20"/>
                <w:szCs w:val="20"/>
              </w:rPr>
              <w:t>RMEG</w:t>
            </w:r>
          </w:p>
        </w:tc>
        <w:tc>
          <w:tcPr>
            <w:tcW w:w="4179" w:type="dxa"/>
            <w:tcBorders>
              <w:top w:val="nil"/>
              <w:left w:val="nil"/>
              <w:bottom w:val="single" w:sz="4" w:space="0" w:color="auto"/>
              <w:right w:val="single" w:sz="4" w:space="0" w:color="auto"/>
            </w:tcBorders>
            <w:shd w:val="clear" w:color="auto" w:fill="auto"/>
            <w:vAlign w:val="center"/>
            <w:hideMark/>
          </w:tcPr>
          <w:p w14:paraId="17A764DC" w14:textId="77777777" w:rsidR="00FD6537" w:rsidRPr="00745739" w:rsidRDefault="00FD6537">
            <w:pPr>
              <w:keepNext/>
              <w:spacing w:after="0" w:line="240" w:lineRule="auto"/>
              <w:rPr>
                <w:sz w:val="20"/>
                <w:szCs w:val="20"/>
              </w:rPr>
            </w:pPr>
            <w:r w:rsidRPr="5B0AACBF">
              <w:rPr>
                <w:sz w:val="20"/>
                <w:szCs w:val="20"/>
              </w:rPr>
              <w:t xml:space="preserve">ATSDR SV based on non-carcinogenic effects, equivalent to </w:t>
            </w:r>
            <w:r w:rsidRPr="77E3E854">
              <w:rPr>
                <w:sz w:val="20"/>
                <w:szCs w:val="20"/>
              </w:rPr>
              <w:t>EPA</w:t>
            </w:r>
            <w:r>
              <w:rPr>
                <w:sz w:val="20"/>
                <w:szCs w:val="20"/>
              </w:rPr>
              <w:t xml:space="preserve"> </w:t>
            </w:r>
            <w:r w:rsidRPr="77E3E854">
              <w:rPr>
                <w:sz w:val="20"/>
                <w:szCs w:val="20"/>
              </w:rPr>
              <w:t>reference concentration (</w:t>
            </w:r>
            <w:proofErr w:type="spellStart"/>
            <w:r w:rsidRPr="77E3E854">
              <w:rPr>
                <w:sz w:val="20"/>
                <w:szCs w:val="20"/>
              </w:rPr>
              <w:t>RfC</w:t>
            </w:r>
            <w:proofErr w:type="spellEnd"/>
            <w:r w:rsidRPr="77E3E854">
              <w:rPr>
                <w:sz w:val="20"/>
                <w:szCs w:val="20"/>
              </w:rPr>
              <w:t>).</w:t>
            </w:r>
          </w:p>
        </w:tc>
        <w:tc>
          <w:tcPr>
            <w:tcW w:w="1080" w:type="dxa"/>
            <w:tcBorders>
              <w:top w:val="nil"/>
              <w:left w:val="nil"/>
              <w:bottom w:val="single" w:sz="4" w:space="0" w:color="auto"/>
              <w:right w:val="single" w:sz="4" w:space="0" w:color="auto"/>
            </w:tcBorders>
            <w:shd w:val="clear" w:color="auto" w:fill="auto"/>
            <w:noWrap/>
            <w:vAlign w:val="center"/>
            <w:hideMark/>
          </w:tcPr>
          <w:p w14:paraId="0BD5198D" w14:textId="77777777" w:rsidR="00FD6537" w:rsidRPr="00745739" w:rsidRDefault="00FD6537">
            <w:pPr>
              <w:keepNext/>
              <w:spacing w:after="0" w:line="240" w:lineRule="auto"/>
              <w:jc w:val="center"/>
              <w:rPr>
                <w:sz w:val="20"/>
                <w:szCs w:val="20"/>
              </w:rPr>
            </w:pPr>
            <w:r w:rsidRPr="00745739">
              <w:rPr>
                <w:sz w:val="20"/>
                <w:szCs w:val="20"/>
              </w:rPr>
              <w:t>ATSDR, 2022b</w:t>
            </w:r>
          </w:p>
        </w:tc>
      </w:tr>
      <w:tr w:rsidR="00FD6537" w:rsidRPr="00477F44" w14:paraId="40F93F5C" w14:textId="77777777" w:rsidTr="23A4FC9A">
        <w:trPr>
          <w:trHeight w:val="290"/>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B7BDCD" w14:textId="77777777" w:rsidR="00FD6537" w:rsidRPr="00745739" w:rsidRDefault="00FD6537">
            <w:pPr>
              <w:keepNext/>
              <w:spacing w:after="0" w:line="240" w:lineRule="auto"/>
              <w:jc w:val="center"/>
              <w:rPr>
                <w:b/>
                <w:bCs/>
                <w:sz w:val="20"/>
                <w:szCs w:val="20"/>
              </w:rPr>
            </w:pPr>
            <w:r w:rsidRPr="00745739">
              <w:rPr>
                <w:b/>
                <w:bCs/>
                <w:sz w:val="20"/>
                <w:szCs w:val="20"/>
              </w:rPr>
              <w:t>Non-ATSDR Screening Values</w:t>
            </w:r>
          </w:p>
        </w:tc>
      </w:tr>
      <w:tr w:rsidR="00FD6537" w:rsidRPr="00477F44" w14:paraId="719E7AC1" w14:textId="77777777" w:rsidTr="23A4FC9A">
        <w:trPr>
          <w:trHeight w:val="1070"/>
        </w:trPr>
        <w:tc>
          <w:tcPr>
            <w:tcW w:w="3510" w:type="dxa"/>
            <w:tcBorders>
              <w:top w:val="nil"/>
              <w:left w:val="single" w:sz="4" w:space="0" w:color="auto"/>
              <w:bottom w:val="single" w:sz="4" w:space="0" w:color="auto"/>
              <w:right w:val="single" w:sz="4" w:space="0" w:color="auto"/>
            </w:tcBorders>
            <w:shd w:val="clear" w:color="auto" w:fill="auto"/>
            <w:noWrap/>
            <w:vAlign w:val="center"/>
          </w:tcPr>
          <w:p w14:paraId="350076C0" w14:textId="77777777" w:rsidR="00FD6537" w:rsidRPr="00745739" w:rsidRDefault="00FD6537">
            <w:pPr>
              <w:keepNext/>
              <w:spacing w:after="0" w:line="240" w:lineRule="auto"/>
              <w:rPr>
                <w:sz w:val="20"/>
                <w:szCs w:val="20"/>
              </w:rPr>
            </w:pPr>
            <w:r w:rsidRPr="00745739">
              <w:rPr>
                <w:sz w:val="20"/>
                <w:szCs w:val="20"/>
              </w:rPr>
              <w:t>Air Quality Guideline</w:t>
            </w:r>
          </w:p>
        </w:tc>
        <w:tc>
          <w:tcPr>
            <w:tcW w:w="1401" w:type="dxa"/>
            <w:tcBorders>
              <w:top w:val="nil"/>
              <w:left w:val="nil"/>
              <w:bottom w:val="single" w:sz="4" w:space="0" w:color="auto"/>
              <w:right w:val="single" w:sz="4" w:space="0" w:color="auto"/>
            </w:tcBorders>
            <w:shd w:val="clear" w:color="auto" w:fill="auto"/>
            <w:noWrap/>
            <w:vAlign w:val="center"/>
          </w:tcPr>
          <w:p w14:paraId="6DD884C8" w14:textId="77777777" w:rsidR="00FD6537" w:rsidRPr="00745739" w:rsidRDefault="00FD6537">
            <w:pPr>
              <w:keepNext/>
              <w:spacing w:after="0" w:line="240" w:lineRule="auto"/>
              <w:jc w:val="center"/>
              <w:rPr>
                <w:sz w:val="20"/>
                <w:szCs w:val="20"/>
              </w:rPr>
            </w:pPr>
            <w:r w:rsidRPr="00745739">
              <w:rPr>
                <w:sz w:val="20"/>
                <w:szCs w:val="20"/>
              </w:rPr>
              <w:t>AQG</w:t>
            </w:r>
          </w:p>
        </w:tc>
        <w:tc>
          <w:tcPr>
            <w:tcW w:w="4179" w:type="dxa"/>
            <w:tcBorders>
              <w:top w:val="nil"/>
              <w:left w:val="nil"/>
              <w:bottom w:val="single" w:sz="4" w:space="0" w:color="auto"/>
              <w:right w:val="single" w:sz="4" w:space="0" w:color="auto"/>
            </w:tcBorders>
            <w:shd w:val="clear" w:color="auto" w:fill="auto"/>
            <w:vAlign w:val="center"/>
          </w:tcPr>
          <w:p w14:paraId="266ACF1D" w14:textId="77777777" w:rsidR="00FD6537" w:rsidRPr="00745739" w:rsidRDefault="00FD6537">
            <w:pPr>
              <w:keepNext/>
              <w:spacing w:after="0" w:line="240" w:lineRule="auto"/>
              <w:rPr>
                <w:sz w:val="20"/>
                <w:szCs w:val="20"/>
              </w:rPr>
            </w:pPr>
            <w:r w:rsidRPr="00745739">
              <w:rPr>
                <w:sz w:val="20"/>
                <w:szCs w:val="20"/>
              </w:rPr>
              <w:t>WHO SV based on air contaminant concentrations designed to protect individuals, including sensitive populations, from experiencing adverse health effects.</w:t>
            </w:r>
          </w:p>
        </w:tc>
        <w:tc>
          <w:tcPr>
            <w:tcW w:w="1080" w:type="dxa"/>
            <w:tcBorders>
              <w:top w:val="nil"/>
              <w:left w:val="nil"/>
              <w:bottom w:val="single" w:sz="4" w:space="0" w:color="auto"/>
              <w:right w:val="single" w:sz="4" w:space="0" w:color="auto"/>
            </w:tcBorders>
            <w:shd w:val="clear" w:color="auto" w:fill="auto"/>
            <w:noWrap/>
            <w:vAlign w:val="center"/>
          </w:tcPr>
          <w:p w14:paraId="6A985915" w14:textId="77777777" w:rsidR="00FD6537" w:rsidRPr="00745739" w:rsidRDefault="00FD6537">
            <w:pPr>
              <w:keepNext/>
              <w:spacing w:after="0" w:line="240" w:lineRule="auto"/>
              <w:jc w:val="center"/>
              <w:rPr>
                <w:sz w:val="20"/>
                <w:szCs w:val="20"/>
              </w:rPr>
            </w:pPr>
            <w:r w:rsidRPr="00745739">
              <w:rPr>
                <w:sz w:val="20"/>
                <w:szCs w:val="20"/>
              </w:rPr>
              <w:t>WHO, 2021</w:t>
            </w:r>
          </w:p>
        </w:tc>
      </w:tr>
      <w:tr w:rsidR="00FD6537" w:rsidRPr="00477F44" w14:paraId="3BF4257E" w14:textId="77777777" w:rsidTr="23A4FC9A">
        <w:trPr>
          <w:trHeight w:val="1450"/>
        </w:trPr>
        <w:tc>
          <w:tcPr>
            <w:tcW w:w="3510" w:type="dxa"/>
            <w:tcBorders>
              <w:top w:val="nil"/>
              <w:left w:val="single" w:sz="4" w:space="0" w:color="auto"/>
              <w:bottom w:val="single" w:sz="4" w:space="0" w:color="auto"/>
              <w:right w:val="single" w:sz="4" w:space="0" w:color="auto"/>
            </w:tcBorders>
            <w:shd w:val="clear" w:color="auto" w:fill="auto"/>
            <w:noWrap/>
            <w:vAlign w:val="center"/>
          </w:tcPr>
          <w:p w14:paraId="67D82F2E" w14:textId="77777777" w:rsidR="00FD6537" w:rsidRPr="00745739" w:rsidRDefault="00FD6537">
            <w:pPr>
              <w:keepNext/>
              <w:spacing w:after="0" w:line="240" w:lineRule="auto"/>
              <w:rPr>
                <w:sz w:val="20"/>
                <w:szCs w:val="20"/>
              </w:rPr>
            </w:pPr>
            <w:r w:rsidRPr="00745739">
              <w:rPr>
                <w:sz w:val="20"/>
                <w:szCs w:val="20"/>
              </w:rPr>
              <w:t>National Ambient Air Quality Standard</w:t>
            </w:r>
          </w:p>
        </w:tc>
        <w:tc>
          <w:tcPr>
            <w:tcW w:w="1401" w:type="dxa"/>
            <w:tcBorders>
              <w:top w:val="nil"/>
              <w:left w:val="nil"/>
              <w:bottom w:val="single" w:sz="4" w:space="0" w:color="auto"/>
              <w:right w:val="single" w:sz="4" w:space="0" w:color="auto"/>
            </w:tcBorders>
            <w:shd w:val="clear" w:color="auto" w:fill="auto"/>
            <w:noWrap/>
            <w:vAlign w:val="center"/>
          </w:tcPr>
          <w:p w14:paraId="6B96D54B" w14:textId="77777777" w:rsidR="00FD6537" w:rsidRPr="00745739" w:rsidRDefault="00FD6537">
            <w:pPr>
              <w:keepNext/>
              <w:spacing w:after="0" w:line="240" w:lineRule="auto"/>
              <w:jc w:val="center"/>
              <w:rPr>
                <w:sz w:val="20"/>
                <w:szCs w:val="20"/>
              </w:rPr>
            </w:pPr>
            <w:r w:rsidRPr="00745739">
              <w:rPr>
                <w:sz w:val="20"/>
                <w:szCs w:val="20"/>
              </w:rPr>
              <w:t>NAAQS</w:t>
            </w:r>
          </w:p>
        </w:tc>
        <w:tc>
          <w:tcPr>
            <w:tcW w:w="4179" w:type="dxa"/>
            <w:tcBorders>
              <w:top w:val="nil"/>
              <w:left w:val="nil"/>
              <w:bottom w:val="single" w:sz="4" w:space="0" w:color="auto"/>
              <w:right w:val="single" w:sz="4" w:space="0" w:color="auto"/>
            </w:tcBorders>
            <w:shd w:val="clear" w:color="auto" w:fill="auto"/>
            <w:vAlign w:val="center"/>
          </w:tcPr>
          <w:p w14:paraId="1481996E" w14:textId="19212138" w:rsidR="00FD6537" w:rsidRPr="00745739" w:rsidRDefault="271318DA">
            <w:pPr>
              <w:keepNext/>
              <w:spacing w:after="0" w:line="240" w:lineRule="auto"/>
              <w:rPr>
                <w:sz w:val="20"/>
                <w:szCs w:val="20"/>
              </w:rPr>
            </w:pPr>
            <w:r w:rsidRPr="23A4FC9A">
              <w:rPr>
                <w:sz w:val="20"/>
                <w:szCs w:val="20"/>
              </w:rPr>
              <w:t xml:space="preserve">EPA </w:t>
            </w:r>
            <w:r w:rsidR="646EA305" w:rsidRPr="23A4FC9A">
              <w:rPr>
                <w:sz w:val="20"/>
                <w:szCs w:val="20"/>
              </w:rPr>
              <w:t xml:space="preserve">standards </w:t>
            </w:r>
            <w:r w:rsidRPr="23A4FC9A">
              <w:rPr>
                <w:sz w:val="20"/>
                <w:szCs w:val="20"/>
              </w:rPr>
              <w:t xml:space="preserve">established under the Clean Air Act, for </w:t>
            </w:r>
            <w:r w:rsidR="646EA305" w:rsidRPr="23A4FC9A">
              <w:rPr>
                <w:sz w:val="20"/>
                <w:szCs w:val="20"/>
              </w:rPr>
              <w:t>six</w:t>
            </w:r>
            <w:r w:rsidRPr="23A4FC9A">
              <w:rPr>
                <w:sz w:val="20"/>
                <w:szCs w:val="20"/>
              </w:rPr>
              <w:t xml:space="preserve"> common </w:t>
            </w:r>
            <w:r w:rsidR="646EA305" w:rsidRPr="23A4FC9A">
              <w:rPr>
                <w:sz w:val="20"/>
                <w:szCs w:val="20"/>
              </w:rPr>
              <w:t xml:space="preserve">air </w:t>
            </w:r>
            <w:r w:rsidRPr="23A4FC9A">
              <w:rPr>
                <w:sz w:val="20"/>
                <w:szCs w:val="20"/>
              </w:rPr>
              <w:t>contaminants. NAAQS are designed to protect human health and include a</w:t>
            </w:r>
            <w:r w:rsidR="646EA305" w:rsidRPr="23A4FC9A">
              <w:rPr>
                <w:sz w:val="20"/>
                <w:szCs w:val="20"/>
              </w:rPr>
              <w:t>n adequate</w:t>
            </w:r>
            <w:r w:rsidRPr="23A4FC9A">
              <w:rPr>
                <w:sz w:val="20"/>
                <w:szCs w:val="20"/>
              </w:rPr>
              <w:t xml:space="preserve"> margin of safety. </w:t>
            </w:r>
          </w:p>
        </w:tc>
        <w:tc>
          <w:tcPr>
            <w:tcW w:w="1080" w:type="dxa"/>
            <w:tcBorders>
              <w:top w:val="nil"/>
              <w:left w:val="nil"/>
              <w:bottom w:val="single" w:sz="4" w:space="0" w:color="auto"/>
              <w:right w:val="single" w:sz="4" w:space="0" w:color="auto"/>
            </w:tcBorders>
            <w:shd w:val="clear" w:color="auto" w:fill="auto"/>
            <w:noWrap/>
            <w:vAlign w:val="center"/>
          </w:tcPr>
          <w:p w14:paraId="4AE7DC1D" w14:textId="77777777" w:rsidR="00FD6537" w:rsidRPr="00745739" w:rsidRDefault="00FD6537">
            <w:pPr>
              <w:keepNext/>
              <w:spacing w:after="0" w:line="240" w:lineRule="auto"/>
              <w:jc w:val="center"/>
              <w:rPr>
                <w:sz w:val="20"/>
                <w:szCs w:val="20"/>
              </w:rPr>
            </w:pPr>
            <w:r w:rsidRPr="00745739">
              <w:rPr>
                <w:sz w:val="20"/>
                <w:szCs w:val="20"/>
              </w:rPr>
              <w:t>US EPA, 2016</w:t>
            </w:r>
          </w:p>
        </w:tc>
      </w:tr>
      <w:tr w:rsidR="00FD6537" w:rsidRPr="00477F44" w14:paraId="07DD6825" w14:textId="77777777" w:rsidTr="23A4FC9A">
        <w:trPr>
          <w:trHeight w:val="1313"/>
        </w:trPr>
        <w:tc>
          <w:tcPr>
            <w:tcW w:w="3510" w:type="dxa"/>
            <w:tcBorders>
              <w:top w:val="nil"/>
              <w:left w:val="single" w:sz="4" w:space="0" w:color="auto"/>
              <w:bottom w:val="single" w:sz="4" w:space="0" w:color="auto"/>
              <w:right w:val="single" w:sz="4" w:space="0" w:color="auto"/>
            </w:tcBorders>
            <w:shd w:val="clear" w:color="auto" w:fill="auto"/>
            <w:noWrap/>
            <w:vAlign w:val="center"/>
          </w:tcPr>
          <w:p w14:paraId="204F2E43" w14:textId="77777777" w:rsidR="00FD6537" w:rsidRPr="00745739" w:rsidRDefault="00FD6537">
            <w:pPr>
              <w:keepNext/>
              <w:spacing w:after="0" w:line="240" w:lineRule="auto"/>
              <w:rPr>
                <w:sz w:val="20"/>
                <w:szCs w:val="20"/>
              </w:rPr>
            </w:pPr>
            <w:r>
              <w:rPr>
                <w:sz w:val="20"/>
                <w:szCs w:val="20"/>
              </w:rPr>
              <w:t>Reference Exposure Level</w:t>
            </w:r>
          </w:p>
        </w:tc>
        <w:tc>
          <w:tcPr>
            <w:tcW w:w="1401" w:type="dxa"/>
            <w:tcBorders>
              <w:top w:val="nil"/>
              <w:left w:val="nil"/>
              <w:bottom w:val="single" w:sz="4" w:space="0" w:color="auto"/>
              <w:right w:val="single" w:sz="4" w:space="0" w:color="auto"/>
            </w:tcBorders>
            <w:shd w:val="clear" w:color="auto" w:fill="auto"/>
            <w:noWrap/>
            <w:vAlign w:val="center"/>
          </w:tcPr>
          <w:p w14:paraId="18AE91DD" w14:textId="77777777" w:rsidR="00FD6537" w:rsidRPr="00745739" w:rsidRDefault="00FD6537">
            <w:pPr>
              <w:keepNext/>
              <w:spacing w:after="0" w:line="240" w:lineRule="auto"/>
              <w:jc w:val="center"/>
              <w:rPr>
                <w:sz w:val="20"/>
                <w:szCs w:val="20"/>
              </w:rPr>
            </w:pPr>
            <w:r w:rsidRPr="00745739">
              <w:rPr>
                <w:sz w:val="20"/>
                <w:szCs w:val="20"/>
              </w:rPr>
              <w:t>REL</w:t>
            </w:r>
          </w:p>
        </w:tc>
        <w:tc>
          <w:tcPr>
            <w:tcW w:w="4179" w:type="dxa"/>
            <w:tcBorders>
              <w:top w:val="nil"/>
              <w:left w:val="nil"/>
              <w:bottom w:val="single" w:sz="4" w:space="0" w:color="auto"/>
              <w:right w:val="single" w:sz="4" w:space="0" w:color="auto"/>
            </w:tcBorders>
            <w:shd w:val="clear" w:color="auto" w:fill="auto"/>
            <w:vAlign w:val="center"/>
          </w:tcPr>
          <w:p w14:paraId="7C1E96BC" w14:textId="77777777" w:rsidR="00FD6537" w:rsidRPr="00745739" w:rsidRDefault="00FD6537">
            <w:pPr>
              <w:keepNext/>
              <w:spacing w:after="0" w:line="240" w:lineRule="auto"/>
              <w:rPr>
                <w:sz w:val="20"/>
                <w:szCs w:val="20"/>
              </w:rPr>
            </w:pPr>
            <w:r>
              <w:rPr>
                <w:sz w:val="20"/>
                <w:szCs w:val="20"/>
              </w:rPr>
              <w:t>SV established by the California Environmental Protection Agency/Office of Environmental Health Hazard Assessment, as a concentration at which noncancer health effects are not anticipated, including for sensitive individuals.</w:t>
            </w:r>
          </w:p>
        </w:tc>
        <w:tc>
          <w:tcPr>
            <w:tcW w:w="1080" w:type="dxa"/>
            <w:tcBorders>
              <w:top w:val="nil"/>
              <w:left w:val="nil"/>
              <w:bottom w:val="single" w:sz="4" w:space="0" w:color="auto"/>
              <w:right w:val="single" w:sz="4" w:space="0" w:color="auto"/>
            </w:tcBorders>
            <w:shd w:val="clear" w:color="auto" w:fill="auto"/>
            <w:noWrap/>
            <w:vAlign w:val="center"/>
          </w:tcPr>
          <w:p w14:paraId="3C89A721" w14:textId="77777777" w:rsidR="00FD6537" w:rsidRPr="00745739" w:rsidRDefault="00FD6537">
            <w:pPr>
              <w:keepNext/>
              <w:spacing w:after="0" w:line="240" w:lineRule="auto"/>
              <w:jc w:val="center"/>
              <w:rPr>
                <w:sz w:val="20"/>
                <w:szCs w:val="20"/>
              </w:rPr>
            </w:pPr>
            <w:r>
              <w:rPr>
                <w:sz w:val="20"/>
                <w:szCs w:val="20"/>
              </w:rPr>
              <w:t>CalEPA, 2008</w:t>
            </w:r>
          </w:p>
        </w:tc>
      </w:tr>
      <w:tr w:rsidR="00FD6537" w:rsidRPr="00477F44" w14:paraId="72736D9B" w14:textId="77777777" w:rsidTr="23A4FC9A">
        <w:trPr>
          <w:trHeight w:val="1160"/>
        </w:trPr>
        <w:tc>
          <w:tcPr>
            <w:tcW w:w="3510" w:type="dxa"/>
            <w:tcBorders>
              <w:top w:val="nil"/>
              <w:left w:val="single" w:sz="4" w:space="0" w:color="auto"/>
              <w:bottom w:val="single" w:sz="4" w:space="0" w:color="auto"/>
              <w:right w:val="single" w:sz="4" w:space="0" w:color="auto"/>
            </w:tcBorders>
            <w:shd w:val="clear" w:color="auto" w:fill="auto"/>
            <w:noWrap/>
            <w:vAlign w:val="center"/>
          </w:tcPr>
          <w:p w14:paraId="53F10E09" w14:textId="77777777" w:rsidR="00FD6537" w:rsidRPr="00745739" w:rsidRDefault="00FD6537">
            <w:pPr>
              <w:keepNext/>
              <w:spacing w:after="0" w:line="240" w:lineRule="auto"/>
              <w:rPr>
                <w:sz w:val="20"/>
                <w:szCs w:val="20"/>
              </w:rPr>
            </w:pPr>
            <w:r>
              <w:rPr>
                <w:sz w:val="20"/>
                <w:szCs w:val="20"/>
              </w:rPr>
              <w:t>Reference Concentration</w:t>
            </w:r>
          </w:p>
        </w:tc>
        <w:tc>
          <w:tcPr>
            <w:tcW w:w="1401" w:type="dxa"/>
            <w:tcBorders>
              <w:top w:val="nil"/>
              <w:left w:val="nil"/>
              <w:bottom w:val="single" w:sz="4" w:space="0" w:color="auto"/>
              <w:right w:val="single" w:sz="4" w:space="0" w:color="auto"/>
            </w:tcBorders>
            <w:shd w:val="clear" w:color="auto" w:fill="auto"/>
            <w:noWrap/>
            <w:vAlign w:val="center"/>
          </w:tcPr>
          <w:p w14:paraId="61B44AC1" w14:textId="77777777" w:rsidR="00FD6537" w:rsidRPr="00745739" w:rsidRDefault="00FD6537">
            <w:pPr>
              <w:keepNext/>
              <w:spacing w:after="0" w:line="240" w:lineRule="auto"/>
              <w:jc w:val="center"/>
              <w:rPr>
                <w:sz w:val="20"/>
                <w:szCs w:val="20"/>
              </w:rPr>
            </w:pPr>
            <w:proofErr w:type="spellStart"/>
            <w:r>
              <w:rPr>
                <w:sz w:val="20"/>
                <w:szCs w:val="20"/>
              </w:rPr>
              <w:t>RfC</w:t>
            </w:r>
            <w:proofErr w:type="spellEnd"/>
          </w:p>
        </w:tc>
        <w:tc>
          <w:tcPr>
            <w:tcW w:w="4179" w:type="dxa"/>
            <w:tcBorders>
              <w:top w:val="nil"/>
              <w:left w:val="nil"/>
              <w:bottom w:val="single" w:sz="4" w:space="0" w:color="auto"/>
              <w:right w:val="single" w:sz="4" w:space="0" w:color="auto"/>
            </w:tcBorders>
            <w:shd w:val="clear" w:color="auto" w:fill="auto"/>
            <w:vAlign w:val="center"/>
          </w:tcPr>
          <w:p w14:paraId="5CA4C5FF" w14:textId="77777777" w:rsidR="00FD6537" w:rsidRPr="00745739" w:rsidRDefault="00FD6537">
            <w:pPr>
              <w:keepNext/>
              <w:spacing w:after="0" w:line="240" w:lineRule="auto"/>
              <w:rPr>
                <w:sz w:val="20"/>
                <w:szCs w:val="20"/>
              </w:rPr>
            </w:pPr>
            <w:r>
              <w:rPr>
                <w:sz w:val="20"/>
                <w:szCs w:val="20"/>
              </w:rPr>
              <w:t>Concentration at which individuals, including sensitive individuals, can be exposed to on a daily basis that is not likely to cause adverse health effects.</w:t>
            </w:r>
          </w:p>
        </w:tc>
        <w:tc>
          <w:tcPr>
            <w:tcW w:w="1080" w:type="dxa"/>
            <w:tcBorders>
              <w:top w:val="nil"/>
              <w:left w:val="nil"/>
              <w:bottom w:val="single" w:sz="4" w:space="0" w:color="auto"/>
              <w:right w:val="single" w:sz="4" w:space="0" w:color="auto"/>
            </w:tcBorders>
            <w:shd w:val="clear" w:color="auto" w:fill="auto"/>
            <w:noWrap/>
            <w:vAlign w:val="center"/>
          </w:tcPr>
          <w:p w14:paraId="384CB974" w14:textId="77777777" w:rsidR="00FD6537" w:rsidRPr="00745739" w:rsidRDefault="00FD6537">
            <w:pPr>
              <w:keepNext/>
              <w:spacing w:after="0" w:line="240" w:lineRule="auto"/>
              <w:jc w:val="center"/>
              <w:rPr>
                <w:sz w:val="20"/>
                <w:szCs w:val="20"/>
              </w:rPr>
            </w:pPr>
            <w:r>
              <w:rPr>
                <w:sz w:val="20"/>
                <w:szCs w:val="20"/>
              </w:rPr>
              <w:t>MassDEP, 1995</w:t>
            </w:r>
          </w:p>
        </w:tc>
      </w:tr>
      <w:tr w:rsidR="00FD6537" w:rsidRPr="00477F44" w14:paraId="68206EC9" w14:textId="77777777" w:rsidTr="23A4FC9A">
        <w:trPr>
          <w:trHeight w:val="1160"/>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14:paraId="5140C4AD" w14:textId="77777777" w:rsidR="00FD6537" w:rsidRPr="00745739" w:rsidRDefault="00FD6537">
            <w:pPr>
              <w:spacing w:after="0" w:line="240" w:lineRule="auto"/>
              <w:rPr>
                <w:sz w:val="20"/>
                <w:szCs w:val="20"/>
              </w:rPr>
            </w:pPr>
            <w:r w:rsidRPr="00745739">
              <w:rPr>
                <w:sz w:val="20"/>
                <w:szCs w:val="20"/>
              </w:rPr>
              <w:t xml:space="preserve">Regional Screening Levels </w:t>
            </w:r>
          </w:p>
        </w:tc>
        <w:tc>
          <w:tcPr>
            <w:tcW w:w="1401" w:type="dxa"/>
            <w:tcBorders>
              <w:top w:val="nil"/>
              <w:left w:val="nil"/>
              <w:bottom w:val="single" w:sz="4" w:space="0" w:color="auto"/>
              <w:right w:val="single" w:sz="4" w:space="0" w:color="auto"/>
            </w:tcBorders>
            <w:shd w:val="clear" w:color="auto" w:fill="auto"/>
            <w:noWrap/>
            <w:vAlign w:val="center"/>
            <w:hideMark/>
          </w:tcPr>
          <w:p w14:paraId="3CC5F3F2" w14:textId="77777777" w:rsidR="00FD6537" w:rsidRPr="00745739" w:rsidRDefault="00FD6537">
            <w:pPr>
              <w:spacing w:after="0" w:line="240" w:lineRule="auto"/>
              <w:jc w:val="center"/>
              <w:rPr>
                <w:sz w:val="20"/>
                <w:szCs w:val="20"/>
              </w:rPr>
            </w:pPr>
            <w:r w:rsidRPr="00745739">
              <w:rPr>
                <w:sz w:val="20"/>
                <w:szCs w:val="20"/>
              </w:rPr>
              <w:t>RSLs</w:t>
            </w:r>
          </w:p>
        </w:tc>
        <w:tc>
          <w:tcPr>
            <w:tcW w:w="4179" w:type="dxa"/>
            <w:tcBorders>
              <w:top w:val="nil"/>
              <w:left w:val="nil"/>
              <w:bottom w:val="single" w:sz="4" w:space="0" w:color="auto"/>
              <w:right w:val="single" w:sz="4" w:space="0" w:color="auto"/>
            </w:tcBorders>
            <w:shd w:val="clear" w:color="auto" w:fill="auto"/>
            <w:vAlign w:val="center"/>
            <w:hideMark/>
          </w:tcPr>
          <w:p w14:paraId="112C4F40" w14:textId="77777777" w:rsidR="00FD6537" w:rsidRPr="00745739" w:rsidRDefault="00FD6537">
            <w:pPr>
              <w:spacing w:after="0" w:line="240" w:lineRule="auto"/>
              <w:rPr>
                <w:sz w:val="20"/>
                <w:szCs w:val="20"/>
              </w:rPr>
            </w:pPr>
            <w:r w:rsidRPr="00745739">
              <w:rPr>
                <w:sz w:val="20"/>
                <w:szCs w:val="20"/>
              </w:rPr>
              <w:t>EPA SV based on pollutant concentrations developed to protect the general population and sensitive individuals from experiencing adverse health effects from a lifetime of exposure.</w:t>
            </w:r>
          </w:p>
        </w:tc>
        <w:tc>
          <w:tcPr>
            <w:tcW w:w="1080" w:type="dxa"/>
            <w:tcBorders>
              <w:top w:val="nil"/>
              <w:left w:val="nil"/>
              <w:bottom w:val="single" w:sz="4" w:space="0" w:color="auto"/>
              <w:right w:val="single" w:sz="4" w:space="0" w:color="auto"/>
            </w:tcBorders>
            <w:shd w:val="clear" w:color="auto" w:fill="auto"/>
            <w:noWrap/>
            <w:vAlign w:val="center"/>
            <w:hideMark/>
          </w:tcPr>
          <w:p w14:paraId="6BE916E6" w14:textId="77777777" w:rsidR="00FD6537" w:rsidRPr="00745739" w:rsidRDefault="00FD6537">
            <w:pPr>
              <w:spacing w:after="0" w:line="240" w:lineRule="auto"/>
              <w:jc w:val="center"/>
              <w:rPr>
                <w:sz w:val="20"/>
                <w:szCs w:val="20"/>
              </w:rPr>
            </w:pPr>
            <w:r w:rsidRPr="00745739">
              <w:rPr>
                <w:sz w:val="20"/>
                <w:szCs w:val="20"/>
              </w:rPr>
              <w:t>US EPA, 2015c</w:t>
            </w:r>
          </w:p>
        </w:tc>
      </w:tr>
      <w:bookmarkEnd w:id="0"/>
    </w:tbl>
    <w:p w14:paraId="47E6604C" w14:textId="77777777" w:rsidR="00FD6537" w:rsidRPr="00477F44" w:rsidRDefault="00FD6537" w:rsidP="008D1F96">
      <w:pPr>
        <w:widowControl w:val="0"/>
        <w:spacing w:after="0" w:line="240" w:lineRule="auto"/>
      </w:pPr>
    </w:p>
    <w:p w14:paraId="05A5AF15" w14:textId="77777777" w:rsidR="003654B1" w:rsidRPr="00087475" w:rsidRDefault="003654B1" w:rsidP="008D1F96">
      <w:pPr>
        <w:widowControl w:val="0"/>
        <w:spacing w:after="0" w:line="240" w:lineRule="auto"/>
        <w:rPr>
          <w:sz w:val="28"/>
          <w:szCs w:val="28"/>
        </w:rPr>
      </w:pPr>
    </w:p>
    <w:p w14:paraId="526CE4C3" w14:textId="77777777" w:rsidR="00421029" w:rsidRDefault="00421029">
      <w:pPr>
        <w:spacing w:line="259" w:lineRule="auto"/>
        <w:rPr>
          <w:caps/>
          <w:color w:val="2F5496" w:themeColor="accent1" w:themeShade="BF"/>
          <w:sz w:val="28"/>
          <w:szCs w:val="28"/>
        </w:rPr>
      </w:pPr>
      <w:r>
        <w:br w:type="page"/>
      </w:r>
    </w:p>
    <w:p w14:paraId="301FD1FA" w14:textId="494AB775" w:rsidR="00DA1F90" w:rsidRDefault="00DA1F90" w:rsidP="006C429C">
      <w:pPr>
        <w:pStyle w:val="Heading1"/>
      </w:pPr>
      <w:r w:rsidRPr="00FE63DF">
        <w:t>Environmental</w:t>
      </w:r>
      <w:r>
        <w:t xml:space="preserve"> data</w:t>
      </w:r>
    </w:p>
    <w:p w14:paraId="1E288185" w14:textId="77777777" w:rsidR="00421029" w:rsidRDefault="00421029" w:rsidP="00421029">
      <w:pPr>
        <w:keepNext/>
        <w:keepLines/>
        <w:spacing w:after="0" w:line="240" w:lineRule="auto"/>
        <w:rPr>
          <w:sz w:val="24"/>
          <w:szCs w:val="24"/>
        </w:rPr>
      </w:pPr>
    </w:p>
    <w:p w14:paraId="5316B4DB" w14:textId="19B43891" w:rsidR="00617DB5" w:rsidRPr="00421029" w:rsidRDefault="0944282D" w:rsidP="00536668">
      <w:pPr>
        <w:keepNext/>
        <w:spacing w:after="0" w:line="240" w:lineRule="auto"/>
        <w:jc w:val="both"/>
        <w:rPr>
          <w:sz w:val="24"/>
          <w:szCs w:val="24"/>
        </w:rPr>
      </w:pPr>
      <w:r w:rsidRPr="23A4FC9A">
        <w:rPr>
          <w:sz w:val="24"/>
          <w:szCs w:val="24"/>
        </w:rPr>
        <w:t xml:space="preserve">To conduct our evaluation, </w:t>
      </w:r>
      <w:r w:rsidR="022CEBD1" w:rsidRPr="23A4FC9A">
        <w:rPr>
          <w:sz w:val="24"/>
          <w:szCs w:val="24"/>
        </w:rPr>
        <w:t>MDPH/</w:t>
      </w:r>
      <w:r w:rsidR="022CEBD1" w:rsidRPr="3DD2B8D7">
        <w:rPr>
          <w:sz w:val="24"/>
          <w:szCs w:val="24"/>
        </w:rPr>
        <w:t>B</w:t>
      </w:r>
      <w:r w:rsidR="1ADEB53C" w:rsidRPr="3DD2B8D7">
        <w:rPr>
          <w:sz w:val="24"/>
          <w:szCs w:val="24"/>
        </w:rPr>
        <w:t>C</w:t>
      </w:r>
      <w:r w:rsidR="022CEBD1" w:rsidRPr="3DD2B8D7">
        <w:rPr>
          <w:sz w:val="24"/>
          <w:szCs w:val="24"/>
        </w:rPr>
        <w:t>EH</w:t>
      </w:r>
      <w:r w:rsidR="022CEBD1" w:rsidRPr="23A4FC9A">
        <w:rPr>
          <w:sz w:val="24"/>
          <w:szCs w:val="24"/>
        </w:rPr>
        <w:t xml:space="preserve"> reviewed </w:t>
      </w:r>
      <w:r w:rsidR="40284863" w:rsidRPr="23A4FC9A">
        <w:rPr>
          <w:sz w:val="24"/>
          <w:szCs w:val="24"/>
        </w:rPr>
        <w:t xml:space="preserve">1) </w:t>
      </w:r>
      <w:r w:rsidR="022CEBD1" w:rsidRPr="23A4FC9A">
        <w:rPr>
          <w:sz w:val="24"/>
          <w:szCs w:val="24"/>
        </w:rPr>
        <w:t xml:space="preserve">field monitoring data collected in the immediate aftermath of the fire, </w:t>
      </w:r>
      <w:r w:rsidR="40284863" w:rsidRPr="23A4FC9A">
        <w:rPr>
          <w:sz w:val="24"/>
          <w:szCs w:val="24"/>
        </w:rPr>
        <w:t xml:space="preserve">2) </w:t>
      </w:r>
      <w:r w:rsidR="022CEBD1" w:rsidRPr="23A4FC9A">
        <w:rPr>
          <w:sz w:val="24"/>
          <w:szCs w:val="24"/>
        </w:rPr>
        <w:t>routine air quality data</w:t>
      </w:r>
      <w:r w:rsidR="4F5D24B3" w:rsidRPr="23A4FC9A">
        <w:rPr>
          <w:sz w:val="24"/>
          <w:szCs w:val="24"/>
        </w:rPr>
        <w:t xml:space="preserve"> </w:t>
      </w:r>
      <w:r w:rsidR="48C36F6C" w:rsidRPr="23A4FC9A">
        <w:rPr>
          <w:sz w:val="24"/>
          <w:szCs w:val="24"/>
        </w:rPr>
        <w:t>from MassDEP’s air monitoring station and air sensors</w:t>
      </w:r>
      <w:r w:rsidR="5FFF5F37" w:rsidRPr="42E49D42">
        <w:rPr>
          <w:sz w:val="24"/>
          <w:szCs w:val="24"/>
        </w:rPr>
        <w:t>,</w:t>
      </w:r>
      <w:r w:rsidR="48C36F6C" w:rsidRPr="23A4FC9A">
        <w:rPr>
          <w:sz w:val="24"/>
          <w:szCs w:val="24"/>
        </w:rPr>
        <w:t xml:space="preserve"> </w:t>
      </w:r>
      <w:r w:rsidR="65856293" w:rsidRPr="23A4FC9A">
        <w:rPr>
          <w:sz w:val="24"/>
          <w:szCs w:val="24"/>
        </w:rPr>
        <w:t xml:space="preserve">and </w:t>
      </w:r>
      <w:r w:rsidR="739E440B" w:rsidRPr="23A4FC9A">
        <w:rPr>
          <w:sz w:val="24"/>
          <w:szCs w:val="24"/>
        </w:rPr>
        <w:t xml:space="preserve">3) </w:t>
      </w:r>
      <w:r w:rsidR="65856293" w:rsidRPr="23A4FC9A">
        <w:rPr>
          <w:sz w:val="24"/>
          <w:szCs w:val="24"/>
        </w:rPr>
        <w:t xml:space="preserve">on-site samples </w:t>
      </w:r>
      <w:r w:rsidR="739E440B" w:rsidRPr="23A4FC9A">
        <w:rPr>
          <w:sz w:val="24"/>
          <w:szCs w:val="24"/>
        </w:rPr>
        <w:t xml:space="preserve">of soil and surface water collected </w:t>
      </w:r>
      <w:r w:rsidR="68E451D2" w:rsidRPr="23A4FC9A">
        <w:rPr>
          <w:sz w:val="24"/>
          <w:szCs w:val="24"/>
        </w:rPr>
        <w:t xml:space="preserve">at the Clean Harbors facility </w:t>
      </w:r>
      <w:r w:rsidR="739E440B" w:rsidRPr="23A4FC9A">
        <w:rPr>
          <w:sz w:val="24"/>
          <w:szCs w:val="24"/>
        </w:rPr>
        <w:t xml:space="preserve">after the fire. </w:t>
      </w:r>
      <w:r w:rsidR="0860B60B" w:rsidRPr="23A4FC9A">
        <w:rPr>
          <w:sz w:val="24"/>
          <w:szCs w:val="24"/>
        </w:rPr>
        <w:t>These data and their application in this assessment are described below.</w:t>
      </w:r>
    </w:p>
    <w:p w14:paraId="2F03A703" w14:textId="16FAFA1C" w:rsidR="23A4FC9A" w:rsidRDefault="23A4FC9A" w:rsidP="00536668">
      <w:pPr>
        <w:keepNext/>
        <w:spacing w:after="0" w:line="240" w:lineRule="auto"/>
        <w:jc w:val="both"/>
        <w:rPr>
          <w:sz w:val="24"/>
          <w:szCs w:val="24"/>
        </w:rPr>
      </w:pPr>
    </w:p>
    <w:p w14:paraId="7B06FC6E" w14:textId="68E96C9C" w:rsidR="00421029" w:rsidRDefault="3769D1EF" w:rsidP="00536668">
      <w:pPr>
        <w:keepNext/>
        <w:spacing w:after="0" w:line="240" w:lineRule="auto"/>
        <w:jc w:val="both"/>
        <w:rPr>
          <w:sz w:val="24"/>
          <w:szCs w:val="24"/>
        </w:rPr>
      </w:pPr>
      <w:r w:rsidRPr="0B7759B7">
        <w:rPr>
          <w:sz w:val="24"/>
          <w:szCs w:val="24"/>
        </w:rPr>
        <w:t>In addition to the onsite soil data, MDPH/B</w:t>
      </w:r>
      <w:r w:rsidR="49A0B750" w:rsidRPr="0B7759B7">
        <w:rPr>
          <w:sz w:val="24"/>
          <w:szCs w:val="24"/>
        </w:rPr>
        <w:t>C</w:t>
      </w:r>
      <w:r w:rsidRPr="0B7759B7">
        <w:rPr>
          <w:sz w:val="24"/>
          <w:szCs w:val="24"/>
        </w:rPr>
        <w:t xml:space="preserve">EH also reviewed the air </w:t>
      </w:r>
      <w:r w:rsidR="7462DE37" w:rsidRPr="0B7759B7">
        <w:rPr>
          <w:sz w:val="24"/>
          <w:szCs w:val="24"/>
        </w:rPr>
        <w:t xml:space="preserve">screening </w:t>
      </w:r>
      <w:r w:rsidRPr="0B7759B7">
        <w:rPr>
          <w:sz w:val="24"/>
          <w:szCs w:val="24"/>
        </w:rPr>
        <w:t>modeling report prepared by GHD</w:t>
      </w:r>
      <w:r w:rsidR="680E777E" w:rsidRPr="0B7759B7">
        <w:rPr>
          <w:sz w:val="24"/>
          <w:szCs w:val="24"/>
        </w:rPr>
        <w:t>, on behalf of Tetra Tech</w:t>
      </w:r>
      <w:r w:rsidRPr="0B7759B7">
        <w:rPr>
          <w:sz w:val="24"/>
          <w:szCs w:val="24"/>
        </w:rPr>
        <w:t xml:space="preserve">. The purpose of this modeling was to estimate the concentrations of fire-related contaminants in </w:t>
      </w:r>
      <w:r w:rsidR="1032C609" w:rsidRPr="0B7759B7">
        <w:rPr>
          <w:sz w:val="24"/>
          <w:szCs w:val="24"/>
        </w:rPr>
        <w:t xml:space="preserve">the air and in </w:t>
      </w:r>
      <w:r w:rsidRPr="0B7759B7">
        <w:rPr>
          <w:sz w:val="24"/>
          <w:szCs w:val="24"/>
        </w:rPr>
        <w:t xml:space="preserve">soil from the deposition of soot on residential properties (GHD, 2023).  </w:t>
      </w:r>
      <w:r w:rsidR="0D0996D7" w:rsidRPr="0B7759B7">
        <w:rPr>
          <w:sz w:val="24"/>
          <w:szCs w:val="24"/>
        </w:rPr>
        <w:t xml:space="preserve">The modeling </w:t>
      </w:r>
      <w:r w:rsidR="5E3C431F" w:rsidRPr="0B7759B7">
        <w:rPr>
          <w:sz w:val="24"/>
          <w:szCs w:val="24"/>
        </w:rPr>
        <w:t xml:space="preserve">approach in the report suggests that </w:t>
      </w:r>
      <w:r w:rsidR="0D0996D7" w:rsidRPr="0B7759B7">
        <w:rPr>
          <w:sz w:val="24"/>
          <w:szCs w:val="24"/>
        </w:rPr>
        <w:t xml:space="preserve">the </w:t>
      </w:r>
      <w:r w:rsidR="73A72224" w:rsidRPr="0B7759B7">
        <w:rPr>
          <w:sz w:val="24"/>
          <w:szCs w:val="24"/>
        </w:rPr>
        <w:t xml:space="preserve">levels of </w:t>
      </w:r>
      <w:r w:rsidR="3E38E777" w:rsidRPr="0B7759B7">
        <w:rPr>
          <w:sz w:val="24"/>
          <w:szCs w:val="24"/>
        </w:rPr>
        <w:t xml:space="preserve">fire-related </w:t>
      </w:r>
      <w:r w:rsidR="73A72224" w:rsidRPr="0B7759B7">
        <w:rPr>
          <w:sz w:val="24"/>
          <w:szCs w:val="24"/>
        </w:rPr>
        <w:t xml:space="preserve">contaminants in the </w:t>
      </w:r>
      <w:r w:rsidR="0D0996D7" w:rsidRPr="0B7759B7">
        <w:rPr>
          <w:sz w:val="24"/>
          <w:szCs w:val="24"/>
        </w:rPr>
        <w:t xml:space="preserve">air and soil would not </w:t>
      </w:r>
      <w:r w:rsidR="3AFAFDC8" w:rsidRPr="0B7759B7">
        <w:rPr>
          <w:sz w:val="24"/>
          <w:szCs w:val="24"/>
        </w:rPr>
        <w:t xml:space="preserve">lead to an </w:t>
      </w:r>
      <w:r w:rsidR="0D0996D7" w:rsidRPr="0B7759B7">
        <w:rPr>
          <w:sz w:val="24"/>
          <w:szCs w:val="24"/>
        </w:rPr>
        <w:t>increased health risk.</w:t>
      </w:r>
      <w:r w:rsidR="12F3861F" w:rsidRPr="0B7759B7">
        <w:rPr>
          <w:sz w:val="24"/>
          <w:szCs w:val="24"/>
        </w:rPr>
        <w:t xml:space="preserve">  As</w:t>
      </w:r>
      <w:r w:rsidR="0D0996D7" w:rsidRPr="0B7759B7">
        <w:rPr>
          <w:sz w:val="24"/>
          <w:szCs w:val="24"/>
        </w:rPr>
        <w:t xml:space="preserve"> </w:t>
      </w:r>
      <w:r w:rsidR="71E7FC74" w:rsidRPr="0B7759B7">
        <w:rPr>
          <w:sz w:val="24"/>
          <w:szCs w:val="24"/>
        </w:rPr>
        <w:t>the model uses simplified assumptions</w:t>
      </w:r>
      <w:r w:rsidR="0717A8F3" w:rsidRPr="0B7759B7">
        <w:rPr>
          <w:sz w:val="24"/>
          <w:szCs w:val="24"/>
        </w:rPr>
        <w:t xml:space="preserve"> consistent with a screening assessment</w:t>
      </w:r>
      <w:r w:rsidR="71E7FC74" w:rsidRPr="0B7759B7">
        <w:rPr>
          <w:sz w:val="24"/>
          <w:szCs w:val="24"/>
        </w:rPr>
        <w:t xml:space="preserve">, </w:t>
      </w:r>
      <w:r w:rsidRPr="0B7759B7">
        <w:rPr>
          <w:sz w:val="24"/>
          <w:szCs w:val="24"/>
        </w:rPr>
        <w:t>the</w:t>
      </w:r>
      <w:r w:rsidR="73BEE2B3" w:rsidRPr="0B7759B7">
        <w:rPr>
          <w:sz w:val="24"/>
          <w:szCs w:val="24"/>
        </w:rPr>
        <w:t xml:space="preserve"> </w:t>
      </w:r>
      <w:r w:rsidR="25949E30" w:rsidRPr="0B7759B7">
        <w:rPr>
          <w:sz w:val="24"/>
          <w:szCs w:val="24"/>
        </w:rPr>
        <w:t xml:space="preserve">data </w:t>
      </w:r>
      <w:r w:rsidR="3EC15FB7" w:rsidRPr="0B7759B7">
        <w:rPr>
          <w:sz w:val="24"/>
          <w:szCs w:val="24"/>
        </w:rPr>
        <w:t>are not of</w:t>
      </w:r>
      <w:r w:rsidR="25949E30" w:rsidRPr="0B7759B7">
        <w:rPr>
          <w:sz w:val="24"/>
          <w:szCs w:val="24"/>
        </w:rPr>
        <w:t xml:space="preserve"> sufficient quality to be </w:t>
      </w:r>
      <w:r w:rsidR="2C7EA0DD" w:rsidRPr="0B7759B7">
        <w:rPr>
          <w:sz w:val="24"/>
          <w:szCs w:val="24"/>
        </w:rPr>
        <w:t xml:space="preserve">applied to a </w:t>
      </w:r>
      <w:r w:rsidR="25949E30" w:rsidRPr="0B7759B7">
        <w:rPr>
          <w:sz w:val="24"/>
          <w:szCs w:val="24"/>
        </w:rPr>
        <w:t>health consultation</w:t>
      </w:r>
      <w:r w:rsidR="3913B81D" w:rsidRPr="0B7759B7">
        <w:rPr>
          <w:sz w:val="24"/>
          <w:szCs w:val="24"/>
        </w:rPr>
        <w:t xml:space="preserve"> that relies o</w:t>
      </w:r>
      <w:r w:rsidR="214F9C78" w:rsidRPr="0B7759B7">
        <w:rPr>
          <w:sz w:val="24"/>
          <w:szCs w:val="24"/>
        </w:rPr>
        <w:t>n</w:t>
      </w:r>
      <w:r w:rsidR="3913B81D" w:rsidRPr="0B7759B7">
        <w:rPr>
          <w:sz w:val="24"/>
          <w:szCs w:val="24"/>
        </w:rPr>
        <w:t xml:space="preserve"> measured levels of contamination</w:t>
      </w:r>
      <w:r w:rsidRPr="0B7759B7">
        <w:rPr>
          <w:sz w:val="24"/>
          <w:szCs w:val="24"/>
        </w:rPr>
        <w:t xml:space="preserve">. This conclusion was supported by discussions with air modeling experts at MassDEP. </w:t>
      </w:r>
      <w:r w:rsidR="3A2D032E" w:rsidRPr="0B7759B7">
        <w:rPr>
          <w:sz w:val="24"/>
          <w:szCs w:val="24"/>
        </w:rPr>
        <w:t xml:space="preserve">As such, </w:t>
      </w:r>
      <w:r w:rsidRPr="0B7759B7">
        <w:rPr>
          <w:sz w:val="24"/>
          <w:szCs w:val="24"/>
        </w:rPr>
        <w:t xml:space="preserve">the model results are not </w:t>
      </w:r>
      <w:r w:rsidR="132AD9DC" w:rsidRPr="0B7759B7">
        <w:rPr>
          <w:sz w:val="24"/>
          <w:szCs w:val="24"/>
        </w:rPr>
        <w:t xml:space="preserve">further discussed </w:t>
      </w:r>
      <w:r w:rsidR="724D943E" w:rsidRPr="0B7759B7">
        <w:rPr>
          <w:sz w:val="24"/>
          <w:szCs w:val="24"/>
        </w:rPr>
        <w:t xml:space="preserve">in this consultation </w:t>
      </w:r>
      <w:r w:rsidRPr="0B7759B7">
        <w:rPr>
          <w:sz w:val="24"/>
          <w:szCs w:val="24"/>
        </w:rPr>
        <w:t xml:space="preserve">for evaluating </w:t>
      </w:r>
      <w:r w:rsidR="5C29F629" w:rsidRPr="0B7759B7">
        <w:rPr>
          <w:sz w:val="24"/>
          <w:szCs w:val="24"/>
        </w:rPr>
        <w:t xml:space="preserve">the </w:t>
      </w:r>
      <w:r w:rsidRPr="0B7759B7">
        <w:rPr>
          <w:sz w:val="24"/>
          <w:szCs w:val="24"/>
        </w:rPr>
        <w:t>potential exposure and health effects related to the Clean Harbors fire.</w:t>
      </w:r>
    </w:p>
    <w:p w14:paraId="23C3FAFB" w14:textId="77777777" w:rsidR="00851768" w:rsidRDefault="00851768" w:rsidP="00421029">
      <w:pPr>
        <w:keepNext/>
        <w:spacing w:after="0" w:line="240" w:lineRule="auto"/>
        <w:rPr>
          <w:sz w:val="24"/>
          <w:szCs w:val="24"/>
        </w:rPr>
      </w:pPr>
    </w:p>
    <w:p w14:paraId="10C35070" w14:textId="12FD8BD5" w:rsidR="003F6071" w:rsidRPr="00421029" w:rsidRDefault="411D54FF" w:rsidP="00851768">
      <w:pPr>
        <w:pStyle w:val="Heading2"/>
        <w:spacing w:after="0" w:line="240" w:lineRule="auto"/>
      </w:pPr>
      <w:r w:rsidRPr="00421029">
        <w:t>3.1.</w:t>
      </w:r>
      <w:r w:rsidR="00F36826" w:rsidRPr="00421029">
        <w:tab/>
      </w:r>
      <w:r w:rsidR="2B2BF35B" w:rsidRPr="00421029">
        <w:t>Initial Field Monitoring Data</w:t>
      </w:r>
    </w:p>
    <w:p w14:paraId="68254E7D" w14:textId="7ED351CE" w:rsidR="00901374" w:rsidRPr="00421029" w:rsidRDefault="67E054C7" w:rsidP="00364D96">
      <w:pPr>
        <w:keepNext/>
        <w:spacing w:after="0" w:line="240" w:lineRule="auto"/>
        <w:jc w:val="both"/>
        <w:rPr>
          <w:sz w:val="24"/>
          <w:szCs w:val="24"/>
        </w:rPr>
      </w:pPr>
      <w:r w:rsidRPr="00421029">
        <w:rPr>
          <w:sz w:val="24"/>
          <w:szCs w:val="24"/>
        </w:rPr>
        <w:t>S</w:t>
      </w:r>
      <w:r w:rsidR="2A45DC12" w:rsidRPr="00421029">
        <w:rPr>
          <w:sz w:val="24"/>
          <w:szCs w:val="24"/>
        </w:rPr>
        <w:t xml:space="preserve">hortly after the fire started, </w:t>
      </w:r>
      <w:r w:rsidR="0548331C" w:rsidRPr="00421029">
        <w:rPr>
          <w:kern w:val="0"/>
          <w:sz w:val="24"/>
          <w:szCs w:val="24"/>
          <w14:ligatures w14:val="none"/>
        </w:rPr>
        <w:t xml:space="preserve">MassDEP </w:t>
      </w:r>
      <w:r w:rsidR="72911790" w:rsidRPr="00421029">
        <w:rPr>
          <w:sz w:val="24"/>
          <w:szCs w:val="24"/>
        </w:rPr>
        <w:t xml:space="preserve">and the </w:t>
      </w:r>
      <w:r w:rsidR="6FC38756" w:rsidRPr="00421029">
        <w:rPr>
          <w:sz w:val="24"/>
          <w:szCs w:val="24"/>
        </w:rPr>
        <w:t xml:space="preserve">responding </w:t>
      </w:r>
      <w:r w:rsidR="72911790" w:rsidRPr="00421029">
        <w:rPr>
          <w:sz w:val="24"/>
          <w:szCs w:val="24"/>
        </w:rPr>
        <w:t>HazMat</w:t>
      </w:r>
      <w:r w:rsidR="5EF3B675" w:rsidRPr="00421029">
        <w:rPr>
          <w:sz w:val="24"/>
          <w:szCs w:val="24"/>
        </w:rPr>
        <w:t xml:space="preserve"> team</w:t>
      </w:r>
      <w:r w:rsidR="72911790" w:rsidRPr="00421029">
        <w:rPr>
          <w:sz w:val="24"/>
          <w:szCs w:val="24"/>
        </w:rPr>
        <w:t xml:space="preserve"> </w:t>
      </w:r>
      <w:r w:rsidR="0548331C" w:rsidRPr="00421029">
        <w:rPr>
          <w:kern w:val="0"/>
          <w:sz w:val="24"/>
          <w:szCs w:val="24"/>
          <w14:ligatures w14:val="none"/>
        </w:rPr>
        <w:t xml:space="preserve">used </w:t>
      </w:r>
      <w:r w:rsidR="62DF1AC2" w:rsidRPr="00421029">
        <w:rPr>
          <w:sz w:val="24"/>
          <w:szCs w:val="24"/>
        </w:rPr>
        <w:t>hand-held instruments</w:t>
      </w:r>
      <w:r w:rsidR="0548331C" w:rsidRPr="00421029">
        <w:rPr>
          <w:kern w:val="0"/>
          <w:sz w:val="24"/>
          <w:szCs w:val="24"/>
          <w14:ligatures w14:val="none"/>
        </w:rPr>
        <w:t xml:space="preserve"> </w:t>
      </w:r>
      <w:r w:rsidR="1AC92F95" w:rsidRPr="00421029">
        <w:rPr>
          <w:sz w:val="24"/>
          <w:szCs w:val="24"/>
        </w:rPr>
        <w:t>(photoionization detectors and 4-gas meters)</w:t>
      </w:r>
      <w:r w:rsidR="1AC92F95" w:rsidRPr="00421029">
        <w:rPr>
          <w:kern w:val="0"/>
          <w:sz w:val="24"/>
          <w:szCs w:val="24"/>
          <w14:ligatures w14:val="none"/>
        </w:rPr>
        <w:t xml:space="preserve"> </w:t>
      </w:r>
      <w:r w:rsidR="0548331C" w:rsidRPr="00421029">
        <w:rPr>
          <w:kern w:val="0"/>
          <w:sz w:val="24"/>
          <w:szCs w:val="24"/>
          <w14:ligatures w14:val="none"/>
        </w:rPr>
        <w:t xml:space="preserve">to </w:t>
      </w:r>
      <w:r w:rsidR="72911790" w:rsidRPr="00421029">
        <w:rPr>
          <w:sz w:val="24"/>
          <w:szCs w:val="24"/>
        </w:rPr>
        <w:t xml:space="preserve">measure </w:t>
      </w:r>
      <w:r w:rsidR="1A19AB8F" w:rsidRPr="00421029">
        <w:rPr>
          <w:sz w:val="24"/>
          <w:szCs w:val="24"/>
        </w:rPr>
        <w:t xml:space="preserve">air </w:t>
      </w:r>
      <w:r w:rsidR="72911790" w:rsidRPr="00421029">
        <w:rPr>
          <w:sz w:val="24"/>
          <w:szCs w:val="24"/>
        </w:rPr>
        <w:t xml:space="preserve">concentrations of total volatile organic </w:t>
      </w:r>
      <w:r w:rsidR="50F30433" w:rsidRPr="00421029">
        <w:rPr>
          <w:sz w:val="24"/>
          <w:szCs w:val="24"/>
        </w:rPr>
        <w:t>chemical</w:t>
      </w:r>
      <w:r w:rsidR="72911790" w:rsidRPr="00421029">
        <w:rPr>
          <w:sz w:val="24"/>
          <w:szCs w:val="24"/>
        </w:rPr>
        <w:t xml:space="preserve">s, oxygen, carbon monoxide, </w:t>
      </w:r>
      <w:r w:rsidR="4EDBC147" w:rsidRPr="00421029">
        <w:rPr>
          <w:sz w:val="24"/>
          <w:szCs w:val="24"/>
        </w:rPr>
        <w:t xml:space="preserve">hydrogen sulfide, </w:t>
      </w:r>
      <w:r w:rsidR="72911790" w:rsidRPr="00421029">
        <w:rPr>
          <w:sz w:val="24"/>
          <w:szCs w:val="24"/>
        </w:rPr>
        <w:t xml:space="preserve">and methane </w:t>
      </w:r>
      <w:r w:rsidR="0548331C" w:rsidRPr="00421029">
        <w:rPr>
          <w:kern w:val="0"/>
          <w:sz w:val="24"/>
          <w:szCs w:val="24"/>
          <w14:ligatures w14:val="none"/>
        </w:rPr>
        <w:t xml:space="preserve">in the immediate </w:t>
      </w:r>
      <w:r w:rsidR="72911790" w:rsidRPr="00421029">
        <w:rPr>
          <w:sz w:val="24"/>
          <w:szCs w:val="24"/>
        </w:rPr>
        <w:t>vicinity of the Clean Harbors facility</w:t>
      </w:r>
      <w:r w:rsidR="0548331C" w:rsidRPr="00421029">
        <w:rPr>
          <w:kern w:val="0"/>
          <w:sz w:val="24"/>
          <w:szCs w:val="24"/>
          <w14:ligatures w14:val="none"/>
        </w:rPr>
        <w:t xml:space="preserve"> (M</w:t>
      </w:r>
      <w:r w:rsidR="2A45DC12" w:rsidRPr="00421029">
        <w:rPr>
          <w:sz w:val="24"/>
          <w:szCs w:val="24"/>
        </w:rPr>
        <w:t>ass</w:t>
      </w:r>
      <w:r w:rsidR="0548331C" w:rsidRPr="00421029">
        <w:rPr>
          <w:kern w:val="0"/>
          <w:sz w:val="24"/>
          <w:szCs w:val="24"/>
          <w14:ligatures w14:val="none"/>
        </w:rPr>
        <w:t>DEP, 2023a).</w:t>
      </w:r>
    </w:p>
    <w:p w14:paraId="3679F81A" w14:textId="77777777" w:rsidR="00901374" w:rsidRPr="00421029" w:rsidRDefault="00901374" w:rsidP="00F35DEC">
      <w:pPr>
        <w:keepNext/>
        <w:spacing w:after="0" w:line="240" w:lineRule="auto"/>
        <w:rPr>
          <w:kern w:val="0"/>
          <w:sz w:val="24"/>
          <w:szCs w:val="24"/>
          <w14:ligatures w14:val="none"/>
        </w:rPr>
      </w:pPr>
    </w:p>
    <w:p w14:paraId="23268B26" w14:textId="3BDCC216" w:rsidR="00F35DEC" w:rsidRPr="00421029" w:rsidRDefault="62DF1AC2" w:rsidP="00364D96">
      <w:pPr>
        <w:keepNext/>
        <w:spacing w:after="0" w:line="240" w:lineRule="auto"/>
        <w:jc w:val="both"/>
        <w:rPr>
          <w:rFonts w:ascii="Times New Roman" w:hAnsi="Times New Roman" w:cs="Times New Roman"/>
          <w:kern w:val="0"/>
          <w:sz w:val="28"/>
          <w:szCs w:val="28"/>
          <w14:ligatures w14:val="none"/>
        </w:rPr>
      </w:pPr>
      <w:r w:rsidRPr="00421029">
        <w:rPr>
          <w:sz w:val="24"/>
          <w:szCs w:val="24"/>
        </w:rPr>
        <w:t>D</w:t>
      </w:r>
      <w:r w:rsidR="0548331C" w:rsidRPr="00421029">
        <w:rPr>
          <w:kern w:val="0"/>
          <w:sz w:val="24"/>
          <w:szCs w:val="24"/>
          <w14:ligatures w14:val="none"/>
        </w:rPr>
        <w:t xml:space="preserve">ata </w:t>
      </w:r>
      <w:r w:rsidRPr="00421029">
        <w:rPr>
          <w:sz w:val="24"/>
          <w:szCs w:val="24"/>
        </w:rPr>
        <w:t xml:space="preserve">collected using hand-held instruments </w:t>
      </w:r>
      <w:r w:rsidR="0548331C" w:rsidRPr="00421029">
        <w:rPr>
          <w:kern w:val="0"/>
          <w:sz w:val="24"/>
          <w:szCs w:val="24"/>
          <w14:ligatures w14:val="none"/>
        </w:rPr>
        <w:t xml:space="preserve">are useful for </w:t>
      </w:r>
      <w:r w:rsidR="72911790" w:rsidRPr="00421029">
        <w:rPr>
          <w:sz w:val="24"/>
          <w:szCs w:val="24"/>
        </w:rPr>
        <w:t xml:space="preserve">evaluating </w:t>
      </w:r>
      <w:r w:rsidR="0548331C" w:rsidRPr="00421029">
        <w:rPr>
          <w:kern w:val="0"/>
          <w:sz w:val="24"/>
          <w:szCs w:val="24"/>
          <w14:ligatures w14:val="none"/>
        </w:rPr>
        <w:t>air quality</w:t>
      </w:r>
      <w:r w:rsidR="3F48D0F9" w:rsidRPr="00421029">
        <w:rPr>
          <w:kern w:val="0"/>
          <w:sz w:val="24"/>
          <w:szCs w:val="24"/>
          <w14:ligatures w14:val="none"/>
        </w:rPr>
        <w:t xml:space="preserve"> for first </w:t>
      </w:r>
      <w:r w:rsidR="3F48D0F9" w:rsidRPr="00421029">
        <w:rPr>
          <w:sz w:val="24"/>
          <w:szCs w:val="24"/>
        </w:rPr>
        <w:t>re</w:t>
      </w:r>
      <w:r w:rsidR="2ACEC46D" w:rsidRPr="00421029">
        <w:rPr>
          <w:sz w:val="24"/>
          <w:szCs w:val="24"/>
        </w:rPr>
        <w:t>s</w:t>
      </w:r>
      <w:r w:rsidR="3F48D0F9" w:rsidRPr="00421029">
        <w:rPr>
          <w:kern w:val="0"/>
          <w:sz w:val="24"/>
          <w:szCs w:val="24"/>
          <w14:ligatures w14:val="none"/>
        </w:rPr>
        <w:t xml:space="preserve">ponders. For example, these instruments help </w:t>
      </w:r>
      <w:r w:rsidR="18AAE742" w:rsidRPr="00421029">
        <w:rPr>
          <w:sz w:val="24"/>
          <w:szCs w:val="24"/>
        </w:rPr>
        <w:t xml:space="preserve">identify </w:t>
      </w:r>
      <w:r w:rsidR="4964A6BD" w:rsidRPr="00421029">
        <w:rPr>
          <w:sz w:val="24"/>
          <w:szCs w:val="24"/>
        </w:rPr>
        <w:t xml:space="preserve">the level of personal protective equipment </w:t>
      </w:r>
      <w:r w:rsidR="5FBF621D" w:rsidRPr="00421029">
        <w:rPr>
          <w:sz w:val="24"/>
          <w:szCs w:val="24"/>
        </w:rPr>
        <w:t xml:space="preserve">that should be used and if initial </w:t>
      </w:r>
      <w:r w:rsidRPr="00421029">
        <w:rPr>
          <w:sz w:val="24"/>
          <w:szCs w:val="24"/>
        </w:rPr>
        <w:t>conditions represent a</w:t>
      </w:r>
      <w:r w:rsidR="765548EC" w:rsidRPr="00421029">
        <w:rPr>
          <w:sz w:val="24"/>
          <w:szCs w:val="24"/>
        </w:rPr>
        <w:t xml:space="preserve">n immediately dangerous </w:t>
      </w:r>
      <w:r w:rsidR="7FC441A9" w:rsidRPr="00421029">
        <w:rPr>
          <w:sz w:val="24"/>
          <w:szCs w:val="24"/>
        </w:rPr>
        <w:t xml:space="preserve">condition for </w:t>
      </w:r>
      <w:r w:rsidRPr="00421029">
        <w:rPr>
          <w:sz w:val="24"/>
          <w:szCs w:val="24"/>
        </w:rPr>
        <w:t>individuals responding to the fire</w:t>
      </w:r>
      <w:r w:rsidR="72911790" w:rsidRPr="00421029">
        <w:rPr>
          <w:sz w:val="24"/>
          <w:szCs w:val="24"/>
        </w:rPr>
        <w:t>. However</w:t>
      </w:r>
      <w:r w:rsidR="124B5089" w:rsidRPr="00421029" w:rsidDel="685BF301">
        <w:rPr>
          <w:sz w:val="24"/>
          <w:szCs w:val="24"/>
        </w:rPr>
        <w:t xml:space="preserve">, </w:t>
      </w:r>
      <w:r w:rsidR="0548331C" w:rsidRPr="00421029">
        <w:rPr>
          <w:kern w:val="0"/>
          <w:sz w:val="24"/>
          <w:szCs w:val="24"/>
          <w14:ligatures w14:val="none"/>
        </w:rPr>
        <w:t xml:space="preserve">because </w:t>
      </w:r>
      <w:r w:rsidRPr="00421029">
        <w:rPr>
          <w:sz w:val="24"/>
          <w:szCs w:val="24"/>
        </w:rPr>
        <w:t xml:space="preserve">the data </w:t>
      </w:r>
      <w:r w:rsidR="0548331C" w:rsidRPr="00421029">
        <w:rPr>
          <w:kern w:val="0"/>
          <w:sz w:val="24"/>
          <w:szCs w:val="24"/>
          <w14:ligatures w14:val="none"/>
        </w:rPr>
        <w:t xml:space="preserve">are not </w:t>
      </w:r>
      <w:r w:rsidR="50F30433" w:rsidRPr="00421029">
        <w:rPr>
          <w:sz w:val="24"/>
          <w:szCs w:val="24"/>
        </w:rPr>
        <w:t xml:space="preserve">chemical </w:t>
      </w:r>
      <w:r w:rsidR="0548331C" w:rsidRPr="00421029">
        <w:rPr>
          <w:kern w:val="0"/>
          <w:sz w:val="24"/>
          <w:szCs w:val="24"/>
          <w14:ligatures w14:val="none"/>
        </w:rPr>
        <w:t xml:space="preserve">specific, the results </w:t>
      </w:r>
      <w:r w:rsidR="75A45255" w:rsidRPr="00421029">
        <w:rPr>
          <w:kern w:val="0"/>
          <w:sz w:val="24"/>
          <w:szCs w:val="24"/>
          <w14:ligatures w14:val="none"/>
        </w:rPr>
        <w:t>are</w:t>
      </w:r>
      <w:r w:rsidR="0548331C" w:rsidRPr="00421029">
        <w:rPr>
          <w:kern w:val="0"/>
          <w:sz w:val="24"/>
          <w:szCs w:val="24"/>
          <w14:ligatures w14:val="none"/>
        </w:rPr>
        <w:t xml:space="preserve"> not used </w:t>
      </w:r>
      <w:r w:rsidR="771E7529" w:rsidRPr="00421029">
        <w:rPr>
          <w:kern w:val="0"/>
          <w:sz w:val="24"/>
          <w:szCs w:val="24"/>
          <w14:ligatures w14:val="none"/>
        </w:rPr>
        <w:t xml:space="preserve">quantitatively </w:t>
      </w:r>
      <w:r w:rsidR="0548331C" w:rsidRPr="00421029">
        <w:rPr>
          <w:kern w:val="0"/>
          <w:sz w:val="24"/>
          <w:szCs w:val="24"/>
          <w14:ligatures w14:val="none"/>
        </w:rPr>
        <w:t xml:space="preserve">to inform </w:t>
      </w:r>
      <w:r w:rsidR="44EF4DF8" w:rsidRPr="00421029">
        <w:rPr>
          <w:kern w:val="0"/>
          <w:sz w:val="24"/>
          <w:szCs w:val="24"/>
          <w14:ligatures w14:val="none"/>
        </w:rPr>
        <w:t xml:space="preserve">an assessment of long-term health risks consistent with the scope of this </w:t>
      </w:r>
      <w:r w:rsidR="0548331C" w:rsidRPr="00421029">
        <w:rPr>
          <w:kern w:val="0"/>
          <w:sz w:val="24"/>
          <w:szCs w:val="24"/>
          <w14:ligatures w14:val="none"/>
        </w:rPr>
        <w:t>health consultation.</w:t>
      </w:r>
      <w:r w:rsidR="196125A4" w:rsidRPr="00421029">
        <w:rPr>
          <w:sz w:val="24"/>
          <w:szCs w:val="24"/>
        </w:rPr>
        <w:t xml:space="preserve"> </w:t>
      </w:r>
    </w:p>
    <w:p w14:paraId="732D125E" w14:textId="77777777" w:rsidR="00F35DEC" w:rsidRPr="00D670F6" w:rsidRDefault="00F35DEC" w:rsidP="001F79C3">
      <w:pPr>
        <w:widowControl w:val="0"/>
        <w:spacing w:after="0" w:line="240" w:lineRule="auto"/>
        <w:ind w:left="720"/>
        <w:rPr>
          <w:b/>
          <w:bCs/>
          <w:kern w:val="0"/>
          <w14:ligatures w14:val="none"/>
        </w:rPr>
      </w:pPr>
    </w:p>
    <w:p w14:paraId="278C749C" w14:textId="584CEFDF" w:rsidR="004D20D5" w:rsidRDefault="00F36826" w:rsidP="00851768">
      <w:pPr>
        <w:pStyle w:val="Heading2"/>
        <w:spacing w:after="0" w:line="240" w:lineRule="auto"/>
      </w:pPr>
      <w:r>
        <w:t>3.2</w:t>
      </w:r>
      <w:r>
        <w:tab/>
      </w:r>
      <w:r w:rsidR="00C50EBE" w:rsidRPr="00D670F6">
        <w:t xml:space="preserve">Routine Air </w:t>
      </w:r>
      <w:r w:rsidR="00617DB5">
        <w:t>Quality Data</w:t>
      </w:r>
    </w:p>
    <w:p w14:paraId="1FEF6557" w14:textId="04E69554" w:rsidR="00116696" w:rsidRDefault="562BF432" w:rsidP="00364D96">
      <w:pPr>
        <w:keepNext/>
        <w:spacing w:after="0" w:line="240" w:lineRule="auto"/>
        <w:jc w:val="both"/>
        <w:rPr>
          <w:sz w:val="24"/>
          <w:szCs w:val="24"/>
        </w:rPr>
      </w:pPr>
      <w:r w:rsidRPr="23A4FC9A">
        <w:rPr>
          <w:sz w:val="24"/>
          <w:szCs w:val="24"/>
        </w:rPr>
        <w:t xml:space="preserve">MassDEP operates a network </w:t>
      </w:r>
      <w:r w:rsidR="6D3E5C98" w:rsidRPr="23A4FC9A">
        <w:rPr>
          <w:sz w:val="24"/>
          <w:szCs w:val="24"/>
        </w:rPr>
        <w:t xml:space="preserve">of </w:t>
      </w:r>
      <w:r w:rsidRPr="23A4FC9A">
        <w:rPr>
          <w:sz w:val="24"/>
          <w:szCs w:val="24"/>
        </w:rPr>
        <w:t xml:space="preserve">air quality monitoring stations in communities across Massachusetts, to collect information about ambient air quality and to determine whether </w:t>
      </w:r>
      <w:r w:rsidR="232EFD1E" w:rsidRPr="23A4FC9A">
        <w:rPr>
          <w:sz w:val="24"/>
          <w:szCs w:val="24"/>
        </w:rPr>
        <w:t xml:space="preserve">air quality </w:t>
      </w:r>
      <w:r w:rsidR="05338908" w:rsidRPr="23A4FC9A">
        <w:rPr>
          <w:sz w:val="24"/>
          <w:szCs w:val="24"/>
        </w:rPr>
        <w:t>c</w:t>
      </w:r>
      <w:r w:rsidRPr="23A4FC9A">
        <w:rPr>
          <w:sz w:val="24"/>
          <w:szCs w:val="24"/>
        </w:rPr>
        <w:t>ompli</w:t>
      </w:r>
      <w:r w:rsidR="232EFD1E" w:rsidRPr="23A4FC9A">
        <w:rPr>
          <w:sz w:val="24"/>
          <w:szCs w:val="24"/>
        </w:rPr>
        <w:t>es</w:t>
      </w:r>
      <w:r w:rsidR="519D21EF" w:rsidRPr="23A4FC9A">
        <w:rPr>
          <w:sz w:val="24"/>
          <w:szCs w:val="24"/>
        </w:rPr>
        <w:t xml:space="preserve"> </w:t>
      </w:r>
      <w:r w:rsidRPr="23A4FC9A">
        <w:rPr>
          <w:sz w:val="24"/>
          <w:szCs w:val="24"/>
        </w:rPr>
        <w:t xml:space="preserve">with the National Ambient Air Quality Standards for </w:t>
      </w:r>
      <w:r w:rsidR="6D3E5C98" w:rsidRPr="23A4FC9A">
        <w:rPr>
          <w:sz w:val="24"/>
          <w:szCs w:val="24"/>
        </w:rPr>
        <w:t xml:space="preserve">carbon monoxide, lead, nitrogen dioxide, ozone, particulate matter, and sulfur dioxide </w:t>
      </w:r>
      <w:r w:rsidRPr="23A4FC9A">
        <w:rPr>
          <w:sz w:val="24"/>
          <w:szCs w:val="24"/>
        </w:rPr>
        <w:t xml:space="preserve">(MassDEP, 2022). </w:t>
      </w:r>
      <w:r w:rsidR="4ADAC1D7" w:rsidRPr="23A4FC9A">
        <w:rPr>
          <w:sz w:val="24"/>
          <w:szCs w:val="24"/>
        </w:rPr>
        <w:t xml:space="preserve">At several monitors in the Boston metropolitan area the monitoring stations also measure toxic air pollutants, such as benzene and formaldehyde. </w:t>
      </w:r>
      <w:r w:rsidR="7213BC50" w:rsidRPr="23A4FC9A">
        <w:rPr>
          <w:sz w:val="24"/>
          <w:szCs w:val="24"/>
        </w:rPr>
        <w:t xml:space="preserve">These toxic air pollutants are part of a class of chemicals called volatile organic </w:t>
      </w:r>
      <w:r w:rsidR="3754ED10" w:rsidRPr="23A4FC9A">
        <w:rPr>
          <w:sz w:val="24"/>
          <w:szCs w:val="24"/>
        </w:rPr>
        <w:t>chemical</w:t>
      </w:r>
      <w:r w:rsidR="7213BC50" w:rsidRPr="23A4FC9A">
        <w:rPr>
          <w:sz w:val="24"/>
          <w:szCs w:val="24"/>
        </w:rPr>
        <w:t>s (VOCs).</w:t>
      </w:r>
    </w:p>
    <w:p w14:paraId="50A08965" w14:textId="77777777" w:rsidR="00421029" w:rsidRPr="00421029" w:rsidRDefault="00421029" w:rsidP="00421029">
      <w:pPr>
        <w:widowControl w:val="0"/>
        <w:spacing w:after="0" w:line="240" w:lineRule="auto"/>
        <w:rPr>
          <w:sz w:val="24"/>
          <w:szCs w:val="24"/>
        </w:rPr>
      </w:pPr>
    </w:p>
    <w:p w14:paraId="69657C3E" w14:textId="1A8A90CB" w:rsidR="00A97F38" w:rsidRDefault="562BF432" w:rsidP="00536668">
      <w:pPr>
        <w:keepNext/>
        <w:spacing w:after="0" w:line="240" w:lineRule="auto"/>
        <w:jc w:val="both"/>
        <w:rPr>
          <w:sz w:val="24"/>
          <w:szCs w:val="24"/>
        </w:rPr>
      </w:pPr>
      <w:r w:rsidRPr="0C7FB68C">
        <w:rPr>
          <w:sz w:val="24"/>
          <w:szCs w:val="24"/>
        </w:rPr>
        <w:t xml:space="preserve">MassDEP’s air quality monitoring network includes a monitoring station in Weymouth, located on </w:t>
      </w:r>
      <w:proofErr w:type="spellStart"/>
      <w:r w:rsidRPr="0C7FB68C">
        <w:rPr>
          <w:sz w:val="24"/>
          <w:szCs w:val="24"/>
        </w:rPr>
        <w:t>Monatiquot</w:t>
      </w:r>
      <w:proofErr w:type="spellEnd"/>
      <w:r w:rsidRPr="0C7FB68C">
        <w:rPr>
          <w:sz w:val="24"/>
          <w:szCs w:val="24"/>
        </w:rPr>
        <w:t xml:space="preserve"> Street. </w:t>
      </w:r>
      <w:r w:rsidR="6D3E5C98" w:rsidRPr="0C7FB68C">
        <w:rPr>
          <w:sz w:val="24"/>
          <w:szCs w:val="24"/>
        </w:rPr>
        <w:t>The Weymouth monitoring station collects information for nitrogen dioxide, ozone, and particulate matter, as well as toxic air pollutants.</w:t>
      </w:r>
      <w:r w:rsidR="4ADAC1D7" w:rsidRPr="0C7FB68C">
        <w:rPr>
          <w:sz w:val="24"/>
          <w:szCs w:val="24"/>
        </w:rPr>
        <w:t xml:space="preserve"> In addition to the Weymouth air monitoring station, there are also eight </w:t>
      </w:r>
      <w:proofErr w:type="spellStart"/>
      <w:r w:rsidR="4ADAC1D7" w:rsidRPr="0C7FB68C">
        <w:rPr>
          <w:sz w:val="24"/>
          <w:szCs w:val="24"/>
        </w:rPr>
        <w:t>PurpleAir</w:t>
      </w:r>
      <w:proofErr w:type="spellEnd"/>
      <w:r w:rsidR="4ADAC1D7" w:rsidRPr="0C7FB68C">
        <w:rPr>
          <w:sz w:val="24"/>
          <w:szCs w:val="24"/>
        </w:rPr>
        <w:t xml:space="preserve"> </w:t>
      </w:r>
      <w:r w:rsidR="37640523" w:rsidRPr="0C7FB68C">
        <w:rPr>
          <w:sz w:val="24"/>
          <w:szCs w:val="24"/>
        </w:rPr>
        <w:t>s</w:t>
      </w:r>
      <w:r w:rsidR="4ADAC1D7" w:rsidRPr="0C7FB68C">
        <w:rPr>
          <w:sz w:val="24"/>
          <w:szCs w:val="24"/>
        </w:rPr>
        <w:t>ensors</w:t>
      </w:r>
      <w:r w:rsidR="37640523" w:rsidRPr="0C7FB68C">
        <w:rPr>
          <w:sz w:val="24"/>
          <w:szCs w:val="24"/>
        </w:rPr>
        <w:t xml:space="preserve"> near the Clean Harbors facility</w:t>
      </w:r>
      <w:r w:rsidR="4ADAC1D7" w:rsidRPr="0C7FB68C">
        <w:rPr>
          <w:sz w:val="24"/>
          <w:szCs w:val="24"/>
        </w:rPr>
        <w:t>, which measure particulate matter</w:t>
      </w:r>
      <w:r w:rsidR="37640523" w:rsidRPr="0C7FB68C">
        <w:rPr>
          <w:sz w:val="24"/>
          <w:szCs w:val="24"/>
        </w:rPr>
        <w:t xml:space="preserve">. The </w:t>
      </w:r>
      <w:proofErr w:type="spellStart"/>
      <w:r w:rsidR="37640523" w:rsidRPr="0C7FB68C">
        <w:rPr>
          <w:sz w:val="24"/>
          <w:szCs w:val="24"/>
        </w:rPr>
        <w:t>PurpleAir</w:t>
      </w:r>
      <w:proofErr w:type="spellEnd"/>
      <w:r w:rsidR="37640523" w:rsidRPr="0C7FB68C">
        <w:rPr>
          <w:sz w:val="24"/>
          <w:szCs w:val="24"/>
        </w:rPr>
        <w:t xml:space="preserve"> sensors include one operated by MassDEP, at the same location as the Weymouth monitoring station, and seven </w:t>
      </w:r>
      <w:r w:rsidR="00FE305F" w:rsidRPr="0C7FB68C">
        <w:rPr>
          <w:sz w:val="24"/>
          <w:szCs w:val="24"/>
        </w:rPr>
        <w:t>community operated</w:t>
      </w:r>
      <w:r w:rsidR="37640523" w:rsidRPr="0C7FB68C">
        <w:rPr>
          <w:sz w:val="24"/>
          <w:szCs w:val="24"/>
        </w:rPr>
        <w:t xml:space="preserve"> </w:t>
      </w:r>
      <w:proofErr w:type="spellStart"/>
      <w:r w:rsidR="37640523" w:rsidRPr="0C7FB68C">
        <w:rPr>
          <w:sz w:val="24"/>
          <w:szCs w:val="24"/>
        </w:rPr>
        <w:t>PurpleAir</w:t>
      </w:r>
      <w:proofErr w:type="spellEnd"/>
      <w:r w:rsidR="37640523" w:rsidRPr="0C7FB68C">
        <w:rPr>
          <w:sz w:val="24"/>
          <w:szCs w:val="24"/>
        </w:rPr>
        <w:t xml:space="preserve"> sensors</w:t>
      </w:r>
      <w:r w:rsidR="4CAA8FC6" w:rsidRPr="0C7FB68C">
        <w:rPr>
          <w:sz w:val="24"/>
          <w:szCs w:val="24"/>
        </w:rPr>
        <w:t>.</w:t>
      </w:r>
      <w:r w:rsidR="37640523" w:rsidRPr="0C7FB68C">
        <w:rPr>
          <w:sz w:val="24"/>
          <w:szCs w:val="24"/>
        </w:rPr>
        <w:t xml:space="preserve"> Figure 1 shows the location of the Weymouth monitoring station and the </w:t>
      </w:r>
      <w:proofErr w:type="spellStart"/>
      <w:r w:rsidR="37640523" w:rsidRPr="0C7FB68C">
        <w:rPr>
          <w:sz w:val="24"/>
          <w:szCs w:val="24"/>
        </w:rPr>
        <w:t>PurpleAir</w:t>
      </w:r>
      <w:proofErr w:type="spellEnd"/>
      <w:r w:rsidR="37640523" w:rsidRPr="0C7FB68C">
        <w:rPr>
          <w:sz w:val="24"/>
          <w:szCs w:val="24"/>
        </w:rPr>
        <w:t xml:space="preserve"> sensors.</w:t>
      </w:r>
    </w:p>
    <w:p w14:paraId="25B65226" w14:textId="77777777" w:rsidR="00421029" w:rsidRPr="00421029" w:rsidRDefault="00421029" w:rsidP="00536668">
      <w:pPr>
        <w:widowControl w:val="0"/>
        <w:spacing w:after="0" w:line="240" w:lineRule="auto"/>
        <w:jc w:val="both"/>
        <w:rPr>
          <w:sz w:val="24"/>
          <w:szCs w:val="24"/>
        </w:rPr>
      </w:pPr>
    </w:p>
    <w:p w14:paraId="3F4BB913" w14:textId="16C9DE29" w:rsidR="00A55DCC" w:rsidRPr="00421029" w:rsidRDefault="352C5EE4" w:rsidP="00536668">
      <w:pPr>
        <w:keepNext/>
        <w:spacing w:after="0" w:line="240" w:lineRule="auto"/>
        <w:jc w:val="both"/>
        <w:rPr>
          <w:sz w:val="24"/>
          <w:szCs w:val="24"/>
        </w:rPr>
      </w:pPr>
      <w:r w:rsidRPr="23A4FC9A">
        <w:rPr>
          <w:sz w:val="24"/>
          <w:szCs w:val="24"/>
        </w:rPr>
        <w:t xml:space="preserve">The </w:t>
      </w:r>
      <w:r w:rsidR="0935BB5B" w:rsidRPr="23A4FC9A">
        <w:rPr>
          <w:sz w:val="24"/>
          <w:szCs w:val="24"/>
        </w:rPr>
        <w:t xml:space="preserve">Weymouth </w:t>
      </w:r>
      <w:r w:rsidRPr="23A4FC9A">
        <w:rPr>
          <w:sz w:val="24"/>
          <w:szCs w:val="24"/>
        </w:rPr>
        <w:t>air monitor</w:t>
      </w:r>
      <w:r w:rsidR="4E6559FC" w:rsidRPr="23A4FC9A">
        <w:rPr>
          <w:sz w:val="24"/>
          <w:szCs w:val="24"/>
        </w:rPr>
        <w:t>ing station</w:t>
      </w:r>
      <w:r w:rsidRPr="23A4FC9A">
        <w:rPr>
          <w:sz w:val="24"/>
          <w:szCs w:val="24"/>
        </w:rPr>
        <w:t xml:space="preserve"> and eight </w:t>
      </w:r>
      <w:proofErr w:type="spellStart"/>
      <w:r w:rsidR="0935BB5B" w:rsidRPr="23A4FC9A">
        <w:rPr>
          <w:sz w:val="24"/>
          <w:szCs w:val="24"/>
        </w:rPr>
        <w:t>PurpleAir</w:t>
      </w:r>
      <w:proofErr w:type="spellEnd"/>
      <w:r w:rsidR="0935BB5B" w:rsidRPr="23A4FC9A">
        <w:rPr>
          <w:sz w:val="24"/>
          <w:szCs w:val="24"/>
        </w:rPr>
        <w:t xml:space="preserve"> </w:t>
      </w:r>
      <w:r w:rsidRPr="23A4FC9A">
        <w:rPr>
          <w:sz w:val="24"/>
          <w:szCs w:val="24"/>
        </w:rPr>
        <w:t xml:space="preserve">sensors routinely measure air quality in the Fore River Basin area surrounding the Clean Harbors Facility. </w:t>
      </w:r>
      <w:r w:rsidR="004E5603" w:rsidRPr="23A4FC9A">
        <w:rPr>
          <w:sz w:val="24"/>
          <w:szCs w:val="24"/>
        </w:rPr>
        <w:t>Particulate matter, ozone, and nitrogen dioxide (NO</w:t>
      </w:r>
      <w:r w:rsidR="004E5603" w:rsidRPr="23A4FC9A">
        <w:rPr>
          <w:sz w:val="24"/>
          <w:szCs w:val="24"/>
          <w:vertAlign w:val="subscript"/>
        </w:rPr>
        <w:t>2</w:t>
      </w:r>
      <w:r w:rsidR="004E5603" w:rsidRPr="23A4FC9A">
        <w:rPr>
          <w:sz w:val="24"/>
          <w:szCs w:val="24"/>
        </w:rPr>
        <w:t>)</w:t>
      </w:r>
      <w:r w:rsidRPr="23A4FC9A">
        <w:rPr>
          <w:sz w:val="24"/>
          <w:szCs w:val="24"/>
        </w:rPr>
        <w:t xml:space="preserve"> are monitored continuously at </w:t>
      </w:r>
      <w:r w:rsidR="36BC8C2D" w:rsidRPr="23A4FC9A">
        <w:rPr>
          <w:sz w:val="24"/>
          <w:szCs w:val="24"/>
        </w:rPr>
        <w:t xml:space="preserve">the </w:t>
      </w:r>
      <w:r w:rsidRPr="23A4FC9A">
        <w:rPr>
          <w:sz w:val="24"/>
          <w:szCs w:val="24"/>
        </w:rPr>
        <w:t xml:space="preserve">MassDEP monitoring station. </w:t>
      </w:r>
      <w:r w:rsidR="213A4067" w:rsidRPr="23A4FC9A">
        <w:rPr>
          <w:sz w:val="24"/>
          <w:szCs w:val="24"/>
        </w:rPr>
        <w:t xml:space="preserve">The </w:t>
      </w:r>
      <w:proofErr w:type="spellStart"/>
      <w:r w:rsidR="213A4067" w:rsidRPr="23A4FC9A">
        <w:rPr>
          <w:sz w:val="24"/>
          <w:szCs w:val="24"/>
        </w:rPr>
        <w:t>PurpleAir</w:t>
      </w:r>
      <w:proofErr w:type="spellEnd"/>
      <w:r w:rsidR="213A4067" w:rsidRPr="23A4FC9A">
        <w:rPr>
          <w:sz w:val="24"/>
          <w:szCs w:val="24"/>
        </w:rPr>
        <w:t xml:space="preserve"> sensors </w:t>
      </w:r>
      <w:r w:rsidR="0935BB5B" w:rsidRPr="23A4FC9A">
        <w:rPr>
          <w:sz w:val="24"/>
          <w:szCs w:val="24"/>
        </w:rPr>
        <w:t xml:space="preserve">also </w:t>
      </w:r>
      <w:r w:rsidR="213A4067" w:rsidRPr="23A4FC9A">
        <w:rPr>
          <w:sz w:val="24"/>
          <w:szCs w:val="24"/>
        </w:rPr>
        <w:t xml:space="preserve">continuously monitor </w:t>
      </w:r>
      <w:r w:rsidR="1CC14CFF" w:rsidRPr="23A4FC9A">
        <w:rPr>
          <w:sz w:val="24"/>
          <w:szCs w:val="24"/>
        </w:rPr>
        <w:t>particulate matter</w:t>
      </w:r>
      <w:r w:rsidR="213A4067" w:rsidRPr="23A4FC9A">
        <w:rPr>
          <w:sz w:val="24"/>
          <w:szCs w:val="24"/>
        </w:rPr>
        <w:t xml:space="preserve">. </w:t>
      </w:r>
      <w:r w:rsidR="65BB931F" w:rsidRPr="23A4FC9A">
        <w:rPr>
          <w:sz w:val="24"/>
          <w:szCs w:val="24"/>
        </w:rPr>
        <w:t xml:space="preserve">MassDEP collects 24-hour air canister samples at the Weymouth monitoring station every six days, </w:t>
      </w:r>
      <w:r w:rsidR="42EB00D1" w:rsidRPr="23A4FC9A">
        <w:rPr>
          <w:sz w:val="24"/>
          <w:szCs w:val="24"/>
        </w:rPr>
        <w:t xml:space="preserve">starting at midnight on the day of collection, </w:t>
      </w:r>
      <w:r w:rsidR="65BB931F" w:rsidRPr="23A4FC9A">
        <w:rPr>
          <w:sz w:val="24"/>
          <w:szCs w:val="24"/>
        </w:rPr>
        <w:t xml:space="preserve">for evaluation of 63 </w:t>
      </w:r>
      <w:r w:rsidR="42EB00D1" w:rsidRPr="23A4FC9A">
        <w:rPr>
          <w:sz w:val="24"/>
          <w:szCs w:val="24"/>
        </w:rPr>
        <w:t>VOCs</w:t>
      </w:r>
      <w:r w:rsidR="65BB931F" w:rsidRPr="23A4FC9A">
        <w:rPr>
          <w:sz w:val="24"/>
          <w:szCs w:val="24"/>
        </w:rPr>
        <w:t xml:space="preserve">. </w:t>
      </w:r>
    </w:p>
    <w:p w14:paraId="14854004" w14:textId="77777777" w:rsidR="00421029" w:rsidRDefault="00421029" w:rsidP="00536668">
      <w:pPr>
        <w:widowControl w:val="0"/>
        <w:tabs>
          <w:tab w:val="left" w:pos="8370"/>
        </w:tabs>
        <w:spacing w:after="0" w:line="240" w:lineRule="auto"/>
        <w:jc w:val="both"/>
        <w:rPr>
          <w:sz w:val="24"/>
          <w:szCs w:val="24"/>
        </w:rPr>
      </w:pPr>
    </w:p>
    <w:p w14:paraId="22710804" w14:textId="11684449" w:rsidR="000F7670" w:rsidRPr="00421029" w:rsidRDefault="5AB837F7" w:rsidP="006C429C">
      <w:pPr>
        <w:tabs>
          <w:tab w:val="left" w:pos="8370"/>
        </w:tabs>
        <w:spacing w:after="0" w:line="240" w:lineRule="auto"/>
        <w:jc w:val="both"/>
        <w:rPr>
          <w:sz w:val="24"/>
          <w:szCs w:val="24"/>
        </w:rPr>
      </w:pPr>
      <w:r w:rsidRPr="00421029">
        <w:rPr>
          <w:sz w:val="24"/>
          <w:szCs w:val="24"/>
        </w:rPr>
        <w:t xml:space="preserve">MassDEP </w:t>
      </w:r>
      <w:r w:rsidR="288EDC89" w:rsidRPr="00421029">
        <w:rPr>
          <w:sz w:val="24"/>
          <w:szCs w:val="24"/>
        </w:rPr>
        <w:t xml:space="preserve">provided </w:t>
      </w:r>
      <w:r w:rsidRPr="00421029">
        <w:rPr>
          <w:sz w:val="24"/>
          <w:szCs w:val="24"/>
        </w:rPr>
        <w:t xml:space="preserve">air quality summary data </w:t>
      </w:r>
      <w:r w:rsidR="288EDC89" w:rsidRPr="00421029">
        <w:rPr>
          <w:sz w:val="24"/>
          <w:szCs w:val="24"/>
        </w:rPr>
        <w:t>for</w:t>
      </w:r>
      <w:r w:rsidRPr="00421029">
        <w:rPr>
          <w:sz w:val="24"/>
          <w:szCs w:val="24"/>
        </w:rPr>
        <w:t xml:space="preserve"> </w:t>
      </w:r>
      <w:r w:rsidR="106AFCD2" w:rsidRPr="00421029">
        <w:rPr>
          <w:sz w:val="24"/>
          <w:szCs w:val="24"/>
        </w:rPr>
        <w:t>particulate matter,</w:t>
      </w:r>
      <w:r w:rsidR="288EDC89" w:rsidRPr="00421029">
        <w:rPr>
          <w:sz w:val="24"/>
          <w:szCs w:val="24"/>
          <w:vertAlign w:val="subscript"/>
        </w:rPr>
        <w:t xml:space="preserve"> </w:t>
      </w:r>
      <w:r w:rsidRPr="00421029">
        <w:rPr>
          <w:sz w:val="24"/>
          <w:szCs w:val="24"/>
        </w:rPr>
        <w:t xml:space="preserve">reported at 10-minute, 1-hour, and 24-hour </w:t>
      </w:r>
      <w:r w:rsidR="1D1E3398">
        <w:rPr>
          <w:sz w:val="24"/>
          <w:szCs w:val="24"/>
        </w:rPr>
        <w:t>averaging times</w:t>
      </w:r>
      <w:r w:rsidRPr="00421029">
        <w:rPr>
          <w:sz w:val="24"/>
          <w:szCs w:val="24"/>
        </w:rPr>
        <w:t xml:space="preserve">; </w:t>
      </w:r>
      <w:r w:rsidR="288EDC89" w:rsidRPr="00421029">
        <w:rPr>
          <w:sz w:val="24"/>
          <w:szCs w:val="24"/>
        </w:rPr>
        <w:t xml:space="preserve">and </w:t>
      </w:r>
      <w:r w:rsidRPr="00421029">
        <w:rPr>
          <w:sz w:val="24"/>
          <w:szCs w:val="24"/>
        </w:rPr>
        <w:t>ozone and NO</w:t>
      </w:r>
      <w:r w:rsidRPr="00421029">
        <w:rPr>
          <w:sz w:val="24"/>
          <w:szCs w:val="24"/>
          <w:vertAlign w:val="subscript"/>
        </w:rPr>
        <w:t>2</w:t>
      </w:r>
      <w:r w:rsidRPr="00421029">
        <w:rPr>
          <w:sz w:val="24"/>
          <w:szCs w:val="24"/>
        </w:rPr>
        <w:t xml:space="preserve"> reported at 1-hour </w:t>
      </w:r>
      <w:r w:rsidR="1D1E3398">
        <w:rPr>
          <w:sz w:val="24"/>
          <w:szCs w:val="24"/>
        </w:rPr>
        <w:t>averaging times</w:t>
      </w:r>
      <w:r w:rsidR="106AFCD2" w:rsidRPr="00421029">
        <w:rPr>
          <w:sz w:val="24"/>
          <w:szCs w:val="24"/>
        </w:rPr>
        <w:t xml:space="preserve">, for data collected on 2/15/23 through 2/18/23 from the Weymouth station and the </w:t>
      </w:r>
      <w:proofErr w:type="spellStart"/>
      <w:r w:rsidR="106AFCD2" w:rsidRPr="00421029">
        <w:rPr>
          <w:sz w:val="24"/>
          <w:szCs w:val="24"/>
        </w:rPr>
        <w:t>PurpleAir</w:t>
      </w:r>
      <w:proofErr w:type="spellEnd"/>
      <w:r w:rsidR="106AFCD2" w:rsidRPr="00421029">
        <w:rPr>
          <w:sz w:val="24"/>
          <w:szCs w:val="24"/>
        </w:rPr>
        <w:t xml:space="preserve"> sensors (MassDEP, </w:t>
      </w:r>
      <w:r w:rsidR="374290B9" w:rsidRPr="00421029">
        <w:rPr>
          <w:sz w:val="24"/>
          <w:szCs w:val="24"/>
        </w:rPr>
        <w:t>2023</w:t>
      </w:r>
      <w:r w:rsidR="0D07BEED" w:rsidRPr="00421029">
        <w:rPr>
          <w:sz w:val="24"/>
          <w:szCs w:val="24"/>
        </w:rPr>
        <w:t>a</w:t>
      </w:r>
      <w:r w:rsidR="106AFCD2" w:rsidRPr="00421029">
        <w:rPr>
          <w:sz w:val="24"/>
          <w:szCs w:val="24"/>
        </w:rPr>
        <w:t>)</w:t>
      </w:r>
      <w:r w:rsidRPr="00421029">
        <w:rPr>
          <w:sz w:val="24"/>
          <w:szCs w:val="24"/>
        </w:rPr>
        <w:t xml:space="preserve">. </w:t>
      </w:r>
      <w:r w:rsidR="106AFCD2" w:rsidRPr="00421029">
        <w:rPr>
          <w:rFonts w:ascii="Calibri" w:eastAsia="Times New Roman" w:hAnsi="Calibri" w:cs="Calibri"/>
          <w:color w:val="000000" w:themeColor="text1"/>
          <w:sz w:val="24"/>
          <w:szCs w:val="24"/>
        </w:rPr>
        <w:t>Particulate matter data</w:t>
      </w:r>
      <w:r w:rsidR="607DC220" w:rsidRPr="00421029">
        <w:rPr>
          <w:rFonts w:ascii="Calibri" w:eastAsia="Times New Roman" w:hAnsi="Calibri" w:cs="Calibri"/>
          <w:color w:val="000000"/>
          <w:kern w:val="0"/>
          <w:sz w:val="24"/>
          <w:szCs w:val="24"/>
          <w14:ligatures w14:val="none"/>
        </w:rPr>
        <w:t xml:space="preserve"> for </w:t>
      </w:r>
      <w:r w:rsidR="74FC3CD0" w:rsidRPr="00421029">
        <w:rPr>
          <w:rFonts w:ascii="Calibri" w:eastAsia="Times New Roman" w:hAnsi="Calibri" w:cs="Calibri"/>
          <w:color w:val="000000"/>
          <w:kern w:val="0"/>
          <w:sz w:val="24"/>
          <w:szCs w:val="24"/>
          <w14:ligatures w14:val="none"/>
        </w:rPr>
        <w:t xml:space="preserve">one of the eight </w:t>
      </w:r>
      <w:proofErr w:type="spellStart"/>
      <w:r w:rsidR="74FC3CD0" w:rsidRPr="00421029">
        <w:rPr>
          <w:rFonts w:ascii="Calibri" w:eastAsia="Times New Roman" w:hAnsi="Calibri" w:cs="Calibri"/>
          <w:color w:val="000000"/>
          <w:kern w:val="0"/>
          <w:sz w:val="24"/>
          <w:szCs w:val="24"/>
          <w14:ligatures w14:val="none"/>
        </w:rPr>
        <w:t>PurpleAir</w:t>
      </w:r>
      <w:proofErr w:type="spellEnd"/>
      <w:r w:rsidR="74FC3CD0" w:rsidRPr="00421029">
        <w:rPr>
          <w:rFonts w:ascii="Calibri" w:eastAsia="Times New Roman" w:hAnsi="Calibri" w:cs="Calibri"/>
          <w:color w:val="000000"/>
          <w:kern w:val="0"/>
          <w:sz w:val="24"/>
          <w:szCs w:val="24"/>
          <w14:ligatures w14:val="none"/>
        </w:rPr>
        <w:t xml:space="preserve"> sensors, at the </w:t>
      </w:r>
      <w:r w:rsidR="607DC220" w:rsidRPr="00421029">
        <w:rPr>
          <w:rFonts w:ascii="Calibri" w:eastAsia="Times New Roman" w:hAnsi="Calibri" w:cs="Calibri"/>
          <w:color w:val="000000"/>
          <w:kern w:val="0"/>
          <w:sz w:val="24"/>
          <w:szCs w:val="24"/>
          <w14:ligatures w14:val="none"/>
        </w:rPr>
        <w:t xml:space="preserve"> </w:t>
      </w:r>
      <w:proofErr w:type="spellStart"/>
      <w:r w:rsidR="607DC220" w:rsidRPr="00421029">
        <w:rPr>
          <w:rFonts w:ascii="Calibri" w:eastAsia="Times New Roman" w:hAnsi="Calibri" w:cs="Calibri"/>
          <w:color w:val="000000"/>
          <w:kern w:val="0"/>
          <w:sz w:val="24"/>
          <w:szCs w:val="24"/>
          <w14:ligatures w14:val="none"/>
        </w:rPr>
        <w:t>Glenrose</w:t>
      </w:r>
      <w:proofErr w:type="spellEnd"/>
      <w:r w:rsidR="607DC220" w:rsidRPr="00421029">
        <w:rPr>
          <w:rFonts w:ascii="Calibri" w:eastAsia="Times New Roman" w:hAnsi="Calibri" w:cs="Calibri"/>
          <w:color w:val="000000"/>
          <w:kern w:val="0"/>
          <w:sz w:val="24"/>
          <w:szCs w:val="24"/>
          <w14:ligatures w14:val="none"/>
        </w:rPr>
        <w:t xml:space="preserve"> </w:t>
      </w:r>
      <w:r w:rsidR="455C5472" w:rsidRPr="00421029">
        <w:rPr>
          <w:rFonts w:ascii="Calibri" w:eastAsia="Times New Roman" w:hAnsi="Calibri" w:cs="Calibri"/>
          <w:color w:val="000000"/>
          <w:kern w:val="0"/>
          <w:sz w:val="24"/>
          <w:szCs w:val="24"/>
          <w14:ligatures w14:val="none"/>
        </w:rPr>
        <w:t>location,</w:t>
      </w:r>
      <w:r w:rsidR="607DC220" w:rsidRPr="00421029">
        <w:rPr>
          <w:rFonts w:ascii="Calibri" w:eastAsia="Times New Roman" w:hAnsi="Calibri" w:cs="Calibri"/>
          <w:color w:val="000000"/>
          <w:kern w:val="0"/>
          <w:sz w:val="24"/>
          <w:szCs w:val="24"/>
          <w14:ligatures w14:val="none"/>
        </w:rPr>
        <w:t xml:space="preserve"> w</w:t>
      </w:r>
      <w:r w:rsidR="4B7FE6B4" w:rsidRPr="00421029">
        <w:rPr>
          <w:rFonts w:ascii="Calibri" w:eastAsia="Times New Roman" w:hAnsi="Calibri" w:cs="Calibri"/>
          <w:color w:val="000000"/>
          <w:kern w:val="0"/>
          <w:sz w:val="24"/>
          <w:szCs w:val="24"/>
          <w14:ligatures w14:val="none"/>
        </w:rPr>
        <w:t>ere</w:t>
      </w:r>
      <w:r w:rsidR="607DC220" w:rsidRPr="00421029">
        <w:rPr>
          <w:rFonts w:ascii="Calibri" w:eastAsia="Times New Roman" w:hAnsi="Calibri" w:cs="Calibri"/>
          <w:color w:val="000000"/>
          <w:kern w:val="0"/>
          <w:sz w:val="24"/>
          <w:szCs w:val="24"/>
          <w14:ligatures w14:val="none"/>
        </w:rPr>
        <w:t xml:space="preserve"> not available for the time of the fire</w:t>
      </w:r>
      <w:r w:rsidR="28EDF940" w:rsidRPr="00421029">
        <w:rPr>
          <w:rFonts w:ascii="Calibri" w:eastAsia="Times New Roman" w:hAnsi="Calibri" w:cs="Calibri"/>
          <w:color w:val="000000"/>
          <w:kern w:val="0"/>
          <w:sz w:val="24"/>
          <w:szCs w:val="24"/>
          <w14:ligatures w14:val="none"/>
        </w:rPr>
        <w:t>;</w:t>
      </w:r>
      <w:r w:rsidR="1DB43048" w:rsidRPr="00421029">
        <w:rPr>
          <w:rFonts w:ascii="Calibri" w:eastAsia="Times New Roman" w:hAnsi="Calibri" w:cs="Calibri"/>
          <w:color w:val="000000"/>
          <w:kern w:val="0"/>
          <w:sz w:val="24"/>
          <w:szCs w:val="24"/>
          <w14:ligatures w14:val="none"/>
        </w:rPr>
        <w:t xml:space="preserve"> </w:t>
      </w:r>
      <w:r w:rsidR="6DDC9811" w:rsidRPr="00421029">
        <w:rPr>
          <w:rFonts w:ascii="Calibri" w:eastAsia="Times New Roman" w:hAnsi="Calibri" w:cs="Calibri"/>
          <w:color w:val="000000"/>
          <w:kern w:val="0"/>
          <w:sz w:val="24"/>
          <w:szCs w:val="24"/>
          <w14:ligatures w14:val="none"/>
        </w:rPr>
        <w:t>data were</w:t>
      </w:r>
      <w:r w:rsidR="607DC220" w:rsidRPr="00421029">
        <w:rPr>
          <w:rFonts w:ascii="Calibri" w:eastAsia="Times New Roman" w:hAnsi="Calibri" w:cs="Calibri"/>
          <w:color w:val="000000"/>
          <w:kern w:val="0"/>
          <w:sz w:val="24"/>
          <w:szCs w:val="24"/>
          <w14:ligatures w14:val="none"/>
        </w:rPr>
        <w:t xml:space="preserve"> not </w:t>
      </w:r>
      <w:r w:rsidR="6DDC9811" w:rsidRPr="00421029">
        <w:rPr>
          <w:rFonts w:ascii="Calibri" w:eastAsia="Times New Roman" w:hAnsi="Calibri" w:cs="Calibri"/>
          <w:color w:val="000000"/>
          <w:kern w:val="0"/>
          <w:sz w:val="24"/>
          <w:szCs w:val="24"/>
          <w14:ligatures w14:val="none"/>
        </w:rPr>
        <w:t>available</w:t>
      </w:r>
      <w:r w:rsidR="607DC220" w:rsidRPr="00421029">
        <w:rPr>
          <w:rFonts w:ascii="Calibri" w:eastAsia="Times New Roman" w:hAnsi="Calibri" w:cs="Calibri"/>
          <w:color w:val="000000"/>
          <w:kern w:val="0"/>
          <w:sz w:val="24"/>
          <w:szCs w:val="24"/>
          <w14:ligatures w14:val="none"/>
        </w:rPr>
        <w:t xml:space="preserve"> until 12 PM on 2/17</w:t>
      </w:r>
      <w:r w:rsidR="7412A632">
        <w:rPr>
          <w:rFonts w:ascii="Calibri" w:eastAsia="Times New Roman" w:hAnsi="Calibri" w:cs="Calibri"/>
          <w:color w:val="000000"/>
          <w:kern w:val="0"/>
          <w:sz w:val="24"/>
          <w:szCs w:val="24"/>
          <w14:ligatures w14:val="none"/>
        </w:rPr>
        <w:t>/23</w:t>
      </w:r>
      <w:r w:rsidR="607DC220" w:rsidRPr="00421029">
        <w:rPr>
          <w:rFonts w:ascii="Calibri" w:eastAsia="Times New Roman" w:hAnsi="Calibri" w:cs="Calibri"/>
          <w:color w:val="000000"/>
          <w:kern w:val="0"/>
          <w:sz w:val="24"/>
          <w:szCs w:val="24"/>
          <w14:ligatures w14:val="none"/>
        </w:rPr>
        <w:t>.</w:t>
      </w:r>
      <w:r w:rsidR="106AFCD2" w:rsidRPr="00421029">
        <w:rPr>
          <w:rFonts w:ascii="Calibri" w:eastAsia="Times New Roman" w:hAnsi="Calibri" w:cs="Calibri"/>
          <w:color w:val="000000" w:themeColor="text1"/>
          <w:sz w:val="24"/>
          <w:szCs w:val="24"/>
        </w:rPr>
        <w:t xml:space="preserve"> MassDEP also provided </w:t>
      </w:r>
      <w:r w:rsidR="47585070" w:rsidRPr="00421029">
        <w:rPr>
          <w:rFonts w:ascii="Calibri" w:eastAsia="Times New Roman" w:hAnsi="Calibri" w:cs="Calibri"/>
          <w:color w:val="000000" w:themeColor="text1"/>
          <w:sz w:val="24"/>
          <w:szCs w:val="24"/>
        </w:rPr>
        <w:t>VOC data collected from the Weymouth station on 2/5/23, 2/11/23, and 2/17/23</w:t>
      </w:r>
      <w:r w:rsidR="6CAE7C75" w:rsidRPr="00421029">
        <w:rPr>
          <w:rFonts w:ascii="Calibri" w:eastAsia="Times New Roman" w:hAnsi="Calibri" w:cs="Calibri"/>
          <w:color w:val="000000" w:themeColor="text1"/>
          <w:sz w:val="24"/>
          <w:szCs w:val="24"/>
        </w:rPr>
        <w:t xml:space="preserve"> (MassDEP, 2023a)</w:t>
      </w:r>
      <w:r w:rsidR="47585070" w:rsidRPr="00421029">
        <w:rPr>
          <w:rFonts w:ascii="Calibri" w:eastAsia="Times New Roman" w:hAnsi="Calibri" w:cs="Calibri"/>
          <w:color w:val="000000" w:themeColor="text1"/>
          <w:sz w:val="24"/>
          <w:szCs w:val="24"/>
        </w:rPr>
        <w:t>.</w:t>
      </w:r>
    </w:p>
    <w:p w14:paraId="0B7BBB6C" w14:textId="204CC8FE" w:rsidR="00E66403" w:rsidRPr="00421029" w:rsidRDefault="6EEE1A1F" w:rsidP="00253555">
      <w:pPr>
        <w:keepNext/>
        <w:widowControl w:val="0"/>
        <w:spacing w:line="257" w:lineRule="auto"/>
        <w:jc w:val="center"/>
        <w:rPr>
          <w:sz w:val="24"/>
          <w:szCs w:val="24"/>
        </w:rPr>
      </w:pPr>
      <w:r w:rsidRPr="431755CA">
        <w:rPr>
          <w:b/>
          <w:bCs/>
          <w:sz w:val="24"/>
          <w:szCs w:val="24"/>
        </w:rPr>
        <w:t>Figure 1: Air Monitor</w:t>
      </w:r>
      <w:r w:rsidR="7412A632" w:rsidRPr="431755CA">
        <w:rPr>
          <w:b/>
          <w:bCs/>
          <w:sz w:val="24"/>
          <w:szCs w:val="24"/>
        </w:rPr>
        <w:t>ing Station</w:t>
      </w:r>
      <w:r w:rsidRPr="431755CA">
        <w:rPr>
          <w:b/>
          <w:bCs/>
          <w:sz w:val="24"/>
          <w:szCs w:val="24"/>
        </w:rPr>
        <w:t xml:space="preserve"> and </w:t>
      </w:r>
      <w:r w:rsidR="7412A632" w:rsidRPr="431755CA">
        <w:rPr>
          <w:b/>
          <w:bCs/>
          <w:sz w:val="24"/>
          <w:szCs w:val="24"/>
        </w:rPr>
        <w:t xml:space="preserve">Air </w:t>
      </w:r>
      <w:r w:rsidRPr="431755CA">
        <w:rPr>
          <w:b/>
          <w:bCs/>
          <w:sz w:val="24"/>
          <w:szCs w:val="24"/>
        </w:rPr>
        <w:t>Sensor Locations</w:t>
      </w:r>
    </w:p>
    <w:p w14:paraId="334C057C" w14:textId="07AC1FD3" w:rsidR="00F35DEC" w:rsidRDefault="00FB331B" w:rsidP="002D7BE1">
      <w:pPr>
        <w:widowControl w:val="0"/>
        <w:spacing w:after="0" w:line="240" w:lineRule="auto"/>
        <w:ind w:left="720"/>
        <w:rPr>
          <w:b/>
          <w:bCs/>
        </w:rPr>
      </w:pPr>
      <w:r>
        <w:rPr>
          <w:noProof/>
        </w:rPr>
        <w:drawing>
          <wp:inline distT="0" distB="0" distL="0" distR="0" wp14:anchorId="3D635859" wp14:editId="25B77B39">
            <wp:extent cx="5095875" cy="4076700"/>
            <wp:effectExtent l="0" t="0" r="9525" b="0"/>
            <wp:docPr id="1223764831" name="Picture 122376483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64831" name="Picture 1" descr="Map&#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1828" cy="4081462"/>
                    </a:xfrm>
                    <a:prstGeom prst="rect">
                      <a:avLst/>
                    </a:prstGeom>
                    <a:noFill/>
                    <a:ln>
                      <a:noFill/>
                    </a:ln>
                  </pic:spPr>
                </pic:pic>
              </a:graphicData>
            </a:graphic>
          </wp:inline>
        </w:drawing>
      </w:r>
    </w:p>
    <w:p w14:paraId="49D546D9" w14:textId="755B3766" w:rsidR="00653C67" w:rsidRDefault="00653C67" w:rsidP="00851768">
      <w:pPr>
        <w:pStyle w:val="Heading2"/>
        <w:spacing w:after="0" w:line="240" w:lineRule="auto"/>
      </w:pPr>
      <w:r>
        <w:t>3.3</w:t>
      </w:r>
      <w:r>
        <w:tab/>
        <w:t>Onsite Soil and Surface Water Data</w:t>
      </w:r>
    </w:p>
    <w:p w14:paraId="66EDB8B9" w14:textId="1AE8361F" w:rsidR="00653C67" w:rsidRDefault="00DE26B1" w:rsidP="00364D96">
      <w:pPr>
        <w:keepNext/>
        <w:spacing w:after="0" w:line="240" w:lineRule="auto"/>
        <w:jc w:val="both"/>
        <w:rPr>
          <w:sz w:val="24"/>
          <w:szCs w:val="24"/>
        </w:rPr>
      </w:pPr>
      <w:r w:rsidRPr="0C7FB68C">
        <w:rPr>
          <w:sz w:val="24"/>
          <w:szCs w:val="24"/>
        </w:rPr>
        <w:t xml:space="preserve">Following the fire, Clean Harbors and </w:t>
      </w:r>
      <w:r w:rsidR="007B0F6A" w:rsidRPr="0C7FB68C">
        <w:rPr>
          <w:sz w:val="24"/>
          <w:szCs w:val="24"/>
        </w:rPr>
        <w:t xml:space="preserve">Tetra Tech collected soil and surface water samples at the Clean Harbors facility. Although </w:t>
      </w:r>
      <w:r w:rsidR="005A0968" w:rsidRPr="0C7FB68C">
        <w:rPr>
          <w:sz w:val="24"/>
          <w:szCs w:val="24"/>
        </w:rPr>
        <w:t>MDPH/B</w:t>
      </w:r>
      <w:r w:rsidR="3AE34408" w:rsidRPr="0C7FB68C">
        <w:rPr>
          <w:sz w:val="24"/>
          <w:szCs w:val="24"/>
        </w:rPr>
        <w:t>C</w:t>
      </w:r>
      <w:r w:rsidR="005A0968" w:rsidRPr="0C7FB68C">
        <w:rPr>
          <w:sz w:val="24"/>
          <w:szCs w:val="24"/>
        </w:rPr>
        <w:t>EH did not evaluate these data quantitatively to assess health effects, MDPH/B</w:t>
      </w:r>
      <w:r w:rsidR="2845EE2F" w:rsidRPr="0C7FB68C">
        <w:rPr>
          <w:sz w:val="24"/>
          <w:szCs w:val="24"/>
        </w:rPr>
        <w:t>C</w:t>
      </w:r>
      <w:r w:rsidR="005A0968" w:rsidRPr="0C7FB68C">
        <w:rPr>
          <w:sz w:val="24"/>
          <w:szCs w:val="24"/>
        </w:rPr>
        <w:t xml:space="preserve">EH reviewed the data to consider </w:t>
      </w:r>
      <w:r w:rsidR="005D3CBC" w:rsidRPr="0C7FB68C">
        <w:rPr>
          <w:sz w:val="24"/>
          <w:szCs w:val="24"/>
        </w:rPr>
        <w:t xml:space="preserve">potential exposure to fire-related contaminants </w:t>
      </w:r>
      <w:r w:rsidR="00192CBC" w:rsidRPr="0C7FB68C">
        <w:rPr>
          <w:sz w:val="24"/>
          <w:szCs w:val="24"/>
        </w:rPr>
        <w:t>in soil on residential yards and in the Fore River.</w:t>
      </w:r>
    </w:p>
    <w:p w14:paraId="05FC3B27" w14:textId="77777777" w:rsidR="00421029" w:rsidRPr="00421029" w:rsidRDefault="00421029" w:rsidP="00B915D3">
      <w:pPr>
        <w:spacing w:after="0" w:line="240" w:lineRule="auto"/>
        <w:rPr>
          <w:sz w:val="24"/>
          <w:szCs w:val="24"/>
        </w:rPr>
      </w:pPr>
    </w:p>
    <w:p w14:paraId="5E4DADC4" w14:textId="2FC0D9A0" w:rsidR="00BE22E6" w:rsidRDefault="7BFA64D7" w:rsidP="4E0E408D">
      <w:pPr>
        <w:pStyle w:val="Heading3"/>
      </w:pPr>
      <w:r>
        <w:t>3.3.1</w:t>
      </w:r>
      <w:r w:rsidR="00787FF1">
        <w:tab/>
      </w:r>
      <w:r w:rsidR="2A4893F5">
        <w:t>Soil Data</w:t>
      </w:r>
    </w:p>
    <w:p w14:paraId="0943C17D" w14:textId="56A0B7DC" w:rsidR="004211EA" w:rsidRDefault="00980BE9" w:rsidP="00364D96">
      <w:pPr>
        <w:keepNext/>
        <w:spacing w:after="0" w:line="240" w:lineRule="auto"/>
        <w:jc w:val="both"/>
        <w:rPr>
          <w:sz w:val="24"/>
          <w:szCs w:val="24"/>
        </w:rPr>
      </w:pPr>
      <w:r w:rsidRPr="00421029">
        <w:rPr>
          <w:sz w:val="24"/>
          <w:szCs w:val="24"/>
        </w:rPr>
        <w:t xml:space="preserve">Clean Harbors and Tetra Tech collected soil samples at the Clean Harbors facility at </w:t>
      </w:r>
      <w:r w:rsidR="005848C0" w:rsidRPr="00421029">
        <w:rPr>
          <w:sz w:val="24"/>
          <w:szCs w:val="24"/>
        </w:rPr>
        <w:t>three</w:t>
      </w:r>
      <w:r w:rsidRPr="00421029">
        <w:rPr>
          <w:sz w:val="24"/>
          <w:szCs w:val="24"/>
        </w:rPr>
        <w:t xml:space="preserve"> areas where there was </w:t>
      </w:r>
      <w:r w:rsidR="003C2392" w:rsidRPr="00421029">
        <w:rPr>
          <w:sz w:val="24"/>
          <w:szCs w:val="24"/>
        </w:rPr>
        <w:t xml:space="preserve">accessible soil, including the truck loading/unloading area, the lunch building area, </w:t>
      </w:r>
      <w:r w:rsidR="005848C0" w:rsidRPr="00421029">
        <w:rPr>
          <w:sz w:val="24"/>
          <w:szCs w:val="24"/>
        </w:rPr>
        <w:t>and the berm area on the northeast side of the prop</w:t>
      </w:r>
      <w:r w:rsidR="00952E36" w:rsidRPr="00421029">
        <w:rPr>
          <w:sz w:val="24"/>
          <w:szCs w:val="24"/>
        </w:rPr>
        <w:t>erty, close to the border with the CITGO property.</w:t>
      </w:r>
      <w:r w:rsidR="0003223D" w:rsidRPr="00421029">
        <w:rPr>
          <w:sz w:val="24"/>
          <w:szCs w:val="24"/>
        </w:rPr>
        <w:t xml:space="preserve"> </w:t>
      </w:r>
      <w:r w:rsidR="004211EA" w:rsidRPr="00421029">
        <w:rPr>
          <w:sz w:val="24"/>
          <w:szCs w:val="24"/>
        </w:rPr>
        <w:t xml:space="preserve">Soil samples were analyzed for </w:t>
      </w:r>
      <w:r w:rsidR="00EA498C" w:rsidRPr="00421029">
        <w:rPr>
          <w:sz w:val="24"/>
          <w:szCs w:val="24"/>
        </w:rPr>
        <w:t xml:space="preserve">the standard </w:t>
      </w:r>
      <w:r w:rsidR="00A5191B" w:rsidRPr="00421029">
        <w:rPr>
          <w:sz w:val="24"/>
          <w:szCs w:val="24"/>
        </w:rPr>
        <w:t>suite of chemicals found at hazardous waste sites, including volatile organic chemicals,</w:t>
      </w:r>
      <w:r w:rsidR="004140AA" w:rsidRPr="00421029">
        <w:rPr>
          <w:sz w:val="24"/>
          <w:szCs w:val="24"/>
        </w:rPr>
        <w:t xml:space="preserve"> semi-volatile organic chemicals, petroleum hydrocarbons</w:t>
      </w:r>
      <w:r w:rsidR="006E1E21" w:rsidRPr="00421029">
        <w:rPr>
          <w:sz w:val="24"/>
          <w:szCs w:val="24"/>
        </w:rPr>
        <w:t>, and metals</w:t>
      </w:r>
      <w:r w:rsidR="009505B5" w:rsidRPr="00421029">
        <w:rPr>
          <w:sz w:val="24"/>
          <w:szCs w:val="24"/>
        </w:rPr>
        <w:t xml:space="preserve"> (TTI, 2023).</w:t>
      </w:r>
    </w:p>
    <w:p w14:paraId="23179233" w14:textId="77777777" w:rsidR="00421029" w:rsidRPr="00421029" w:rsidRDefault="00421029" w:rsidP="00421029">
      <w:pPr>
        <w:spacing w:after="0" w:line="240" w:lineRule="auto"/>
        <w:rPr>
          <w:sz w:val="24"/>
          <w:szCs w:val="24"/>
        </w:rPr>
      </w:pPr>
    </w:p>
    <w:p w14:paraId="751C875C" w14:textId="06790349" w:rsidR="00194EE9" w:rsidRPr="00421029" w:rsidRDefault="38ECD7A7" w:rsidP="00364D96">
      <w:pPr>
        <w:keepNext/>
        <w:spacing w:after="0" w:line="240" w:lineRule="auto"/>
        <w:jc w:val="both"/>
        <w:rPr>
          <w:sz w:val="24"/>
          <w:szCs w:val="24"/>
        </w:rPr>
      </w:pPr>
      <w:r w:rsidRPr="00421029">
        <w:rPr>
          <w:sz w:val="24"/>
          <w:szCs w:val="24"/>
        </w:rPr>
        <w:t>S</w:t>
      </w:r>
      <w:r w:rsidR="41AD915C" w:rsidRPr="00421029">
        <w:rPr>
          <w:sz w:val="24"/>
          <w:szCs w:val="24"/>
        </w:rPr>
        <w:t>oil</w:t>
      </w:r>
      <w:r w:rsidR="78A24892" w:rsidRPr="00421029">
        <w:rPr>
          <w:sz w:val="24"/>
          <w:szCs w:val="24"/>
        </w:rPr>
        <w:t xml:space="preserve"> s</w:t>
      </w:r>
      <w:r w:rsidRPr="00421029">
        <w:rPr>
          <w:sz w:val="24"/>
          <w:szCs w:val="24"/>
        </w:rPr>
        <w:t xml:space="preserve">amples collected in the loading/unloading area and the lunch building area were collected after </w:t>
      </w:r>
      <w:r w:rsidR="368062E9" w:rsidRPr="00421029">
        <w:rPr>
          <w:sz w:val="24"/>
          <w:szCs w:val="24"/>
        </w:rPr>
        <w:t>contaminated soil was removed,</w:t>
      </w:r>
      <w:r w:rsidR="78A24892" w:rsidRPr="00421029">
        <w:rPr>
          <w:sz w:val="24"/>
          <w:szCs w:val="24"/>
        </w:rPr>
        <w:t xml:space="preserve"> and thus do not provide information about potential impacts to soil from </w:t>
      </w:r>
      <w:r w:rsidR="75FA6463" w:rsidRPr="00421029">
        <w:rPr>
          <w:sz w:val="24"/>
          <w:szCs w:val="24"/>
        </w:rPr>
        <w:t>the fire</w:t>
      </w:r>
      <w:r w:rsidRPr="00421029">
        <w:rPr>
          <w:sz w:val="24"/>
          <w:szCs w:val="24"/>
        </w:rPr>
        <w:t>.</w:t>
      </w:r>
      <w:r w:rsidR="4E99B5BA" w:rsidRPr="00421029">
        <w:rPr>
          <w:sz w:val="24"/>
          <w:szCs w:val="24"/>
        </w:rPr>
        <w:t xml:space="preserve"> </w:t>
      </w:r>
      <w:r w:rsidR="43EE969D" w:rsidRPr="00421029">
        <w:rPr>
          <w:sz w:val="24"/>
          <w:szCs w:val="24"/>
        </w:rPr>
        <w:t xml:space="preserve">Samples in the berm area were collected both before and after </w:t>
      </w:r>
      <w:r w:rsidR="36F71CA8" w:rsidRPr="00421029">
        <w:rPr>
          <w:sz w:val="24"/>
          <w:szCs w:val="24"/>
        </w:rPr>
        <w:t xml:space="preserve">contaminated soil was removed and </w:t>
      </w:r>
      <w:r w:rsidR="13A76EE4" w:rsidRPr="00421029">
        <w:rPr>
          <w:sz w:val="24"/>
          <w:szCs w:val="24"/>
        </w:rPr>
        <w:t xml:space="preserve">can thus be used to </w:t>
      </w:r>
      <w:r w:rsidR="43F6A7DD" w:rsidRPr="00421029">
        <w:rPr>
          <w:sz w:val="24"/>
          <w:szCs w:val="24"/>
        </w:rPr>
        <w:t xml:space="preserve">inform </w:t>
      </w:r>
      <w:r w:rsidR="22CC4C02" w:rsidRPr="00421029">
        <w:rPr>
          <w:sz w:val="24"/>
          <w:szCs w:val="24"/>
        </w:rPr>
        <w:t>estimate</w:t>
      </w:r>
      <w:r w:rsidR="43F6A7DD" w:rsidRPr="00421029">
        <w:rPr>
          <w:sz w:val="24"/>
          <w:szCs w:val="24"/>
        </w:rPr>
        <w:t>s of</w:t>
      </w:r>
      <w:r w:rsidR="2D364A0B" w:rsidRPr="00421029">
        <w:rPr>
          <w:sz w:val="24"/>
          <w:szCs w:val="24"/>
        </w:rPr>
        <w:t xml:space="preserve"> </w:t>
      </w:r>
      <w:r w:rsidR="22066C5A" w:rsidRPr="00421029">
        <w:rPr>
          <w:sz w:val="24"/>
          <w:szCs w:val="24"/>
        </w:rPr>
        <w:t>on-site soil contamination from the fire.</w:t>
      </w:r>
      <w:r w:rsidR="2F752AA6" w:rsidRPr="00421029">
        <w:rPr>
          <w:sz w:val="24"/>
          <w:szCs w:val="24"/>
        </w:rPr>
        <w:t xml:space="preserve"> </w:t>
      </w:r>
      <w:r w:rsidR="718FCC21" w:rsidRPr="00421029">
        <w:rPr>
          <w:sz w:val="24"/>
          <w:szCs w:val="24"/>
        </w:rPr>
        <w:t>S</w:t>
      </w:r>
      <w:r w:rsidR="42FC8B59" w:rsidRPr="00421029">
        <w:rPr>
          <w:sz w:val="24"/>
          <w:szCs w:val="24"/>
        </w:rPr>
        <w:t>oil samples collected by Tetra Tech prior to re</w:t>
      </w:r>
      <w:r w:rsidR="33F12DF4" w:rsidRPr="00421029">
        <w:rPr>
          <w:sz w:val="24"/>
          <w:szCs w:val="24"/>
        </w:rPr>
        <w:t>moval of contaminated soil</w:t>
      </w:r>
      <w:r w:rsidR="42FC8B59" w:rsidRPr="00421029">
        <w:rPr>
          <w:sz w:val="24"/>
          <w:szCs w:val="24"/>
        </w:rPr>
        <w:t xml:space="preserve"> include </w:t>
      </w:r>
      <w:r w:rsidR="4AA9CAED" w:rsidRPr="00421029">
        <w:rPr>
          <w:sz w:val="24"/>
          <w:szCs w:val="24"/>
        </w:rPr>
        <w:t>samples with visible evidence of soot from the fire</w:t>
      </w:r>
      <w:r w:rsidR="1CC54240" w:rsidRPr="00421029">
        <w:rPr>
          <w:sz w:val="24"/>
          <w:szCs w:val="24"/>
        </w:rPr>
        <w:t xml:space="preserve">, </w:t>
      </w:r>
      <w:r w:rsidR="429D0991" w:rsidRPr="00421029">
        <w:rPr>
          <w:sz w:val="24"/>
          <w:szCs w:val="24"/>
        </w:rPr>
        <w:t>and samples collected</w:t>
      </w:r>
      <w:r w:rsidR="7C3A40A2" w:rsidRPr="00421029">
        <w:rPr>
          <w:sz w:val="24"/>
          <w:szCs w:val="24"/>
        </w:rPr>
        <w:t xml:space="preserve"> without </w:t>
      </w:r>
      <w:r w:rsidR="7B4DDC50" w:rsidRPr="00421029">
        <w:rPr>
          <w:sz w:val="24"/>
          <w:szCs w:val="24"/>
        </w:rPr>
        <w:t>eviden</w:t>
      </w:r>
      <w:r w:rsidR="252E8EA9" w:rsidRPr="00421029">
        <w:rPr>
          <w:sz w:val="24"/>
          <w:szCs w:val="24"/>
        </w:rPr>
        <w:t>ce of fire-related impacts</w:t>
      </w:r>
      <w:r w:rsidR="1B58057D" w:rsidRPr="00421029">
        <w:rPr>
          <w:sz w:val="24"/>
          <w:szCs w:val="24"/>
        </w:rPr>
        <w:t>.</w:t>
      </w:r>
    </w:p>
    <w:p w14:paraId="5A50AEF6" w14:textId="77777777" w:rsidR="00421029" w:rsidRDefault="00421029" w:rsidP="00B915D3">
      <w:pPr>
        <w:pStyle w:val="Heading3"/>
        <w:spacing w:before="0" w:line="240" w:lineRule="auto"/>
      </w:pPr>
    </w:p>
    <w:p w14:paraId="096BC2E1" w14:textId="5A506C1E" w:rsidR="00BE22E6" w:rsidRDefault="00787FF1" w:rsidP="00787FF1">
      <w:pPr>
        <w:pStyle w:val="Heading3"/>
      </w:pPr>
      <w:r>
        <w:t>3.3.2</w:t>
      </w:r>
      <w:r>
        <w:tab/>
      </w:r>
      <w:r w:rsidR="00513192">
        <w:t>Surface Water Data</w:t>
      </w:r>
    </w:p>
    <w:p w14:paraId="178E7938" w14:textId="7BC68A84" w:rsidR="00F67C2B" w:rsidRPr="00421029" w:rsidRDefault="3477C9BF" w:rsidP="00364D96">
      <w:pPr>
        <w:keepNext/>
        <w:spacing w:after="0" w:line="240" w:lineRule="auto"/>
        <w:jc w:val="both"/>
        <w:rPr>
          <w:sz w:val="24"/>
          <w:szCs w:val="24"/>
        </w:rPr>
      </w:pPr>
      <w:r w:rsidRPr="23A4FC9A">
        <w:rPr>
          <w:sz w:val="24"/>
          <w:szCs w:val="24"/>
        </w:rPr>
        <w:t>N</w:t>
      </w:r>
      <w:r w:rsidR="292528F5" w:rsidRPr="23A4FC9A">
        <w:rPr>
          <w:sz w:val="24"/>
          <w:szCs w:val="24"/>
        </w:rPr>
        <w:t xml:space="preserve">either Clean Harbors </w:t>
      </w:r>
      <w:r w:rsidR="7C0C6250" w:rsidRPr="23A4FC9A">
        <w:rPr>
          <w:sz w:val="24"/>
          <w:szCs w:val="24"/>
        </w:rPr>
        <w:t>n</w:t>
      </w:r>
      <w:r w:rsidR="292528F5" w:rsidRPr="23A4FC9A">
        <w:rPr>
          <w:sz w:val="24"/>
          <w:szCs w:val="24"/>
        </w:rPr>
        <w:t>or Tetra Tech collected samples</w:t>
      </w:r>
      <w:r w:rsidR="2483D7A0" w:rsidRPr="23A4FC9A">
        <w:rPr>
          <w:sz w:val="24"/>
          <w:szCs w:val="24"/>
        </w:rPr>
        <w:t xml:space="preserve"> of surface water from the Fore River</w:t>
      </w:r>
      <w:r w:rsidRPr="23A4FC9A">
        <w:rPr>
          <w:sz w:val="24"/>
          <w:szCs w:val="24"/>
        </w:rPr>
        <w:t>. However</w:t>
      </w:r>
      <w:r w:rsidR="1AFD00AC" w:rsidRPr="23A4FC9A">
        <w:rPr>
          <w:sz w:val="24"/>
          <w:szCs w:val="24"/>
        </w:rPr>
        <w:t xml:space="preserve">, at approximately 4 PM on 2/17/23, </w:t>
      </w:r>
      <w:r w:rsidR="27311701" w:rsidRPr="23A4FC9A">
        <w:rPr>
          <w:sz w:val="24"/>
          <w:szCs w:val="24"/>
        </w:rPr>
        <w:t xml:space="preserve">Clean Harbors collected a sample of </w:t>
      </w:r>
      <w:r w:rsidR="1505A914" w:rsidRPr="23A4FC9A">
        <w:rPr>
          <w:sz w:val="24"/>
          <w:szCs w:val="24"/>
        </w:rPr>
        <w:t xml:space="preserve">firefighting </w:t>
      </w:r>
      <w:r w:rsidR="27311701" w:rsidRPr="23A4FC9A">
        <w:rPr>
          <w:sz w:val="24"/>
          <w:szCs w:val="24"/>
        </w:rPr>
        <w:t xml:space="preserve">water </w:t>
      </w:r>
      <w:r w:rsidR="391AA760" w:rsidRPr="23A4FC9A">
        <w:rPr>
          <w:sz w:val="24"/>
          <w:szCs w:val="24"/>
        </w:rPr>
        <w:t xml:space="preserve">that had </w:t>
      </w:r>
      <w:r w:rsidR="257D1308" w:rsidRPr="23A4FC9A">
        <w:rPr>
          <w:sz w:val="24"/>
          <w:szCs w:val="24"/>
        </w:rPr>
        <w:t>pooled</w:t>
      </w:r>
      <w:r w:rsidR="391AA760" w:rsidRPr="23A4FC9A">
        <w:rPr>
          <w:sz w:val="24"/>
          <w:szCs w:val="24"/>
        </w:rPr>
        <w:t xml:space="preserve"> on the Clean Harbors property. </w:t>
      </w:r>
      <w:r w:rsidR="6AA6E536" w:rsidRPr="23A4FC9A">
        <w:rPr>
          <w:sz w:val="24"/>
          <w:szCs w:val="24"/>
        </w:rPr>
        <w:t>This water sample was</w:t>
      </w:r>
      <w:r w:rsidR="4BDFDB38" w:rsidRPr="23A4FC9A">
        <w:rPr>
          <w:sz w:val="24"/>
          <w:szCs w:val="24"/>
        </w:rPr>
        <w:t xml:space="preserve"> anal</w:t>
      </w:r>
      <w:r w:rsidR="55287FB6" w:rsidRPr="23A4FC9A">
        <w:rPr>
          <w:sz w:val="24"/>
          <w:szCs w:val="24"/>
        </w:rPr>
        <w:t>y</w:t>
      </w:r>
      <w:r w:rsidR="4BDFDB38" w:rsidRPr="23A4FC9A">
        <w:rPr>
          <w:sz w:val="24"/>
          <w:szCs w:val="24"/>
        </w:rPr>
        <w:t>zed</w:t>
      </w:r>
      <w:r w:rsidR="5E86CDEA" w:rsidRPr="23A4FC9A">
        <w:rPr>
          <w:sz w:val="24"/>
          <w:szCs w:val="24"/>
        </w:rPr>
        <w:t xml:space="preserve"> for the same suite of chemicals that were analyzed </w:t>
      </w:r>
      <w:r w:rsidR="30BDBDEE" w:rsidRPr="23A4FC9A">
        <w:rPr>
          <w:sz w:val="24"/>
          <w:szCs w:val="24"/>
        </w:rPr>
        <w:t xml:space="preserve">in </w:t>
      </w:r>
      <w:r w:rsidR="65ED55B0" w:rsidRPr="23A4FC9A">
        <w:rPr>
          <w:sz w:val="24"/>
          <w:szCs w:val="24"/>
        </w:rPr>
        <w:t xml:space="preserve">soil </w:t>
      </w:r>
      <w:r w:rsidR="2BB51F2D" w:rsidRPr="23A4FC9A">
        <w:rPr>
          <w:sz w:val="24"/>
          <w:szCs w:val="24"/>
        </w:rPr>
        <w:t>(TTI, 2023)</w:t>
      </w:r>
      <w:r w:rsidR="65ED55B0" w:rsidRPr="23A4FC9A">
        <w:rPr>
          <w:sz w:val="24"/>
          <w:szCs w:val="24"/>
        </w:rPr>
        <w:t>.</w:t>
      </w:r>
      <w:r w:rsidR="558A2C01" w:rsidRPr="23A4FC9A">
        <w:rPr>
          <w:sz w:val="24"/>
          <w:szCs w:val="24"/>
        </w:rPr>
        <w:t xml:space="preserve"> Although </w:t>
      </w:r>
      <w:r w:rsidR="5D91DAF5" w:rsidRPr="23A4FC9A">
        <w:rPr>
          <w:sz w:val="24"/>
          <w:szCs w:val="24"/>
        </w:rPr>
        <w:t>concentrations of contaminants in th</w:t>
      </w:r>
      <w:r w:rsidR="39E6E6E2" w:rsidRPr="23A4FC9A">
        <w:rPr>
          <w:sz w:val="24"/>
          <w:szCs w:val="24"/>
        </w:rPr>
        <w:t>e firefighting water are not representative</w:t>
      </w:r>
      <w:r w:rsidR="211D671D" w:rsidRPr="23A4FC9A">
        <w:rPr>
          <w:sz w:val="24"/>
          <w:szCs w:val="24"/>
        </w:rPr>
        <w:t xml:space="preserve"> of what individuals </w:t>
      </w:r>
      <w:r w:rsidR="7F043F73" w:rsidRPr="23A4FC9A">
        <w:rPr>
          <w:sz w:val="24"/>
          <w:szCs w:val="24"/>
        </w:rPr>
        <w:t xml:space="preserve">could </w:t>
      </w:r>
      <w:r w:rsidR="16F04DBB" w:rsidRPr="23A4FC9A">
        <w:rPr>
          <w:sz w:val="24"/>
          <w:szCs w:val="24"/>
        </w:rPr>
        <w:t xml:space="preserve">be </w:t>
      </w:r>
      <w:r w:rsidR="7F043F73" w:rsidRPr="23A4FC9A">
        <w:rPr>
          <w:sz w:val="24"/>
          <w:szCs w:val="24"/>
        </w:rPr>
        <w:t xml:space="preserve">exposed to in the Fore River, </w:t>
      </w:r>
      <w:r w:rsidR="57CC4A45" w:rsidRPr="23A4FC9A">
        <w:rPr>
          <w:sz w:val="24"/>
          <w:szCs w:val="24"/>
        </w:rPr>
        <w:t xml:space="preserve">evaluating these data can </w:t>
      </w:r>
      <w:r w:rsidR="0C282C9B" w:rsidRPr="23A4FC9A">
        <w:rPr>
          <w:sz w:val="24"/>
          <w:szCs w:val="24"/>
        </w:rPr>
        <w:t>help understand</w:t>
      </w:r>
      <w:r w:rsidR="6785A733" w:rsidRPr="23A4FC9A">
        <w:rPr>
          <w:sz w:val="24"/>
          <w:szCs w:val="24"/>
        </w:rPr>
        <w:t xml:space="preserve"> </w:t>
      </w:r>
      <w:r w:rsidR="7123AC13" w:rsidRPr="23A4FC9A">
        <w:rPr>
          <w:sz w:val="24"/>
          <w:szCs w:val="24"/>
        </w:rPr>
        <w:t xml:space="preserve">potential </w:t>
      </w:r>
      <w:r w:rsidR="543687E6" w:rsidRPr="23A4FC9A">
        <w:rPr>
          <w:sz w:val="24"/>
          <w:szCs w:val="24"/>
        </w:rPr>
        <w:t xml:space="preserve">impacts </w:t>
      </w:r>
      <w:r w:rsidR="3F3D2DD6" w:rsidRPr="23A4FC9A">
        <w:rPr>
          <w:sz w:val="24"/>
          <w:szCs w:val="24"/>
        </w:rPr>
        <w:t xml:space="preserve">from </w:t>
      </w:r>
      <w:r w:rsidR="26F51D3B" w:rsidRPr="23A4FC9A">
        <w:rPr>
          <w:sz w:val="24"/>
          <w:szCs w:val="24"/>
        </w:rPr>
        <w:t>firefighting water</w:t>
      </w:r>
      <w:r w:rsidR="474E3507" w:rsidRPr="23A4FC9A">
        <w:rPr>
          <w:sz w:val="24"/>
          <w:szCs w:val="24"/>
        </w:rPr>
        <w:t xml:space="preserve"> that may have been released</w:t>
      </w:r>
      <w:r w:rsidR="3D39A5DA" w:rsidRPr="23A4FC9A">
        <w:rPr>
          <w:sz w:val="24"/>
          <w:szCs w:val="24"/>
        </w:rPr>
        <w:t xml:space="preserve"> to the Fore River</w:t>
      </w:r>
      <w:r w:rsidR="26F51D3B" w:rsidRPr="23A4FC9A">
        <w:rPr>
          <w:sz w:val="24"/>
          <w:szCs w:val="24"/>
        </w:rPr>
        <w:t>.</w:t>
      </w:r>
    </w:p>
    <w:p w14:paraId="4EE593F1" w14:textId="4BCE6FE7" w:rsidR="00787FF1" w:rsidRDefault="00787FF1">
      <w:pPr>
        <w:spacing w:line="259" w:lineRule="auto"/>
        <w:rPr>
          <w:b/>
          <w:bCs/>
        </w:rPr>
      </w:pPr>
      <w:r>
        <w:rPr>
          <w:b/>
          <w:bCs/>
        </w:rPr>
        <w:br w:type="page"/>
      </w:r>
    </w:p>
    <w:p w14:paraId="221E9625" w14:textId="65720C21" w:rsidR="003709B9" w:rsidRPr="00D670F6" w:rsidRDefault="003709B9" w:rsidP="006C429C">
      <w:pPr>
        <w:pStyle w:val="Heading1"/>
      </w:pPr>
      <w:r>
        <w:t xml:space="preserve">Evaluation of </w:t>
      </w:r>
      <w:r w:rsidRPr="003709B9">
        <w:t>Exposure</w:t>
      </w:r>
      <w:r>
        <w:t xml:space="preserve"> TO CONTAMINANTS IN AIR</w:t>
      </w:r>
    </w:p>
    <w:p w14:paraId="684B6381" w14:textId="77777777" w:rsidR="00421029" w:rsidRDefault="00421029" w:rsidP="006114C0">
      <w:pPr>
        <w:keepNext/>
        <w:spacing w:after="0" w:line="240" w:lineRule="auto"/>
        <w:rPr>
          <w:sz w:val="24"/>
          <w:szCs w:val="24"/>
        </w:rPr>
      </w:pPr>
    </w:p>
    <w:p w14:paraId="18686DF6" w14:textId="1975BDFC" w:rsidR="006114C0" w:rsidRPr="00421029" w:rsidRDefault="006114C0" w:rsidP="00364D96">
      <w:pPr>
        <w:keepNext/>
        <w:spacing w:after="0" w:line="240" w:lineRule="auto"/>
        <w:jc w:val="both"/>
        <w:rPr>
          <w:sz w:val="24"/>
          <w:szCs w:val="24"/>
        </w:rPr>
      </w:pPr>
      <w:r w:rsidRPr="0C7FB68C">
        <w:rPr>
          <w:sz w:val="24"/>
          <w:szCs w:val="24"/>
        </w:rPr>
        <w:t>To evaluate the potential for health effects resulting from breathing fire-related contaminants, MDPH/B</w:t>
      </w:r>
      <w:r w:rsidR="4AE47C01" w:rsidRPr="0C7FB68C">
        <w:rPr>
          <w:sz w:val="24"/>
          <w:szCs w:val="24"/>
        </w:rPr>
        <w:t>C</w:t>
      </w:r>
      <w:r w:rsidRPr="0C7FB68C">
        <w:rPr>
          <w:sz w:val="24"/>
          <w:szCs w:val="24"/>
        </w:rPr>
        <w:t xml:space="preserve">EH considered air quality data provided by MassDEP. </w:t>
      </w:r>
    </w:p>
    <w:p w14:paraId="4D81C49C" w14:textId="77777777" w:rsidR="006114C0" w:rsidRDefault="006114C0" w:rsidP="00F3056A">
      <w:pPr>
        <w:keepNext/>
        <w:spacing w:after="0" w:line="240" w:lineRule="auto"/>
        <w:rPr>
          <w:b/>
          <w:bCs/>
        </w:rPr>
      </w:pPr>
    </w:p>
    <w:p w14:paraId="0CF94937" w14:textId="7EF6632B" w:rsidR="009C7DFA" w:rsidRDefault="003709B9" w:rsidP="00851768">
      <w:pPr>
        <w:pStyle w:val="Heading2"/>
        <w:spacing w:after="0" w:line="240" w:lineRule="auto"/>
      </w:pPr>
      <w:r>
        <w:t>4.1</w:t>
      </w:r>
      <w:r>
        <w:tab/>
      </w:r>
      <w:r w:rsidR="00116696">
        <w:t>Particulate Matter</w:t>
      </w:r>
      <w:r w:rsidR="009C7DFA">
        <w:rPr>
          <w:vertAlign w:val="subscript"/>
        </w:rPr>
        <w:t xml:space="preserve"> </w:t>
      </w:r>
      <w:r w:rsidR="009C7DFA">
        <w:t>Data</w:t>
      </w:r>
    </w:p>
    <w:p w14:paraId="527A8032" w14:textId="0E473D12" w:rsidR="009C7DFA" w:rsidRDefault="196F587A" w:rsidP="00364D96">
      <w:pPr>
        <w:keepNext/>
        <w:spacing w:after="0" w:line="240" w:lineRule="auto"/>
        <w:jc w:val="both"/>
        <w:rPr>
          <w:sz w:val="24"/>
          <w:szCs w:val="24"/>
        </w:rPr>
      </w:pPr>
      <w:r w:rsidRPr="00421029">
        <w:rPr>
          <w:sz w:val="24"/>
          <w:szCs w:val="24"/>
        </w:rPr>
        <w:t xml:space="preserve">Particulate matter is a mixture of solid </w:t>
      </w:r>
      <w:r w:rsidR="3EE9DB30" w:rsidRPr="00421029">
        <w:rPr>
          <w:sz w:val="24"/>
          <w:szCs w:val="24"/>
        </w:rPr>
        <w:t xml:space="preserve">particles </w:t>
      </w:r>
      <w:r w:rsidRPr="00421029">
        <w:rPr>
          <w:sz w:val="24"/>
          <w:szCs w:val="24"/>
        </w:rPr>
        <w:t>and liquid droplets, which can be made up of hundreds of different chemicals</w:t>
      </w:r>
      <w:r w:rsidR="13A8E485" w:rsidRPr="00421029">
        <w:rPr>
          <w:sz w:val="24"/>
          <w:szCs w:val="24"/>
        </w:rPr>
        <w:t>. Parti</w:t>
      </w:r>
      <w:r w:rsidR="041FAD1A" w:rsidRPr="00421029">
        <w:rPr>
          <w:sz w:val="24"/>
          <w:szCs w:val="24"/>
        </w:rPr>
        <w:t>cu</w:t>
      </w:r>
      <w:r w:rsidR="13A8E485" w:rsidRPr="00421029">
        <w:rPr>
          <w:sz w:val="24"/>
          <w:szCs w:val="24"/>
        </w:rPr>
        <w:t xml:space="preserve">late matter also </w:t>
      </w:r>
      <w:r w:rsidR="09A15618" w:rsidRPr="00421029">
        <w:rPr>
          <w:sz w:val="24"/>
          <w:szCs w:val="24"/>
        </w:rPr>
        <w:t xml:space="preserve">consists of </w:t>
      </w:r>
      <w:r w:rsidR="13A8E485" w:rsidRPr="00421029">
        <w:rPr>
          <w:sz w:val="24"/>
          <w:szCs w:val="24"/>
        </w:rPr>
        <w:t>different size</w:t>
      </w:r>
      <w:r w:rsidR="637954E1" w:rsidRPr="00421029">
        <w:rPr>
          <w:sz w:val="24"/>
          <w:szCs w:val="24"/>
        </w:rPr>
        <w:t>s</w:t>
      </w:r>
      <w:r w:rsidR="13A8E485" w:rsidRPr="00421029">
        <w:rPr>
          <w:sz w:val="24"/>
          <w:szCs w:val="24"/>
        </w:rPr>
        <w:t>, ranging from ultrafine to course</w:t>
      </w:r>
      <w:r w:rsidR="041FAD1A" w:rsidRPr="00421029">
        <w:rPr>
          <w:sz w:val="24"/>
          <w:szCs w:val="24"/>
        </w:rPr>
        <w:t xml:space="preserve"> </w:t>
      </w:r>
      <w:r w:rsidR="0B577596" w:rsidRPr="00421029">
        <w:rPr>
          <w:sz w:val="24"/>
          <w:szCs w:val="24"/>
        </w:rPr>
        <w:t xml:space="preserve">(US EPA, 2022a). </w:t>
      </w:r>
      <w:r w:rsidR="13A8E485" w:rsidRPr="00421029">
        <w:rPr>
          <w:sz w:val="24"/>
          <w:szCs w:val="24"/>
        </w:rPr>
        <w:t xml:space="preserve">The </w:t>
      </w:r>
      <w:r w:rsidR="5BDBE7F8" w:rsidRPr="00421029">
        <w:rPr>
          <w:sz w:val="24"/>
          <w:szCs w:val="24"/>
        </w:rPr>
        <w:t xml:space="preserve">particulate matter measured at the Weymouth air monitor and the </w:t>
      </w:r>
      <w:proofErr w:type="spellStart"/>
      <w:r w:rsidR="5BDBE7F8" w:rsidRPr="00421029">
        <w:rPr>
          <w:sz w:val="24"/>
          <w:szCs w:val="24"/>
        </w:rPr>
        <w:t>PurpleAir</w:t>
      </w:r>
      <w:proofErr w:type="spellEnd"/>
      <w:r w:rsidR="5BDBE7F8" w:rsidRPr="00421029">
        <w:rPr>
          <w:sz w:val="24"/>
          <w:szCs w:val="24"/>
        </w:rPr>
        <w:t xml:space="preserve"> sensors is</w:t>
      </w:r>
      <w:r w:rsidRPr="00421029">
        <w:rPr>
          <w:sz w:val="24"/>
          <w:szCs w:val="24"/>
        </w:rPr>
        <w:t xml:space="preserve"> PM</w:t>
      </w:r>
      <w:r w:rsidRPr="00421029">
        <w:rPr>
          <w:sz w:val="24"/>
          <w:szCs w:val="24"/>
          <w:vertAlign w:val="subscript"/>
        </w:rPr>
        <w:t>2.5</w:t>
      </w:r>
      <w:r w:rsidR="5BDBE7F8" w:rsidRPr="00421029">
        <w:rPr>
          <w:sz w:val="24"/>
          <w:szCs w:val="24"/>
        </w:rPr>
        <w:t>, which</w:t>
      </w:r>
      <w:r w:rsidR="5BDBE7F8" w:rsidRPr="00421029">
        <w:rPr>
          <w:sz w:val="24"/>
          <w:szCs w:val="24"/>
          <w:vertAlign w:val="subscript"/>
        </w:rPr>
        <w:t xml:space="preserve"> </w:t>
      </w:r>
      <w:r w:rsidRPr="00421029">
        <w:rPr>
          <w:sz w:val="24"/>
          <w:szCs w:val="24"/>
        </w:rPr>
        <w:t xml:space="preserve">is defined as </w:t>
      </w:r>
      <w:r w:rsidR="1CAE38A2" w:rsidRPr="00421029">
        <w:rPr>
          <w:sz w:val="24"/>
          <w:szCs w:val="24"/>
        </w:rPr>
        <w:t>“</w:t>
      </w:r>
      <w:r w:rsidRPr="00421029">
        <w:rPr>
          <w:sz w:val="24"/>
          <w:szCs w:val="24"/>
        </w:rPr>
        <w:t>fine</w:t>
      </w:r>
      <w:r w:rsidR="4BD116C3" w:rsidRPr="00421029">
        <w:rPr>
          <w:sz w:val="24"/>
          <w:szCs w:val="24"/>
        </w:rPr>
        <w:t>”</w:t>
      </w:r>
      <w:r w:rsidRPr="00421029">
        <w:rPr>
          <w:sz w:val="24"/>
          <w:szCs w:val="24"/>
        </w:rPr>
        <w:t xml:space="preserve"> particulate matter</w:t>
      </w:r>
      <w:r w:rsidR="49CB5198" w:rsidRPr="00421029">
        <w:rPr>
          <w:sz w:val="24"/>
          <w:szCs w:val="24"/>
        </w:rPr>
        <w:t>.</w:t>
      </w:r>
      <w:r w:rsidR="00AA7139" w:rsidRPr="00421029">
        <w:rPr>
          <w:rStyle w:val="FootnoteReference"/>
          <w:sz w:val="24"/>
          <w:szCs w:val="24"/>
        </w:rPr>
        <w:footnoteReference w:id="6"/>
      </w:r>
      <w:r w:rsidR="49CB5198" w:rsidRPr="00421029">
        <w:rPr>
          <w:sz w:val="24"/>
          <w:szCs w:val="24"/>
        </w:rPr>
        <w:t xml:space="preserve"> </w:t>
      </w:r>
      <w:r w:rsidRPr="00421029">
        <w:rPr>
          <w:sz w:val="24"/>
          <w:szCs w:val="24"/>
        </w:rPr>
        <w:t xml:space="preserve"> PM</w:t>
      </w:r>
      <w:r w:rsidRPr="00421029">
        <w:rPr>
          <w:sz w:val="24"/>
          <w:szCs w:val="24"/>
          <w:vertAlign w:val="subscript"/>
        </w:rPr>
        <w:t xml:space="preserve">2.5 </w:t>
      </w:r>
      <w:r w:rsidRPr="00421029">
        <w:rPr>
          <w:sz w:val="24"/>
          <w:szCs w:val="24"/>
        </w:rPr>
        <w:t xml:space="preserve">is readily inhaled, can enter the lungs </w:t>
      </w:r>
      <w:r w:rsidR="6291141E" w:rsidRPr="00421029">
        <w:rPr>
          <w:sz w:val="24"/>
          <w:szCs w:val="24"/>
        </w:rPr>
        <w:t xml:space="preserve">and the </w:t>
      </w:r>
      <w:r w:rsidRPr="00421029">
        <w:rPr>
          <w:sz w:val="24"/>
          <w:szCs w:val="24"/>
        </w:rPr>
        <w:t>bloodstream, and can pose a risk to human health (US EPA, 2018d).</w:t>
      </w:r>
    </w:p>
    <w:p w14:paraId="0F16ED7D" w14:textId="77777777" w:rsidR="00421029" w:rsidRPr="00421029" w:rsidRDefault="00421029" w:rsidP="00421029">
      <w:pPr>
        <w:keepNext/>
        <w:spacing w:after="0" w:line="240" w:lineRule="auto"/>
        <w:rPr>
          <w:sz w:val="24"/>
          <w:szCs w:val="24"/>
        </w:rPr>
      </w:pPr>
    </w:p>
    <w:p w14:paraId="4094E75D" w14:textId="21F2C0AF" w:rsidR="009C7DFA" w:rsidRPr="00421029" w:rsidRDefault="67BF5204" w:rsidP="00536668">
      <w:pPr>
        <w:keepNext/>
        <w:spacing w:after="0" w:line="240" w:lineRule="auto"/>
        <w:jc w:val="both"/>
        <w:rPr>
          <w:sz w:val="24"/>
          <w:szCs w:val="24"/>
        </w:rPr>
      </w:pPr>
      <w:r w:rsidRPr="23A4FC9A">
        <w:rPr>
          <w:sz w:val="24"/>
          <w:szCs w:val="24"/>
        </w:rPr>
        <w:t xml:space="preserve">For assessing the potential for harmful levels of exposure, </w:t>
      </w:r>
      <w:r w:rsidR="1909DF4B" w:rsidRPr="23A4FC9A">
        <w:rPr>
          <w:sz w:val="24"/>
          <w:szCs w:val="24"/>
        </w:rPr>
        <w:t>ATSDR recommends using the WHO Air Quality Guideline (AQG) of 15 micrograms per cubic meter (</w:t>
      </w:r>
      <w:proofErr w:type="spellStart"/>
      <w:r w:rsidR="1909DF4B" w:rsidRPr="23A4FC9A">
        <w:rPr>
          <w:sz w:val="24"/>
          <w:szCs w:val="24"/>
        </w:rPr>
        <w:t>μg</w:t>
      </w:r>
      <w:proofErr w:type="spellEnd"/>
      <w:r w:rsidR="1909DF4B" w:rsidRPr="23A4FC9A">
        <w:rPr>
          <w:sz w:val="24"/>
          <w:szCs w:val="24"/>
        </w:rPr>
        <w:t>/m</w:t>
      </w:r>
      <w:r w:rsidR="1909DF4B" w:rsidRPr="23A4FC9A">
        <w:rPr>
          <w:sz w:val="24"/>
          <w:szCs w:val="24"/>
          <w:vertAlign w:val="superscript"/>
        </w:rPr>
        <w:t>3</w:t>
      </w:r>
      <w:r w:rsidR="1909DF4B" w:rsidRPr="23A4FC9A">
        <w:rPr>
          <w:sz w:val="24"/>
          <w:szCs w:val="24"/>
        </w:rPr>
        <w:t>) to evaluate PM</w:t>
      </w:r>
      <w:r w:rsidR="1909DF4B" w:rsidRPr="23A4FC9A">
        <w:rPr>
          <w:sz w:val="24"/>
          <w:szCs w:val="24"/>
          <w:vertAlign w:val="subscript"/>
        </w:rPr>
        <w:t xml:space="preserve">2.5 </w:t>
      </w:r>
      <w:r w:rsidR="1909DF4B" w:rsidRPr="23A4FC9A">
        <w:rPr>
          <w:sz w:val="24"/>
          <w:szCs w:val="24"/>
        </w:rPr>
        <w:t>exposure averaged over a 24-hour period</w:t>
      </w:r>
      <w:r w:rsidR="5208435C" w:rsidRPr="23A4FC9A">
        <w:rPr>
          <w:sz w:val="24"/>
          <w:szCs w:val="24"/>
        </w:rPr>
        <w:t xml:space="preserve"> because it is the most health-protective </w:t>
      </w:r>
      <w:r w:rsidR="78A27B4D" w:rsidRPr="23A4FC9A">
        <w:rPr>
          <w:sz w:val="24"/>
          <w:szCs w:val="24"/>
        </w:rPr>
        <w:t>screening value available</w:t>
      </w:r>
      <w:r w:rsidR="1909DF4B" w:rsidRPr="23A4FC9A">
        <w:rPr>
          <w:sz w:val="24"/>
          <w:szCs w:val="24"/>
        </w:rPr>
        <w:t xml:space="preserve"> (ATSDR, 2022a). </w:t>
      </w:r>
      <w:r w:rsidR="0E701E07" w:rsidRPr="23A4FC9A">
        <w:rPr>
          <w:sz w:val="24"/>
          <w:szCs w:val="24"/>
        </w:rPr>
        <w:t xml:space="preserve">We also compared </w:t>
      </w:r>
      <w:r w:rsidR="1909DF4B" w:rsidRPr="23A4FC9A">
        <w:rPr>
          <w:sz w:val="24"/>
          <w:szCs w:val="24"/>
        </w:rPr>
        <w:t>PM</w:t>
      </w:r>
      <w:r w:rsidR="1909DF4B" w:rsidRPr="23A4FC9A">
        <w:rPr>
          <w:sz w:val="24"/>
          <w:szCs w:val="24"/>
          <w:vertAlign w:val="subscript"/>
        </w:rPr>
        <w:t>2.5</w:t>
      </w:r>
      <w:r w:rsidR="1909DF4B" w:rsidRPr="23A4FC9A">
        <w:rPr>
          <w:sz w:val="24"/>
          <w:szCs w:val="24"/>
        </w:rPr>
        <w:t xml:space="preserve"> environmental data to the </w:t>
      </w:r>
      <w:r w:rsidR="59C070BB" w:rsidRPr="23A4FC9A">
        <w:rPr>
          <w:sz w:val="24"/>
          <w:szCs w:val="24"/>
        </w:rPr>
        <w:t>EPA</w:t>
      </w:r>
      <w:r w:rsidR="1909DF4B" w:rsidRPr="23A4FC9A">
        <w:rPr>
          <w:sz w:val="24"/>
          <w:szCs w:val="24"/>
        </w:rPr>
        <w:t xml:space="preserve"> 24-hour PM</w:t>
      </w:r>
      <w:r w:rsidR="1909DF4B" w:rsidRPr="23A4FC9A">
        <w:rPr>
          <w:sz w:val="24"/>
          <w:szCs w:val="24"/>
          <w:vertAlign w:val="subscript"/>
        </w:rPr>
        <w:t xml:space="preserve">2.5 </w:t>
      </w:r>
      <w:r w:rsidR="1909DF4B" w:rsidRPr="23A4FC9A">
        <w:rPr>
          <w:sz w:val="24"/>
          <w:szCs w:val="24"/>
        </w:rPr>
        <w:t xml:space="preserve">National Ambient Air Quality Standard (NAAQS) of 35 </w:t>
      </w:r>
      <w:proofErr w:type="spellStart"/>
      <w:r w:rsidR="1909DF4B" w:rsidRPr="23A4FC9A">
        <w:rPr>
          <w:sz w:val="24"/>
          <w:szCs w:val="24"/>
        </w:rPr>
        <w:t>μg</w:t>
      </w:r>
      <w:proofErr w:type="spellEnd"/>
      <w:r w:rsidR="1909DF4B" w:rsidRPr="23A4FC9A">
        <w:rPr>
          <w:sz w:val="24"/>
          <w:szCs w:val="24"/>
        </w:rPr>
        <w:t>/m</w:t>
      </w:r>
      <w:r w:rsidR="1909DF4B" w:rsidRPr="23A4FC9A">
        <w:rPr>
          <w:sz w:val="24"/>
          <w:szCs w:val="24"/>
          <w:vertAlign w:val="superscript"/>
        </w:rPr>
        <w:t>3</w:t>
      </w:r>
      <w:r w:rsidR="1909DF4B" w:rsidRPr="23A4FC9A">
        <w:rPr>
          <w:sz w:val="24"/>
          <w:szCs w:val="24"/>
        </w:rPr>
        <w:t xml:space="preserve">. </w:t>
      </w:r>
      <w:r w:rsidR="4CA6F5D1" w:rsidRPr="23A4FC9A">
        <w:rPr>
          <w:sz w:val="24"/>
          <w:szCs w:val="24"/>
        </w:rPr>
        <w:t>Based on this evaluation there was one exceedance of the AQG and there were no exceedances of the NAAQS (see Table 2).</w:t>
      </w:r>
    </w:p>
    <w:p w14:paraId="393D1D42" w14:textId="77777777" w:rsidR="00421029" w:rsidRDefault="00421029" w:rsidP="00536668">
      <w:pPr>
        <w:spacing w:after="0" w:line="240" w:lineRule="auto"/>
        <w:jc w:val="both"/>
        <w:rPr>
          <w:sz w:val="24"/>
          <w:szCs w:val="24"/>
        </w:rPr>
      </w:pPr>
    </w:p>
    <w:p w14:paraId="31A993FA" w14:textId="1EC6FB03" w:rsidR="00A70937" w:rsidRPr="00421029" w:rsidRDefault="38F5FF4E" w:rsidP="00536668">
      <w:pPr>
        <w:keepNext/>
        <w:jc w:val="both"/>
        <w:rPr>
          <w:sz w:val="24"/>
          <w:szCs w:val="24"/>
        </w:rPr>
      </w:pPr>
      <w:r w:rsidRPr="00421029">
        <w:rPr>
          <w:sz w:val="24"/>
          <w:szCs w:val="24"/>
        </w:rPr>
        <w:t>MDPH/B</w:t>
      </w:r>
      <w:r w:rsidR="7E3E6C2B" w:rsidRPr="00421029">
        <w:rPr>
          <w:sz w:val="24"/>
          <w:szCs w:val="24"/>
        </w:rPr>
        <w:t>C</w:t>
      </w:r>
      <w:r w:rsidRPr="00421029">
        <w:rPr>
          <w:sz w:val="24"/>
          <w:szCs w:val="24"/>
        </w:rPr>
        <w:t xml:space="preserve">EH used the noon-to-noon </w:t>
      </w:r>
      <w:r w:rsidR="004E5603" w:rsidRPr="00421029">
        <w:rPr>
          <w:sz w:val="24"/>
          <w:szCs w:val="24"/>
        </w:rPr>
        <w:t>period</w:t>
      </w:r>
      <w:r w:rsidRPr="00421029">
        <w:rPr>
          <w:sz w:val="24"/>
          <w:szCs w:val="24"/>
        </w:rPr>
        <w:t xml:space="preserve"> for the 24-hour average.  This value represents the maximum average for most stations, as compared to other 24-hour periods during the time of the fire.   </w:t>
      </w:r>
      <w:r>
        <w:rPr>
          <w:sz w:val="24"/>
          <w:szCs w:val="24"/>
        </w:rPr>
        <w:t xml:space="preserve">The MassDEP </w:t>
      </w:r>
      <w:proofErr w:type="spellStart"/>
      <w:r>
        <w:rPr>
          <w:sz w:val="24"/>
          <w:szCs w:val="24"/>
        </w:rPr>
        <w:t>PurpleAir</w:t>
      </w:r>
      <w:proofErr w:type="spellEnd"/>
      <w:r>
        <w:rPr>
          <w:sz w:val="24"/>
          <w:szCs w:val="24"/>
        </w:rPr>
        <w:t xml:space="preserve"> sensor</w:t>
      </w:r>
      <w:r w:rsidRPr="00421029">
        <w:rPr>
          <w:sz w:val="24"/>
          <w:szCs w:val="24"/>
        </w:rPr>
        <w:t xml:space="preserve"> </w:t>
      </w:r>
      <w:r>
        <w:rPr>
          <w:sz w:val="24"/>
          <w:szCs w:val="24"/>
        </w:rPr>
        <w:t xml:space="preserve">measured a </w:t>
      </w:r>
      <w:r w:rsidRPr="00421029">
        <w:rPr>
          <w:sz w:val="24"/>
          <w:szCs w:val="24"/>
        </w:rPr>
        <w:t>PM</w:t>
      </w:r>
      <w:r w:rsidRPr="00421029">
        <w:rPr>
          <w:sz w:val="24"/>
          <w:szCs w:val="24"/>
          <w:vertAlign w:val="subscript"/>
        </w:rPr>
        <w:t xml:space="preserve">2.5 </w:t>
      </w:r>
      <w:r w:rsidRPr="00421029">
        <w:rPr>
          <w:sz w:val="24"/>
          <w:szCs w:val="24"/>
        </w:rPr>
        <w:t xml:space="preserve">24-hour average </w:t>
      </w:r>
      <w:r>
        <w:rPr>
          <w:sz w:val="24"/>
          <w:szCs w:val="24"/>
        </w:rPr>
        <w:t xml:space="preserve">that </w:t>
      </w:r>
      <w:r w:rsidRPr="00421029">
        <w:rPr>
          <w:sz w:val="24"/>
          <w:szCs w:val="24"/>
        </w:rPr>
        <w:t>slightly exceed</w:t>
      </w:r>
      <w:r>
        <w:rPr>
          <w:sz w:val="24"/>
          <w:szCs w:val="24"/>
        </w:rPr>
        <w:t>s</w:t>
      </w:r>
      <w:r w:rsidRPr="00421029">
        <w:rPr>
          <w:sz w:val="24"/>
          <w:szCs w:val="24"/>
        </w:rPr>
        <w:t xml:space="preserve"> the WHO AQG</w:t>
      </w:r>
      <w:r w:rsidR="00A70937">
        <w:rPr>
          <w:rStyle w:val="FootnoteReference"/>
          <w:sz w:val="24"/>
          <w:szCs w:val="24"/>
        </w:rPr>
        <w:footnoteReference w:id="7"/>
      </w:r>
      <w:r>
        <w:rPr>
          <w:sz w:val="24"/>
          <w:szCs w:val="24"/>
        </w:rPr>
        <w:t xml:space="preserve"> and the </w:t>
      </w:r>
      <w:proofErr w:type="spellStart"/>
      <w:r>
        <w:rPr>
          <w:sz w:val="24"/>
          <w:szCs w:val="24"/>
        </w:rPr>
        <w:t>Idlewell</w:t>
      </w:r>
      <w:proofErr w:type="spellEnd"/>
      <w:r>
        <w:rPr>
          <w:sz w:val="24"/>
          <w:szCs w:val="24"/>
        </w:rPr>
        <w:t xml:space="preserve"> </w:t>
      </w:r>
      <w:proofErr w:type="spellStart"/>
      <w:r>
        <w:rPr>
          <w:sz w:val="24"/>
          <w:szCs w:val="24"/>
        </w:rPr>
        <w:t>PurpleAir</w:t>
      </w:r>
      <w:proofErr w:type="spellEnd"/>
      <w:r>
        <w:rPr>
          <w:sz w:val="24"/>
          <w:szCs w:val="24"/>
        </w:rPr>
        <w:t xml:space="preserve"> sensor measured a level equal to the WHO AQG</w:t>
      </w:r>
      <w:r w:rsidRPr="00421029">
        <w:rPr>
          <w:sz w:val="24"/>
          <w:szCs w:val="24"/>
        </w:rPr>
        <w:t>.</w:t>
      </w:r>
    </w:p>
    <w:p w14:paraId="2B7CB586" w14:textId="65AF5E11" w:rsidR="009C7DFA" w:rsidRPr="00421029" w:rsidRDefault="2406B9E1" w:rsidP="00364D96">
      <w:pPr>
        <w:keepNext/>
        <w:spacing w:after="0" w:line="240" w:lineRule="auto"/>
        <w:jc w:val="both"/>
        <w:rPr>
          <w:sz w:val="24"/>
          <w:szCs w:val="24"/>
        </w:rPr>
      </w:pPr>
      <w:r w:rsidRPr="00421029">
        <w:rPr>
          <w:sz w:val="24"/>
          <w:szCs w:val="24"/>
        </w:rPr>
        <w:t xml:space="preserve">In </w:t>
      </w:r>
      <w:r w:rsidR="2A3787C0" w:rsidRPr="2D86063D">
        <w:rPr>
          <w:sz w:val="24"/>
          <w:szCs w:val="24"/>
        </w:rPr>
        <w:t>addition to</w:t>
      </w:r>
      <w:r w:rsidRPr="00421029">
        <w:rPr>
          <w:sz w:val="24"/>
          <w:szCs w:val="24"/>
        </w:rPr>
        <w:t xml:space="preserve"> </w:t>
      </w:r>
      <w:r w:rsidR="2A3787C0" w:rsidRPr="2D86063D">
        <w:rPr>
          <w:sz w:val="24"/>
          <w:szCs w:val="24"/>
        </w:rPr>
        <w:t xml:space="preserve">considering </w:t>
      </w:r>
      <w:r w:rsidRPr="00421029">
        <w:rPr>
          <w:sz w:val="24"/>
          <w:szCs w:val="24"/>
        </w:rPr>
        <w:t>expos</w:t>
      </w:r>
      <w:r w:rsidR="171ED8DF" w:rsidRPr="00421029">
        <w:rPr>
          <w:sz w:val="24"/>
          <w:szCs w:val="24"/>
        </w:rPr>
        <w:t>ure</w:t>
      </w:r>
      <w:r w:rsidRPr="00421029">
        <w:rPr>
          <w:sz w:val="24"/>
          <w:szCs w:val="24"/>
        </w:rPr>
        <w:t xml:space="preserve"> to a 24-hour average level of PM</w:t>
      </w:r>
      <w:r w:rsidRPr="00421029">
        <w:rPr>
          <w:sz w:val="24"/>
          <w:szCs w:val="24"/>
          <w:vertAlign w:val="subscript"/>
        </w:rPr>
        <w:t>2.5</w:t>
      </w:r>
      <w:r w:rsidRPr="00421029">
        <w:rPr>
          <w:sz w:val="24"/>
          <w:szCs w:val="24"/>
        </w:rPr>
        <w:t xml:space="preserve">, </w:t>
      </w:r>
      <w:r w:rsidR="19E8696E" w:rsidRPr="2D86063D">
        <w:rPr>
          <w:sz w:val="24"/>
          <w:szCs w:val="24"/>
        </w:rPr>
        <w:t>we also considered exposure to</w:t>
      </w:r>
      <w:r w:rsidRPr="00421029">
        <w:rPr>
          <w:sz w:val="24"/>
          <w:szCs w:val="24"/>
        </w:rPr>
        <w:t xml:space="preserve"> </w:t>
      </w:r>
      <w:r w:rsidR="303D10AA" w:rsidRPr="00421029">
        <w:rPr>
          <w:sz w:val="24"/>
          <w:szCs w:val="24"/>
        </w:rPr>
        <w:t xml:space="preserve">a </w:t>
      </w:r>
      <w:r w:rsidRPr="00421029">
        <w:rPr>
          <w:sz w:val="24"/>
          <w:szCs w:val="24"/>
        </w:rPr>
        <w:t xml:space="preserve">1-hour </w:t>
      </w:r>
      <w:r w:rsidR="51B6AF98" w:rsidRPr="00421029">
        <w:rPr>
          <w:sz w:val="24"/>
          <w:szCs w:val="24"/>
        </w:rPr>
        <w:t xml:space="preserve">maximum </w:t>
      </w:r>
      <w:r w:rsidR="255B4E15" w:rsidRPr="00421029">
        <w:rPr>
          <w:sz w:val="24"/>
          <w:szCs w:val="24"/>
        </w:rPr>
        <w:t xml:space="preserve">level of </w:t>
      </w:r>
      <w:r w:rsidRPr="00421029">
        <w:rPr>
          <w:sz w:val="24"/>
          <w:szCs w:val="24"/>
        </w:rPr>
        <w:t>PM</w:t>
      </w:r>
      <w:r w:rsidRPr="00421029">
        <w:rPr>
          <w:sz w:val="24"/>
          <w:szCs w:val="24"/>
          <w:vertAlign w:val="subscript"/>
        </w:rPr>
        <w:t>2.5</w:t>
      </w:r>
      <w:r w:rsidRPr="00421029">
        <w:rPr>
          <w:sz w:val="24"/>
          <w:szCs w:val="24"/>
        </w:rPr>
        <w:t>.</w:t>
      </w:r>
      <w:r w:rsidRPr="00421029">
        <w:rPr>
          <w:kern w:val="0"/>
          <w:sz w:val="24"/>
          <w:szCs w:val="24"/>
          <w14:ligatures w14:val="none"/>
        </w:rPr>
        <w:t xml:space="preserve"> </w:t>
      </w:r>
      <w:r w:rsidR="4C3768A5" w:rsidRPr="00421029">
        <w:rPr>
          <w:kern w:val="0"/>
          <w:sz w:val="24"/>
          <w:szCs w:val="24"/>
          <w14:ligatures w14:val="none"/>
        </w:rPr>
        <w:t xml:space="preserve">As </w:t>
      </w:r>
      <w:r w:rsidR="21DEFF66" w:rsidRPr="00421029">
        <w:rPr>
          <w:kern w:val="0"/>
          <w:sz w:val="24"/>
          <w:szCs w:val="24"/>
          <w14:ligatures w14:val="none"/>
        </w:rPr>
        <w:t>t</w:t>
      </w:r>
      <w:r w:rsidR="54767767" w:rsidRPr="00421029">
        <w:rPr>
          <w:kern w:val="0"/>
          <w:sz w:val="24"/>
          <w:szCs w:val="24"/>
          <w14:ligatures w14:val="none"/>
        </w:rPr>
        <w:t xml:space="preserve">here are no </w:t>
      </w:r>
      <w:r w:rsidR="702A0703" w:rsidRPr="00421029">
        <w:rPr>
          <w:kern w:val="0"/>
          <w:sz w:val="24"/>
          <w:szCs w:val="24"/>
          <w14:ligatures w14:val="none"/>
        </w:rPr>
        <w:t xml:space="preserve">1-hour </w:t>
      </w:r>
      <w:r w:rsidR="25410693" w:rsidRPr="00421029">
        <w:rPr>
          <w:kern w:val="0"/>
          <w:sz w:val="24"/>
          <w:szCs w:val="24"/>
          <w14:ligatures w14:val="none"/>
        </w:rPr>
        <w:t xml:space="preserve">criteria (such as </w:t>
      </w:r>
      <w:r w:rsidR="54767767" w:rsidRPr="00421029">
        <w:rPr>
          <w:kern w:val="0"/>
          <w:sz w:val="24"/>
          <w:szCs w:val="24"/>
          <w14:ligatures w14:val="none"/>
        </w:rPr>
        <w:t>WHO AQGs or EPA NAAQS</w:t>
      </w:r>
      <w:r w:rsidR="7DABECD0" w:rsidRPr="00421029">
        <w:rPr>
          <w:kern w:val="0"/>
          <w:sz w:val="24"/>
          <w:szCs w:val="24"/>
          <w14:ligatures w14:val="none"/>
        </w:rPr>
        <w:t>)</w:t>
      </w:r>
      <w:r w:rsidR="54767767" w:rsidRPr="00421029">
        <w:rPr>
          <w:kern w:val="0"/>
          <w:sz w:val="24"/>
          <w:szCs w:val="24"/>
          <w14:ligatures w14:val="none"/>
        </w:rPr>
        <w:t xml:space="preserve"> for </w:t>
      </w:r>
      <w:r w:rsidR="59F5D20D" w:rsidRPr="00421029">
        <w:rPr>
          <w:kern w:val="0"/>
          <w:sz w:val="24"/>
          <w:szCs w:val="24"/>
          <w14:ligatures w14:val="none"/>
        </w:rPr>
        <w:t>evaluating</w:t>
      </w:r>
      <w:r w:rsidR="54767767" w:rsidRPr="00421029">
        <w:rPr>
          <w:kern w:val="0"/>
          <w:sz w:val="24"/>
          <w:szCs w:val="24"/>
          <w14:ligatures w14:val="none"/>
        </w:rPr>
        <w:t xml:space="preserve"> exposure </w:t>
      </w:r>
      <w:r w:rsidR="55085FCE" w:rsidRPr="00421029">
        <w:rPr>
          <w:kern w:val="0"/>
          <w:sz w:val="24"/>
          <w:szCs w:val="24"/>
          <w14:ligatures w14:val="none"/>
        </w:rPr>
        <w:t xml:space="preserve">that occurs for a duration </w:t>
      </w:r>
      <w:r w:rsidR="670AB491" w:rsidRPr="00421029">
        <w:rPr>
          <w:kern w:val="0"/>
          <w:sz w:val="24"/>
          <w:szCs w:val="24"/>
          <w14:ligatures w14:val="none"/>
        </w:rPr>
        <w:t xml:space="preserve">of </w:t>
      </w:r>
      <w:r w:rsidR="54767767" w:rsidRPr="00421029">
        <w:rPr>
          <w:kern w:val="0"/>
          <w:sz w:val="24"/>
          <w:szCs w:val="24"/>
          <w14:ligatures w14:val="none"/>
        </w:rPr>
        <w:t>less than 24 hours</w:t>
      </w:r>
      <w:r w:rsidR="5613944D" w:rsidRPr="00421029">
        <w:rPr>
          <w:kern w:val="0"/>
          <w:sz w:val="24"/>
          <w:szCs w:val="24"/>
          <w14:ligatures w14:val="none"/>
        </w:rPr>
        <w:t xml:space="preserve">, we </w:t>
      </w:r>
      <w:r w:rsidR="5613944D" w:rsidRPr="00421029">
        <w:rPr>
          <w:sz w:val="24"/>
          <w:szCs w:val="24"/>
        </w:rPr>
        <w:t>compared the hourly exposu</w:t>
      </w:r>
      <w:r w:rsidR="1DA75EE6" w:rsidRPr="420C5E74">
        <w:rPr>
          <w:sz w:val="24"/>
          <w:szCs w:val="24"/>
        </w:rPr>
        <w:t>r</w:t>
      </w:r>
      <w:r w:rsidR="5613944D" w:rsidRPr="00421029">
        <w:rPr>
          <w:sz w:val="24"/>
          <w:szCs w:val="24"/>
        </w:rPr>
        <w:t>e data to the 24-hour standard</w:t>
      </w:r>
      <w:r w:rsidR="24C383D0" w:rsidRPr="00421029">
        <w:rPr>
          <w:sz w:val="24"/>
          <w:szCs w:val="24"/>
        </w:rPr>
        <w:t>, which is</w:t>
      </w:r>
      <w:r w:rsidR="5613944D" w:rsidRPr="00421029">
        <w:rPr>
          <w:sz w:val="24"/>
          <w:szCs w:val="24"/>
        </w:rPr>
        <w:t xml:space="preserve"> a health-protective </w:t>
      </w:r>
      <w:r w:rsidR="4B16E43C" w:rsidRPr="00421029">
        <w:rPr>
          <w:sz w:val="24"/>
          <w:szCs w:val="24"/>
        </w:rPr>
        <w:t>approach</w:t>
      </w:r>
      <w:r w:rsidR="6D238E82" w:rsidRPr="2D86063D">
        <w:rPr>
          <w:sz w:val="24"/>
          <w:szCs w:val="24"/>
        </w:rPr>
        <w:t xml:space="preserve"> (ATSDR 2022a)</w:t>
      </w:r>
      <w:r w:rsidR="5613944D" w:rsidRPr="00421029">
        <w:rPr>
          <w:sz w:val="24"/>
          <w:szCs w:val="24"/>
        </w:rPr>
        <w:t>.</w:t>
      </w:r>
      <w:r w:rsidR="5613944D" w:rsidRPr="00421029">
        <w:rPr>
          <w:kern w:val="0"/>
          <w:sz w:val="24"/>
          <w:szCs w:val="24"/>
          <w14:ligatures w14:val="none"/>
        </w:rPr>
        <w:t xml:space="preserve"> </w:t>
      </w:r>
      <w:r w:rsidR="68C989E4" w:rsidRPr="2D86063D">
        <w:rPr>
          <w:sz w:val="24"/>
          <w:szCs w:val="24"/>
        </w:rPr>
        <w:t xml:space="preserve">It is important to note that </w:t>
      </w:r>
      <w:r w:rsidR="7539650A" w:rsidRPr="2D86063D">
        <w:rPr>
          <w:sz w:val="24"/>
          <w:szCs w:val="24"/>
        </w:rPr>
        <w:t xml:space="preserve">exposure to </w:t>
      </w:r>
      <w:r w:rsidR="68C989E4" w:rsidRPr="2D86063D">
        <w:rPr>
          <w:sz w:val="24"/>
          <w:szCs w:val="24"/>
        </w:rPr>
        <w:t xml:space="preserve">1-hour </w:t>
      </w:r>
      <w:r w:rsidR="7539650A" w:rsidRPr="2D86063D">
        <w:rPr>
          <w:sz w:val="24"/>
          <w:szCs w:val="24"/>
        </w:rPr>
        <w:t>PM</w:t>
      </w:r>
      <w:r w:rsidR="7539650A" w:rsidRPr="2D86063D">
        <w:rPr>
          <w:sz w:val="24"/>
          <w:szCs w:val="24"/>
          <w:vertAlign w:val="subscript"/>
        </w:rPr>
        <w:t xml:space="preserve">2.5 </w:t>
      </w:r>
      <w:r w:rsidR="68C989E4" w:rsidRPr="2D86063D">
        <w:rPr>
          <w:sz w:val="24"/>
          <w:szCs w:val="24"/>
        </w:rPr>
        <w:t xml:space="preserve">levels that </w:t>
      </w:r>
      <w:r w:rsidR="7539650A" w:rsidRPr="2D86063D">
        <w:rPr>
          <w:sz w:val="24"/>
          <w:szCs w:val="24"/>
        </w:rPr>
        <w:t>are greater than the</w:t>
      </w:r>
      <w:r w:rsidR="68C989E4" w:rsidRPr="2D86063D">
        <w:rPr>
          <w:sz w:val="24"/>
          <w:szCs w:val="24"/>
        </w:rPr>
        <w:t xml:space="preserve"> 24-hour standard do</w:t>
      </w:r>
      <w:r w:rsidR="124C9ABD" w:rsidRPr="2D86063D">
        <w:rPr>
          <w:sz w:val="24"/>
          <w:szCs w:val="24"/>
        </w:rPr>
        <w:t>es</w:t>
      </w:r>
      <w:r w:rsidR="68C989E4" w:rsidRPr="2D86063D">
        <w:rPr>
          <w:sz w:val="24"/>
          <w:szCs w:val="24"/>
        </w:rPr>
        <w:t xml:space="preserve"> not </w:t>
      </w:r>
      <w:r w:rsidR="124C9ABD" w:rsidRPr="2D86063D">
        <w:rPr>
          <w:sz w:val="24"/>
          <w:szCs w:val="24"/>
        </w:rPr>
        <w:t xml:space="preserve">necessarily </w:t>
      </w:r>
      <w:r w:rsidR="68C989E4" w:rsidRPr="2D86063D">
        <w:rPr>
          <w:sz w:val="24"/>
          <w:szCs w:val="24"/>
        </w:rPr>
        <w:t>mean that adverse health effects would occur.</w:t>
      </w:r>
    </w:p>
    <w:p w14:paraId="6A4CAE3E" w14:textId="77777777" w:rsidR="009C7DFA" w:rsidRPr="00421029" w:rsidRDefault="009C7DFA" w:rsidP="00421029">
      <w:pPr>
        <w:spacing w:after="0" w:line="240" w:lineRule="auto"/>
        <w:rPr>
          <w:kern w:val="0"/>
          <w:sz w:val="24"/>
          <w:szCs w:val="24"/>
          <w14:ligatures w14:val="none"/>
        </w:rPr>
      </w:pPr>
    </w:p>
    <w:p w14:paraId="1AC57530" w14:textId="5E1E4C24" w:rsidR="009C7DFA" w:rsidRPr="00421029" w:rsidRDefault="64243313" w:rsidP="00364D96">
      <w:pPr>
        <w:keepNext/>
        <w:spacing w:after="0" w:line="240" w:lineRule="auto"/>
        <w:jc w:val="both"/>
        <w:rPr>
          <w:sz w:val="24"/>
          <w:szCs w:val="24"/>
        </w:rPr>
      </w:pPr>
      <w:r w:rsidRPr="23A4FC9A">
        <w:rPr>
          <w:sz w:val="24"/>
          <w:szCs w:val="24"/>
        </w:rPr>
        <w:t xml:space="preserve">Table 2 presents the 24-hour averages, </w:t>
      </w:r>
      <w:r w:rsidR="1C0D238C" w:rsidRPr="23A4FC9A">
        <w:rPr>
          <w:sz w:val="24"/>
          <w:szCs w:val="24"/>
        </w:rPr>
        <w:t xml:space="preserve">the AQS guideline and NAAQS, and </w:t>
      </w:r>
      <w:r w:rsidRPr="23A4FC9A">
        <w:rPr>
          <w:sz w:val="24"/>
          <w:szCs w:val="24"/>
        </w:rPr>
        <w:t xml:space="preserve">the </w:t>
      </w:r>
      <w:r w:rsidR="00862A86" w:rsidRPr="23A4FC9A">
        <w:rPr>
          <w:sz w:val="24"/>
          <w:szCs w:val="24"/>
        </w:rPr>
        <w:t>maximum 1</w:t>
      </w:r>
      <w:r w:rsidRPr="23A4FC9A">
        <w:rPr>
          <w:sz w:val="24"/>
          <w:szCs w:val="24"/>
        </w:rPr>
        <w:t xml:space="preserve">-hour average concentrations, for the seven </w:t>
      </w:r>
      <w:proofErr w:type="spellStart"/>
      <w:r w:rsidRPr="23A4FC9A">
        <w:rPr>
          <w:sz w:val="24"/>
          <w:szCs w:val="24"/>
        </w:rPr>
        <w:t>PurpleAir</w:t>
      </w:r>
      <w:proofErr w:type="spellEnd"/>
      <w:r w:rsidRPr="23A4FC9A">
        <w:rPr>
          <w:sz w:val="24"/>
          <w:szCs w:val="24"/>
        </w:rPr>
        <w:t xml:space="preserve"> sensors, and MassDEP’s monitor. </w:t>
      </w:r>
      <w:r w:rsidR="2A120C06" w:rsidRPr="23A4FC9A">
        <w:rPr>
          <w:sz w:val="24"/>
          <w:szCs w:val="24"/>
        </w:rPr>
        <w:t xml:space="preserve">As shown in Table 2, six of the </w:t>
      </w:r>
      <w:proofErr w:type="spellStart"/>
      <w:r w:rsidR="2A120C06" w:rsidRPr="23A4FC9A">
        <w:rPr>
          <w:sz w:val="24"/>
          <w:szCs w:val="24"/>
        </w:rPr>
        <w:t>PurpleAir</w:t>
      </w:r>
      <w:proofErr w:type="spellEnd"/>
      <w:r w:rsidR="2A120C06" w:rsidRPr="23A4FC9A">
        <w:rPr>
          <w:sz w:val="24"/>
          <w:szCs w:val="24"/>
        </w:rPr>
        <w:t xml:space="preserve"> sensors measured 1-hour average PM</w:t>
      </w:r>
      <w:r w:rsidR="2A120C06" w:rsidRPr="23A4FC9A">
        <w:rPr>
          <w:sz w:val="24"/>
          <w:szCs w:val="24"/>
          <w:vertAlign w:val="subscript"/>
        </w:rPr>
        <w:t xml:space="preserve">2.5 </w:t>
      </w:r>
      <w:r w:rsidR="2A120C06" w:rsidRPr="23A4FC9A">
        <w:rPr>
          <w:sz w:val="24"/>
          <w:szCs w:val="24"/>
        </w:rPr>
        <w:t>levels greater than the 24-hour AQG and NAAQS.</w:t>
      </w:r>
    </w:p>
    <w:p w14:paraId="5197AE94" w14:textId="77777777" w:rsidR="009C7DFA" w:rsidRDefault="009C7DFA" w:rsidP="009C7DFA">
      <w:pPr>
        <w:spacing w:after="0" w:line="240" w:lineRule="auto"/>
        <w:rPr>
          <w:kern w:val="0"/>
          <w14:ligatures w14:val="none"/>
        </w:rPr>
      </w:pPr>
    </w:p>
    <w:p w14:paraId="35A3EE2B" w14:textId="09D263B8" w:rsidR="00421029" w:rsidRDefault="00BE50D8" w:rsidP="00364D96">
      <w:pPr>
        <w:keepNext/>
        <w:spacing w:after="0" w:line="240" w:lineRule="auto"/>
        <w:jc w:val="both"/>
        <w:rPr>
          <w:kern w:val="0"/>
          <w:sz w:val="24"/>
          <w:szCs w:val="24"/>
          <w14:ligatures w14:val="none"/>
        </w:rPr>
      </w:pPr>
      <w:r w:rsidRPr="0B7759B7">
        <w:rPr>
          <w:sz w:val="24"/>
          <w:szCs w:val="24"/>
        </w:rPr>
        <w:t xml:space="preserve">As shown in Figure 2, </w:t>
      </w:r>
      <w:r w:rsidRPr="00BE50D8">
        <w:rPr>
          <w:i/>
          <w:iCs/>
          <w:sz w:val="24"/>
          <w:szCs w:val="24"/>
        </w:rPr>
        <w:t>maximum hourly</w:t>
      </w:r>
      <w:r w:rsidRPr="0B7759B7">
        <w:rPr>
          <w:sz w:val="24"/>
          <w:szCs w:val="24"/>
        </w:rPr>
        <w:t xml:space="preserve"> PM2.5 concentrations occurred shortly after the fire started, between 11 PM on 2/16/23 and 1 AM on 2/17/23, and were greater than the 24-hour WHO AQG at all </w:t>
      </w:r>
      <w:proofErr w:type="spellStart"/>
      <w:r w:rsidRPr="0B7759B7">
        <w:rPr>
          <w:sz w:val="24"/>
          <w:szCs w:val="24"/>
        </w:rPr>
        <w:t>PurpleAir</w:t>
      </w:r>
      <w:proofErr w:type="spellEnd"/>
      <w:r w:rsidRPr="0B7759B7">
        <w:rPr>
          <w:sz w:val="24"/>
          <w:szCs w:val="24"/>
        </w:rPr>
        <w:t xml:space="preserve"> sensors (except the Skyline sensor) and at DEP’s monitoring station (DEP T640). </w:t>
      </w:r>
      <w:r w:rsidR="7A81BF0C" w:rsidRPr="431755CA">
        <w:rPr>
          <w:i/>
          <w:iCs/>
          <w:kern w:val="0"/>
          <w:sz w:val="24"/>
          <w:szCs w:val="24"/>
          <w14:ligatures w14:val="none"/>
        </w:rPr>
        <w:t>Hourly</w:t>
      </w:r>
      <w:r w:rsidR="7A81BF0C" w:rsidRPr="00421029">
        <w:rPr>
          <w:kern w:val="0"/>
          <w:sz w:val="24"/>
          <w:szCs w:val="24"/>
          <w14:ligatures w14:val="none"/>
        </w:rPr>
        <w:t xml:space="preserve"> PM</w:t>
      </w:r>
      <w:r w:rsidR="7A81BF0C" w:rsidRPr="00421029">
        <w:rPr>
          <w:kern w:val="0"/>
          <w:sz w:val="24"/>
          <w:szCs w:val="24"/>
          <w:vertAlign w:val="subscript"/>
          <w14:ligatures w14:val="none"/>
        </w:rPr>
        <w:t xml:space="preserve">2.5 </w:t>
      </w:r>
      <w:r w:rsidR="7A81BF0C" w:rsidRPr="00421029">
        <w:rPr>
          <w:kern w:val="0"/>
          <w:sz w:val="24"/>
          <w:szCs w:val="24"/>
          <w14:ligatures w14:val="none"/>
        </w:rPr>
        <w:t xml:space="preserve">concentrations remained above the WHO AQG at the Baxter, Claremont, King’s Cove, </w:t>
      </w:r>
      <w:proofErr w:type="spellStart"/>
      <w:r w:rsidR="7A81BF0C" w:rsidRPr="00421029">
        <w:rPr>
          <w:kern w:val="0"/>
          <w:sz w:val="24"/>
          <w:szCs w:val="24"/>
          <w14:ligatures w14:val="none"/>
        </w:rPr>
        <w:t>Idlewell</w:t>
      </w:r>
      <w:proofErr w:type="spellEnd"/>
      <w:r w:rsidR="7A81BF0C" w:rsidRPr="00421029">
        <w:rPr>
          <w:kern w:val="0"/>
          <w:sz w:val="24"/>
          <w:szCs w:val="24"/>
          <w14:ligatures w14:val="none"/>
        </w:rPr>
        <w:t xml:space="preserve">, Evans, and </w:t>
      </w:r>
      <w:r w:rsidR="1520FB7D">
        <w:rPr>
          <w:kern w:val="0"/>
          <w:sz w:val="24"/>
          <w:szCs w:val="24"/>
          <w14:ligatures w14:val="none"/>
        </w:rPr>
        <w:t>Mass</w:t>
      </w:r>
      <w:r w:rsidR="7A81BF0C" w:rsidRPr="00421029">
        <w:rPr>
          <w:kern w:val="0"/>
          <w:sz w:val="24"/>
          <w:szCs w:val="24"/>
          <w14:ligatures w14:val="none"/>
        </w:rPr>
        <w:t xml:space="preserve">DEP </w:t>
      </w:r>
      <w:proofErr w:type="spellStart"/>
      <w:r w:rsidR="7A81BF0C" w:rsidRPr="00421029">
        <w:rPr>
          <w:kern w:val="0"/>
          <w:sz w:val="24"/>
          <w:szCs w:val="24"/>
          <w14:ligatures w14:val="none"/>
        </w:rPr>
        <w:t>PurpleAir</w:t>
      </w:r>
      <w:proofErr w:type="spellEnd"/>
      <w:r w:rsidR="7A81BF0C" w:rsidRPr="00421029">
        <w:rPr>
          <w:kern w:val="0"/>
          <w:sz w:val="24"/>
          <w:szCs w:val="24"/>
          <w14:ligatures w14:val="none"/>
        </w:rPr>
        <w:t xml:space="preserve"> sensors, until 12:00 PM on 2/17</w:t>
      </w:r>
      <w:r w:rsidR="1520FB7D">
        <w:rPr>
          <w:kern w:val="0"/>
          <w:sz w:val="24"/>
          <w:szCs w:val="24"/>
          <w14:ligatures w14:val="none"/>
        </w:rPr>
        <w:t>/23</w:t>
      </w:r>
      <w:r w:rsidR="7A81BF0C" w:rsidRPr="00421029">
        <w:rPr>
          <w:kern w:val="0"/>
          <w:sz w:val="24"/>
          <w:szCs w:val="24"/>
          <w14:ligatures w14:val="none"/>
        </w:rPr>
        <w:t>.</w:t>
      </w:r>
    </w:p>
    <w:p w14:paraId="3070A2BD" w14:textId="77777777" w:rsidR="00FF6B68" w:rsidRPr="00421029" w:rsidRDefault="00FF6B68" w:rsidP="00364D96">
      <w:pPr>
        <w:keepNext/>
        <w:spacing w:after="0" w:line="240" w:lineRule="auto"/>
        <w:jc w:val="both"/>
        <w:rPr>
          <w:rFonts w:ascii="Times New Roman" w:hAnsi="Times New Roman" w:cs="Times New Roman"/>
          <w:kern w:val="0"/>
          <w:sz w:val="28"/>
          <w:szCs w:val="28"/>
          <w14:ligatures w14:val="none"/>
        </w:rPr>
      </w:pPr>
    </w:p>
    <w:tbl>
      <w:tblPr>
        <w:tblW w:w="9905" w:type="dxa"/>
        <w:tblInd w:w="-275" w:type="dxa"/>
        <w:tblCellMar>
          <w:left w:w="0" w:type="dxa"/>
          <w:right w:w="0" w:type="dxa"/>
        </w:tblCellMar>
        <w:tblLook w:val="04A0" w:firstRow="1" w:lastRow="0" w:firstColumn="1" w:lastColumn="0" w:noHBand="0" w:noVBand="1"/>
      </w:tblPr>
      <w:tblGrid>
        <w:gridCol w:w="10"/>
        <w:gridCol w:w="2780"/>
        <w:gridCol w:w="815"/>
        <w:gridCol w:w="1080"/>
        <w:gridCol w:w="9"/>
        <w:gridCol w:w="711"/>
        <w:gridCol w:w="808"/>
        <w:gridCol w:w="902"/>
        <w:gridCol w:w="720"/>
        <w:gridCol w:w="600"/>
        <w:gridCol w:w="1470"/>
      </w:tblGrid>
      <w:tr w:rsidR="00421029" w14:paraId="33F64398" w14:textId="77777777" w:rsidTr="23A4FC9A">
        <w:trPr>
          <w:trHeight w:val="305"/>
        </w:trPr>
        <w:tc>
          <w:tcPr>
            <w:tcW w:w="9905" w:type="dxa"/>
            <w:gridSpan w:val="11"/>
            <w:tcBorders>
              <w:bottom w:val="single" w:sz="4" w:space="0" w:color="auto"/>
            </w:tcBorders>
            <w:noWrap/>
            <w:tcMar>
              <w:top w:w="0" w:type="dxa"/>
              <w:left w:w="108" w:type="dxa"/>
              <w:bottom w:w="0" w:type="dxa"/>
              <w:right w:w="108" w:type="dxa"/>
            </w:tcMar>
            <w:vAlign w:val="bottom"/>
            <w:hideMark/>
          </w:tcPr>
          <w:p w14:paraId="12AB87DD" w14:textId="77777777" w:rsidR="00421029" w:rsidRDefault="00421029">
            <w:pPr>
              <w:keepNext/>
              <w:spacing w:after="0" w:line="240" w:lineRule="auto"/>
              <w:rPr>
                <w:b/>
                <w:bCs/>
                <w:sz w:val="24"/>
                <w:szCs w:val="24"/>
              </w:rPr>
            </w:pPr>
            <w:r w:rsidRPr="00D92347">
              <w:rPr>
                <w:b/>
                <w:bCs/>
                <w:sz w:val="24"/>
                <w:szCs w:val="24"/>
              </w:rPr>
              <w:t>Table 2. PM</w:t>
            </w:r>
            <w:r w:rsidRPr="00D92347">
              <w:rPr>
                <w:b/>
                <w:bCs/>
                <w:sz w:val="24"/>
                <w:szCs w:val="24"/>
                <w:vertAlign w:val="subscript"/>
              </w:rPr>
              <w:t xml:space="preserve">2.5 </w:t>
            </w:r>
            <w:r w:rsidRPr="00D92347">
              <w:rPr>
                <w:b/>
                <w:bCs/>
                <w:sz w:val="24"/>
                <w:szCs w:val="24"/>
              </w:rPr>
              <w:t>Screening Evaluation</w:t>
            </w:r>
          </w:p>
          <w:p w14:paraId="07B488F1" w14:textId="353A2509" w:rsidR="00FF6B68" w:rsidRPr="00D92347" w:rsidRDefault="00FF6B68">
            <w:pPr>
              <w:keepNext/>
              <w:spacing w:after="0" w:line="240" w:lineRule="auto"/>
              <w:rPr>
                <w:rFonts w:ascii="Calibri" w:eastAsia="Calibri" w:hAnsi="Calibri" w:cs="Calibri"/>
                <w:b/>
                <w:bCs/>
                <w:kern w:val="0"/>
                <w:sz w:val="24"/>
                <w:szCs w:val="24"/>
                <w14:ligatures w14:val="none"/>
              </w:rPr>
            </w:pPr>
          </w:p>
        </w:tc>
      </w:tr>
      <w:tr w:rsidR="00421029" w14:paraId="10414D72" w14:textId="77777777" w:rsidTr="23A4FC9A">
        <w:trPr>
          <w:trHeight w:val="305"/>
        </w:trPr>
        <w:tc>
          <w:tcPr>
            <w:tcW w:w="2790" w:type="dxa"/>
            <w:gridSpan w:val="2"/>
            <w:tcBorders>
              <w:left w:val="single" w:sz="4" w:space="0" w:color="auto"/>
              <w:right w:val="single" w:sz="4" w:space="0" w:color="auto"/>
            </w:tcBorders>
            <w:shd w:val="clear" w:color="auto" w:fill="D9E2F3" w:themeFill="accent1" w:themeFillTint="33"/>
            <w:noWrap/>
            <w:tcMar>
              <w:top w:w="0" w:type="dxa"/>
              <w:left w:w="108" w:type="dxa"/>
              <w:bottom w:w="0" w:type="dxa"/>
              <w:right w:w="108" w:type="dxa"/>
            </w:tcMar>
            <w:vAlign w:val="bottom"/>
          </w:tcPr>
          <w:p w14:paraId="098BE0FC" w14:textId="77777777" w:rsidR="00421029" w:rsidRDefault="00421029">
            <w:pPr>
              <w:keepNext/>
              <w:spacing w:after="0" w:line="240" w:lineRule="auto"/>
              <w:rPr>
                <w:rFonts w:ascii="Calibri" w:eastAsia="Calibri" w:hAnsi="Calibri" w:cs="Calibri"/>
                <w:kern w:val="0"/>
                <w:sz w:val="20"/>
                <w:szCs w:val="20"/>
              </w:rPr>
            </w:pPr>
          </w:p>
        </w:tc>
        <w:tc>
          <w:tcPr>
            <w:tcW w:w="5645" w:type="dxa"/>
            <w:gridSpan w:val="8"/>
            <w:tcBorders>
              <w:top w:val="single" w:sz="4" w:space="0" w:color="auto"/>
              <w:left w:val="single" w:sz="4" w:space="0" w:color="auto"/>
              <w:bottom w:val="sing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5642D0F4" w14:textId="0E5B42A0" w:rsidR="00421029" w:rsidRDefault="00421029">
            <w:pPr>
              <w:keepNext/>
              <w:spacing w:after="0" w:line="240" w:lineRule="auto"/>
              <w:jc w:val="center"/>
              <w:rPr>
                <w:rFonts w:ascii="Calibri" w:eastAsia="Calibri" w:hAnsi="Calibri" w:cs="Calibri"/>
                <w:b/>
                <w:bCs/>
                <w:kern w:val="0"/>
                <w:sz w:val="20"/>
                <w:szCs w:val="20"/>
                <w14:ligatures w14:val="none"/>
              </w:rPr>
            </w:pPr>
            <w:proofErr w:type="spellStart"/>
            <w:r>
              <w:rPr>
                <w:rFonts w:ascii="Calibri" w:eastAsia="Calibri" w:hAnsi="Calibri" w:cs="Calibri"/>
                <w:b/>
                <w:bCs/>
                <w:kern w:val="0"/>
                <w:sz w:val="20"/>
                <w:szCs w:val="20"/>
                <w14:ligatures w14:val="none"/>
              </w:rPr>
              <w:t>PurpleAir</w:t>
            </w:r>
            <w:proofErr w:type="spellEnd"/>
            <w:r>
              <w:rPr>
                <w:rFonts w:ascii="Calibri" w:eastAsia="Calibri" w:hAnsi="Calibri" w:cs="Calibri"/>
                <w:b/>
                <w:bCs/>
                <w:kern w:val="0"/>
                <w:sz w:val="20"/>
                <w:szCs w:val="20"/>
                <w14:ligatures w14:val="none"/>
              </w:rPr>
              <w:t xml:space="preserve"> Sensors**</w:t>
            </w:r>
          </w:p>
        </w:tc>
        <w:tc>
          <w:tcPr>
            <w:tcW w:w="1470" w:type="dxa"/>
            <w:tcBorders>
              <w:top w:val="single" w:sz="4" w:space="0" w:color="auto"/>
              <w:left w:val="nil"/>
              <w:bottom w:val="single" w:sz="4" w:space="0" w:color="auto"/>
              <w:right w:val="single" w:sz="4" w:space="0" w:color="auto"/>
            </w:tcBorders>
            <w:shd w:val="clear" w:color="auto" w:fill="D9E2F3" w:themeFill="accent1" w:themeFillTint="33"/>
            <w:noWrap/>
            <w:tcMar>
              <w:top w:w="0" w:type="dxa"/>
              <w:left w:w="108" w:type="dxa"/>
              <w:bottom w:w="0" w:type="dxa"/>
              <w:right w:w="108" w:type="dxa"/>
            </w:tcMar>
            <w:vAlign w:val="center"/>
            <w:hideMark/>
          </w:tcPr>
          <w:p w14:paraId="5C56FD53"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Monitoring Station</w:t>
            </w:r>
          </w:p>
        </w:tc>
      </w:tr>
      <w:tr w:rsidR="00421029" w14:paraId="5809C16C" w14:textId="77777777" w:rsidTr="23A4FC9A">
        <w:trPr>
          <w:gridBefore w:val="1"/>
          <w:wBefore w:w="10" w:type="dxa"/>
          <w:trHeight w:val="305"/>
        </w:trPr>
        <w:tc>
          <w:tcPr>
            <w:tcW w:w="2780" w:type="dxa"/>
            <w:tcBorders>
              <w:left w:val="single" w:sz="4" w:space="0" w:color="auto"/>
              <w:bottom w:val="single" w:sz="4" w:space="0" w:color="auto"/>
            </w:tcBorders>
            <w:shd w:val="clear" w:color="auto" w:fill="D9E2F3" w:themeFill="accent1" w:themeFillTint="33"/>
            <w:vAlign w:val="center"/>
            <w:hideMark/>
          </w:tcPr>
          <w:p w14:paraId="3444BE4B" w14:textId="77777777" w:rsidR="00421029" w:rsidRDefault="00421029">
            <w:pPr>
              <w:spacing w:after="0"/>
              <w:rPr>
                <w:rFonts w:ascii="Calibri" w:eastAsia="Calibri" w:hAnsi="Calibri" w:cs="Calibri"/>
                <w:kern w:val="0"/>
                <w:sz w:val="20"/>
                <w:szCs w:val="20"/>
              </w:rPr>
            </w:pPr>
          </w:p>
        </w:tc>
        <w:tc>
          <w:tcPr>
            <w:tcW w:w="815" w:type="dxa"/>
            <w:tcBorders>
              <w:top w:val="single" w:sz="4" w:space="0" w:color="auto"/>
              <w:left w:val="single" w:sz="4" w:space="0" w:color="auto"/>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4C451FB5"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Baxter</w:t>
            </w:r>
          </w:p>
        </w:tc>
        <w:tc>
          <w:tcPr>
            <w:tcW w:w="1089" w:type="dxa"/>
            <w:gridSpan w:val="2"/>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12DE4224"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Claremont</w:t>
            </w:r>
          </w:p>
        </w:tc>
        <w:tc>
          <w:tcPr>
            <w:tcW w:w="711" w:type="dxa"/>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739C1B51"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King’s Cove</w:t>
            </w:r>
          </w:p>
        </w:tc>
        <w:tc>
          <w:tcPr>
            <w:tcW w:w="808" w:type="dxa"/>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46D0F420"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Skyline</w:t>
            </w:r>
          </w:p>
        </w:tc>
        <w:tc>
          <w:tcPr>
            <w:tcW w:w="902" w:type="dxa"/>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593259A6" w14:textId="77777777" w:rsidR="00421029" w:rsidRDefault="00421029">
            <w:pPr>
              <w:keepNext/>
              <w:spacing w:after="0" w:line="240" w:lineRule="auto"/>
              <w:jc w:val="center"/>
              <w:rPr>
                <w:rFonts w:ascii="Calibri" w:eastAsia="Calibri" w:hAnsi="Calibri" w:cs="Calibri"/>
                <w:b/>
                <w:bCs/>
                <w:kern w:val="0"/>
                <w:sz w:val="20"/>
                <w:szCs w:val="20"/>
                <w14:ligatures w14:val="none"/>
              </w:rPr>
            </w:pPr>
            <w:proofErr w:type="spellStart"/>
            <w:r>
              <w:rPr>
                <w:rFonts w:ascii="Calibri" w:eastAsia="Calibri" w:hAnsi="Calibri" w:cs="Calibri"/>
                <w:b/>
                <w:bCs/>
                <w:kern w:val="0"/>
                <w:sz w:val="20"/>
                <w:szCs w:val="20"/>
                <w14:ligatures w14:val="none"/>
              </w:rPr>
              <w:t>Idlewell</w:t>
            </w:r>
            <w:proofErr w:type="spellEnd"/>
          </w:p>
        </w:tc>
        <w:tc>
          <w:tcPr>
            <w:tcW w:w="720" w:type="dxa"/>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7BA60FF7"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Evans</w:t>
            </w:r>
          </w:p>
        </w:tc>
        <w:tc>
          <w:tcPr>
            <w:tcW w:w="600" w:type="dxa"/>
            <w:tcBorders>
              <w:top w:val="single" w:sz="4" w:space="0" w:color="auto"/>
              <w:left w:val="nil"/>
              <w:bottom w:val="double" w:sz="4" w:space="0" w:color="auto"/>
              <w:right w:val="single" w:sz="8" w:space="0" w:color="auto"/>
            </w:tcBorders>
            <w:shd w:val="clear" w:color="auto" w:fill="D9E2F3" w:themeFill="accent1" w:themeFillTint="33"/>
            <w:noWrap/>
            <w:tcMar>
              <w:top w:w="0" w:type="dxa"/>
              <w:left w:w="108" w:type="dxa"/>
              <w:bottom w:w="0" w:type="dxa"/>
              <w:right w:w="108" w:type="dxa"/>
            </w:tcMar>
            <w:vAlign w:val="center"/>
            <w:hideMark/>
          </w:tcPr>
          <w:p w14:paraId="2CBF6EB1"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DEP</w:t>
            </w:r>
          </w:p>
        </w:tc>
        <w:tc>
          <w:tcPr>
            <w:tcW w:w="1470" w:type="dxa"/>
            <w:tcBorders>
              <w:top w:val="single" w:sz="4" w:space="0" w:color="auto"/>
              <w:left w:val="nil"/>
              <w:bottom w:val="double" w:sz="4" w:space="0" w:color="auto"/>
              <w:right w:val="single" w:sz="4" w:space="0" w:color="auto"/>
            </w:tcBorders>
            <w:shd w:val="clear" w:color="auto" w:fill="D9E2F3" w:themeFill="accent1" w:themeFillTint="33"/>
            <w:noWrap/>
            <w:tcMar>
              <w:top w:w="0" w:type="dxa"/>
              <w:left w:w="108" w:type="dxa"/>
              <w:bottom w:w="0" w:type="dxa"/>
              <w:right w:w="108" w:type="dxa"/>
            </w:tcMar>
            <w:vAlign w:val="center"/>
            <w:hideMark/>
          </w:tcPr>
          <w:p w14:paraId="47064ECC" w14:textId="77777777" w:rsidR="00421029" w:rsidRDefault="00421029">
            <w:pPr>
              <w:keepNext/>
              <w:spacing w:after="0" w:line="240" w:lineRule="auto"/>
              <w:jc w:val="center"/>
              <w:rPr>
                <w:rFonts w:ascii="Calibri" w:eastAsia="Calibri" w:hAnsi="Calibri" w:cs="Calibri"/>
                <w:b/>
                <w:bCs/>
                <w:kern w:val="0"/>
                <w:sz w:val="20"/>
                <w:szCs w:val="20"/>
                <w14:ligatures w14:val="none"/>
              </w:rPr>
            </w:pPr>
            <w:r>
              <w:rPr>
                <w:rFonts w:ascii="Calibri" w:eastAsia="Calibri" w:hAnsi="Calibri" w:cs="Calibri"/>
                <w:b/>
                <w:bCs/>
                <w:kern w:val="0"/>
                <w:sz w:val="20"/>
                <w:szCs w:val="20"/>
                <w14:ligatures w14:val="none"/>
              </w:rPr>
              <w:t>DEP T640</w:t>
            </w:r>
          </w:p>
        </w:tc>
      </w:tr>
      <w:tr w:rsidR="00421029" w14:paraId="069E1177" w14:textId="77777777" w:rsidTr="23A4FC9A">
        <w:trPr>
          <w:trHeight w:val="305"/>
        </w:trPr>
        <w:tc>
          <w:tcPr>
            <w:tcW w:w="2790" w:type="dxa"/>
            <w:gridSpan w:val="2"/>
            <w:tcBorders>
              <w:top w:val="double" w:sz="4" w:space="0" w:color="auto"/>
              <w:left w:val="single" w:sz="4" w:space="0" w:color="auto"/>
              <w:bottom w:val="nil"/>
              <w:right w:val="single" w:sz="4" w:space="0" w:color="auto"/>
            </w:tcBorders>
            <w:noWrap/>
            <w:tcMar>
              <w:top w:w="0" w:type="dxa"/>
              <w:left w:w="108" w:type="dxa"/>
              <w:bottom w:w="0" w:type="dxa"/>
              <w:right w:w="108" w:type="dxa"/>
            </w:tcMar>
            <w:vAlign w:val="center"/>
            <w:hideMark/>
          </w:tcPr>
          <w:p w14:paraId="094E39DC" w14:textId="77777777" w:rsidR="00421029" w:rsidRDefault="00421029">
            <w:pPr>
              <w:keepNext/>
              <w:spacing w:after="0" w:line="240" w:lineRule="auto"/>
              <w:jc w:val="right"/>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 xml:space="preserve">24 </w:t>
            </w:r>
            <w:proofErr w:type="spellStart"/>
            <w:r>
              <w:rPr>
                <w:rFonts w:ascii="Calibri" w:eastAsia="Calibri" w:hAnsi="Calibri" w:cs="Calibri"/>
                <w:b/>
                <w:bCs/>
                <w:color w:val="000000"/>
                <w:kern w:val="0"/>
                <w:sz w:val="20"/>
                <w:szCs w:val="20"/>
                <w14:ligatures w14:val="none"/>
              </w:rPr>
              <w:t>hr</w:t>
            </w:r>
            <w:proofErr w:type="spellEnd"/>
            <w:r>
              <w:rPr>
                <w:rFonts w:ascii="Calibri" w:eastAsia="Calibri" w:hAnsi="Calibri" w:cs="Calibri"/>
                <w:b/>
                <w:bCs/>
                <w:color w:val="000000"/>
                <w:kern w:val="0"/>
                <w:sz w:val="20"/>
                <w:szCs w:val="20"/>
                <w14:ligatures w14:val="none"/>
              </w:rPr>
              <w:t xml:space="preserve"> Average Concentration*</w:t>
            </w:r>
          </w:p>
        </w:tc>
        <w:tc>
          <w:tcPr>
            <w:tcW w:w="815"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0E566F"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12</w:t>
            </w:r>
          </w:p>
        </w:tc>
        <w:tc>
          <w:tcPr>
            <w:tcW w:w="1080"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16ABED"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13</w:t>
            </w:r>
          </w:p>
        </w:tc>
        <w:tc>
          <w:tcPr>
            <w:tcW w:w="720" w:type="dxa"/>
            <w:gridSpan w:val="2"/>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CE8781"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13</w:t>
            </w:r>
          </w:p>
        </w:tc>
        <w:tc>
          <w:tcPr>
            <w:tcW w:w="808"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3122A1"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8</w:t>
            </w:r>
          </w:p>
        </w:tc>
        <w:tc>
          <w:tcPr>
            <w:tcW w:w="902"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0A27E5" w14:textId="77777777" w:rsidR="00421029" w:rsidRDefault="00421029">
            <w:pPr>
              <w:keepNext/>
              <w:spacing w:after="0" w:line="240" w:lineRule="auto"/>
              <w:jc w:val="center"/>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15</w:t>
            </w:r>
          </w:p>
        </w:tc>
        <w:tc>
          <w:tcPr>
            <w:tcW w:w="720"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958E0"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12</w:t>
            </w:r>
          </w:p>
        </w:tc>
        <w:tc>
          <w:tcPr>
            <w:tcW w:w="600"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C37DAA" w14:textId="77777777" w:rsidR="00421029" w:rsidRDefault="00421029">
            <w:pPr>
              <w:keepNext/>
              <w:spacing w:after="0" w:line="240" w:lineRule="auto"/>
              <w:jc w:val="center"/>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16</w:t>
            </w:r>
          </w:p>
        </w:tc>
        <w:tc>
          <w:tcPr>
            <w:tcW w:w="1470" w:type="dxa"/>
            <w:tcBorders>
              <w:top w:val="doub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B8B900"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11</w:t>
            </w:r>
          </w:p>
        </w:tc>
      </w:tr>
      <w:tr w:rsidR="00421029" w14:paraId="22706ADE" w14:textId="77777777" w:rsidTr="23A4FC9A">
        <w:trPr>
          <w:trHeight w:val="305"/>
        </w:trPr>
        <w:tc>
          <w:tcPr>
            <w:tcW w:w="2790" w:type="dxa"/>
            <w:gridSpan w:val="2"/>
            <w:tcBorders>
              <w:top w:val="nil"/>
              <w:left w:val="single" w:sz="4" w:space="0" w:color="auto"/>
              <w:bottom w:val="nil"/>
              <w:right w:val="single" w:sz="4" w:space="0" w:color="auto"/>
            </w:tcBorders>
            <w:noWrap/>
            <w:tcMar>
              <w:top w:w="0" w:type="dxa"/>
              <w:left w:w="108" w:type="dxa"/>
              <w:bottom w:w="0" w:type="dxa"/>
              <w:right w:w="108" w:type="dxa"/>
            </w:tcMar>
            <w:vAlign w:val="center"/>
            <w:hideMark/>
          </w:tcPr>
          <w:p w14:paraId="5E0FD85D" w14:textId="77777777" w:rsidR="00421029" w:rsidRDefault="00421029">
            <w:pPr>
              <w:keepNext/>
              <w:spacing w:after="0" w:line="240" w:lineRule="auto"/>
              <w:jc w:val="right"/>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WHO AQG (24-hour)</w:t>
            </w:r>
          </w:p>
        </w:tc>
        <w:tc>
          <w:tcPr>
            <w:tcW w:w="71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20EC406D"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15</w:t>
            </w:r>
          </w:p>
        </w:tc>
      </w:tr>
      <w:tr w:rsidR="00421029" w14:paraId="298FCC6C" w14:textId="77777777" w:rsidTr="23A4FC9A">
        <w:trPr>
          <w:trHeight w:val="305"/>
        </w:trPr>
        <w:tc>
          <w:tcPr>
            <w:tcW w:w="2790" w:type="dxa"/>
            <w:gridSpan w:val="2"/>
            <w:tcBorders>
              <w:top w:val="nil"/>
              <w:left w:val="single" w:sz="4" w:space="0" w:color="auto"/>
              <w:bottom w:val="nil"/>
              <w:right w:val="single" w:sz="4" w:space="0" w:color="auto"/>
            </w:tcBorders>
            <w:noWrap/>
            <w:tcMar>
              <w:top w:w="0" w:type="dxa"/>
              <w:left w:w="108" w:type="dxa"/>
              <w:bottom w:w="0" w:type="dxa"/>
              <w:right w:w="108" w:type="dxa"/>
            </w:tcMar>
            <w:vAlign w:val="center"/>
            <w:hideMark/>
          </w:tcPr>
          <w:p w14:paraId="4DC0953F" w14:textId="77777777" w:rsidR="00421029" w:rsidRDefault="00421029">
            <w:pPr>
              <w:keepNext/>
              <w:spacing w:after="0" w:line="240" w:lineRule="auto"/>
              <w:jc w:val="right"/>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EPA NAAQS (24-hour)</w:t>
            </w:r>
          </w:p>
        </w:tc>
        <w:tc>
          <w:tcPr>
            <w:tcW w:w="71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702A807A" w14:textId="77777777" w:rsidR="00421029" w:rsidRDefault="00421029">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35</w:t>
            </w:r>
          </w:p>
        </w:tc>
      </w:tr>
      <w:tr w:rsidR="00590C1B" w14:paraId="5E663CFF" w14:textId="77777777" w:rsidTr="23A4FC9A">
        <w:trPr>
          <w:trHeight w:val="305"/>
        </w:trPr>
        <w:tc>
          <w:tcPr>
            <w:tcW w:w="2790" w:type="dxa"/>
            <w:gridSpan w:val="2"/>
            <w:tcBorders>
              <w:top w:val="nil"/>
              <w:left w:val="single" w:sz="4" w:space="0" w:color="auto"/>
              <w:bottom w:val="nil"/>
              <w:right w:val="single" w:sz="4" w:space="0" w:color="auto"/>
            </w:tcBorders>
            <w:noWrap/>
            <w:tcMar>
              <w:top w:w="0" w:type="dxa"/>
              <w:left w:w="108" w:type="dxa"/>
              <w:bottom w:w="0" w:type="dxa"/>
              <w:right w:w="108" w:type="dxa"/>
            </w:tcMar>
            <w:vAlign w:val="center"/>
            <w:hideMark/>
          </w:tcPr>
          <w:p w14:paraId="0CA207B4" w14:textId="2BFF57F7" w:rsidR="00590C1B" w:rsidRDefault="5ADD60BF" w:rsidP="00590C1B">
            <w:pPr>
              <w:keepNext/>
              <w:spacing w:after="0" w:line="240" w:lineRule="auto"/>
              <w:jc w:val="right"/>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Max. (1-hour) Concentration</w:t>
            </w:r>
          </w:p>
        </w:tc>
        <w:tc>
          <w:tcPr>
            <w:tcW w:w="8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0E4E45" w14:textId="5612BA2F"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22</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DD8AA7" w14:textId="46CAE46B"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22</w:t>
            </w:r>
          </w:p>
        </w:tc>
        <w:tc>
          <w:tcPr>
            <w:tcW w:w="72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1CFD7D" w14:textId="2475B940"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21</w:t>
            </w:r>
          </w:p>
        </w:tc>
        <w:tc>
          <w:tcPr>
            <w:tcW w:w="8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B356F8F" w14:textId="381D6EEE"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15</w:t>
            </w:r>
          </w:p>
        </w:tc>
        <w:tc>
          <w:tcPr>
            <w:tcW w:w="90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C05C845" w14:textId="7878D1F9"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45</w:t>
            </w:r>
          </w:p>
        </w:tc>
        <w:tc>
          <w:tcPr>
            <w:tcW w:w="7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E0DAB5" w14:textId="4BE4A3E7"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21</w:t>
            </w:r>
          </w:p>
        </w:tc>
        <w:tc>
          <w:tcPr>
            <w:tcW w:w="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330ADA" w14:textId="568EC46C"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40</w:t>
            </w:r>
          </w:p>
        </w:tc>
        <w:tc>
          <w:tcPr>
            <w:tcW w:w="14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341067" w14:textId="7001DFDA" w:rsidR="00590C1B" w:rsidRDefault="5ADD60BF" w:rsidP="00590C1B">
            <w:pPr>
              <w:keepNext/>
              <w:spacing w:after="0" w:line="240" w:lineRule="auto"/>
              <w:jc w:val="center"/>
              <w:rPr>
                <w:rFonts w:ascii="Calibri" w:eastAsia="Calibri" w:hAnsi="Calibri" w:cs="Calibri"/>
                <w:color w:val="000000"/>
                <w:kern w:val="0"/>
                <w:sz w:val="20"/>
                <w:szCs w:val="20"/>
                <w14:ligatures w14:val="none"/>
              </w:rPr>
            </w:pPr>
            <w:r>
              <w:rPr>
                <w:rFonts w:ascii="Calibri" w:eastAsia="Calibri" w:hAnsi="Calibri" w:cs="Calibri"/>
                <w:b/>
                <w:bCs/>
                <w:color w:val="000000"/>
                <w:kern w:val="0"/>
                <w:sz w:val="20"/>
                <w:szCs w:val="20"/>
                <w14:ligatures w14:val="none"/>
              </w:rPr>
              <w:t>28</w:t>
            </w:r>
          </w:p>
        </w:tc>
      </w:tr>
      <w:tr w:rsidR="00421029" w14:paraId="69AE3940" w14:textId="77777777" w:rsidTr="23A4FC9A">
        <w:trPr>
          <w:trHeight w:val="828"/>
        </w:trPr>
        <w:tc>
          <w:tcPr>
            <w:tcW w:w="9905" w:type="dxa"/>
            <w:gridSpan w:val="11"/>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FEA730" w14:textId="77777777" w:rsidR="00421029" w:rsidRDefault="00421029">
            <w:pPr>
              <w:keepNext/>
              <w:spacing w:after="0" w:line="240" w:lineRule="auto"/>
              <w:rPr>
                <w:rFonts w:ascii="Calibri" w:eastAsia="Calibri" w:hAnsi="Calibri" w:cs="Calibri"/>
                <w:b/>
                <w:bCs/>
                <w:color w:val="000000"/>
                <w:kern w:val="0"/>
                <w:sz w:val="20"/>
                <w:szCs w:val="20"/>
                <w14:ligatures w14:val="none"/>
              </w:rPr>
            </w:pPr>
            <w:r>
              <w:rPr>
                <w:rFonts w:ascii="Calibri" w:eastAsia="Calibri" w:hAnsi="Calibri" w:cs="Calibri"/>
                <w:b/>
                <w:bCs/>
                <w:color w:val="000000"/>
                <w:kern w:val="0"/>
                <w:sz w:val="20"/>
                <w:szCs w:val="20"/>
                <w14:ligatures w14:val="none"/>
              </w:rPr>
              <w:t>Units: µg/m</w:t>
            </w:r>
            <w:r>
              <w:rPr>
                <w:rFonts w:ascii="Calibri" w:eastAsia="Calibri" w:hAnsi="Calibri" w:cs="Calibri"/>
                <w:b/>
                <w:bCs/>
                <w:color w:val="000000"/>
                <w:kern w:val="0"/>
                <w:sz w:val="20"/>
                <w:szCs w:val="20"/>
                <w:vertAlign w:val="superscript"/>
                <w14:ligatures w14:val="none"/>
              </w:rPr>
              <w:t>3</w:t>
            </w:r>
          </w:p>
          <w:p w14:paraId="1D60B2AF" w14:textId="77777777" w:rsidR="00421029" w:rsidRDefault="00421029">
            <w:pPr>
              <w:keepNext/>
              <w:spacing w:after="0" w:line="240" w:lineRule="auto"/>
              <w:rPr>
                <w:rFonts w:ascii="Calibri" w:eastAsia="Calibri" w:hAnsi="Calibri" w:cs="Calibri"/>
                <w:color w:val="000000"/>
                <w:kern w:val="0"/>
                <w:sz w:val="20"/>
                <w:szCs w:val="20"/>
                <w14:ligatures w14:val="none"/>
              </w:rPr>
            </w:pPr>
            <w:r w:rsidRPr="002B5AB0">
              <w:rPr>
                <w:rFonts w:ascii="Calibri" w:eastAsia="Calibri" w:hAnsi="Calibri" w:cs="Calibri"/>
                <w:color w:val="000000"/>
                <w:kern w:val="0"/>
                <w:sz w:val="20"/>
                <w:szCs w:val="20"/>
                <w14:ligatures w14:val="none"/>
              </w:rPr>
              <w:t>*Calculated using 10-minute interval data from 2/16 noon to 2/17 noon, rounded to the nearest whole</w:t>
            </w:r>
            <w:r>
              <w:rPr>
                <w:rFonts w:ascii="Calibri" w:eastAsia="Calibri" w:hAnsi="Calibri" w:cs="Calibri"/>
                <w:color w:val="000000"/>
                <w:kern w:val="0"/>
                <w:sz w:val="20"/>
                <w:szCs w:val="20"/>
                <w14:ligatures w14:val="none"/>
              </w:rPr>
              <w:t xml:space="preserve"> </w:t>
            </w:r>
            <w:r w:rsidRPr="002B5AB0">
              <w:rPr>
                <w:rFonts w:ascii="Calibri" w:eastAsia="Calibri" w:hAnsi="Calibri" w:cs="Calibri"/>
                <w:color w:val="000000"/>
                <w:kern w:val="0"/>
                <w:sz w:val="20"/>
                <w:szCs w:val="20"/>
                <w14:ligatures w14:val="none"/>
              </w:rPr>
              <w:t>number.</w:t>
            </w:r>
          </w:p>
          <w:p w14:paraId="021B3ADF" w14:textId="20046064" w:rsidR="00421029" w:rsidRDefault="00421029">
            <w:pPr>
              <w:keepNext/>
              <w:spacing w:after="0" w:line="240" w:lineRule="auto"/>
              <w:rPr>
                <w:rFonts w:ascii="Times New Roman" w:eastAsia="Times New Roman" w:hAnsi="Times New Roman" w:cs="Times New Roman"/>
                <w:kern w:val="0"/>
                <w:sz w:val="20"/>
                <w:szCs w:val="20"/>
                <w14:ligatures w14:val="none"/>
              </w:rPr>
            </w:pPr>
            <w:r w:rsidRPr="002B5AB0">
              <w:rPr>
                <w:rFonts w:ascii="Calibri" w:eastAsia="Calibri" w:hAnsi="Calibri" w:cs="Calibri"/>
                <w:color w:val="000000"/>
                <w:kern w:val="0"/>
                <w:sz w:val="20"/>
                <w:szCs w:val="20"/>
                <w14:ligatures w14:val="none"/>
              </w:rPr>
              <w:t>*</w:t>
            </w:r>
            <w:r>
              <w:rPr>
                <w:rFonts w:ascii="Calibri" w:eastAsia="Calibri" w:hAnsi="Calibri" w:cs="Calibri"/>
                <w:color w:val="000000"/>
                <w:kern w:val="0"/>
                <w:sz w:val="20"/>
                <w:szCs w:val="20"/>
                <w14:ligatures w14:val="none"/>
              </w:rPr>
              <w:t>*</w:t>
            </w:r>
            <w:proofErr w:type="spellStart"/>
            <w:r w:rsidRPr="002B5AB0">
              <w:rPr>
                <w:rFonts w:ascii="Calibri" w:eastAsia="Calibri" w:hAnsi="Calibri" w:cs="Calibri"/>
                <w:color w:val="000000"/>
                <w:kern w:val="0"/>
                <w:sz w:val="20"/>
                <w:szCs w:val="20"/>
                <w14:ligatures w14:val="none"/>
              </w:rPr>
              <w:t>Glenrose</w:t>
            </w:r>
            <w:proofErr w:type="spellEnd"/>
            <w:r w:rsidRPr="002B5AB0">
              <w:rPr>
                <w:rFonts w:ascii="Calibri" w:eastAsia="Calibri" w:hAnsi="Calibri" w:cs="Calibri"/>
                <w:color w:val="000000"/>
                <w:kern w:val="0"/>
                <w:sz w:val="20"/>
                <w:szCs w:val="20"/>
                <w14:ligatures w14:val="none"/>
              </w:rPr>
              <w:t xml:space="preserve"> </w:t>
            </w:r>
            <w:proofErr w:type="spellStart"/>
            <w:r w:rsidRPr="002B5AB0">
              <w:rPr>
                <w:rFonts w:ascii="Calibri" w:eastAsia="Calibri" w:hAnsi="Calibri" w:cs="Calibri"/>
                <w:color w:val="000000"/>
                <w:kern w:val="0"/>
                <w:sz w:val="20"/>
                <w:szCs w:val="20"/>
                <w14:ligatures w14:val="none"/>
              </w:rPr>
              <w:t>PurpleAir</w:t>
            </w:r>
            <w:proofErr w:type="spellEnd"/>
            <w:r w:rsidRPr="002B5AB0">
              <w:rPr>
                <w:rFonts w:ascii="Calibri" w:eastAsia="Calibri" w:hAnsi="Calibri" w:cs="Calibri"/>
                <w:color w:val="000000"/>
                <w:kern w:val="0"/>
                <w:sz w:val="20"/>
                <w:szCs w:val="20"/>
                <w14:ligatures w14:val="none"/>
              </w:rPr>
              <w:t xml:space="preserve"> sensor data </w:t>
            </w:r>
            <w:r>
              <w:rPr>
                <w:rFonts w:ascii="Calibri" w:eastAsia="Calibri" w:hAnsi="Calibri" w:cs="Calibri"/>
                <w:color w:val="000000"/>
                <w:kern w:val="0"/>
                <w:sz w:val="20"/>
                <w:szCs w:val="20"/>
                <w14:ligatures w14:val="none"/>
              </w:rPr>
              <w:t>we</w:t>
            </w:r>
            <w:r w:rsidRPr="002B5AB0">
              <w:rPr>
                <w:rFonts w:ascii="Calibri" w:eastAsia="Calibri" w:hAnsi="Calibri" w:cs="Calibri"/>
                <w:color w:val="000000"/>
                <w:kern w:val="0"/>
                <w:sz w:val="20"/>
                <w:szCs w:val="20"/>
                <w14:ligatures w14:val="none"/>
              </w:rPr>
              <w:t xml:space="preserve">re not available during the time of the fire. </w:t>
            </w:r>
          </w:p>
        </w:tc>
      </w:tr>
    </w:tbl>
    <w:p w14:paraId="3FB4A5FE" w14:textId="77777777" w:rsidR="00C61512" w:rsidRDefault="00C61512" w:rsidP="7F9D58AB">
      <w:pPr>
        <w:keepNext/>
        <w:rPr>
          <w:b/>
          <w:bCs/>
        </w:rPr>
      </w:pPr>
    </w:p>
    <w:p w14:paraId="0685D525" w14:textId="77777777" w:rsidR="00C61512" w:rsidRDefault="00C61512">
      <w:pPr>
        <w:spacing w:line="259" w:lineRule="auto"/>
        <w:rPr>
          <w:b/>
          <w:bCs/>
        </w:rPr>
      </w:pPr>
      <w:r>
        <w:rPr>
          <w:b/>
          <w:bCs/>
        </w:rPr>
        <w:br w:type="page"/>
      </w:r>
    </w:p>
    <w:p w14:paraId="23168ABD" w14:textId="221FFC6A" w:rsidR="001E561C" w:rsidRDefault="5988D60F" w:rsidP="00BE50D8">
      <w:pPr>
        <w:keepNext/>
        <w:spacing w:after="0" w:line="240" w:lineRule="auto"/>
        <w:jc w:val="center"/>
        <w:rPr>
          <w:b/>
          <w:bCs/>
          <w:sz w:val="24"/>
          <w:szCs w:val="24"/>
        </w:rPr>
      </w:pPr>
      <w:r w:rsidRPr="431755CA">
        <w:rPr>
          <w:b/>
          <w:bCs/>
          <w:sz w:val="24"/>
          <w:szCs w:val="24"/>
        </w:rPr>
        <w:t>Figure 2:</w:t>
      </w:r>
      <w:r w:rsidR="00C511C6" w:rsidRPr="431755CA">
        <w:rPr>
          <w:b/>
          <w:bCs/>
          <w:sz w:val="24"/>
          <w:szCs w:val="24"/>
        </w:rPr>
        <w:t xml:space="preserve">  </w:t>
      </w:r>
      <w:r w:rsidR="26C97A92" w:rsidRPr="431755CA">
        <w:rPr>
          <w:b/>
          <w:bCs/>
          <w:sz w:val="24"/>
          <w:szCs w:val="24"/>
        </w:rPr>
        <w:t xml:space="preserve">Comparison of </w:t>
      </w:r>
      <w:r w:rsidRPr="431755CA">
        <w:rPr>
          <w:b/>
          <w:bCs/>
          <w:sz w:val="24"/>
          <w:szCs w:val="24"/>
        </w:rPr>
        <w:t>PM</w:t>
      </w:r>
      <w:r w:rsidRPr="431755CA">
        <w:rPr>
          <w:b/>
          <w:bCs/>
          <w:sz w:val="24"/>
          <w:szCs w:val="24"/>
          <w:vertAlign w:val="subscript"/>
        </w:rPr>
        <w:t xml:space="preserve">2.5 </w:t>
      </w:r>
      <w:r w:rsidR="00BA438A" w:rsidRPr="431755CA">
        <w:rPr>
          <w:b/>
          <w:bCs/>
          <w:sz w:val="24"/>
          <w:szCs w:val="24"/>
        </w:rPr>
        <w:t>D</w:t>
      </w:r>
      <w:r w:rsidRPr="431755CA">
        <w:rPr>
          <w:b/>
          <w:bCs/>
          <w:sz w:val="24"/>
          <w:szCs w:val="24"/>
        </w:rPr>
        <w:t>ata</w:t>
      </w:r>
      <w:r w:rsidR="79BECD1E" w:rsidRPr="431755CA">
        <w:rPr>
          <w:b/>
          <w:bCs/>
          <w:sz w:val="24"/>
          <w:szCs w:val="24"/>
        </w:rPr>
        <w:t xml:space="preserve"> </w:t>
      </w:r>
      <w:r w:rsidR="00BA438A" w:rsidRPr="431755CA">
        <w:rPr>
          <w:b/>
          <w:bCs/>
          <w:sz w:val="24"/>
          <w:szCs w:val="24"/>
        </w:rPr>
        <w:t>C</w:t>
      </w:r>
      <w:r w:rsidR="004770E8" w:rsidRPr="431755CA">
        <w:rPr>
          <w:b/>
          <w:bCs/>
          <w:sz w:val="24"/>
          <w:szCs w:val="24"/>
        </w:rPr>
        <w:t>ollect</w:t>
      </w:r>
      <w:r w:rsidR="00BA438A" w:rsidRPr="431755CA">
        <w:rPr>
          <w:b/>
          <w:bCs/>
          <w:sz w:val="24"/>
          <w:szCs w:val="24"/>
        </w:rPr>
        <w:t>ed During the Fire.</w:t>
      </w:r>
    </w:p>
    <w:p w14:paraId="76D10520" w14:textId="6755CFDC" w:rsidR="00E25DC9" w:rsidRDefault="00FF6B68" w:rsidP="00BE50D8">
      <w:pPr>
        <w:keepNext/>
        <w:spacing w:after="0" w:line="240" w:lineRule="auto"/>
        <w:jc w:val="center"/>
      </w:pPr>
      <w:r w:rsidRPr="00FF6B68">
        <w:rPr>
          <w:noProof/>
        </w:rPr>
        <w:drawing>
          <wp:inline distT="0" distB="0" distL="0" distR="0" wp14:anchorId="6DA02144" wp14:editId="2F506AE5">
            <wp:extent cx="5645017" cy="475533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150"/>
                    <a:stretch/>
                  </pic:blipFill>
                  <pic:spPr bwMode="auto">
                    <a:xfrm>
                      <a:off x="0" y="0"/>
                      <a:ext cx="5676000" cy="4781434"/>
                    </a:xfrm>
                    <a:prstGeom prst="rect">
                      <a:avLst/>
                    </a:prstGeom>
                    <a:noFill/>
                    <a:ln>
                      <a:noFill/>
                    </a:ln>
                    <a:extLst>
                      <a:ext uri="{53640926-AAD7-44D8-BBD7-CCE9431645EC}">
                        <a14:shadowObscured xmlns:a14="http://schemas.microsoft.com/office/drawing/2010/main"/>
                      </a:ext>
                    </a:extLst>
                  </pic:spPr>
                </pic:pic>
              </a:graphicData>
            </a:graphic>
          </wp:inline>
        </w:drawing>
      </w:r>
    </w:p>
    <w:p w14:paraId="629A880F" w14:textId="050B3C53" w:rsidR="3ABFC02F" w:rsidRPr="00BE50D8" w:rsidRDefault="00BE50D8" w:rsidP="3ABFC02F">
      <w:pPr>
        <w:keepNext/>
        <w:rPr>
          <w:i/>
          <w:iCs/>
          <w:sz w:val="18"/>
          <w:szCs w:val="18"/>
        </w:rPr>
      </w:pPr>
      <w:r w:rsidRPr="00BE50D8">
        <w:rPr>
          <w:i/>
          <w:iCs/>
          <w:sz w:val="18"/>
          <w:szCs w:val="18"/>
        </w:rPr>
        <w:t>Note: The data that are plotted are averaged over 1-hour intervals and are shown relative to the WHO Air Quality Guideline (AQG) that is protective of an average exposure over 24 hours (red dashed line).  The shaded region of the plot indicates the 4- hour period of the fire.</w:t>
      </w:r>
      <w:r w:rsidRPr="00BE50D8">
        <w:rPr>
          <w:b/>
          <w:bCs/>
          <w:i/>
          <w:iCs/>
          <w:sz w:val="18"/>
          <w:szCs w:val="18"/>
        </w:rPr>
        <w:t xml:space="preserve">     </w:t>
      </w:r>
    </w:p>
    <w:p w14:paraId="141F271E" w14:textId="02405A88" w:rsidR="009C7DFA" w:rsidRPr="00496006" w:rsidRDefault="750AB559" w:rsidP="00536668">
      <w:pPr>
        <w:spacing w:line="259" w:lineRule="auto"/>
        <w:jc w:val="both"/>
        <w:rPr>
          <w:sz w:val="24"/>
          <w:szCs w:val="24"/>
        </w:rPr>
      </w:pPr>
      <w:r w:rsidRPr="431755CA">
        <w:rPr>
          <w:sz w:val="24"/>
          <w:szCs w:val="24"/>
        </w:rPr>
        <w:t>As exposure to PM</w:t>
      </w:r>
      <w:r w:rsidRPr="431755CA">
        <w:rPr>
          <w:sz w:val="24"/>
          <w:szCs w:val="24"/>
          <w:vertAlign w:val="subscript"/>
        </w:rPr>
        <w:t xml:space="preserve">2.5 </w:t>
      </w:r>
      <w:r w:rsidRPr="431755CA">
        <w:rPr>
          <w:sz w:val="24"/>
          <w:szCs w:val="24"/>
        </w:rPr>
        <w:t xml:space="preserve">levels increase above the AQG, the potential to </w:t>
      </w:r>
      <w:r w:rsidR="4A1C8799" w:rsidRPr="431755CA">
        <w:rPr>
          <w:sz w:val="24"/>
          <w:szCs w:val="24"/>
        </w:rPr>
        <w:t xml:space="preserve">cause </w:t>
      </w:r>
      <w:r w:rsidRPr="431755CA">
        <w:rPr>
          <w:sz w:val="24"/>
          <w:szCs w:val="24"/>
        </w:rPr>
        <w:t xml:space="preserve">acute health </w:t>
      </w:r>
      <w:r w:rsidR="4A1C8799" w:rsidRPr="431755CA">
        <w:rPr>
          <w:sz w:val="24"/>
          <w:szCs w:val="24"/>
        </w:rPr>
        <w:t xml:space="preserve">effects </w:t>
      </w:r>
      <w:r w:rsidRPr="431755CA">
        <w:rPr>
          <w:sz w:val="24"/>
          <w:szCs w:val="24"/>
        </w:rPr>
        <w:t xml:space="preserve">in sensitive individuals also increases, even for exposures of less than 24 hours (ATSDR, 2022a). Sensitive individuals, such as individuals with </w:t>
      </w:r>
      <w:r w:rsidR="5C56D35E" w:rsidRPr="431755CA">
        <w:rPr>
          <w:sz w:val="24"/>
          <w:szCs w:val="24"/>
        </w:rPr>
        <w:t xml:space="preserve">cardiovascular </w:t>
      </w:r>
      <w:r w:rsidRPr="431755CA">
        <w:rPr>
          <w:sz w:val="24"/>
          <w:szCs w:val="24"/>
        </w:rPr>
        <w:t xml:space="preserve">or respiratory illnesses, older adults, children, and people of lower socioeconomic status, may have had a slightly increased risk of exacerbation of respiratory and </w:t>
      </w:r>
      <w:r w:rsidR="5C56D35E" w:rsidRPr="431755CA">
        <w:rPr>
          <w:sz w:val="24"/>
          <w:szCs w:val="24"/>
        </w:rPr>
        <w:t>cardiovascular</w:t>
      </w:r>
      <w:r w:rsidRPr="431755CA">
        <w:rPr>
          <w:sz w:val="24"/>
          <w:szCs w:val="24"/>
        </w:rPr>
        <w:t xml:space="preserve"> illnesses and/or increased risk of respiratory symptoms from short-term exposure to PM</w:t>
      </w:r>
      <w:r w:rsidRPr="431755CA">
        <w:rPr>
          <w:sz w:val="24"/>
          <w:szCs w:val="24"/>
          <w:vertAlign w:val="subscript"/>
        </w:rPr>
        <w:t xml:space="preserve">2.5 </w:t>
      </w:r>
      <w:r w:rsidRPr="431755CA">
        <w:rPr>
          <w:sz w:val="24"/>
          <w:szCs w:val="24"/>
        </w:rPr>
        <w:t xml:space="preserve">between 11 PM on 2/16 to 12 PM on 2/17. </w:t>
      </w:r>
      <w:r w:rsidR="0891671C" w:rsidRPr="431755CA">
        <w:rPr>
          <w:sz w:val="24"/>
          <w:szCs w:val="24"/>
        </w:rPr>
        <w:t>MDPH/B</w:t>
      </w:r>
      <w:r w:rsidR="0A27AB12" w:rsidRPr="431755CA">
        <w:rPr>
          <w:sz w:val="24"/>
          <w:szCs w:val="24"/>
        </w:rPr>
        <w:t>C</w:t>
      </w:r>
      <w:r w:rsidR="0891671C" w:rsidRPr="431755CA">
        <w:rPr>
          <w:sz w:val="24"/>
          <w:szCs w:val="24"/>
        </w:rPr>
        <w:t xml:space="preserve">EH expects that </w:t>
      </w:r>
      <w:r w:rsidR="25985503" w:rsidRPr="431755CA">
        <w:rPr>
          <w:sz w:val="24"/>
          <w:szCs w:val="24"/>
        </w:rPr>
        <w:t>t</w:t>
      </w:r>
      <w:r w:rsidRPr="431755CA">
        <w:rPr>
          <w:sz w:val="24"/>
          <w:szCs w:val="24"/>
        </w:rPr>
        <w:t>hese exacerbations would be t</w:t>
      </w:r>
      <w:r w:rsidR="5A99A848" w:rsidRPr="431755CA">
        <w:rPr>
          <w:sz w:val="24"/>
          <w:szCs w:val="24"/>
        </w:rPr>
        <w:t xml:space="preserve">ransient </w:t>
      </w:r>
      <w:r w:rsidRPr="431755CA">
        <w:rPr>
          <w:sz w:val="24"/>
          <w:szCs w:val="24"/>
        </w:rPr>
        <w:t>(i.e.</w:t>
      </w:r>
      <w:r w:rsidR="38558BAA" w:rsidRPr="431755CA">
        <w:rPr>
          <w:sz w:val="24"/>
          <w:szCs w:val="24"/>
        </w:rPr>
        <w:t>,</w:t>
      </w:r>
      <w:r w:rsidRPr="431755CA">
        <w:rPr>
          <w:sz w:val="24"/>
          <w:szCs w:val="24"/>
        </w:rPr>
        <w:t xml:space="preserve"> during the time of elevated exposure), </w:t>
      </w:r>
      <w:r w:rsidR="2A841273" w:rsidRPr="431755CA">
        <w:rPr>
          <w:sz w:val="24"/>
          <w:szCs w:val="24"/>
        </w:rPr>
        <w:t>and would resolve</w:t>
      </w:r>
      <w:r w:rsidRPr="431755CA">
        <w:rPr>
          <w:sz w:val="24"/>
          <w:szCs w:val="24"/>
        </w:rPr>
        <w:t xml:space="preserve"> once pollutant levels were no longer elevated. </w:t>
      </w:r>
      <w:r w:rsidR="502C97D1" w:rsidRPr="431755CA">
        <w:rPr>
          <w:sz w:val="24"/>
          <w:szCs w:val="24"/>
        </w:rPr>
        <w:t xml:space="preserve">Based on our understanding of the scientific literature for </w:t>
      </w:r>
      <w:r w:rsidR="10478AA7" w:rsidRPr="431755CA">
        <w:rPr>
          <w:sz w:val="24"/>
          <w:szCs w:val="24"/>
        </w:rPr>
        <w:t>particulate matt</w:t>
      </w:r>
      <w:r w:rsidR="47AF29C5" w:rsidRPr="431755CA">
        <w:rPr>
          <w:sz w:val="24"/>
          <w:szCs w:val="24"/>
        </w:rPr>
        <w:t>er</w:t>
      </w:r>
      <w:r w:rsidR="502C97D1" w:rsidRPr="431755CA">
        <w:rPr>
          <w:sz w:val="24"/>
          <w:szCs w:val="24"/>
        </w:rPr>
        <w:t xml:space="preserve">, </w:t>
      </w:r>
      <w:r w:rsidR="2C47F129" w:rsidRPr="431755CA">
        <w:rPr>
          <w:sz w:val="24"/>
          <w:szCs w:val="24"/>
        </w:rPr>
        <w:t xml:space="preserve">this </w:t>
      </w:r>
      <w:r w:rsidR="06E04959" w:rsidRPr="431755CA">
        <w:rPr>
          <w:sz w:val="24"/>
          <w:szCs w:val="24"/>
        </w:rPr>
        <w:t xml:space="preserve">type of brief </w:t>
      </w:r>
      <w:r w:rsidR="4C8024D0" w:rsidRPr="431755CA">
        <w:rPr>
          <w:sz w:val="24"/>
          <w:szCs w:val="24"/>
        </w:rPr>
        <w:t>(</w:t>
      </w:r>
      <w:r w:rsidRPr="431755CA">
        <w:rPr>
          <w:sz w:val="24"/>
          <w:szCs w:val="24"/>
        </w:rPr>
        <w:t>acute</w:t>
      </w:r>
      <w:r w:rsidR="0FC5331F" w:rsidRPr="431755CA">
        <w:rPr>
          <w:sz w:val="24"/>
          <w:szCs w:val="24"/>
        </w:rPr>
        <w:t>)</w:t>
      </w:r>
      <w:r w:rsidRPr="431755CA">
        <w:rPr>
          <w:sz w:val="24"/>
          <w:szCs w:val="24"/>
        </w:rPr>
        <w:t xml:space="preserve"> exposure </w:t>
      </w:r>
      <w:r w:rsidR="49377523" w:rsidRPr="431755CA">
        <w:rPr>
          <w:sz w:val="24"/>
          <w:szCs w:val="24"/>
        </w:rPr>
        <w:t xml:space="preserve">is not expected to </w:t>
      </w:r>
      <w:r w:rsidR="00024F53" w:rsidRPr="431755CA">
        <w:rPr>
          <w:sz w:val="24"/>
          <w:szCs w:val="24"/>
        </w:rPr>
        <w:t xml:space="preserve">cause </w:t>
      </w:r>
      <w:r w:rsidR="000528C3" w:rsidRPr="431755CA">
        <w:rPr>
          <w:sz w:val="24"/>
          <w:szCs w:val="24"/>
        </w:rPr>
        <w:t>long</w:t>
      </w:r>
      <w:r w:rsidR="000525DF" w:rsidRPr="431755CA">
        <w:rPr>
          <w:sz w:val="24"/>
          <w:szCs w:val="24"/>
        </w:rPr>
        <w:t>-</w:t>
      </w:r>
      <w:r w:rsidR="000528C3" w:rsidRPr="431755CA">
        <w:rPr>
          <w:sz w:val="24"/>
          <w:szCs w:val="24"/>
        </w:rPr>
        <w:t>term health effects</w:t>
      </w:r>
      <w:r w:rsidR="0068013B" w:rsidRPr="431755CA">
        <w:rPr>
          <w:sz w:val="24"/>
          <w:szCs w:val="24"/>
        </w:rPr>
        <w:t>, including for sensitive subgroups.</w:t>
      </w:r>
      <w:r w:rsidR="288298B9" w:rsidRPr="431755CA">
        <w:rPr>
          <w:sz w:val="24"/>
          <w:szCs w:val="24"/>
        </w:rPr>
        <w:t xml:space="preserve"> </w:t>
      </w:r>
      <w:r w:rsidRPr="431755CA">
        <w:rPr>
          <w:sz w:val="24"/>
          <w:szCs w:val="24"/>
        </w:rPr>
        <w:t xml:space="preserve">Individuals who were indoors during the fire, with their windows closed, </w:t>
      </w:r>
      <w:r w:rsidR="2614792F" w:rsidRPr="431755CA">
        <w:rPr>
          <w:sz w:val="24"/>
          <w:szCs w:val="24"/>
        </w:rPr>
        <w:t xml:space="preserve">likely </w:t>
      </w:r>
      <w:r w:rsidRPr="431755CA">
        <w:rPr>
          <w:sz w:val="24"/>
          <w:szCs w:val="24"/>
        </w:rPr>
        <w:t xml:space="preserve">would </w:t>
      </w:r>
      <w:r w:rsidR="6678EE85" w:rsidRPr="431755CA">
        <w:rPr>
          <w:sz w:val="24"/>
          <w:szCs w:val="24"/>
        </w:rPr>
        <w:t xml:space="preserve">have </w:t>
      </w:r>
      <w:r w:rsidRPr="431755CA">
        <w:rPr>
          <w:sz w:val="24"/>
          <w:szCs w:val="24"/>
        </w:rPr>
        <w:t xml:space="preserve">been exposed to </w:t>
      </w:r>
      <w:r w:rsidR="7706C506" w:rsidRPr="431755CA">
        <w:rPr>
          <w:sz w:val="24"/>
          <w:szCs w:val="24"/>
        </w:rPr>
        <w:t>lower</w:t>
      </w:r>
      <w:r w:rsidRPr="431755CA">
        <w:rPr>
          <w:sz w:val="24"/>
          <w:szCs w:val="24"/>
        </w:rPr>
        <w:t xml:space="preserve"> PM</w:t>
      </w:r>
      <w:r w:rsidRPr="431755CA">
        <w:rPr>
          <w:sz w:val="24"/>
          <w:szCs w:val="24"/>
          <w:vertAlign w:val="subscript"/>
        </w:rPr>
        <w:t xml:space="preserve">2.5 </w:t>
      </w:r>
      <w:r w:rsidRPr="431755CA">
        <w:rPr>
          <w:sz w:val="24"/>
          <w:szCs w:val="24"/>
        </w:rPr>
        <w:t>concentrations</w:t>
      </w:r>
      <w:r w:rsidR="6863034A" w:rsidRPr="431755CA">
        <w:rPr>
          <w:sz w:val="24"/>
          <w:szCs w:val="24"/>
        </w:rPr>
        <w:t xml:space="preserve"> </w:t>
      </w:r>
      <w:r w:rsidR="1BB327BD" w:rsidRPr="431755CA">
        <w:rPr>
          <w:sz w:val="24"/>
          <w:szCs w:val="24"/>
        </w:rPr>
        <w:t xml:space="preserve">than those </w:t>
      </w:r>
      <w:r w:rsidR="6863034A" w:rsidRPr="431755CA">
        <w:rPr>
          <w:sz w:val="24"/>
          <w:szCs w:val="24"/>
        </w:rPr>
        <w:t>measured at the sensor locations</w:t>
      </w:r>
      <w:r w:rsidRPr="431755CA">
        <w:rPr>
          <w:sz w:val="24"/>
          <w:szCs w:val="24"/>
        </w:rPr>
        <w:t>, which would have reduced their likelihood of experiencing short-term health effects associated with</w:t>
      </w:r>
      <w:r w:rsidR="4CF88063" w:rsidRPr="431755CA">
        <w:rPr>
          <w:sz w:val="24"/>
          <w:szCs w:val="24"/>
        </w:rPr>
        <w:t xml:space="preserve"> the fire</w:t>
      </w:r>
      <w:r w:rsidR="46F800B1" w:rsidRPr="431755CA">
        <w:rPr>
          <w:sz w:val="24"/>
          <w:szCs w:val="24"/>
        </w:rPr>
        <w:t>.</w:t>
      </w:r>
      <w:r w:rsidRPr="431755CA">
        <w:rPr>
          <w:sz w:val="24"/>
          <w:szCs w:val="24"/>
        </w:rPr>
        <w:t xml:space="preserve"> </w:t>
      </w:r>
      <w:r w:rsidR="56982714" w:rsidRPr="431755CA">
        <w:rPr>
          <w:sz w:val="24"/>
          <w:szCs w:val="24"/>
        </w:rPr>
        <w:t>People</w:t>
      </w:r>
      <w:r w:rsidRPr="431755CA">
        <w:rPr>
          <w:sz w:val="24"/>
          <w:szCs w:val="24"/>
        </w:rPr>
        <w:t xml:space="preserve"> without </w:t>
      </w:r>
      <w:r w:rsidR="0AD1F468" w:rsidRPr="431755CA">
        <w:rPr>
          <w:sz w:val="24"/>
          <w:szCs w:val="24"/>
        </w:rPr>
        <w:t xml:space="preserve">any </w:t>
      </w:r>
      <w:r w:rsidRPr="431755CA">
        <w:rPr>
          <w:sz w:val="24"/>
          <w:szCs w:val="24"/>
        </w:rPr>
        <w:t xml:space="preserve">underlying sensitivities to PM </w:t>
      </w:r>
      <w:r w:rsidR="212BA240" w:rsidRPr="431755CA">
        <w:rPr>
          <w:sz w:val="24"/>
          <w:szCs w:val="24"/>
        </w:rPr>
        <w:t>are</w:t>
      </w:r>
      <w:r w:rsidR="4331852A" w:rsidRPr="431755CA">
        <w:rPr>
          <w:sz w:val="24"/>
          <w:szCs w:val="24"/>
        </w:rPr>
        <w:t xml:space="preserve"> not </w:t>
      </w:r>
      <w:r w:rsidR="590780C2" w:rsidRPr="431755CA">
        <w:rPr>
          <w:sz w:val="24"/>
          <w:szCs w:val="24"/>
        </w:rPr>
        <w:t>likely to have</w:t>
      </w:r>
      <w:r w:rsidRPr="431755CA">
        <w:rPr>
          <w:sz w:val="24"/>
          <w:szCs w:val="24"/>
        </w:rPr>
        <w:t xml:space="preserve"> </w:t>
      </w:r>
      <w:r w:rsidR="6DF76F02" w:rsidRPr="431755CA">
        <w:rPr>
          <w:sz w:val="24"/>
          <w:szCs w:val="24"/>
        </w:rPr>
        <w:t>been exposed to harm</w:t>
      </w:r>
      <w:r w:rsidR="40739794" w:rsidRPr="431755CA">
        <w:rPr>
          <w:sz w:val="24"/>
          <w:szCs w:val="24"/>
        </w:rPr>
        <w:t>f</w:t>
      </w:r>
      <w:r w:rsidR="6DF76F02" w:rsidRPr="431755CA">
        <w:rPr>
          <w:sz w:val="24"/>
          <w:szCs w:val="24"/>
        </w:rPr>
        <w:t>ul levels of</w:t>
      </w:r>
      <w:r w:rsidRPr="431755CA">
        <w:rPr>
          <w:sz w:val="24"/>
          <w:szCs w:val="24"/>
        </w:rPr>
        <w:t xml:space="preserve"> PM released from the fire. </w:t>
      </w:r>
    </w:p>
    <w:p w14:paraId="667C55B6" w14:textId="2D058F7F" w:rsidR="009C7DFA" w:rsidRDefault="00E9734B" w:rsidP="00536668">
      <w:pPr>
        <w:pStyle w:val="Heading2"/>
        <w:spacing w:after="0" w:line="240" w:lineRule="auto"/>
        <w:jc w:val="both"/>
      </w:pPr>
      <w:r>
        <w:t>4.2</w:t>
      </w:r>
      <w:r>
        <w:tab/>
      </w:r>
      <w:r w:rsidR="009C7DFA">
        <w:t>VOC Data</w:t>
      </w:r>
    </w:p>
    <w:p w14:paraId="4AF12393" w14:textId="5A53B65B" w:rsidR="009C7DFA" w:rsidRDefault="009C7DFA" w:rsidP="00536668">
      <w:pPr>
        <w:keepNext/>
        <w:spacing w:after="0" w:line="240" w:lineRule="auto"/>
        <w:jc w:val="both"/>
        <w:rPr>
          <w:sz w:val="24"/>
          <w:szCs w:val="24"/>
        </w:rPr>
      </w:pPr>
      <w:r w:rsidRPr="00496006">
        <w:rPr>
          <w:sz w:val="24"/>
          <w:szCs w:val="24"/>
        </w:rPr>
        <w:t xml:space="preserve">VOCs can be released into the air and remain airborne in events such as fires. VOCs occur naturally from vegetation and forest fires and from </w:t>
      </w:r>
      <w:r w:rsidR="000D1FD3" w:rsidRPr="00496006">
        <w:rPr>
          <w:sz w:val="24"/>
          <w:szCs w:val="24"/>
        </w:rPr>
        <w:t xml:space="preserve">human </w:t>
      </w:r>
      <w:r w:rsidRPr="00496006">
        <w:rPr>
          <w:sz w:val="24"/>
          <w:szCs w:val="24"/>
        </w:rPr>
        <w:t>sources such as fossil fuel combustion, manufacturing, and commercial and household products (US EPA, 2018c). Some VOCs have been linked to various health effects (US EPA, 2019a).</w:t>
      </w:r>
    </w:p>
    <w:p w14:paraId="46744A3B" w14:textId="77777777" w:rsidR="00B915D3" w:rsidRPr="00496006" w:rsidRDefault="00B915D3" w:rsidP="00536668">
      <w:pPr>
        <w:keepNext/>
        <w:spacing w:after="0" w:line="240" w:lineRule="auto"/>
        <w:jc w:val="both"/>
        <w:rPr>
          <w:sz w:val="24"/>
          <w:szCs w:val="24"/>
        </w:rPr>
      </w:pPr>
    </w:p>
    <w:p w14:paraId="6CA25AB7" w14:textId="661ED004" w:rsidR="00462FED" w:rsidRDefault="57F17F22" w:rsidP="00536668">
      <w:pPr>
        <w:keepNext/>
        <w:spacing w:after="0" w:line="240" w:lineRule="auto"/>
        <w:jc w:val="both"/>
        <w:rPr>
          <w:sz w:val="24"/>
          <w:szCs w:val="24"/>
        </w:rPr>
      </w:pPr>
      <w:r w:rsidRPr="00496006">
        <w:rPr>
          <w:sz w:val="24"/>
          <w:szCs w:val="24"/>
        </w:rPr>
        <w:t xml:space="preserve">To assess VOC exposure from the fire, </w:t>
      </w:r>
      <w:r w:rsidR="284080BA" w:rsidRPr="00496006">
        <w:rPr>
          <w:sz w:val="24"/>
          <w:szCs w:val="24"/>
        </w:rPr>
        <w:t>MDPH/B</w:t>
      </w:r>
      <w:r w:rsidR="28AD3064" w:rsidRPr="00496006">
        <w:rPr>
          <w:sz w:val="24"/>
          <w:szCs w:val="24"/>
        </w:rPr>
        <w:t>C</w:t>
      </w:r>
      <w:r w:rsidR="284080BA" w:rsidRPr="00496006">
        <w:rPr>
          <w:sz w:val="24"/>
          <w:szCs w:val="24"/>
        </w:rPr>
        <w:t xml:space="preserve">EH compared </w:t>
      </w:r>
      <w:r w:rsidRPr="00496006">
        <w:rPr>
          <w:sz w:val="24"/>
          <w:szCs w:val="24"/>
        </w:rPr>
        <w:t xml:space="preserve">VOC air sampling data </w:t>
      </w:r>
      <w:r w:rsidR="70F545FB" w:rsidRPr="00496006">
        <w:rPr>
          <w:sz w:val="24"/>
          <w:szCs w:val="24"/>
        </w:rPr>
        <w:t xml:space="preserve">collected </w:t>
      </w:r>
      <w:r w:rsidR="284080BA" w:rsidRPr="00496006">
        <w:rPr>
          <w:sz w:val="24"/>
          <w:szCs w:val="24"/>
        </w:rPr>
        <w:t xml:space="preserve">at the Weymouth air monitoring station </w:t>
      </w:r>
      <w:r w:rsidR="70F545FB" w:rsidRPr="00496006">
        <w:rPr>
          <w:sz w:val="24"/>
          <w:szCs w:val="24"/>
        </w:rPr>
        <w:t xml:space="preserve">on 2/17/23 </w:t>
      </w:r>
      <w:r w:rsidRPr="00496006">
        <w:rPr>
          <w:sz w:val="24"/>
          <w:szCs w:val="24"/>
        </w:rPr>
        <w:t xml:space="preserve">to acute Environmental Media Evaluation Guide/Minimal Risk Level (EMEG/MRL) </w:t>
      </w:r>
      <w:r w:rsidR="2B4C6A23" w:rsidRPr="00496006">
        <w:rPr>
          <w:sz w:val="24"/>
          <w:szCs w:val="24"/>
        </w:rPr>
        <w:t xml:space="preserve">established </w:t>
      </w:r>
      <w:r w:rsidRPr="00496006">
        <w:rPr>
          <w:sz w:val="24"/>
          <w:szCs w:val="24"/>
        </w:rPr>
        <w:t xml:space="preserve">by ATSDR. </w:t>
      </w:r>
      <w:r w:rsidRPr="00496006">
        <w:rPr>
          <w:kern w:val="0"/>
          <w:sz w:val="24"/>
          <w:szCs w:val="24"/>
          <w14:ligatures w14:val="none"/>
        </w:rPr>
        <w:t xml:space="preserve">Because acute SVs were not available for all VOCs analyzed, VOC concentrations were compared to chronic SVs in the absence of acute SVs. For chronic exposure, ATSDR Cancer Risk Evaluation Guides (CREG), Chronic EMEG/MRLs, </w:t>
      </w:r>
      <w:r w:rsidRPr="00496006">
        <w:rPr>
          <w:sz w:val="24"/>
          <w:szCs w:val="24"/>
        </w:rPr>
        <w:t>or Reference Dose Media Evaluation Guide/Reference Concentrations (RMEG/</w:t>
      </w:r>
      <w:proofErr w:type="spellStart"/>
      <w:r w:rsidRPr="00496006">
        <w:rPr>
          <w:sz w:val="24"/>
          <w:szCs w:val="24"/>
        </w:rPr>
        <w:t>RfC</w:t>
      </w:r>
      <w:proofErr w:type="spellEnd"/>
      <w:r w:rsidRPr="00496006">
        <w:rPr>
          <w:sz w:val="24"/>
          <w:szCs w:val="24"/>
        </w:rPr>
        <w:t xml:space="preserve">) were used for comparison. In the absence of ATSDR </w:t>
      </w:r>
      <w:r w:rsidR="57531FFD" w:rsidRPr="00496006">
        <w:rPr>
          <w:sz w:val="24"/>
          <w:szCs w:val="24"/>
        </w:rPr>
        <w:t>SVs</w:t>
      </w:r>
      <w:r w:rsidRPr="00496006">
        <w:rPr>
          <w:sz w:val="24"/>
          <w:szCs w:val="24"/>
        </w:rPr>
        <w:t xml:space="preserve">, </w:t>
      </w:r>
      <w:r w:rsidR="074BA95E" w:rsidRPr="00496006">
        <w:rPr>
          <w:sz w:val="24"/>
          <w:szCs w:val="24"/>
        </w:rPr>
        <w:t>MDPH/B</w:t>
      </w:r>
      <w:r w:rsidR="64382221" w:rsidRPr="00496006">
        <w:rPr>
          <w:sz w:val="24"/>
          <w:szCs w:val="24"/>
        </w:rPr>
        <w:t>C</w:t>
      </w:r>
      <w:r w:rsidR="074BA95E" w:rsidRPr="00496006">
        <w:rPr>
          <w:sz w:val="24"/>
          <w:szCs w:val="24"/>
        </w:rPr>
        <w:t xml:space="preserve">EH compared </w:t>
      </w:r>
      <w:r w:rsidR="44D61E39" w:rsidRPr="00496006">
        <w:rPr>
          <w:sz w:val="24"/>
          <w:szCs w:val="24"/>
        </w:rPr>
        <w:t>VOC concentrations to</w:t>
      </w:r>
      <w:r w:rsidRPr="00496006">
        <w:rPr>
          <w:sz w:val="24"/>
          <w:szCs w:val="24"/>
        </w:rPr>
        <w:t xml:space="preserve"> EPA Regional Screening Levels (RSLs)</w:t>
      </w:r>
      <w:r w:rsidR="73CAF363" w:rsidRPr="00496006">
        <w:rPr>
          <w:sz w:val="24"/>
          <w:szCs w:val="24"/>
        </w:rPr>
        <w:t xml:space="preserve">, </w:t>
      </w:r>
      <w:r w:rsidR="735FBDF0" w:rsidRPr="00496006">
        <w:rPr>
          <w:sz w:val="24"/>
          <w:szCs w:val="24"/>
        </w:rPr>
        <w:t>if available, or to MassDEP Reference Concentrations (</w:t>
      </w:r>
      <w:proofErr w:type="spellStart"/>
      <w:r w:rsidR="735FBDF0" w:rsidRPr="00496006">
        <w:rPr>
          <w:sz w:val="24"/>
          <w:szCs w:val="24"/>
        </w:rPr>
        <w:t>RfCs</w:t>
      </w:r>
      <w:proofErr w:type="spellEnd"/>
      <w:r w:rsidR="735FBDF0" w:rsidRPr="00496006">
        <w:rPr>
          <w:sz w:val="24"/>
          <w:szCs w:val="24"/>
        </w:rPr>
        <w:t>).</w:t>
      </w:r>
      <w:r w:rsidR="006530AF" w:rsidRPr="00496006">
        <w:rPr>
          <w:sz w:val="24"/>
          <w:szCs w:val="24"/>
        </w:rPr>
        <w:t xml:space="preserve"> Use of chronic SVs to evaluate acute exposures provides</w:t>
      </w:r>
      <w:r w:rsidR="001F33BB" w:rsidRPr="00496006">
        <w:rPr>
          <w:sz w:val="24"/>
          <w:szCs w:val="24"/>
        </w:rPr>
        <w:t xml:space="preserve"> an extra level of assurance that exposures</w:t>
      </w:r>
      <w:r w:rsidR="009B1C6F" w:rsidRPr="00496006">
        <w:rPr>
          <w:sz w:val="24"/>
          <w:szCs w:val="24"/>
        </w:rPr>
        <w:t xml:space="preserve"> below the SV would not result in harm.</w:t>
      </w:r>
    </w:p>
    <w:p w14:paraId="0D9EA58D" w14:textId="77777777" w:rsidR="00B915D3" w:rsidRDefault="00B915D3" w:rsidP="00536668">
      <w:pPr>
        <w:keepNext/>
        <w:spacing w:after="0" w:line="240" w:lineRule="auto"/>
        <w:jc w:val="both"/>
        <w:rPr>
          <w:sz w:val="24"/>
          <w:szCs w:val="24"/>
        </w:rPr>
      </w:pPr>
    </w:p>
    <w:p w14:paraId="47435DE7" w14:textId="1D4EAC41" w:rsidR="00EA3C4C" w:rsidRPr="00496006" w:rsidDel="00B44325" w:rsidRDefault="1909DF4B" w:rsidP="00536668">
      <w:pPr>
        <w:spacing w:after="0" w:line="240" w:lineRule="auto"/>
        <w:jc w:val="both"/>
        <w:rPr>
          <w:sz w:val="24"/>
          <w:szCs w:val="24"/>
        </w:rPr>
      </w:pPr>
      <w:r w:rsidRPr="23A4FC9A">
        <w:rPr>
          <w:sz w:val="24"/>
          <w:szCs w:val="24"/>
        </w:rPr>
        <w:t>Table 3 presents the results of VOC air sampling data, the respective SV, whether the SV was exceeded</w:t>
      </w:r>
      <w:r w:rsidR="3452C9E3" w:rsidRPr="23A4FC9A">
        <w:rPr>
          <w:sz w:val="24"/>
          <w:szCs w:val="24"/>
        </w:rPr>
        <w:t xml:space="preserve">.  Also shown in Table 3 is the </w:t>
      </w:r>
      <w:r w:rsidR="37726C4B" w:rsidRPr="23A4FC9A">
        <w:rPr>
          <w:sz w:val="24"/>
          <w:szCs w:val="24"/>
        </w:rPr>
        <w:t>M</w:t>
      </w:r>
      <w:r w:rsidRPr="23A4FC9A">
        <w:rPr>
          <w:sz w:val="24"/>
          <w:szCs w:val="24"/>
        </w:rPr>
        <w:t xml:space="preserve">argin of </w:t>
      </w:r>
      <w:r w:rsidR="196568AD" w:rsidRPr="23A4FC9A">
        <w:rPr>
          <w:sz w:val="24"/>
          <w:szCs w:val="24"/>
        </w:rPr>
        <w:t>E</w:t>
      </w:r>
      <w:r w:rsidRPr="23A4FC9A">
        <w:rPr>
          <w:sz w:val="24"/>
          <w:szCs w:val="24"/>
        </w:rPr>
        <w:t>xposure (MOE)</w:t>
      </w:r>
      <w:r w:rsidR="0FA3E922" w:rsidRPr="23A4FC9A">
        <w:rPr>
          <w:sz w:val="24"/>
          <w:szCs w:val="24"/>
        </w:rPr>
        <w:t>. The</w:t>
      </w:r>
      <w:r w:rsidR="70502272" w:rsidRPr="23A4FC9A">
        <w:rPr>
          <w:sz w:val="24"/>
          <w:szCs w:val="24"/>
        </w:rPr>
        <w:t xml:space="preserve"> MOE is a </w:t>
      </w:r>
      <w:r w:rsidR="30649832" w:rsidRPr="23A4FC9A">
        <w:rPr>
          <w:sz w:val="24"/>
          <w:szCs w:val="24"/>
        </w:rPr>
        <w:t xml:space="preserve">quantitative comparison of the SV relative to the </w:t>
      </w:r>
      <w:r w:rsidR="7674CE88" w:rsidRPr="23A4FC9A">
        <w:rPr>
          <w:sz w:val="24"/>
          <w:szCs w:val="24"/>
        </w:rPr>
        <w:t>VOC concentration</w:t>
      </w:r>
      <w:r w:rsidR="4F7863BD" w:rsidRPr="23A4FC9A">
        <w:rPr>
          <w:sz w:val="24"/>
          <w:szCs w:val="24"/>
        </w:rPr>
        <w:t xml:space="preserve"> that is</w:t>
      </w:r>
      <w:r w:rsidR="04BAF1AA" w:rsidRPr="23A4FC9A">
        <w:rPr>
          <w:sz w:val="24"/>
          <w:szCs w:val="24"/>
        </w:rPr>
        <w:t xml:space="preserve"> the </w:t>
      </w:r>
      <w:r w:rsidRPr="23A4FC9A">
        <w:rPr>
          <w:sz w:val="24"/>
          <w:szCs w:val="24"/>
        </w:rPr>
        <w:t xml:space="preserve">ratio of the SV to the </w:t>
      </w:r>
      <w:r w:rsidR="656773E3" w:rsidRPr="23A4FC9A">
        <w:rPr>
          <w:sz w:val="24"/>
          <w:szCs w:val="24"/>
        </w:rPr>
        <w:t>VOC</w:t>
      </w:r>
      <w:r w:rsidRPr="23A4FC9A">
        <w:rPr>
          <w:sz w:val="24"/>
          <w:szCs w:val="24"/>
        </w:rPr>
        <w:t xml:space="preserve"> concentration. The greater the </w:t>
      </w:r>
      <w:r w:rsidR="20A4F05E" w:rsidRPr="23A4FC9A">
        <w:rPr>
          <w:sz w:val="24"/>
          <w:szCs w:val="24"/>
        </w:rPr>
        <w:t xml:space="preserve">ratio (or </w:t>
      </w:r>
      <w:r w:rsidRPr="23A4FC9A">
        <w:rPr>
          <w:sz w:val="24"/>
          <w:szCs w:val="24"/>
        </w:rPr>
        <w:t>margin</w:t>
      </w:r>
      <w:r w:rsidR="27AEE193" w:rsidRPr="23A4FC9A">
        <w:rPr>
          <w:sz w:val="24"/>
          <w:szCs w:val="24"/>
        </w:rPr>
        <w:t>)</w:t>
      </w:r>
      <w:r w:rsidRPr="23A4FC9A">
        <w:rPr>
          <w:sz w:val="24"/>
          <w:szCs w:val="24"/>
        </w:rPr>
        <w:t xml:space="preserve">, the less likely there is </w:t>
      </w:r>
      <w:r w:rsidR="656773E3" w:rsidRPr="23A4FC9A">
        <w:rPr>
          <w:sz w:val="24"/>
          <w:szCs w:val="24"/>
        </w:rPr>
        <w:t xml:space="preserve">for </w:t>
      </w:r>
      <w:r w:rsidRPr="23A4FC9A">
        <w:rPr>
          <w:sz w:val="24"/>
          <w:szCs w:val="24"/>
        </w:rPr>
        <w:t>potential human health effect</w:t>
      </w:r>
      <w:r w:rsidR="656773E3" w:rsidRPr="23A4FC9A">
        <w:rPr>
          <w:sz w:val="24"/>
          <w:szCs w:val="24"/>
        </w:rPr>
        <w:t>s</w:t>
      </w:r>
      <w:r w:rsidRPr="23A4FC9A">
        <w:rPr>
          <w:sz w:val="24"/>
          <w:szCs w:val="24"/>
        </w:rPr>
        <w:t xml:space="preserve"> associated with exposure</w:t>
      </w:r>
      <w:r w:rsidR="656773E3" w:rsidRPr="23A4FC9A">
        <w:rPr>
          <w:sz w:val="24"/>
          <w:szCs w:val="24"/>
        </w:rPr>
        <w:t xml:space="preserve"> to the VOC</w:t>
      </w:r>
      <w:r w:rsidRPr="23A4FC9A">
        <w:rPr>
          <w:sz w:val="24"/>
          <w:szCs w:val="24"/>
        </w:rPr>
        <w:t>.</w:t>
      </w:r>
      <w:r w:rsidR="2AFB4263" w:rsidRPr="23A4FC9A">
        <w:rPr>
          <w:sz w:val="24"/>
          <w:szCs w:val="24"/>
        </w:rPr>
        <w:t xml:space="preserve"> </w:t>
      </w:r>
      <w:r w:rsidR="2E956F96" w:rsidRPr="23A4FC9A">
        <w:rPr>
          <w:sz w:val="24"/>
          <w:szCs w:val="24"/>
        </w:rPr>
        <w:t xml:space="preserve">Of the 63 VOCs, </w:t>
      </w:r>
      <w:r w:rsidR="52A88CB6" w:rsidRPr="23A4FC9A">
        <w:rPr>
          <w:sz w:val="24"/>
          <w:szCs w:val="24"/>
        </w:rPr>
        <w:t xml:space="preserve">34 were detected at the Weymouth </w:t>
      </w:r>
      <w:r w:rsidR="2AFB4263" w:rsidRPr="23A4FC9A">
        <w:rPr>
          <w:sz w:val="24"/>
          <w:szCs w:val="24"/>
        </w:rPr>
        <w:t xml:space="preserve">monitoring station on 2/17/23. Of these, </w:t>
      </w:r>
      <w:r w:rsidR="5A4955C1" w:rsidRPr="23A4FC9A">
        <w:rPr>
          <w:sz w:val="24"/>
          <w:szCs w:val="24"/>
        </w:rPr>
        <w:t>2</w:t>
      </w:r>
      <w:r w:rsidR="1E9C6656" w:rsidRPr="23A4FC9A">
        <w:rPr>
          <w:sz w:val="24"/>
          <w:szCs w:val="24"/>
        </w:rPr>
        <w:t>7</w:t>
      </w:r>
      <w:r w:rsidR="2E956F96" w:rsidRPr="23A4FC9A">
        <w:rPr>
          <w:sz w:val="24"/>
          <w:szCs w:val="24"/>
        </w:rPr>
        <w:t xml:space="preserve"> had SVs available for comparison. For these </w:t>
      </w:r>
      <w:r w:rsidR="2AFB4263" w:rsidRPr="23A4FC9A">
        <w:rPr>
          <w:sz w:val="24"/>
          <w:szCs w:val="24"/>
        </w:rPr>
        <w:t>2</w:t>
      </w:r>
      <w:r w:rsidR="308757FB" w:rsidRPr="23A4FC9A">
        <w:rPr>
          <w:sz w:val="24"/>
          <w:szCs w:val="24"/>
        </w:rPr>
        <w:t>7</w:t>
      </w:r>
      <w:r w:rsidR="2AFB4263" w:rsidRPr="23A4FC9A">
        <w:rPr>
          <w:sz w:val="24"/>
          <w:szCs w:val="24"/>
        </w:rPr>
        <w:t xml:space="preserve"> </w:t>
      </w:r>
      <w:r w:rsidR="2E956F96" w:rsidRPr="23A4FC9A">
        <w:rPr>
          <w:sz w:val="24"/>
          <w:szCs w:val="24"/>
        </w:rPr>
        <w:t xml:space="preserve">VOCs, concentrations measured at the MassDEP monitoring station were all </w:t>
      </w:r>
      <w:r w:rsidR="3754ED10" w:rsidRPr="23A4FC9A">
        <w:rPr>
          <w:sz w:val="24"/>
          <w:szCs w:val="24"/>
        </w:rPr>
        <w:t>less than</w:t>
      </w:r>
      <w:r w:rsidR="2E956F96" w:rsidRPr="23A4FC9A">
        <w:rPr>
          <w:sz w:val="24"/>
          <w:szCs w:val="24"/>
        </w:rPr>
        <w:t xml:space="preserve"> their respective SVs</w:t>
      </w:r>
      <w:r w:rsidR="51454A48" w:rsidRPr="23A4FC9A">
        <w:rPr>
          <w:sz w:val="24"/>
          <w:szCs w:val="24"/>
        </w:rPr>
        <w:t xml:space="preserve">, with </w:t>
      </w:r>
      <w:r w:rsidR="2E956F96" w:rsidRPr="23A4FC9A">
        <w:rPr>
          <w:sz w:val="24"/>
          <w:szCs w:val="24"/>
        </w:rPr>
        <w:t>MOE</w:t>
      </w:r>
      <w:r w:rsidR="51454A48" w:rsidRPr="23A4FC9A">
        <w:rPr>
          <w:sz w:val="24"/>
          <w:szCs w:val="24"/>
        </w:rPr>
        <w:t xml:space="preserve">s ranging from </w:t>
      </w:r>
      <w:r w:rsidR="3281CE87" w:rsidRPr="23A4FC9A">
        <w:rPr>
          <w:sz w:val="24"/>
          <w:szCs w:val="24"/>
        </w:rPr>
        <w:t xml:space="preserve">9 </w:t>
      </w:r>
      <w:r w:rsidR="51454A48" w:rsidRPr="23A4FC9A">
        <w:rPr>
          <w:sz w:val="24"/>
          <w:szCs w:val="24"/>
        </w:rPr>
        <w:t>to</w:t>
      </w:r>
      <w:r w:rsidR="3281CE87" w:rsidRPr="23A4FC9A">
        <w:rPr>
          <w:sz w:val="24"/>
          <w:szCs w:val="24"/>
        </w:rPr>
        <w:t xml:space="preserve"> more than </w:t>
      </w:r>
      <w:r w:rsidR="373C8AF3" w:rsidRPr="23A4FC9A">
        <w:rPr>
          <w:sz w:val="24"/>
          <w:szCs w:val="24"/>
        </w:rPr>
        <w:t>1.5 million</w:t>
      </w:r>
      <w:r w:rsidR="51454A48" w:rsidRPr="23A4FC9A">
        <w:rPr>
          <w:sz w:val="24"/>
          <w:szCs w:val="24"/>
        </w:rPr>
        <w:t xml:space="preserve">. </w:t>
      </w:r>
      <w:r w:rsidR="4A2949FB" w:rsidRPr="23A4FC9A">
        <w:rPr>
          <w:sz w:val="24"/>
          <w:szCs w:val="24"/>
        </w:rPr>
        <w:t>This analysis suggests that it is unlikely</w:t>
      </w:r>
      <w:r w:rsidR="0CA7B20F" w:rsidRPr="23A4FC9A">
        <w:rPr>
          <w:sz w:val="24"/>
          <w:szCs w:val="24"/>
        </w:rPr>
        <w:t xml:space="preserve"> </w:t>
      </w:r>
      <w:r w:rsidR="4A2949FB" w:rsidRPr="23A4FC9A">
        <w:rPr>
          <w:sz w:val="24"/>
          <w:szCs w:val="24"/>
        </w:rPr>
        <w:t>that individuals were exposed to harmful levels of contamination</w:t>
      </w:r>
      <w:r w:rsidR="2E695FDC" w:rsidRPr="23A4FC9A">
        <w:rPr>
          <w:sz w:val="24"/>
          <w:szCs w:val="24"/>
        </w:rPr>
        <w:t xml:space="preserve"> </w:t>
      </w:r>
      <w:r w:rsidR="0F5E52FB" w:rsidRPr="23A4FC9A">
        <w:rPr>
          <w:sz w:val="24"/>
          <w:szCs w:val="24"/>
        </w:rPr>
        <w:t xml:space="preserve">from </w:t>
      </w:r>
      <w:r w:rsidR="4199666A" w:rsidRPr="23A4FC9A">
        <w:rPr>
          <w:sz w:val="24"/>
          <w:szCs w:val="24"/>
        </w:rPr>
        <w:t xml:space="preserve">breathing </w:t>
      </w:r>
      <w:r w:rsidR="4F002DEE" w:rsidRPr="23A4FC9A">
        <w:rPr>
          <w:sz w:val="24"/>
          <w:szCs w:val="24"/>
        </w:rPr>
        <w:t>VOCs</w:t>
      </w:r>
      <w:r w:rsidR="4FC7B3E0" w:rsidRPr="23A4FC9A">
        <w:rPr>
          <w:sz w:val="24"/>
          <w:szCs w:val="24"/>
        </w:rPr>
        <w:t xml:space="preserve"> </w:t>
      </w:r>
      <w:r w:rsidR="2E956F96" w:rsidRPr="23A4FC9A">
        <w:rPr>
          <w:sz w:val="24"/>
          <w:szCs w:val="24"/>
        </w:rPr>
        <w:t xml:space="preserve">during </w:t>
      </w:r>
      <w:r w:rsidR="1729E96A" w:rsidRPr="23A4FC9A">
        <w:rPr>
          <w:sz w:val="24"/>
          <w:szCs w:val="24"/>
        </w:rPr>
        <w:t>and immediately after</w:t>
      </w:r>
      <w:r w:rsidR="2E956F96" w:rsidRPr="23A4FC9A">
        <w:rPr>
          <w:sz w:val="24"/>
          <w:szCs w:val="24"/>
        </w:rPr>
        <w:t xml:space="preserve"> the fire. </w:t>
      </w:r>
    </w:p>
    <w:p w14:paraId="7E837B19" w14:textId="6B5D2D62" w:rsidR="23A4FC9A" w:rsidRDefault="23A4FC9A"/>
    <w:tbl>
      <w:tblPr>
        <w:tblW w:w="10201" w:type="dxa"/>
        <w:tblLook w:val="04A0" w:firstRow="1" w:lastRow="0" w:firstColumn="1" w:lastColumn="0" w:noHBand="0" w:noVBand="1"/>
      </w:tblPr>
      <w:tblGrid>
        <w:gridCol w:w="2515"/>
        <w:gridCol w:w="720"/>
        <w:gridCol w:w="694"/>
        <w:gridCol w:w="1107"/>
        <w:gridCol w:w="1534"/>
        <w:gridCol w:w="1350"/>
        <w:gridCol w:w="1099"/>
        <w:gridCol w:w="450"/>
        <w:gridCol w:w="709"/>
        <w:gridCol w:w="23"/>
      </w:tblGrid>
      <w:tr w:rsidR="00E6321C" w14:paraId="28DEF788" w14:textId="77777777" w:rsidTr="00377278">
        <w:trPr>
          <w:trHeight w:val="170"/>
          <w:tblHeader/>
        </w:trPr>
        <w:tc>
          <w:tcPr>
            <w:tcW w:w="10201" w:type="dxa"/>
            <w:gridSpan w:val="10"/>
            <w:tcBorders>
              <w:bottom w:val="single" w:sz="4" w:space="0" w:color="auto"/>
            </w:tcBorders>
            <w:shd w:val="clear" w:color="auto" w:fill="auto"/>
            <w:noWrap/>
            <w:vAlign w:val="center"/>
            <w:hideMark/>
          </w:tcPr>
          <w:p w14:paraId="3F408299" w14:textId="6A2F0FB4" w:rsidR="009C7DFA" w:rsidRDefault="009C7DFA" w:rsidP="00335D2E">
            <w:pPr>
              <w:keepNext/>
              <w:spacing w:after="0" w:line="240" w:lineRule="auto"/>
              <w:rPr>
                <w:rFonts w:ascii="Times New Roman" w:eastAsia="Times New Roman" w:hAnsi="Times New Roman" w:cs="Times New Roman"/>
                <w:kern w:val="0"/>
                <w:sz w:val="20"/>
                <w:szCs w:val="20"/>
                <w14:ligatures w14:val="none"/>
              </w:rPr>
            </w:pPr>
            <w:r>
              <w:rPr>
                <w:rFonts w:ascii="Calibri" w:eastAsia="Times New Roman" w:hAnsi="Calibri" w:cs="Calibri"/>
                <w:b/>
                <w:bCs/>
                <w:color w:val="000000"/>
                <w:kern w:val="0"/>
                <w14:ligatures w14:val="none"/>
              </w:rPr>
              <w:t xml:space="preserve">Table 3. VOC Screening Evaluation </w:t>
            </w:r>
          </w:p>
        </w:tc>
      </w:tr>
      <w:tr w:rsidR="00EE4051" w14:paraId="5087DF29" w14:textId="77777777" w:rsidTr="00377278">
        <w:trPr>
          <w:trHeight w:val="161"/>
          <w:tblHeader/>
        </w:trPr>
        <w:tc>
          <w:tcPr>
            <w:tcW w:w="2515" w:type="dxa"/>
            <w:vMerge w:val="restart"/>
            <w:tcBorders>
              <w:left w:val="single" w:sz="4" w:space="0" w:color="auto"/>
              <w:bottom w:val="double" w:sz="4" w:space="0" w:color="auto"/>
              <w:right w:val="single" w:sz="4" w:space="0" w:color="auto"/>
            </w:tcBorders>
            <w:shd w:val="clear" w:color="auto" w:fill="D9E2F3" w:themeFill="accent1" w:themeFillTint="33"/>
            <w:noWrap/>
            <w:vAlign w:val="center"/>
            <w:hideMark/>
          </w:tcPr>
          <w:p w14:paraId="0CCAEEFB" w14:textId="77777777" w:rsidR="000A2143" w:rsidRDefault="000A2143">
            <w:pPr>
              <w:keepNext/>
              <w:spacing w:after="0" w:line="240" w:lineRule="auto"/>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Chemical Name</w:t>
            </w:r>
          </w:p>
        </w:tc>
        <w:tc>
          <w:tcPr>
            <w:tcW w:w="1414" w:type="dxa"/>
            <w:gridSpan w:val="2"/>
            <w:vMerge w:val="restart"/>
            <w:tcBorders>
              <w:left w:val="single" w:sz="4" w:space="0" w:color="auto"/>
              <w:bottom w:val="double" w:sz="4" w:space="0" w:color="auto"/>
              <w:right w:val="single" w:sz="4" w:space="0" w:color="auto"/>
            </w:tcBorders>
            <w:shd w:val="clear" w:color="auto" w:fill="D9E2F3" w:themeFill="accent1" w:themeFillTint="33"/>
            <w:vAlign w:val="center"/>
            <w:hideMark/>
          </w:tcPr>
          <w:p w14:paraId="44C1EA1A" w14:textId="77777777" w:rsidR="00591893" w:rsidRDefault="000A2143" w:rsidP="00335D2E">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 xml:space="preserve">DEP </w:t>
            </w:r>
          </w:p>
          <w:p w14:paraId="603ECD1A" w14:textId="11027BD8" w:rsidR="000A2143" w:rsidRDefault="00591893" w:rsidP="00335D2E">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Monitoring Station</w:t>
            </w:r>
            <w:r w:rsidR="000A2143">
              <w:rPr>
                <w:rFonts w:ascii="Calibri" w:eastAsia="Times New Roman" w:hAnsi="Calibri" w:cs="Calibri"/>
                <w:b/>
                <w:bCs/>
                <w:color w:val="000000"/>
                <w:kern w:val="0"/>
                <w:sz w:val="20"/>
                <w:szCs w:val="20"/>
                <w14:ligatures w14:val="none"/>
              </w:rPr>
              <w:br/>
              <w:t xml:space="preserve"> (ppb)</w:t>
            </w:r>
          </w:p>
        </w:tc>
        <w:tc>
          <w:tcPr>
            <w:tcW w:w="6272" w:type="dxa"/>
            <w:gridSpan w:val="7"/>
            <w:tcBorders>
              <w:top w:val="single" w:sz="4" w:space="0" w:color="auto"/>
              <w:left w:val="single" w:sz="4" w:space="0" w:color="auto"/>
              <w:bottom w:val="single" w:sz="8" w:space="0" w:color="auto"/>
              <w:right w:val="single" w:sz="4" w:space="0" w:color="auto"/>
            </w:tcBorders>
            <w:shd w:val="clear" w:color="auto" w:fill="D9E2F3" w:themeFill="accent1" w:themeFillTint="33"/>
            <w:noWrap/>
            <w:vAlign w:val="center"/>
            <w:hideMark/>
          </w:tcPr>
          <w:p w14:paraId="644F47F1" w14:textId="2E132FD0" w:rsidR="000A2143" w:rsidRDefault="00431142" w:rsidP="00335D2E">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VOC Screening Values (SVs)</w:t>
            </w:r>
          </w:p>
        </w:tc>
      </w:tr>
      <w:tr w:rsidR="00EE4051" w14:paraId="5B8D17AE" w14:textId="77777777" w:rsidTr="00377278">
        <w:trPr>
          <w:gridAfter w:val="1"/>
          <w:wAfter w:w="23" w:type="dxa"/>
          <w:trHeight w:val="248"/>
        </w:trPr>
        <w:tc>
          <w:tcPr>
            <w:tcW w:w="2515" w:type="dxa"/>
            <w:vMerge/>
            <w:tcBorders>
              <w:left w:val="single" w:sz="4" w:space="0" w:color="auto"/>
              <w:bottom w:val="double" w:sz="4" w:space="0" w:color="auto"/>
              <w:right w:val="single" w:sz="4" w:space="0" w:color="auto"/>
            </w:tcBorders>
            <w:vAlign w:val="center"/>
            <w:hideMark/>
          </w:tcPr>
          <w:p w14:paraId="07891658" w14:textId="77777777" w:rsidR="009C7DFA" w:rsidRDefault="009C7DFA">
            <w:pPr>
              <w:spacing w:after="0"/>
              <w:rPr>
                <w:rFonts w:ascii="Calibri" w:eastAsia="Times New Roman" w:hAnsi="Calibri" w:cs="Calibri"/>
                <w:b/>
                <w:bCs/>
                <w:color w:val="000000"/>
                <w:kern w:val="0"/>
                <w:sz w:val="20"/>
                <w:szCs w:val="20"/>
                <w14:ligatures w14:val="none"/>
              </w:rPr>
            </w:pPr>
          </w:p>
        </w:tc>
        <w:tc>
          <w:tcPr>
            <w:tcW w:w="1414" w:type="dxa"/>
            <w:gridSpan w:val="2"/>
            <w:vMerge/>
            <w:tcBorders>
              <w:left w:val="single" w:sz="4" w:space="0" w:color="auto"/>
              <w:bottom w:val="double" w:sz="4" w:space="0" w:color="auto"/>
            </w:tcBorders>
            <w:vAlign w:val="center"/>
            <w:hideMark/>
          </w:tcPr>
          <w:p w14:paraId="312AD768" w14:textId="77777777" w:rsidR="009C7DFA" w:rsidRDefault="009C7DFA" w:rsidP="00335D2E">
            <w:pPr>
              <w:keepNext/>
              <w:spacing w:after="0"/>
              <w:rPr>
                <w:rFonts w:ascii="Calibri" w:eastAsia="Times New Roman" w:hAnsi="Calibri" w:cs="Calibri"/>
                <w:b/>
                <w:bCs/>
                <w:color w:val="000000"/>
                <w:kern w:val="0"/>
                <w:sz w:val="20"/>
                <w:szCs w:val="20"/>
                <w14:ligatures w14:val="none"/>
              </w:rPr>
            </w:pPr>
          </w:p>
        </w:tc>
        <w:tc>
          <w:tcPr>
            <w:tcW w:w="1107" w:type="dxa"/>
            <w:tcBorders>
              <w:top w:val="nil"/>
              <w:left w:val="single" w:sz="4" w:space="0" w:color="auto"/>
              <w:bottom w:val="double" w:sz="4" w:space="0" w:color="auto"/>
              <w:right w:val="single" w:sz="4" w:space="0" w:color="auto"/>
            </w:tcBorders>
            <w:shd w:val="clear" w:color="auto" w:fill="D9E2F3" w:themeFill="accent1" w:themeFillTint="33"/>
            <w:vAlign w:val="center"/>
            <w:hideMark/>
          </w:tcPr>
          <w:p w14:paraId="4700DCE8" w14:textId="77777777" w:rsidR="002F42B3" w:rsidRDefault="009C7DFA" w:rsidP="00335D2E">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 xml:space="preserve">Value </w:t>
            </w:r>
          </w:p>
          <w:p w14:paraId="5396756A" w14:textId="0B1F3354" w:rsidR="009C7DFA" w:rsidRDefault="009C7DFA" w:rsidP="00335D2E">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(ppb)</w:t>
            </w:r>
          </w:p>
        </w:tc>
        <w:tc>
          <w:tcPr>
            <w:tcW w:w="1534" w:type="dxa"/>
            <w:tcBorders>
              <w:top w:val="nil"/>
              <w:left w:val="nil"/>
              <w:bottom w:val="double" w:sz="4" w:space="0" w:color="auto"/>
              <w:right w:val="single" w:sz="4" w:space="0" w:color="auto"/>
            </w:tcBorders>
            <w:shd w:val="clear" w:color="auto" w:fill="D9E2F3" w:themeFill="accent1" w:themeFillTint="33"/>
            <w:vAlign w:val="center"/>
            <w:hideMark/>
          </w:tcPr>
          <w:p w14:paraId="4E234C08" w14:textId="77777777" w:rsidR="009C7DFA" w:rsidRDefault="009C7DFA">
            <w:pPr>
              <w:keepNext/>
              <w:spacing w:after="0" w:line="240" w:lineRule="auto"/>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Description</w:t>
            </w:r>
          </w:p>
        </w:tc>
        <w:tc>
          <w:tcPr>
            <w:tcW w:w="1350" w:type="dxa"/>
            <w:tcBorders>
              <w:top w:val="single" w:sz="4" w:space="0" w:color="auto"/>
              <w:left w:val="nil"/>
              <w:bottom w:val="double" w:sz="4" w:space="0" w:color="auto"/>
              <w:right w:val="single" w:sz="4" w:space="0" w:color="auto"/>
            </w:tcBorders>
            <w:shd w:val="clear" w:color="auto" w:fill="D9E2F3" w:themeFill="accent1" w:themeFillTint="33"/>
            <w:vAlign w:val="center"/>
            <w:hideMark/>
          </w:tcPr>
          <w:p w14:paraId="3B28B7A8" w14:textId="77777777" w:rsidR="009C7DFA" w:rsidRDefault="009C7DFA" w:rsidP="00093F1B">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Duration</w:t>
            </w:r>
          </w:p>
        </w:tc>
        <w:tc>
          <w:tcPr>
            <w:tcW w:w="1099" w:type="dxa"/>
            <w:tcBorders>
              <w:top w:val="single" w:sz="4" w:space="0" w:color="auto"/>
              <w:left w:val="single" w:sz="4" w:space="0" w:color="auto"/>
              <w:bottom w:val="double" w:sz="4" w:space="0" w:color="auto"/>
              <w:right w:val="nil"/>
            </w:tcBorders>
            <w:shd w:val="clear" w:color="auto" w:fill="D9E2F3" w:themeFill="accent1" w:themeFillTint="33"/>
            <w:vAlign w:val="center"/>
            <w:hideMark/>
          </w:tcPr>
          <w:p w14:paraId="241A7F53" w14:textId="77777777" w:rsidR="009C7DFA" w:rsidRDefault="009C7DFA" w:rsidP="00093F1B">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Is SV Exceeded?</w:t>
            </w:r>
          </w:p>
        </w:tc>
        <w:tc>
          <w:tcPr>
            <w:tcW w:w="1159" w:type="dxa"/>
            <w:gridSpan w:val="2"/>
            <w:tcBorders>
              <w:top w:val="single" w:sz="8" w:space="0" w:color="auto"/>
              <w:left w:val="single" w:sz="4" w:space="0" w:color="auto"/>
              <w:bottom w:val="double" w:sz="4" w:space="0" w:color="auto"/>
              <w:right w:val="single" w:sz="4" w:space="0" w:color="auto"/>
            </w:tcBorders>
            <w:shd w:val="clear" w:color="auto" w:fill="D9E2F3" w:themeFill="accent1" w:themeFillTint="33"/>
            <w:vAlign w:val="center"/>
            <w:hideMark/>
          </w:tcPr>
          <w:p w14:paraId="27935E15" w14:textId="77777777" w:rsidR="009C7DFA" w:rsidRDefault="009C7DFA" w:rsidP="00093F1B">
            <w:pPr>
              <w:keepNext/>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Margin of Exposure</w:t>
            </w:r>
          </w:p>
        </w:tc>
      </w:tr>
      <w:tr w:rsidR="00E6321C" w14:paraId="38715F64" w14:textId="77777777" w:rsidTr="00377278">
        <w:trPr>
          <w:trHeight w:val="149"/>
        </w:trPr>
        <w:tc>
          <w:tcPr>
            <w:tcW w:w="10201"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7782D5E" w14:textId="3ACA3C50" w:rsidR="00C5581E" w:rsidRPr="00C5581E" w:rsidRDefault="00C5581E" w:rsidP="00335D2E">
            <w:pPr>
              <w:keepNext/>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 xml:space="preserve">Detected </w:t>
            </w:r>
            <w:r w:rsidR="00D525DB">
              <w:rPr>
                <w:rFonts w:ascii="Calibri" w:hAnsi="Calibri" w:cs="Calibri"/>
                <w:b/>
                <w:bCs/>
                <w:color w:val="000000"/>
                <w:sz w:val="20"/>
                <w:szCs w:val="20"/>
              </w:rPr>
              <w:t xml:space="preserve">Chemicals </w:t>
            </w:r>
            <w:r>
              <w:rPr>
                <w:rFonts w:ascii="Calibri" w:hAnsi="Calibri" w:cs="Calibri"/>
                <w:b/>
                <w:bCs/>
                <w:color w:val="000000"/>
                <w:sz w:val="20"/>
                <w:szCs w:val="20"/>
              </w:rPr>
              <w:t>with Screening Values</w:t>
            </w:r>
          </w:p>
        </w:tc>
      </w:tr>
      <w:tr w:rsidR="00EE4051" w14:paraId="5875E8DE"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noWrap/>
            <w:vAlign w:val="bottom"/>
            <w:hideMark/>
          </w:tcPr>
          <w:p w14:paraId="4ED25610" w14:textId="50F88ADD"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1,2,4-trimethylbenzene</w:t>
            </w:r>
          </w:p>
        </w:tc>
        <w:tc>
          <w:tcPr>
            <w:tcW w:w="720" w:type="dxa"/>
            <w:tcBorders>
              <w:top w:val="nil"/>
              <w:left w:val="nil"/>
              <w:bottom w:val="single" w:sz="4" w:space="0" w:color="auto"/>
              <w:right w:val="nil"/>
            </w:tcBorders>
            <w:noWrap/>
            <w:vAlign w:val="bottom"/>
            <w:hideMark/>
          </w:tcPr>
          <w:p w14:paraId="763C7435" w14:textId="5305C188"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0.023</w:t>
            </w:r>
          </w:p>
        </w:tc>
        <w:tc>
          <w:tcPr>
            <w:tcW w:w="694" w:type="dxa"/>
            <w:tcBorders>
              <w:top w:val="nil"/>
              <w:left w:val="nil"/>
              <w:bottom w:val="single" w:sz="4" w:space="0" w:color="auto"/>
              <w:right w:val="single" w:sz="8" w:space="0" w:color="auto"/>
            </w:tcBorders>
            <w:noWrap/>
            <w:vAlign w:val="bottom"/>
            <w:hideMark/>
          </w:tcPr>
          <w:p w14:paraId="084311A3" w14:textId="53B291A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noWrap/>
            <w:vAlign w:val="bottom"/>
            <w:hideMark/>
          </w:tcPr>
          <w:p w14:paraId="100861C6" w14:textId="0B7E2119" w:rsidR="00C5581E" w:rsidRDefault="006D3C1D"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12.8</w:t>
            </w:r>
          </w:p>
        </w:tc>
        <w:tc>
          <w:tcPr>
            <w:tcW w:w="1534" w:type="dxa"/>
            <w:tcBorders>
              <w:top w:val="nil"/>
              <w:left w:val="nil"/>
              <w:bottom w:val="single" w:sz="4" w:space="0" w:color="auto"/>
              <w:right w:val="single" w:sz="4" w:space="0" w:color="auto"/>
            </w:tcBorders>
            <w:noWrap/>
            <w:vAlign w:val="bottom"/>
            <w:hideMark/>
          </w:tcPr>
          <w:p w14:paraId="2C9BAE51" w14:textId="5DD4B11E"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6D3C1D">
              <w:rPr>
                <w:rFonts w:ascii="Calibri" w:hAnsi="Calibri" w:cs="Calibri"/>
                <w:color w:val="000000"/>
                <w:sz w:val="20"/>
                <w:szCs w:val="20"/>
              </w:rPr>
              <w:t>RSL</w:t>
            </w:r>
            <w:r w:rsidR="006D3C1D">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noWrap/>
            <w:vAlign w:val="bottom"/>
            <w:hideMark/>
          </w:tcPr>
          <w:p w14:paraId="6B7B148B" w14:textId="12A51A32" w:rsidR="00C5581E" w:rsidRDefault="006D3C1D"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noWrap/>
            <w:vAlign w:val="bottom"/>
            <w:hideMark/>
          </w:tcPr>
          <w:p w14:paraId="6BCFFE65" w14:textId="7047F03D"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noWrap/>
            <w:vAlign w:val="bottom"/>
            <w:hideMark/>
          </w:tcPr>
          <w:p w14:paraId="255F6A18" w14:textId="0EF93566" w:rsidR="00C5581E" w:rsidRDefault="00D903CC"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558</w:t>
            </w:r>
          </w:p>
        </w:tc>
      </w:tr>
      <w:tr w:rsidR="00EE4051" w14:paraId="5A00E3B4"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noWrap/>
            <w:vAlign w:val="bottom"/>
            <w:hideMark/>
          </w:tcPr>
          <w:p w14:paraId="3E7377CC" w14:textId="2FBFE94F"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1,2-dichloroethane</w:t>
            </w:r>
          </w:p>
        </w:tc>
        <w:tc>
          <w:tcPr>
            <w:tcW w:w="720" w:type="dxa"/>
            <w:tcBorders>
              <w:top w:val="nil"/>
              <w:left w:val="nil"/>
              <w:bottom w:val="single" w:sz="4" w:space="0" w:color="auto"/>
              <w:right w:val="nil"/>
            </w:tcBorders>
            <w:noWrap/>
            <w:vAlign w:val="bottom"/>
            <w:hideMark/>
          </w:tcPr>
          <w:p w14:paraId="6EC79D35" w14:textId="2059C767"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0.015</w:t>
            </w:r>
          </w:p>
        </w:tc>
        <w:tc>
          <w:tcPr>
            <w:tcW w:w="694" w:type="dxa"/>
            <w:tcBorders>
              <w:top w:val="nil"/>
              <w:left w:val="nil"/>
              <w:bottom w:val="single" w:sz="4" w:space="0" w:color="auto"/>
              <w:right w:val="single" w:sz="8" w:space="0" w:color="auto"/>
            </w:tcBorders>
            <w:noWrap/>
            <w:vAlign w:val="bottom"/>
            <w:hideMark/>
          </w:tcPr>
          <w:p w14:paraId="7AE6DAC2" w14:textId="4B8D9CD3"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noWrap/>
            <w:vAlign w:val="bottom"/>
            <w:hideMark/>
          </w:tcPr>
          <w:p w14:paraId="056342E2" w14:textId="57A379BC"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300</w:t>
            </w:r>
          </w:p>
        </w:tc>
        <w:tc>
          <w:tcPr>
            <w:tcW w:w="1534" w:type="dxa"/>
            <w:tcBorders>
              <w:top w:val="nil"/>
              <w:left w:val="nil"/>
              <w:bottom w:val="single" w:sz="4" w:space="0" w:color="auto"/>
              <w:right w:val="single" w:sz="4" w:space="0" w:color="auto"/>
            </w:tcBorders>
            <w:noWrap/>
            <w:vAlign w:val="bottom"/>
            <w:hideMark/>
          </w:tcPr>
          <w:p w14:paraId="4C099C10" w14:textId="5A01978E"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noWrap/>
            <w:vAlign w:val="bottom"/>
            <w:hideMark/>
          </w:tcPr>
          <w:p w14:paraId="27B4E1FD" w14:textId="0793F9BD"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noWrap/>
            <w:vAlign w:val="bottom"/>
            <w:hideMark/>
          </w:tcPr>
          <w:p w14:paraId="614E6805" w14:textId="0AF1A798"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noWrap/>
            <w:vAlign w:val="bottom"/>
            <w:hideMark/>
          </w:tcPr>
          <w:p w14:paraId="17F9821A" w14:textId="5575A097"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20125</w:t>
            </w:r>
          </w:p>
        </w:tc>
      </w:tr>
      <w:tr w:rsidR="00EE4051" w14:paraId="464FFC81"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noWrap/>
            <w:vAlign w:val="bottom"/>
            <w:hideMark/>
          </w:tcPr>
          <w:p w14:paraId="6F2C5C6F" w14:textId="0FE5BF3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1,3-butadiene</w:t>
            </w:r>
          </w:p>
        </w:tc>
        <w:tc>
          <w:tcPr>
            <w:tcW w:w="720" w:type="dxa"/>
            <w:tcBorders>
              <w:top w:val="nil"/>
              <w:left w:val="nil"/>
              <w:bottom w:val="single" w:sz="4" w:space="0" w:color="auto"/>
              <w:right w:val="nil"/>
            </w:tcBorders>
            <w:noWrap/>
            <w:vAlign w:val="bottom"/>
            <w:hideMark/>
          </w:tcPr>
          <w:p w14:paraId="13E30BAF" w14:textId="0C1E5E22"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0.014</w:t>
            </w:r>
          </w:p>
        </w:tc>
        <w:tc>
          <w:tcPr>
            <w:tcW w:w="694" w:type="dxa"/>
            <w:tcBorders>
              <w:top w:val="nil"/>
              <w:left w:val="nil"/>
              <w:bottom w:val="single" w:sz="4" w:space="0" w:color="auto"/>
              <w:right w:val="single" w:sz="8" w:space="0" w:color="auto"/>
            </w:tcBorders>
            <w:noWrap/>
            <w:vAlign w:val="bottom"/>
            <w:hideMark/>
          </w:tcPr>
          <w:p w14:paraId="0843E7B5" w14:textId="2493343E"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noWrap/>
            <w:vAlign w:val="bottom"/>
            <w:hideMark/>
          </w:tcPr>
          <w:p w14:paraId="301CC7E6" w14:textId="72FC7944" w:rsidR="00C5581E" w:rsidRDefault="00D903CC"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0.95</w:t>
            </w:r>
          </w:p>
        </w:tc>
        <w:tc>
          <w:tcPr>
            <w:tcW w:w="1534" w:type="dxa"/>
            <w:tcBorders>
              <w:top w:val="nil"/>
              <w:left w:val="nil"/>
              <w:bottom w:val="single" w:sz="4" w:space="0" w:color="auto"/>
              <w:right w:val="single" w:sz="4" w:space="0" w:color="auto"/>
            </w:tcBorders>
            <w:noWrap/>
            <w:vAlign w:val="bottom"/>
            <w:hideMark/>
          </w:tcPr>
          <w:p w14:paraId="5B2D7E6C" w14:textId="17DA49EF"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D903CC">
              <w:rPr>
                <w:rFonts w:ascii="Calibri" w:hAnsi="Calibri" w:cs="Calibri"/>
                <w:color w:val="000000"/>
                <w:sz w:val="20"/>
                <w:szCs w:val="20"/>
              </w:rPr>
              <w:t>RSL</w:t>
            </w:r>
            <w:r w:rsidR="00D903CC">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noWrap/>
            <w:vAlign w:val="bottom"/>
            <w:hideMark/>
          </w:tcPr>
          <w:p w14:paraId="7B57D417" w14:textId="737FC202" w:rsidR="00C5581E" w:rsidRDefault="00D903CC"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noWrap/>
            <w:vAlign w:val="bottom"/>
            <w:hideMark/>
          </w:tcPr>
          <w:p w14:paraId="737074E8" w14:textId="005CC395"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noWrap/>
            <w:vAlign w:val="bottom"/>
            <w:hideMark/>
          </w:tcPr>
          <w:p w14:paraId="3C41E08B" w14:textId="3B1FEA44" w:rsidR="00C5581E" w:rsidRDefault="00D903CC"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67</w:t>
            </w:r>
          </w:p>
        </w:tc>
      </w:tr>
      <w:tr w:rsidR="00EE4051" w14:paraId="4A5ED156"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noWrap/>
            <w:vAlign w:val="bottom"/>
            <w:hideMark/>
          </w:tcPr>
          <w:p w14:paraId="0596A9B3" w14:textId="7D97AC49"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acetaldehyde</w:t>
            </w:r>
            <w:r>
              <w:rPr>
                <w:rFonts w:ascii="Calibri" w:hAnsi="Calibri" w:cs="Calibri"/>
                <w:color w:val="000000"/>
                <w:sz w:val="20"/>
                <w:szCs w:val="20"/>
                <w:vertAlign w:val="superscript"/>
              </w:rPr>
              <w:t>1</w:t>
            </w:r>
          </w:p>
        </w:tc>
        <w:tc>
          <w:tcPr>
            <w:tcW w:w="720" w:type="dxa"/>
            <w:tcBorders>
              <w:top w:val="nil"/>
              <w:left w:val="nil"/>
              <w:bottom w:val="single" w:sz="4" w:space="0" w:color="auto"/>
              <w:right w:val="nil"/>
            </w:tcBorders>
            <w:noWrap/>
            <w:vAlign w:val="bottom"/>
            <w:hideMark/>
          </w:tcPr>
          <w:p w14:paraId="7FF8DA6A" w14:textId="672B8DF4"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0.56</w:t>
            </w:r>
          </w:p>
        </w:tc>
        <w:tc>
          <w:tcPr>
            <w:tcW w:w="694" w:type="dxa"/>
            <w:tcBorders>
              <w:top w:val="nil"/>
              <w:left w:val="nil"/>
              <w:bottom w:val="single" w:sz="4" w:space="0" w:color="auto"/>
              <w:right w:val="single" w:sz="8" w:space="0" w:color="auto"/>
            </w:tcBorders>
            <w:noWrap/>
            <w:vAlign w:val="bottom"/>
            <w:hideMark/>
          </w:tcPr>
          <w:p w14:paraId="08E02306" w14:textId="310A69F7"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noWrap/>
            <w:vAlign w:val="bottom"/>
            <w:hideMark/>
          </w:tcPr>
          <w:p w14:paraId="19AC633E" w14:textId="479A1778" w:rsidR="00C5581E" w:rsidRDefault="00D903CC"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5.2</w:t>
            </w:r>
          </w:p>
        </w:tc>
        <w:tc>
          <w:tcPr>
            <w:tcW w:w="1534" w:type="dxa"/>
            <w:tcBorders>
              <w:top w:val="nil"/>
              <w:left w:val="nil"/>
              <w:bottom w:val="single" w:sz="4" w:space="0" w:color="auto"/>
              <w:right w:val="single" w:sz="4" w:space="0" w:color="auto"/>
            </w:tcBorders>
            <w:noWrap/>
            <w:vAlign w:val="bottom"/>
            <w:hideMark/>
          </w:tcPr>
          <w:p w14:paraId="0567EEA2" w14:textId="7D833D51"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D903CC">
              <w:rPr>
                <w:rFonts w:ascii="Calibri" w:hAnsi="Calibri" w:cs="Calibri"/>
                <w:color w:val="000000"/>
                <w:sz w:val="20"/>
                <w:szCs w:val="20"/>
              </w:rPr>
              <w:t>RSL</w:t>
            </w:r>
            <w:r w:rsidR="00D903CC">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noWrap/>
            <w:vAlign w:val="bottom"/>
            <w:hideMark/>
          </w:tcPr>
          <w:p w14:paraId="7F3A7DA9" w14:textId="2ED44DC1" w:rsidR="00C5581E" w:rsidRDefault="00D903CC"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noWrap/>
            <w:vAlign w:val="bottom"/>
            <w:hideMark/>
          </w:tcPr>
          <w:p w14:paraId="01F3C12C" w14:textId="7178CD8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noWrap/>
            <w:vAlign w:val="bottom"/>
            <w:hideMark/>
          </w:tcPr>
          <w:p w14:paraId="7F46635D" w14:textId="3B7DAF65" w:rsidR="00C5581E" w:rsidRDefault="00D903CC"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9</w:t>
            </w:r>
          </w:p>
        </w:tc>
      </w:tr>
      <w:tr w:rsidR="00EE4051" w14:paraId="2BDCFA8D"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noWrap/>
            <w:vAlign w:val="bottom"/>
            <w:hideMark/>
          </w:tcPr>
          <w:p w14:paraId="3291A609" w14:textId="68596057"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acetone</w:t>
            </w:r>
            <w:r>
              <w:rPr>
                <w:rFonts w:ascii="Calibri" w:hAnsi="Calibri" w:cs="Calibri"/>
                <w:color w:val="000000"/>
                <w:sz w:val="20"/>
                <w:szCs w:val="20"/>
                <w:vertAlign w:val="superscript"/>
              </w:rPr>
              <w:t>1</w:t>
            </w:r>
          </w:p>
        </w:tc>
        <w:tc>
          <w:tcPr>
            <w:tcW w:w="720" w:type="dxa"/>
            <w:tcBorders>
              <w:top w:val="nil"/>
              <w:left w:val="nil"/>
              <w:bottom w:val="single" w:sz="4" w:space="0" w:color="auto"/>
              <w:right w:val="nil"/>
            </w:tcBorders>
            <w:noWrap/>
            <w:vAlign w:val="bottom"/>
            <w:hideMark/>
          </w:tcPr>
          <w:p w14:paraId="189B8049" w14:textId="1BC1AA7B"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1.76</w:t>
            </w:r>
          </w:p>
        </w:tc>
        <w:tc>
          <w:tcPr>
            <w:tcW w:w="694" w:type="dxa"/>
            <w:tcBorders>
              <w:top w:val="nil"/>
              <w:left w:val="nil"/>
              <w:bottom w:val="single" w:sz="4" w:space="0" w:color="auto"/>
              <w:right w:val="single" w:sz="8" w:space="0" w:color="auto"/>
            </w:tcBorders>
            <w:noWrap/>
            <w:vAlign w:val="bottom"/>
            <w:hideMark/>
          </w:tcPr>
          <w:p w14:paraId="20954245" w14:textId="302428E3"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noWrap/>
            <w:vAlign w:val="bottom"/>
            <w:hideMark/>
          </w:tcPr>
          <w:p w14:paraId="191C0B10" w14:textId="43A8AAE8"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8,000</w:t>
            </w:r>
          </w:p>
        </w:tc>
        <w:tc>
          <w:tcPr>
            <w:tcW w:w="1534" w:type="dxa"/>
            <w:tcBorders>
              <w:top w:val="nil"/>
              <w:left w:val="nil"/>
              <w:bottom w:val="single" w:sz="4" w:space="0" w:color="auto"/>
              <w:right w:val="single" w:sz="4" w:space="0" w:color="auto"/>
            </w:tcBorders>
            <w:noWrap/>
            <w:vAlign w:val="bottom"/>
            <w:hideMark/>
          </w:tcPr>
          <w:p w14:paraId="63E12EEA" w14:textId="09AFC0B1"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noWrap/>
            <w:vAlign w:val="bottom"/>
            <w:hideMark/>
          </w:tcPr>
          <w:p w14:paraId="50D1B97F" w14:textId="698F371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noWrap/>
            <w:vAlign w:val="bottom"/>
            <w:hideMark/>
          </w:tcPr>
          <w:p w14:paraId="18C62BF5" w14:textId="74EFA99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noWrap/>
            <w:vAlign w:val="bottom"/>
            <w:hideMark/>
          </w:tcPr>
          <w:p w14:paraId="05912249" w14:textId="322ECFC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4545</w:t>
            </w:r>
          </w:p>
        </w:tc>
      </w:tr>
      <w:tr w:rsidR="00EE4051" w14:paraId="285F6036"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36A34514" w14:textId="74EF753A" w:rsidR="00335D2E" w:rsidRDefault="00335D2E" w:rsidP="00335D2E">
            <w:pPr>
              <w:keepNext/>
              <w:spacing w:after="0" w:line="240" w:lineRule="auto"/>
              <w:rPr>
                <w:rFonts w:ascii="Calibri" w:hAnsi="Calibri" w:cs="Calibri"/>
                <w:color w:val="000000"/>
                <w:sz w:val="20"/>
                <w:szCs w:val="20"/>
              </w:rPr>
            </w:pPr>
            <w:r>
              <w:rPr>
                <w:rFonts w:ascii="Calibri" w:hAnsi="Calibri" w:cs="Calibri"/>
                <w:color w:val="000000"/>
                <w:sz w:val="20"/>
                <w:szCs w:val="20"/>
              </w:rPr>
              <w:t>acetonitrile</w:t>
            </w:r>
          </w:p>
        </w:tc>
        <w:tc>
          <w:tcPr>
            <w:tcW w:w="720" w:type="dxa"/>
            <w:tcBorders>
              <w:top w:val="nil"/>
              <w:left w:val="nil"/>
              <w:bottom w:val="single" w:sz="4" w:space="0" w:color="auto"/>
              <w:right w:val="nil"/>
            </w:tcBorders>
            <w:shd w:val="clear" w:color="auto" w:fill="auto"/>
            <w:noWrap/>
            <w:vAlign w:val="bottom"/>
          </w:tcPr>
          <w:p w14:paraId="309DEC34" w14:textId="4F473DD8" w:rsidR="00335D2E" w:rsidRDefault="00335D2E" w:rsidP="00335D2E">
            <w:pPr>
              <w:keepNext/>
              <w:spacing w:after="0" w:line="240" w:lineRule="auto"/>
              <w:jc w:val="right"/>
              <w:rPr>
                <w:rFonts w:ascii="Calibri" w:hAnsi="Calibri" w:cs="Calibri"/>
                <w:color w:val="000000"/>
                <w:sz w:val="20"/>
                <w:szCs w:val="20"/>
              </w:rPr>
            </w:pPr>
            <w:r>
              <w:rPr>
                <w:rFonts w:ascii="Calibri" w:hAnsi="Calibri" w:cs="Calibri"/>
                <w:color w:val="000000"/>
                <w:sz w:val="20"/>
                <w:szCs w:val="20"/>
              </w:rPr>
              <w:t>0.145</w:t>
            </w:r>
          </w:p>
        </w:tc>
        <w:tc>
          <w:tcPr>
            <w:tcW w:w="694" w:type="dxa"/>
            <w:tcBorders>
              <w:top w:val="nil"/>
              <w:left w:val="nil"/>
              <w:bottom w:val="single" w:sz="4" w:space="0" w:color="auto"/>
              <w:right w:val="single" w:sz="8" w:space="0" w:color="auto"/>
            </w:tcBorders>
            <w:shd w:val="clear" w:color="auto" w:fill="auto"/>
            <w:noWrap/>
            <w:vAlign w:val="bottom"/>
          </w:tcPr>
          <w:p w14:paraId="357B5BDC" w14:textId="7B1C6F64" w:rsidR="00335D2E" w:rsidRDefault="00335D2E" w:rsidP="00335D2E">
            <w:pPr>
              <w:keepNext/>
              <w:spacing w:after="0" w:line="240" w:lineRule="auto"/>
              <w:rPr>
                <w:rFonts w:ascii="Calibri" w:hAnsi="Calibri" w:cs="Calibri"/>
                <w:color w:val="000000"/>
                <w:sz w:val="14"/>
                <w:szCs w:val="14"/>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tcPr>
          <w:p w14:paraId="587FE003" w14:textId="6698D989" w:rsidR="00335D2E" w:rsidRDefault="00D903CC" w:rsidP="00335D2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37.6</w:t>
            </w:r>
          </w:p>
        </w:tc>
        <w:tc>
          <w:tcPr>
            <w:tcW w:w="1534" w:type="dxa"/>
            <w:tcBorders>
              <w:top w:val="nil"/>
              <w:left w:val="nil"/>
              <w:bottom w:val="single" w:sz="4" w:space="0" w:color="auto"/>
              <w:right w:val="single" w:sz="4" w:space="0" w:color="auto"/>
            </w:tcBorders>
            <w:shd w:val="clear" w:color="auto" w:fill="auto"/>
            <w:noWrap/>
            <w:vAlign w:val="bottom"/>
          </w:tcPr>
          <w:p w14:paraId="3CC1ABCE" w14:textId="0C69C33D" w:rsidR="00335D2E" w:rsidRDefault="00335D2E"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EPA </w:t>
            </w:r>
            <w:r w:rsidR="00D903CC">
              <w:rPr>
                <w:rFonts w:ascii="Calibri" w:hAnsi="Calibri" w:cs="Calibri"/>
                <w:color w:val="000000"/>
                <w:sz w:val="20"/>
                <w:szCs w:val="20"/>
              </w:rPr>
              <w:t>RSL</w:t>
            </w:r>
            <w:r w:rsidR="00D903CC">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tcPr>
          <w:p w14:paraId="6CE8DA12" w14:textId="2D8627BD" w:rsidR="00335D2E" w:rsidRDefault="00D903CC"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3C02D562" w14:textId="01B1865A" w:rsidR="00335D2E" w:rsidRDefault="00335D2E" w:rsidP="00093F1B">
            <w:pPr>
              <w:keepNext/>
              <w:spacing w:after="0" w:line="240" w:lineRule="auto"/>
              <w:jc w:val="center"/>
              <w:rPr>
                <w:rFonts w:ascii="Calibri" w:hAnsi="Calibri" w:cs="Calibri"/>
                <w:color w:val="000000"/>
                <w:sz w:val="20"/>
                <w:szCs w:val="20"/>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53C0D95B" w14:textId="1619C104" w:rsidR="00335D2E" w:rsidRDefault="00D903CC" w:rsidP="00093F1B">
            <w:pPr>
              <w:keepNext/>
              <w:spacing w:after="0" w:line="240" w:lineRule="auto"/>
              <w:jc w:val="center"/>
              <w:rPr>
                <w:rFonts w:ascii="Calibri" w:hAnsi="Calibri" w:cs="Calibri"/>
                <w:color w:val="000000"/>
                <w:sz w:val="20"/>
                <w:szCs w:val="20"/>
              </w:rPr>
            </w:pPr>
            <w:r>
              <w:rPr>
                <w:rFonts w:ascii="Calibri" w:hAnsi="Calibri" w:cs="Calibri"/>
                <w:color w:val="000000"/>
                <w:sz w:val="20"/>
                <w:szCs w:val="20"/>
              </w:rPr>
              <w:t>259</w:t>
            </w:r>
          </w:p>
        </w:tc>
      </w:tr>
      <w:tr w:rsidR="00EE4051" w14:paraId="0E8C0466"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784B742" w14:textId="300FF044"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acrolein</w:t>
            </w:r>
          </w:p>
        </w:tc>
        <w:tc>
          <w:tcPr>
            <w:tcW w:w="720" w:type="dxa"/>
            <w:tcBorders>
              <w:top w:val="nil"/>
              <w:left w:val="nil"/>
              <w:bottom w:val="single" w:sz="4" w:space="0" w:color="auto"/>
              <w:right w:val="nil"/>
            </w:tcBorders>
            <w:shd w:val="clear" w:color="auto" w:fill="auto"/>
            <w:noWrap/>
            <w:vAlign w:val="bottom"/>
            <w:hideMark/>
          </w:tcPr>
          <w:p w14:paraId="1977361F" w14:textId="6AF5631A"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0.092</w:t>
            </w:r>
          </w:p>
        </w:tc>
        <w:tc>
          <w:tcPr>
            <w:tcW w:w="694" w:type="dxa"/>
            <w:tcBorders>
              <w:top w:val="nil"/>
              <w:left w:val="nil"/>
              <w:bottom w:val="single" w:sz="4" w:space="0" w:color="auto"/>
              <w:right w:val="single" w:sz="8" w:space="0" w:color="auto"/>
            </w:tcBorders>
            <w:shd w:val="clear" w:color="auto" w:fill="auto"/>
            <w:noWrap/>
            <w:vAlign w:val="bottom"/>
            <w:hideMark/>
          </w:tcPr>
          <w:p w14:paraId="0D640042" w14:textId="720EB4CF"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06A91E8" w14:textId="37B78132"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w:t>
            </w:r>
          </w:p>
        </w:tc>
        <w:tc>
          <w:tcPr>
            <w:tcW w:w="1534" w:type="dxa"/>
            <w:tcBorders>
              <w:top w:val="nil"/>
              <w:left w:val="nil"/>
              <w:bottom w:val="single" w:sz="4" w:space="0" w:color="auto"/>
              <w:right w:val="single" w:sz="4" w:space="0" w:color="auto"/>
            </w:tcBorders>
            <w:shd w:val="clear" w:color="auto" w:fill="auto"/>
            <w:noWrap/>
            <w:vAlign w:val="bottom"/>
            <w:hideMark/>
          </w:tcPr>
          <w:p w14:paraId="236C5862" w14:textId="6FC0CE4C"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0E877F0C" w14:textId="5A9C0D7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7F21A1DC" w14:textId="79637429"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4B5F18" w14:textId="1198E61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32</w:t>
            </w:r>
          </w:p>
        </w:tc>
      </w:tr>
      <w:tr w:rsidR="00EE4051" w14:paraId="2DA749B5"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C916704" w14:textId="3F15F97F"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benzene</w:t>
            </w:r>
          </w:p>
        </w:tc>
        <w:tc>
          <w:tcPr>
            <w:tcW w:w="720" w:type="dxa"/>
            <w:tcBorders>
              <w:top w:val="nil"/>
              <w:left w:val="nil"/>
              <w:bottom w:val="single" w:sz="4" w:space="0" w:color="auto"/>
              <w:right w:val="nil"/>
            </w:tcBorders>
            <w:shd w:val="clear" w:color="auto" w:fill="auto"/>
            <w:noWrap/>
            <w:vAlign w:val="bottom"/>
            <w:hideMark/>
          </w:tcPr>
          <w:p w14:paraId="6129D380" w14:textId="35E9ED08"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0.152</w:t>
            </w:r>
          </w:p>
        </w:tc>
        <w:tc>
          <w:tcPr>
            <w:tcW w:w="694" w:type="dxa"/>
            <w:tcBorders>
              <w:top w:val="nil"/>
              <w:left w:val="nil"/>
              <w:bottom w:val="single" w:sz="4" w:space="0" w:color="auto"/>
              <w:right w:val="single" w:sz="8" w:space="0" w:color="auto"/>
            </w:tcBorders>
            <w:shd w:val="clear" w:color="auto" w:fill="auto"/>
            <w:noWrap/>
            <w:vAlign w:val="bottom"/>
            <w:hideMark/>
          </w:tcPr>
          <w:p w14:paraId="1CA3C78B" w14:textId="60AFE20F"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22AE481" w14:textId="0F2B3055"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9</w:t>
            </w:r>
          </w:p>
        </w:tc>
        <w:tc>
          <w:tcPr>
            <w:tcW w:w="1534" w:type="dxa"/>
            <w:tcBorders>
              <w:top w:val="nil"/>
              <w:left w:val="nil"/>
              <w:bottom w:val="single" w:sz="4" w:space="0" w:color="auto"/>
              <w:right w:val="single" w:sz="4" w:space="0" w:color="auto"/>
            </w:tcBorders>
            <w:shd w:val="clear" w:color="auto" w:fill="auto"/>
            <w:noWrap/>
            <w:vAlign w:val="bottom"/>
            <w:hideMark/>
          </w:tcPr>
          <w:p w14:paraId="528D0DDE" w14:textId="58F42AD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0859D1CC" w14:textId="0B9C371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78D231E8" w14:textId="3EEA2AF0"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D19754" w14:textId="57B29BF5"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59</w:t>
            </w:r>
          </w:p>
        </w:tc>
      </w:tr>
      <w:tr w:rsidR="00EE4051" w14:paraId="4CF103BF"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F66EE06" w14:textId="193B17E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carbon tetrachloride</w:t>
            </w:r>
          </w:p>
        </w:tc>
        <w:tc>
          <w:tcPr>
            <w:tcW w:w="720" w:type="dxa"/>
            <w:tcBorders>
              <w:top w:val="nil"/>
              <w:left w:val="nil"/>
              <w:bottom w:val="single" w:sz="4" w:space="0" w:color="auto"/>
              <w:right w:val="nil"/>
            </w:tcBorders>
            <w:shd w:val="clear" w:color="auto" w:fill="auto"/>
            <w:noWrap/>
            <w:vAlign w:val="bottom"/>
            <w:hideMark/>
          </w:tcPr>
          <w:p w14:paraId="3AC64B86" w14:textId="7C446353"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0.085</w:t>
            </w:r>
          </w:p>
        </w:tc>
        <w:tc>
          <w:tcPr>
            <w:tcW w:w="694" w:type="dxa"/>
            <w:tcBorders>
              <w:top w:val="nil"/>
              <w:left w:val="nil"/>
              <w:bottom w:val="single" w:sz="4" w:space="0" w:color="auto"/>
              <w:right w:val="single" w:sz="8" w:space="0" w:color="auto"/>
            </w:tcBorders>
            <w:shd w:val="clear" w:color="auto" w:fill="auto"/>
            <w:noWrap/>
            <w:vAlign w:val="bottom"/>
            <w:hideMark/>
          </w:tcPr>
          <w:p w14:paraId="644C2A5F" w14:textId="231D5E20"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9025E6B" w14:textId="118C5A6F" w:rsidR="00C5581E" w:rsidRDefault="005C716B"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w:t>
            </w:r>
          </w:p>
        </w:tc>
        <w:tc>
          <w:tcPr>
            <w:tcW w:w="1534" w:type="dxa"/>
            <w:tcBorders>
              <w:top w:val="nil"/>
              <w:left w:val="nil"/>
              <w:bottom w:val="single" w:sz="4" w:space="0" w:color="auto"/>
              <w:right w:val="single" w:sz="4" w:space="0" w:color="auto"/>
            </w:tcBorders>
            <w:shd w:val="clear" w:color="auto" w:fill="auto"/>
            <w:noWrap/>
            <w:vAlign w:val="bottom"/>
            <w:hideMark/>
          </w:tcPr>
          <w:p w14:paraId="4AED1BE4" w14:textId="552012B1" w:rsidR="00C5581E" w:rsidRDefault="00F247BC"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ATSDR </w:t>
            </w:r>
            <w:r w:rsidR="00F25133">
              <w:rPr>
                <w:rFonts w:ascii="Calibri" w:hAnsi="Calibri" w:cs="Calibri"/>
                <w:color w:val="000000"/>
                <w:sz w:val="20"/>
                <w:szCs w:val="20"/>
              </w:rPr>
              <w:t>EMEG</w:t>
            </w:r>
          </w:p>
        </w:tc>
        <w:tc>
          <w:tcPr>
            <w:tcW w:w="1350" w:type="dxa"/>
            <w:tcBorders>
              <w:top w:val="nil"/>
              <w:left w:val="nil"/>
              <w:bottom w:val="single" w:sz="4" w:space="0" w:color="auto"/>
              <w:right w:val="nil"/>
            </w:tcBorders>
            <w:shd w:val="clear" w:color="auto" w:fill="auto"/>
            <w:noWrap/>
            <w:vAlign w:val="bottom"/>
            <w:hideMark/>
          </w:tcPr>
          <w:p w14:paraId="0553DEAF" w14:textId="7D4B8A6E" w:rsidR="00C5581E" w:rsidRDefault="00F247BC"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Intermediate</w:t>
            </w:r>
          </w:p>
        </w:tc>
        <w:tc>
          <w:tcPr>
            <w:tcW w:w="1099" w:type="dxa"/>
            <w:tcBorders>
              <w:top w:val="nil"/>
              <w:left w:val="single" w:sz="4" w:space="0" w:color="auto"/>
              <w:bottom w:val="single" w:sz="4" w:space="0" w:color="auto"/>
              <w:right w:val="nil"/>
            </w:tcBorders>
            <w:shd w:val="clear" w:color="auto" w:fill="auto"/>
            <w:noWrap/>
            <w:vAlign w:val="bottom"/>
            <w:hideMark/>
          </w:tcPr>
          <w:p w14:paraId="7D92A5C7" w14:textId="1EAA2064"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EECB0F" w14:textId="49FB969B" w:rsidR="00C5581E" w:rsidRDefault="005C716B"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352</w:t>
            </w:r>
          </w:p>
        </w:tc>
      </w:tr>
      <w:tr w:rsidR="00EE4051" w14:paraId="16765A8D"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529959F" w14:textId="19569ACF"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chloroethane</w:t>
            </w:r>
          </w:p>
        </w:tc>
        <w:tc>
          <w:tcPr>
            <w:tcW w:w="720" w:type="dxa"/>
            <w:tcBorders>
              <w:top w:val="nil"/>
              <w:left w:val="nil"/>
              <w:bottom w:val="single" w:sz="4" w:space="0" w:color="auto"/>
              <w:right w:val="nil"/>
            </w:tcBorders>
            <w:shd w:val="clear" w:color="auto" w:fill="auto"/>
            <w:noWrap/>
            <w:vAlign w:val="bottom"/>
            <w:hideMark/>
          </w:tcPr>
          <w:p w14:paraId="375DC96E" w14:textId="363C9027"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0.009</w:t>
            </w:r>
          </w:p>
        </w:tc>
        <w:tc>
          <w:tcPr>
            <w:tcW w:w="694" w:type="dxa"/>
            <w:tcBorders>
              <w:top w:val="nil"/>
              <w:left w:val="nil"/>
              <w:bottom w:val="single" w:sz="4" w:space="0" w:color="auto"/>
              <w:right w:val="single" w:sz="8" w:space="0" w:color="auto"/>
            </w:tcBorders>
            <w:shd w:val="clear" w:color="auto" w:fill="auto"/>
            <w:noWrap/>
            <w:vAlign w:val="bottom"/>
            <w:hideMark/>
          </w:tcPr>
          <w:p w14:paraId="2405648B" w14:textId="720CE4D0"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7DEEEB54" w14:textId="3105C240"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15,000</w:t>
            </w:r>
          </w:p>
        </w:tc>
        <w:tc>
          <w:tcPr>
            <w:tcW w:w="1534" w:type="dxa"/>
            <w:tcBorders>
              <w:top w:val="nil"/>
              <w:left w:val="nil"/>
              <w:bottom w:val="single" w:sz="4" w:space="0" w:color="auto"/>
              <w:right w:val="single" w:sz="4" w:space="0" w:color="auto"/>
            </w:tcBorders>
            <w:shd w:val="clear" w:color="auto" w:fill="auto"/>
            <w:noWrap/>
            <w:vAlign w:val="bottom"/>
            <w:hideMark/>
          </w:tcPr>
          <w:p w14:paraId="51C6F69E" w14:textId="409A7B9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58EFE40A" w14:textId="540A4486"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60C28E8" w14:textId="261BE08A"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89F485" w14:textId="0EEF812D"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1662098</w:t>
            </w:r>
          </w:p>
        </w:tc>
      </w:tr>
      <w:tr w:rsidR="00EE4051" w14:paraId="371C307D"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57C8A98" w14:textId="0A14451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chloroform</w:t>
            </w:r>
          </w:p>
        </w:tc>
        <w:tc>
          <w:tcPr>
            <w:tcW w:w="720" w:type="dxa"/>
            <w:tcBorders>
              <w:top w:val="nil"/>
              <w:left w:val="nil"/>
              <w:bottom w:val="single" w:sz="4" w:space="0" w:color="auto"/>
              <w:right w:val="nil"/>
            </w:tcBorders>
            <w:shd w:val="clear" w:color="auto" w:fill="auto"/>
            <w:noWrap/>
            <w:vAlign w:val="bottom"/>
            <w:hideMark/>
          </w:tcPr>
          <w:p w14:paraId="25DDCBFA" w14:textId="135FD4BE"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0.033</w:t>
            </w:r>
          </w:p>
        </w:tc>
        <w:tc>
          <w:tcPr>
            <w:tcW w:w="694" w:type="dxa"/>
            <w:tcBorders>
              <w:top w:val="nil"/>
              <w:left w:val="nil"/>
              <w:bottom w:val="single" w:sz="4" w:space="0" w:color="auto"/>
              <w:right w:val="single" w:sz="8" w:space="0" w:color="auto"/>
            </w:tcBorders>
            <w:shd w:val="clear" w:color="auto" w:fill="auto"/>
            <w:noWrap/>
            <w:vAlign w:val="bottom"/>
            <w:hideMark/>
          </w:tcPr>
          <w:p w14:paraId="48E6F8BB" w14:textId="381947C4"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FE0FFA3" w14:textId="6C278B47"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100</w:t>
            </w:r>
          </w:p>
        </w:tc>
        <w:tc>
          <w:tcPr>
            <w:tcW w:w="1534" w:type="dxa"/>
            <w:tcBorders>
              <w:top w:val="nil"/>
              <w:left w:val="nil"/>
              <w:bottom w:val="single" w:sz="4" w:space="0" w:color="auto"/>
              <w:right w:val="single" w:sz="4" w:space="0" w:color="auto"/>
            </w:tcBorders>
            <w:shd w:val="clear" w:color="auto" w:fill="auto"/>
            <w:noWrap/>
            <w:vAlign w:val="bottom"/>
            <w:hideMark/>
          </w:tcPr>
          <w:p w14:paraId="55BC0B05" w14:textId="44BAD86C"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29FFB3DB" w14:textId="562B8FE8"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51A3A7C2" w14:textId="107DEE15"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679718" w14:textId="46AA3B79"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3055</w:t>
            </w:r>
          </w:p>
        </w:tc>
      </w:tr>
      <w:tr w:rsidR="00EE4051" w14:paraId="51869CEE"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F7CEACD" w14:textId="3D953DE5"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chloromethane</w:t>
            </w:r>
          </w:p>
        </w:tc>
        <w:tc>
          <w:tcPr>
            <w:tcW w:w="720" w:type="dxa"/>
            <w:tcBorders>
              <w:top w:val="nil"/>
              <w:left w:val="nil"/>
              <w:bottom w:val="single" w:sz="4" w:space="0" w:color="auto"/>
              <w:right w:val="nil"/>
            </w:tcBorders>
            <w:shd w:val="clear" w:color="auto" w:fill="auto"/>
            <w:noWrap/>
            <w:vAlign w:val="bottom"/>
            <w:hideMark/>
          </w:tcPr>
          <w:p w14:paraId="06488794" w14:textId="0389CDF5"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0.626</w:t>
            </w:r>
          </w:p>
        </w:tc>
        <w:tc>
          <w:tcPr>
            <w:tcW w:w="694" w:type="dxa"/>
            <w:tcBorders>
              <w:top w:val="nil"/>
              <w:left w:val="nil"/>
              <w:bottom w:val="single" w:sz="4" w:space="0" w:color="auto"/>
              <w:right w:val="single" w:sz="8" w:space="0" w:color="auto"/>
            </w:tcBorders>
            <w:shd w:val="clear" w:color="auto" w:fill="auto"/>
            <w:noWrap/>
            <w:vAlign w:val="bottom"/>
            <w:hideMark/>
          </w:tcPr>
          <w:p w14:paraId="2785E8B9" w14:textId="488A9528"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73DBE46" w14:textId="2DC21873"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500</w:t>
            </w:r>
          </w:p>
        </w:tc>
        <w:tc>
          <w:tcPr>
            <w:tcW w:w="1534" w:type="dxa"/>
            <w:tcBorders>
              <w:top w:val="nil"/>
              <w:left w:val="nil"/>
              <w:bottom w:val="single" w:sz="4" w:space="0" w:color="auto"/>
              <w:right w:val="single" w:sz="4" w:space="0" w:color="auto"/>
            </w:tcBorders>
            <w:shd w:val="clear" w:color="auto" w:fill="auto"/>
            <w:noWrap/>
            <w:vAlign w:val="bottom"/>
            <w:hideMark/>
          </w:tcPr>
          <w:p w14:paraId="76B95EB0" w14:textId="0DB7534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40728F48" w14:textId="05064731"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5EF950D" w14:textId="79B603D0"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35C9AC" w14:textId="35A8CBA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798</w:t>
            </w:r>
          </w:p>
        </w:tc>
      </w:tr>
      <w:tr w:rsidR="00EE4051" w14:paraId="40F44AD9"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43F414F" w14:textId="67A3EC3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cyclohexane</w:t>
            </w:r>
          </w:p>
        </w:tc>
        <w:tc>
          <w:tcPr>
            <w:tcW w:w="720" w:type="dxa"/>
            <w:tcBorders>
              <w:top w:val="nil"/>
              <w:left w:val="nil"/>
              <w:bottom w:val="single" w:sz="4" w:space="0" w:color="auto"/>
              <w:right w:val="nil"/>
            </w:tcBorders>
            <w:shd w:val="clear" w:color="auto" w:fill="auto"/>
            <w:noWrap/>
            <w:vAlign w:val="bottom"/>
            <w:hideMark/>
          </w:tcPr>
          <w:p w14:paraId="79B94E49" w14:textId="701514A9"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0.057</w:t>
            </w:r>
          </w:p>
        </w:tc>
        <w:tc>
          <w:tcPr>
            <w:tcW w:w="694" w:type="dxa"/>
            <w:tcBorders>
              <w:top w:val="nil"/>
              <w:left w:val="nil"/>
              <w:bottom w:val="single" w:sz="4" w:space="0" w:color="auto"/>
              <w:right w:val="single" w:sz="8" w:space="0" w:color="auto"/>
            </w:tcBorders>
            <w:shd w:val="clear" w:color="auto" w:fill="auto"/>
            <w:noWrap/>
            <w:vAlign w:val="bottom"/>
            <w:hideMark/>
          </w:tcPr>
          <w:p w14:paraId="54FD3783" w14:textId="23EC4354"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11477323" w14:textId="5796CF40"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1,700</w:t>
            </w:r>
          </w:p>
        </w:tc>
        <w:tc>
          <w:tcPr>
            <w:tcW w:w="1534" w:type="dxa"/>
            <w:tcBorders>
              <w:top w:val="nil"/>
              <w:left w:val="nil"/>
              <w:bottom w:val="single" w:sz="4" w:space="0" w:color="auto"/>
              <w:right w:val="single" w:sz="4" w:space="0" w:color="auto"/>
            </w:tcBorders>
            <w:shd w:val="clear" w:color="auto" w:fill="auto"/>
            <w:noWrap/>
            <w:vAlign w:val="bottom"/>
            <w:hideMark/>
          </w:tcPr>
          <w:p w14:paraId="7D18B152" w14:textId="5A62587D"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RMEG</w:t>
            </w:r>
          </w:p>
        </w:tc>
        <w:tc>
          <w:tcPr>
            <w:tcW w:w="1350" w:type="dxa"/>
            <w:tcBorders>
              <w:top w:val="nil"/>
              <w:left w:val="nil"/>
              <w:bottom w:val="single" w:sz="4" w:space="0" w:color="auto"/>
              <w:right w:val="nil"/>
            </w:tcBorders>
            <w:shd w:val="clear" w:color="auto" w:fill="auto"/>
            <w:noWrap/>
            <w:vAlign w:val="bottom"/>
            <w:hideMark/>
          </w:tcPr>
          <w:p w14:paraId="37578C0D" w14:textId="72D8FB7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34A4B2E7" w14:textId="38FD4DEA"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701C24" w14:textId="4CC0E55B"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29808</w:t>
            </w:r>
          </w:p>
        </w:tc>
      </w:tr>
      <w:tr w:rsidR="00EE4051" w14:paraId="27E5F61A"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6E84264" w14:textId="4210B713"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dichloromethane</w:t>
            </w:r>
          </w:p>
        </w:tc>
        <w:tc>
          <w:tcPr>
            <w:tcW w:w="720" w:type="dxa"/>
            <w:tcBorders>
              <w:top w:val="nil"/>
              <w:left w:val="nil"/>
              <w:bottom w:val="single" w:sz="4" w:space="0" w:color="auto"/>
              <w:right w:val="nil"/>
            </w:tcBorders>
            <w:shd w:val="clear" w:color="auto" w:fill="auto"/>
            <w:noWrap/>
            <w:vAlign w:val="bottom"/>
            <w:hideMark/>
          </w:tcPr>
          <w:p w14:paraId="4747F52E" w14:textId="2324B828"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0.338</w:t>
            </w:r>
          </w:p>
        </w:tc>
        <w:tc>
          <w:tcPr>
            <w:tcW w:w="694" w:type="dxa"/>
            <w:tcBorders>
              <w:top w:val="nil"/>
              <w:left w:val="nil"/>
              <w:bottom w:val="single" w:sz="4" w:space="0" w:color="auto"/>
              <w:right w:val="single" w:sz="8" w:space="0" w:color="auto"/>
            </w:tcBorders>
            <w:shd w:val="clear" w:color="auto" w:fill="auto"/>
            <w:noWrap/>
            <w:vAlign w:val="bottom"/>
            <w:hideMark/>
          </w:tcPr>
          <w:p w14:paraId="2E95D37B" w14:textId="36881704"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44DEF37E" w14:textId="5EA8BE86"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600</w:t>
            </w:r>
          </w:p>
        </w:tc>
        <w:tc>
          <w:tcPr>
            <w:tcW w:w="1534" w:type="dxa"/>
            <w:tcBorders>
              <w:top w:val="nil"/>
              <w:left w:val="nil"/>
              <w:bottom w:val="single" w:sz="4" w:space="0" w:color="auto"/>
              <w:right w:val="single" w:sz="4" w:space="0" w:color="auto"/>
            </w:tcBorders>
            <w:shd w:val="clear" w:color="auto" w:fill="auto"/>
            <w:noWrap/>
            <w:vAlign w:val="bottom"/>
            <w:hideMark/>
          </w:tcPr>
          <w:p w14:paraId="38301280" w14:textId="03A9D2EC"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2742774B" w14:textId="0B5744F7"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3BE733F7" w14:textId="70FD7FC8"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C15BA8" w14:textId="7743713D"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1776</w:t>
            </w:r>
          </w:p>
        </w:tc>
      </w:tr>
      <w:tr w:rsidR="00EE4051" w14:paraId="613DC110"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C1F1485" w14:textId="76748A42"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ethylbenzene</w:t>
            </w:r>
          </w:p>
        </w:tc>
        <w:tc>
          <w:tcPr>
            <w:tcW w:w="720" w:type="dxa"/>
            <w:tcBorders>
              <w:top w:val="nil"/>
              <w:left w:val="nil"/>
              <w:bottom w:val="single" w:sz="4" w:space="0" w:color="auto"/>
              <w:right w:val="nil"/>
            </w:tcBorders>
            <w:shd w:val="clear" w:color="auto" w:fill="auto"/>
            <w:noWrap/>
            <w:vAlign w:val="bottom"/>
            <w:hideMark/>
          </w:tcPr>
          <w:p w14:paraId="0F62FA53" w14:textId="5A1D5EC4"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0.032</w:t>
            </w:r>
          </w:p>
        </w:tc>
        <w:tc>
          <w:tcPr>
            <w:tcW w:w="694" w:type="dxa"/>
            <w:tcBorders>
              <w:top w:val="nil"/>
              <w:left w:val="nil"/>
              <w:bottom w:val="single" w:sz="4" w:space="0" w:color="auto"/>
              <w:right w:val="single" w:sz="8" w:space="0" w:color="auto"/>
            </w:tcBorders>
            <w:shd w:val="clear" w:color="auto" w:fill="auto"/>
            <w:noWrap/>
            <w:vAlign w:val="bottom"/>
            <w:hideMark/>
          </w:tcPr>
          <w:p w14:paraId="632A0AFB" w14:textId="51DF5D2E"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EF42E4D" w14:textId="75651D0B"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5,000</w:t>
            </w:r>
          </w:p>
        </w:tc>
        <w:tc>
          <w:tcPr>
            <w:tcW w:w="1534" w:type="dxa"/>
            <w:tcBorders>
              <w:top w:val="nil"/>
              <w:left w:val="nil"/>
              <w:bottom w:val="single" w:sz="4" w:space="0" w:color="auto"/>
              <w:right w:val="single" w:sz="4" w:space="0" w:color="auto"/>
            </w:tcBorders>
            <w:shd w:val="clear" w:color="auto" w:fill="auto"/>
            <w:noWrap/>
            <w:vAlign w:val="bottom"/>
            <w:hideMark/>
          </w:tcPr>
          <w:p w14:paraId="58A1281F" w14:textId="1022A87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398D1989" w14:textId="24E17DD5"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7519624D" w14:textId="4BBDC7A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DD1364" w14:textId="0A415518"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155423</w:t>
            </w:r>
          </w:p>
        </w:tc>
      </w:tr>
      <w:tr w:rsidR="00EE4051" w14:paraId="2332CDB1"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9246592" w14:textId="785297A4"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ethylene oxide</w:t>
            </w:r>
          </w:p>
        </w:tc>
        <w:tc>
          <w:tcPr>
            <w:tcW w:w="720" w:type="dxa"/>
            <w:tcBorders>
              <w:top w:val="nil"/>
              <w:left w:val="nil"/>
              <w:bottom w:val="single" w:sz="4" w:space="0" w:color="auto"/>
              <w:right w:val="nil"/>
            </w:tcBorders>
            <w:shd w:val="clear" w:color="auto" w:fill="auto"/>
            <w:noWrap/>
            <w:vAlign w:val="bottom"/>
            <w:hideMark/>
          </w:tcPr>
          <w:p w14:paraId="245954F4" w14:textId="2381683D"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0.066</w:t>
            </w:r>
          </w:p>
        </w:tc>
        <w:tc>
          <w:tcPr>
            <w:tcW w:w="694" w:type="dxa"/>
            <w:tcBorders>
              <w:top w:val="nil"/>
              <w:left w:val="nil"/>
              <w:bottom w:val="single" w:sz="4" w:space="0" w:color="auto"/>
              <w:right w:val="single" w:sz="8" w:space="0" w:color="auto"/>
            </w:tcBorders>
            <w:shd w:val="clear" w:color="auto" w:fill="auto"/>
            <w:noWrap/>
            <w:vAlign w:val="bottom"/>
            <w:hideMark/>
          </w:tcPr>
          <w:p w14:paraId="121CCFFD" w14:textId="33D990F2"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7663CAFD" w14:textId="0AF5BC5A"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400</w:t>
            </w:r>
          </w:p>
        </w:tc>
        <w:tc>
          <w:tcPr>
            <w:tcW w:w="1534" w:type="dxa"/>
            <w:tcBorders>
              <w:top w:val="nil"/>
              <w:left w:val="nil"/>
              <w:bottom w:val="single" w:sz="4" w:space="0" w:color="auto"/>
              <w:right w:val="single" w:sz="4" w:space="0" w:color="auto"/>
            </w:tcBorders>
            <w:shd w:val="clear" w:color="auto" w:fill="auto"/>
            <w:noWrap/>
            <w:vAlign w:val="bottom"/>
            <w:hideMark/>
          </w:tcPr>
          <w:p w14:paraId="6D6F40F2" w14:textId="1F31AFA7"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601B79A0" w14:textId="51EE0FB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1915D6C1" w14:textId="2857B18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DC659A" w14:textId="71D02B78"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6089</w:t>
            </w:r>
          </w:p>
        </w:tc>
      </w:tr>
      <w:tr w:rsidR="00EE4051" w14:paraId="5E571C60"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F09C5CE" w14:textId="2E108AC1"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formaldehyde</w:t>
            </w:r>
            <w:r>
              <w:rPr>
                <w:rFonts w:ascii="Calibri" w:hAnsi="Calibri" w:cs="Calibri"/>
                <w:color w:val="000000"/>
                <w:sz w:val="20"/>
                <w:szCs w:val="20"/>
                <w:vertAlign w:val="superscript"/>
              </w:rPr>
              <w:t>1</w:t>
            </w:r>
          </w:p>
        </w:tc>
        <w:tc>
          <w:tcPr>
            <w:tcW w:w="720" w:type="dxa"/>
            <w:tcBorders>
              <w:top w:val="nil"/>
              <w:left w:val="nil"/>
              <w:bottom w:val="single" w:sz="4" w:space="0" w:color="auto"/>
              <w:right w:val="nil"/>
            </w:tcBorders>
            <w:shd w:val="clear" w:color="auto" w:fill="auto"/>
            <w:noWrap/>
            <w:vAlign w:val="bottom"/>
            <w:hideMark/>
          </w:tcPr>
          <w:p w14:paraId="64F66D1D" w14:textId="017204B9"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1.32</w:t>
            </w:r>
          </w:p>
        </w:tc>
        <w:tc>
          <w:tcPr>
            <w:tcW w:w="694" w:type="dxa"/>
            <w:tcBorders>
              <w:top w:val="nil"/>
              <w:left w:val="nil"/>
              <w:bottom w:val="single" w:sz="4" w:space="0" w:color="auto"/>
              <w:right w:val="single" w:sz="8" w:space="0" w:color="auto"/>
            </w:tcBorders>
            <w:shd w:val="clear" w:color="auto" w:fill="auto"/>
            <w:noWrap/>
            <w:vAlign w:val="bottom"/>
            <w:hideMark/>
          </w:tcPr>
          <w:p w14:paraId="5CC4E659" w14:textId="46D2AEAB"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08C5C4FE" w14:textId="2368CFF1"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40</w:t>
            </w:r>
          </w:p>
        </w:tc>
        <w:tc>
          <w:tcPr>
            <w:tcW w:w="1534" w:type="dxa"/>
            <w:tcBorders>
              <w:top w:val="nil"/>
              <w:left w:val="nil"/>
              <w:bottom w:val="single" w:sz="4" w:space="0" w:color="auto"/>
              <w:right w:val="single" w:sz="4" w:space="0" w:color="auto"/>
            </w:tcBorders>
            <w:shd w:val="clear" w:color="auto" w:fill="auto"/>
            <w:noWrap/>
            <w:vAlign w:val="bottom"/>
            <w:hideMark/>
          </w:tcPr>
          <w:p w14:paraId="262303E4" w14:textId="5E541F8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2858FD79" w14:textId="1EE8973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7900D4E8" w14:textId="41D346CF"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F4D333" w14:textId="628574D6"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w:t>
            </w:r>
          </w:p>
        </w:tc>
      </w:tr>
      <w:tr w:rsidR="00EE4051" w14:paraId="43FE61E5"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EE86857" w14:textId="13A88E75"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heptane</w:t>
            </w:r>
          </w:p>
        </w:tc>
        <w:tc>
          <w:tcPr>
            <w:tcW w:w="720" w:type="dxa"/>
            <w:tcBorders>
              <w:top w:val="nil"/>
              <w:left w:val="nil"/>
              <w:bottom w:val="single" w:sz="4" w:space="0" w:color="auto"/>
              <w:right w:val="nil"/>
            </w:tcBorders>
            <w:shd w:val="clear" w:color="auto" w:fill="auto"/>
            <w:noWrap/>
            <w:vAlign w:val="bottom"/>
            <w:hideMark/>
          </w:tcPr>
          <w:p w14:paraId="44F7A6CD" w14:textId="466201BB"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0.054</w:t>
            </w:r>
          </w:p>
        </w:tc>
        <w:tc>
          <w:tcPr>
            <w:tcW w:w="694" w:type="dxa"/>
            <w:tcBorders>
              <w:top w:val="nil"/>
              <w:left w:val="nil"/>
              <w:bottom w:val="single" w:sz="4" w:space="0" w:color="auto"/>
              <w:right w:val="single" w:sz="8" w:space="0" w:color="auto"/>
            </w:tcBorders>
            <w:shd w:val="clear" w:color="auto" w:fill="auto"/>
            <w:noWrap/>
            <w:vAlign w:val="bottom"/>
            <w:hideMark/>
          </w:tcPr>
          <w:p w14:paraId="6BC6CE1A" w14:textId="6876B676"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44DDAE29" w14:textId="71867979"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90</w:t>
            </w:r>
          </w:p>
        </w:tc>
        <w:tc>
          <w:tcPr>
            <w:tcW w:w="1534" w:type="dxa"/>
            <w:tcBorders>
              <w:top w:val="nil"/>
              <w:left w:val="nil"/>
              <w:bottom w:val="single" w:sz="4" w:space="0" w:color="auto"/>
              <w:right w:val="single" w:sz="4" w:space="0" w:color="auto"/>
            </w:tcBorders>
            <w:shd w:val="clear" w:color="auto" w:fill="auto"/>
            <w:noWrap/>
            <w:vAlign w:val="bottom"/>
            <w:hideMark/>
          </w:tcPr>
          <w:p w14:paraId="076F3855" w14:textId="09E98B61"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50D0DBC3" w14:textId="6B29A628"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778B9B3B" w14:textId="7CCB9F15"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CF2D01" w14:textId="45BFB13A"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1674</w:t>
            </w:r>
          </w:p>
        </w:tc>
      </w:tr>
      <w:tr w:rsidR="00EE4051" w14:paraId="761B6A36"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0FE6290" w14:textId="7EA4E0AE"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hexane</w:t>
            </w:r>
          </w:p>
        </w:tc>
        <w:tc>
          <w:tcPr>
            <w:tcW w:w="720" w:type="dxa"/>
            <w:tcBorders>
              <w:top w:val="nil"/>
              <w:left w:val="nil"/>
              <w:bottom w:val="single" w:sz="4" w:space="0" w:color="auto"/>
              <w:right w:val="nil"/>
            </w:tcBorders>
            <w:shd w:val="clear" w:color="auto" w:fill="auto"/>
            <w:noWrap/>
            <w:vAlign w:val="bottom"/>
            <w:hideMark/>
          </w:tcPr>
          <w:p w14:paraId="0A17F606" w14:textId="0F0B4EA3"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0.321</w:t>
            </w:r>
          </w:p>
        </w:tc>
        <w:tc>
          <w:tcPr>
            <w:tcW w:w="694" w:type="dxa"/>
            <w:tcBorders>
              <w:top w:val="nil"/>
              <w:left w:val="nil"/>
              <w:bottom w:val="single" w:sz="4" w:space="0" w:color="auto"/>
              <w:right w:val="single" w:sz="8" w:space="0" w:color="auto"/>
            </w:tcBorders>
            <w:shd w:val="clear" w:color="auto" w:fill="auto"/>
            <w:noWrap/>
            <w:vAlign w:val="bottom"/>
            <w:hideMark/>
          </w:tcPr>
          <w:p w14:paraId="5445F123" w14:textId="581EB056"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1A40A4F5" w14:textId="71B0000F"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200</w:t>
            </w:r>
          </w:p>
        </w:tc>
        <w:tc>
          <w:tcPr>
            <w:tcW w:w="1534" w:type="dxa"/>
            <w:tcBorders>
              <w:top w:val="nil"/>
              <w:left w:val="nil"/>
              <w:bottom w:val="single" w:sz="4" w:space="0" w:color="auto"/>
              <w:right w:val="single" w:sz="4" w:space="0" w:color="auto"/>
            </w:tcBorders>
            <w:shd w:val="clear" w:color="auto" w:fill="auto"/>
            <w:noWrap/>
            <w:vAlign w:val="bottom"/>
            <w:hideMark/>
          </w:tcPr>
          <w:p w14:paraId="3D050B4B" w14:textId="5F94C527"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RMEG</w:t>
            </w:r>
          </w:p>
        </w:tc>
        <w:tc>
          <w:tcPr>
            <w:tcW w:w="1350" w:type="dxa"/>
            <w:tcBorders>
              <w:top w:val="nil"/>
              <w:left w:val="nil"/>
              <w:bottom w:val="single" w:sz="4" w:space="0" w:color="auto"/>
              <w:right w:val="nil"/>
            </w:tcBorders>
            <w:shd w:val="clear" w:color="auto" w:fill="auto"/>
            <w:noWrap/>
            <w:vAlign w:val="bottom"/>
            <w:hideMark/>
          </w:tcPr>
          <w:p w14:paraId="058F103F" w14:textId="07DCED55"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5C6EE5C0" w14:textId="56CB7E2F"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70DEAD" w14:textId="49ABBD91"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622</w:t>
            </w:r>
          </w:p>
        </w:tc>
      </w:tr>
      <w:tr w:rsidR="00EE4051" w14:paraId="33F60F38"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4C691E1" w14:textId="3E7E9D53" w:rsidR="00C5581E" w:rsidRDefault="00C5581E" w:rsidP="00C5581E">
            <w:pPr>
              <w:keepNext/>
              <w:spacing w:after="0" w:line="240" w:lineRule="auto"/>
              <w:rPr>
                <w:rFonts w:ascii="Calibri" w:eastAsia="Times New Roman" w:hAnsi="Calibri" w:cs="Calibri"/>
                <w:color w:val="000000"/>
                <w:kern w:val="0"/>
                <w:sz w:val="20"/>
                <w:szCs w:val="20"/>
                <w14:ligatures w14:val="none"/>
              </w:rPr>
            </w:pPr>
            <w:proofErr w:type="spellStart"/>
            <w:r>
              <w:rPr>
                <w:rFonts w:ascii="Calibri" w:hAnsi="Calibri" w:cs="Calibri"/>
                <w:color w:val="000000"/>
                <w:sz w:val="20"/>
                <w:szCs w:val="20"/>
              </w:rPr>
              <w:t>m&amp;p-xylenes</w:t>
            </w:r>
            <w:proofErr w:type="spellEnd"/>
          </w:p>
        </w:tc>
        <w:tc>
          <w:tcPr>
            <w:tcW w:w="720" w:type="dxa"/>
            <w:tcBorders>
              <w:top w:val="nil"/>
              <w:left w:val="nil"/>
              <w:bottom w:val="single" w:sz="4" w:space="0" w:color="auto"/>
              <w:right w:val="nil"/>
            </w:tcBorders>
            <w:shd w:val="clear" w:color="auto" w:fill="auto"/>
            <w:noWrap/>
            <w:vAlign w:val="bottom"/>
            <w:hideMark/>
          </w:tcPr>
          <w:p w14:paraId="20D72CBF" w14:textId="6026677D"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0.097</w:t>
            </w:r>
          </w:p>
        </w:tc>
        <w:tc>
          <w:tcPr>
            <w:tcW w:w="694" w:type="dxa"/>
            <w:tcBorders>
              <w:top w:val="nil"/>
              <w:left w:val="nil"/>
              <w:bottom w:val="single" w:sz="4" w:space="0" w:color="auto"/>
              <w:right w:val="single" w:sz="8" w:space="0" w:color="auto"/>
            </w:tcBorders>
            <w:shd w:val="clear" w:color="auto" w:fill="auto"/>
            <w:noWrap/>
            <w:vAlign w:val="bottom"/>
            <w:hideMark/>
          </w:tcPr>
          <w:p w14:paraId="79DC6437" w14:textId="5BDE8F5F"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16FD811A" w14:textId="67A3A97C" w:rsidR="00C5581E" w:rsidRDefault="005519AA" w:rsidP="00C5581E">
            <w:pPr>
              <w:keepNext/>
              <w:spacing w:after="0" w:line="240" w:lineRule="auto"/>
              <w:jc w:val="center"/>
              <w:rPr>
                <w:rFonts w:ascii="Calibri" w:eastAsia="Times New Roman" w:hAnsi="Calibri" w:cs="Calibri"/>
                <w:color w:val="000000"/>
                <w:kern w:val="0"/>
                <w:sz w:val="20"/>
                <w:szCs w:val="20"/>
                <w14:ligatures w14:val="none"/>
              </w:rPr>
            </w:pPr>
            <w:r w:rsidRPr="57A11369">
              <w:rPr>
                <w:rFonts w:ascii="Calibri" w:hAnsi="Calibri" w:cs="Calibri"/>
                <w:color w:val="000000" w:themeColor="text1"/>
                <w:sz w:val="20"/>
                <w:szCs w:val="20"/>
              </w:rPr>
              <w:t>2</w:t>
            </w:r>
            <w:r w:rsidR="00E13078" w:rsidRPr="57A11369">
              <w:rPr>
                <w:rFonts w:ascii="Calibri" w:hAnsi="Calibri" w:cs="Calibri"/>
                <w:color w:val="000000" w:themeColor="text1"/>
                <w:sz w:val="20"/>
                <w:szCs w:val="20"/>
              </w:rPr>
              <w:t>000</w:t>
            </w:r>
          </w:p>
        </w:tc>
        <w:tc>
          <w:tcPr>
            <w:tcW w:w="1534" w:type="dxa"/>
            <w:tcBorders>
              <w:top w:val="nil"/>
              <w:left w:val="nil"/>
              <w:bottom w:val="single" w:sz="4" w:space="0" w:color="auto"/>
              <w:right w:val="single" w:sz="4" w:space="0" w:color="auto"/>
            </w:tcBorders>
            <w:shd w:val="clear" w:color="auto" w:fill="auto"/>
            <w:noWrap/>
            <w:vAlign w:val="bottom"/>
            <w:hideMark/>
          </w:tcPr>
          <w:p w14:paraId="164E844F" w14:textId="2672D4D9" w:rsidR="00C5581E" w:rsidRDefault="005519AA" w:rsidP="002B681E">
            <w:pPr>
              <w:keepNext/>
              <w:spacing w:after="0" w:line="240" w:lineRule="auto"/>
              <w:jc w:val="center"/>
              <w:rPr>
                <w:rFonts w:ascii="Calibri" w:eastAsia="Times New Roman" w:hAnsi="Calibri" w:cs="Calibri"/>
                <w:color w:val="000000"/>
                <w:kern w:val="0"/>
                <w:sz w:val="20"/>
                <w:szCs w:val="20"/>
                <w14:ligatures w14:val="none"/>
              </w:rPr>
            </w:pPr>
            <w:r w:rsidRPr="3F05644B">
              <w:rPr>
                <w:rFonts w:ascii="Calibri" w:hAnsi="Calibri" w:cs="Calibri"/>
                <w:color w:val="000000" w:themeColor="text1"/>
                <w:sz w:val="20"/>
                <w:szCs w:val="20"/>
              </w:rPr>
              <w:t xml:space="preserve">ATSDR </w:t>
            </w:r>
            <w:r w:rsidR="44BDA59F" w:rsidRPr="3F05644B">
              <w:rPr>
                <w:rFonts w:ascii="Calibri" w:hAnsi="Calibri" w:cs="Calibri"/>
                <w:color w:val="000000" w:themeColor="text1"/>
                <w:sz w:val="20"/>
                <w:szCs w:val="20"/>
              </w:rPr>
              <w:t>EMEG</w:t>
            </w:r>
          </w:p>
        </w:tc>
        <w:tc>
          <w:tcPr>
            <w:tcW w:w="1350" w:type="dxa"/>
            <w:tcBorders>
              <w:top w:val="nil"/>
              <w:left w:val="nil"/>
              <w:bottom w:val="single" w:sz="4" w:space="0" w:color="auto"/>
              <w:right w:val="nil"/>
            </w:tcBorders>
            <w:shd w:val="clear" w:color="auto" w:fill="auto"/>
            <w:noWrap/>
            <w:vAlign w:val="bottom"/>
            <w:hideMark/>
          </w:tcPr>
          <w:p w14:paraId="5D369793" w14:textId="2224C7E7" w:rsidR="00C5581E" w:rsidRDefault="00EB6A77"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w:t>
            </w:r>
            <w:r w:rsidR="00E13078">
              <w:rPr>
                <w:rFonts w:ascii="Calibri" w:hAnsi="Calibri" w:cs="Calibri"/>
                <w:color w:val="000000"/>
                <w:sz w:val="20"/>
                <w:szCs w:val="20"/>
              </w:rPr>
              <w:t>e</w:t>
            </w:r>
          </w:p>
        </w:tc>
        <w:tc>
          <w:tcPr>
            <w:tcW w:w="1099" w:type="dxa"/>
            <w:tcBorders>
              <w:top w:val="nil"/>
              <w:left w:val="single" w:sz="4" w:space="0" w:color="auto"/>
              <w:bottom w:val="single" w:sz="4" w:space="0" w:color="auto"/>
              <w:right w:val="nil"/>
            </w:tcBorders>
            <w:shd w:val="clear" w:color="auto" w:fill="auto"/>
            <w:noWrap/>
            <w:vAlign w:val="bottom"/>
            <w:hideMark/>
          </w:tcPr>
          <w:p w14:paraId="1261CA2E" w14:textId="0F952CC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961024" w14:textId="072746C8" w:rsidR="00C5581E" w:rsidRDefault="00DB649B"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w:t>
            </w:r>
            <w:r w:rsidR="00BD2757">
              <w:rPr>
                <w:rFonts w:ascii="Calibri" w:hAnsi="Calibri" w:cs="Calibri"/>
                <w:color w:val="000000"/>
                <w:sz w:val="20"/>
                <w:szCs w:val="20"/>
              </w:rPr>
              <w:t>0651</w:t>
            </w:r>
          </w:p>
        </w:tc>
      </w:tr>
      <w:tr w:rsidR="00EE4051" w14:paraId="5C05307D" w14:textId="77777777" w:rsidTr="00377278">
        <w:trPr>
          <w:gridAfter w:val="1"/>
          <w:wAfter w:w="23" w:type="dxa"/>
          <w:trHeight w:val="149"/>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1B29E88" w14:textId="4494AD98"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methyl ethyl ketone</w:t>
            </w:r>
          </w:p>
        </w:tc>
        <w:tc>
          <w:tcPr>
            <w:tcW w:w="720" w:type="dxa"/>
            <w:tcBorders>
              <w:top w:val="nil"/>
              <w:left w:val="nil"/>
              <w:bottom w:val="single" w:sz="4" w:space="0" w:color="auto"/>
              <w:right w:val="nil"/>
            </w:tcBorders>
            <w:shd w:val="clear" w:color="auto" w:fill="auto"/>
            <w:noWrap/>
            <w:vAlign w:val="bottom"/>
            <w:hideMark/>
          </w:tcPr>
          <w:p w14:paraId="3C7869F3" w14:textId="6E5E9A02"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0.299</w:t>
            </w:r>
          </w:p>
        </w:tc>
        <w:tc>
          <w:tcPr>
            <w:tcW w:w="694" w:type="dxa"/>
            <w:tcBorders>
              <w:top w:val="nil"/>
              <w:left w:val="nil"/>
              <w:bottom w:val="single" w:sz="4" w:space="0" w:color="auto"/>
              <w:right w:val="single" w:sz="8" w:space="0" w:color="auto"/>
            </w:tcBorders>
            <w:shd w:val="clear" w:color="auto" w:fill="auto"/>
            <w:noWrap/>
            <w:vAlign w:val="bottom"/>
            <w:hideMark/>
          </w:tcPr>
          <w:p w14:paraId="72855F00" w14:textId="4E48E201"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019A7E09" w14:textId="4031B674"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1,000</w:t>
            </w:r>
          </w:p>
        </w:tc>
        <w:tc>
          <w:tcPr>
            <w:tcW w:w="1534" w:type="dxa"/>
            <w:tcBorders>
              <w:top w:val="nil"/>
              <w:left w:val="nil"/>
              <w:bottom w:val="single" w:sz="4" w:space="0" w:color="auto"/>
              <w:right w:val="single" w:sz="4" w:space="0" w:color="auto"/>
            </w:tcBorders>
            <w:shd w:val="clear" w:color="auto" w:fill="auto"/>
            <w:noWrap/>
            <w:vAlign w:val="bottom"/>
            <w:hideMark/>
          </w:tcPr>
          <w:p w14:paraId="1EE1DCA3" w14:textId="53B2423F"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59DA29FD" w14:textId="524375D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2189ACE9" w14:textId="6CDE0B3B"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BB2848" w14:textId="4B29A2E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3344</w:t>
            </w:r>
          </w:p>
        </w:tc>
      </w:tr>
      <w:tr w:rsidR="00EE4051" w14:paraId="2EC38E9B"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E221F8C" w14:textId="08F0F87A"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o-xylene</w:t>
            </w:r>
          </w:p>
        </w:tc>
        <w:tc>
          <w:tcPr>
            <w:tcW w:w="720" w:type="dxa"/>
            <w:tcBorders>
              <w:top w:val="nil"/>
              <w:left w:val="nil"/>
              <w:bottom w:val="single" w:sz="4" w:space="0" w:color="auto"/>
              <w:right w:val="nil"/>
            </w:tcBorders>
            <w:shd w:val="clear" w:color="auto" w:fill="auto"/>
            <w:noWrap/>
            <w:vAlign w:val="bottom"/>
            <w:hideMark/>
          </w:tcPr>
          <w:p w14:paraId="0E212C88" w14:textId="023E7331"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0.034</w:t>
            </w:r>
          </w:p>
        </w:tc>
        <w:tc>
          <w:tcPr>
            <w:tcW w:w="694" w:type="dxa"/>
            <w:tcBorders>
              <w:top w:val="nil"/>
              <w:left w:val="nil"/>
              <w:bottom w:val="single" w:sz="4" w:space="0" w:color="auto"/>
              <w:right w:val="single" w:sz="8" w:space="0" w:color="auto"/>
            </w:tcBorders>
            <w:shd w:val="clear" w:color="auto" w:fill="auto"/>
            <w:noWrap/>
            <w:vAlign w:val="bottom"/>
            <w:hideMark/>
          </w:tcPr>
          <w:p w14:paraId="29B61BC0" w14:textId="15C5A169"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4A534D05" w14:textId="7F2C2A6E" w:rsidR="00C5581E" w:rsidRDefault="005519AA"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w:t>
            </w:r>
            <w:r w:rsidR="00E13078">
              <w:rPr>
                <w:rFonts w:ascii="Calibri" w:hAnsi="Calibri" w:cs="Calibri"/>
                <w:color w:val="000000"/>
                <w:sz w:val="20"/>
                <w:szCs w:val="20"/>
              </w:rPr>
              <w:t>000</w:t>
            </w:r>
          </w:p>
        </w:tc>
        <w:tc>
          <w:tcPr>
            <w:tcW w:w="1534" w:type="dxa"/>
            <w:tcBorders>
              <w:top w:val="nil"/>
              <w:left w:val="nil"/>
              <w:bottom w:val="single" w:sz="4" w:space="0" w:color="auto"/>
              <w:right w:val="single" w:sz="4" w:space="0" w:color="auto"/>
            </w:tcBorders>
            <w:shd w:val="clear" w:color="auto" w:fill="auto"/>
            <w:noWrap/>
            <w:vAlign w:val="bottom"/>
            <w:hideMark/>
          </w:tcPr>
          <w:p w14:paraId="78BEA276" w14:textId="1E5C5A0F" w:rsidR="00C5581E" w:rsidRDefault="005519AA" w:rsidP="002B681E">
            <w:pPr>
              <w:keepNext/>
              <w:spacing w:after="0" w:line="240" w:lineRule="auto"/>
              <w:jc w:val="center"/>
              <w:rPr>
                <w:rFonts w:ascii="Calibri" w:eastAsia="Times New Roman" w:hAnsi="Calibri" w:cs="Calibri"/>
                <w:color w:val="000000"/>
                <w:kern w:val="0"/>
                <w:sz w:val="20"/>
                <w:szCs w:val="20"/>
                <w14:ligatures w14:val="none"/>
              </w:rPr>
            </w:pPr>
            <w:r w:rsidRPr="3F05644B">
              <w:rPr>
                <w:rFonts w:ascii="Calibri" w:hAnsi="Calibri" w:cs="Calibri"/>
                <w:color w:val="000000" w:themeColor="text1"/>
                <w:sz w:val="20"/>
                <w:szCs w:val="20"/>
              </w:rPr>
              <w:t xml:space="preserve">ATSDR </w:t>
            </w:r>
            <w:r w:rsidR="3932039F" w:rsidRPr="3F05644B">
              <w:rPr>
                <w:rFonts w:ascii="Calibri" w:hAnsi="Calibri" w:cs="Calibri"/>
                <w:color w:val="000000" w:themeColor="text1"/>
                <w:sz w:val="20"/>
                <w:szCs w:val="20"/>
              </w:rPr>
              <w:t>EMEG</w:t>
            </w:r>
          </w:p>
        </w:tc>
        <w:tc>
          <w:tcPr>
            <w:tcW w:w="1350" w:type="dxa"/>
            <w:tcBorders>
              <w:top w:val="nil"/>
              <w:left w:val="nil"/>
              <w:bottom w:val="single" w:sz="4" w:space="0" w:color="auto"/>
              <w:right w:val="nil"/>
            </w:tcBorders>
            <w:shd w:val="clear" w:color="auto" w:fill="auto"/>
            <w:noWrap/>
            <w:vAlign w:val="bottom"/>
            <w:hideMark/>
          </w:tcPr>
          <w:p w14:paraId="446B8D6A" w14:textId="2AF73AEB" w:rsidR="00C5581E" w:rsidRDefault="00E1307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6D1D01C8" w14:textId="79312E0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DA538A" w14:textId="24418EC4" w:rsidR="00C5581E" w:rsidRDefault="00BA4694"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59501</w:t>
            </w:r>
          </w:p>
        </w:tc>
      </w:tr>
      <w:tr w:rsidR="00EE4051" w14:paraId="67B9663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F429000" w14:textId="49426D4D"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octane</w:t>
            </w:r>
          </w:p>
        </w:tc>
        <w:tc>
          <w:tcPr>
            <w:tcW w:w="720" w:type="dxa"/>
            <w:tcBorders>
              <w:top w:val="nil"/>
              <w:left w:val="nil"/>
              <w:bottom w:val="single" w:sz="4" w:space="0" w:color="auto"/>
              <w:right w:val="nil"/>
            </w:tcBorders>
            <w:shd w:val="clear" w:color="auto" w:fill="auto"/>
            <w:noWrap/>
            <w:vAlign w:val="bottom"/>
            <w:hideMark/>
          </w:tcPr>
          <w:p w14:paraId="579B129C" w14:textId="734C5563"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0.036</w:t>
            </w:r>
          </w:p>
        </w:tc>
        <w:tc>
          <w:tcPr>
            <w:tcW w:w="694" w:type="dxa"/>
            <w:tcBorders>
              <w:top w:val="nil"/>
              <w:left w:val="nil"/>
              <w:bottom w:val="single" w:sz="4" w:space="0" w:color="auto"/>
              <w:right w:val="single" w:sz="8" w:space="0" w:color="auto"/>
            </w:tcBorders>
            <w:shd w:val="clear" w:color="auto" w:fill="auto"/>
            <w:noWrap/>
            <w:vAlign w:val="bottom"/>
            <w:hideMark/>
          </w:tcPr>
          <w:p w14:paraId="7325D6DE" w14:textId="632238AD"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0DB0E795" w14:textId="1D639A41"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142</w:t>
            </w:r>
          </w:p>
        </w:tc>
        <w:tc>
          <w:tcPr>
            <w:tcW w:w="1534" w:type="dxa"/>
            <w:tcBorders>
              <w:top w:val="nil"/>
              <w:left w:val="nil"/>
              <w:bottom w:val="single" w:sz="4" w:space="0" w:color="auto"/>
              <w:right w:val="single" w:sz="4" w:space="0" w:color="auto"/>
            </w:tcBorders>
            <w:shd w:val="clear" w:color="auto" w:fill="auto"/>
            <w:noWrap/>
            <w:vAlign w:val="bottom"/>
            <w:hideMark/>
          </w:tcPr>
          <w:p w14:paraId="56B0E604" w14:textId="26E5CE62"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MassDEP RfC</w:t>
            </w:r>
            <w:r w:rsidR="002F15A7" w:rsidRPr="002F15A7">
              <w:rPr>
                <w:rFonts w:ascii="Calibri" w:hAnsi="Calibri" w:cs="Calibri"/>
                <w:color w:val="000000"/>
                <w:sz w:val="20"/>
                <w:szCs w:val="20"/>
                <w:vertAlign w:val="superscript"/>
              </w:rPr>
              <w:t>2</w:t>
            </w:r>
            <w:r w:rsidR="002F15A7">
              <w:rPr>
                <w:rFonts w:ascii="Calibri" w:hAnsi="Calibri" w:cs="Calibri"/>
                <w:color w:val="000000"/>
                <w:sz w:val="20"/>
                <w:szCs w:val="20"/>
                <w:vertAlign w:val="superscript"/>
              </w:rPr>
              <w:t>,</w:t>
            </w:r>
            <w:r w:rsidR="008545BC" w:rsidRPr="008545BC">
              <w:rPr>
                <w:rFonts w:ascii="Calibri" w:hAnsi="Calibri" w:cs="Calibri"/>
                <w:color w:val="000000"/>
                <w:sz w:val="20"/>
                <w:szCs w:val="20"/>
                <w:vertAlign w:val="superscript"/>
              </w:rPr>
              <w:t>3</w:t>
            </w:r>
          </w:p>
        </w:tc>
        <w:tc>
          <w:tcPr>
            <w:tcW w:w="1350" w:type="dxa"/>
            <w:tcBorders>
              <w:top w:val="nil"/>
              <w:left w:val="nil"/>
              <w:bottom w:val="single" w:sz="4" w:space="0" w:color="auto"/>
              <w:right w:val="nil"/>
            </w:tcBorders>
            <w:shd w:val="clear" w:color="auto" w:fill="auto"/>
            <w:noWrap/>
            <w:vAlign w:val="bottom"/>
            <w:hideMark/>
          </w:tcPr>
          <w:p w14:paraId="5B750BB5" w14:textId="7C4FF1B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344EF9F1" w14:textId="521D3755"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D76E90" w14:textId="553FDAA0"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3950</w:t>
            </w:r>
          </w:p>
        </w:tc>
      </w:tr>
      <w:tr w:rsidR="00EE4051" w14:paraId="504077AE"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E947A38" w14:textId="27D34816"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pentane</w:t>
            </w:r>
          </w:p>
        </w:tc>
        <w:tc>
          <w:tcPr>
            <w:tcW w:w="720" w:type="dxa"/>
            <w:tcBorders>
              <w:top w:val="nil"/>
              <w:left w:val="nil"/>
              <w:bottom w:val="single" w:sz="4" w:space="0" w:color="auto"/>
              <w:right w:val="nil"/>
            </w:tcBorders>
            <w:shd w:val="clear" w:color="auto" w:fill="auto"/>
            <w:noWrap/>
            <w:vAlign w:val="bottom"/>
            <w:hideMark/>
          </w:tcPr>
          <w:p w14:paraId="31218F6F" w14:textId="4B0A3ECA"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0.457</w:t>
            </w:r>
          </w:p>
        </w:tc>
        <w:tc>
          <w:tcPr>
            <w:tcW w:w="694" w:type="dxa"/>
            <w:tcBorders>
              <w:top w:val="nil"/>
              <w:left w:val="nil"/>
              <w:bottom w:val="single" w:sz="4" w:space="0" w:color="auto"/>
              <w:right w:val="single" w:sz="8" w:space="0" w:color="auto"/>
            </w:tcBorders>
            <w:shd w:val="clear" w:color="auto" w:fill="auto"/>
            <w:noWrap/>
            <w:vAlign w:val="bottom"/>
            <w:hideMark/>
          </w:tcPr>
          <w:p w14:paraId="6F886E09" w14:textId="1C2D58C3"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5FF251DE" w14:textId="76776BDE"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240</w:t>
            </w:r>
          </w:p>
        </w:tc>
        <w:tc>
          <w:tcPr>
            <w:tcW w:w="1534" w:type="dxa"/>
            <w:tcBorders>
              <w:top w:val="nil"/>
              <w:left w:val="nil"/>
              <w:bottom w:val="single" w:sz="4" w:space="0" w:color="auto"/>
              <w:right w:val="single" w:sz="4" w:space="0" w:color="auto"/>
            </w:tcBorders>
            <w:shd w:val="clear" w:color="auto" w:fill="auto"/>
            <w:noWrap/>
            <w:vAlign w:val="bottom"/>
            <w:hideMark/>
          </w:tcPr>
          <w:p w14:paraId="6E3BA290" w14:textId="522057B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00D86441" w14:textId="25404ABE"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088AC17F" w14:textId="03097E0C"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2DDB3C" w14:textId="7DD32842"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525</w:t>
            </w:r>
          </w:p>
        </w:tc>
      </w:tr>
      <w:tr w:rsidR="00EE4051" w14:paraId="610B4D5C"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43C3F80" w14:textId="5CA0B449"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styrene</w:t>
            </w:r>
          </w:p>
        </w:tc>
        <w:tc>
          <w:tcPr>
            <w:tcW w:w="720" w:type="dxa"/>
            <w:tcBorders>
              <w:top w:val="nil"/>
              <w:left w:val="nil"/>
              <w:bottom w:val="single" w:sz="4" w:space="0" w:color="auto"/>
              <w:right w:val="nil"/>
            </w:tcBorders>
            <w:shd w:val="clear" w:color="auto" w:fill="auto"/>
            <w:noWrap/>
            <w:vAlign w:val="bottom"/>
            <w:hideMark/>
          </w:tcPr>
          <w:p w14:paraId="265D03EB" w14:textId="2808575C"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0.010</w:t>
            </w:r>
          </w:p>
        </w:tc>
        <w:tc>
          <w:tcPr>
            <w:tcW w:w="694" w:type="dxa"/>
            <w:tcBorders>
              <w:top w:val="nil"/>
              <w:left w:val="nil"/>
              <w:bottom w:val="single" w:sz="4" w:space="0" w:color="auto"/>
              <w:right w:val="single" w:sz="8" w:space="0" w:color="auto"/>
            </w:tcBorders>
            <w:shd w:val="clear" w:color="auto" w:fill="auto"/>
            <w:noWrap/>
            <w:vAlign w:val="bottom"/>
            <w:hideMark/>
          </w:tcPr>
          <w:p w14:paraId="596C0FDB" w14:textId="65815BBF"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21A93B52" w14:textId="3AF5728F"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5,000</w:t>
            </w:r>
          </w:p>
        </w:tc>
        <w:tc>
          <w:tcPr>
            <w:tcW w:w="1534" w:type="dxa"/>
            <w:tcBorders>
              <w:top w:val="nil"/>
              <w:left w:val="nil"/>
              <w:bottom w:val="single" w:sz="4" w:space="0" w:color="auto"/>
              <w:right w:val="single" w:sz="4" w:space="0" w:color="auto"/>
            </w:tcBorders>
            <w:shd w:val="clear" w:color="auto" w:fill="auto"/>
            <w:noWrap/>
            <w:vAlign w:val="bottom"/>
            <w:hideMark/>
          </w:tcPr>
          <w:p w14:paraId="74558ECE" w14:textId="1A76CAA7"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115462C2" w14:textId="447B6A1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6D5D71EF" w14:textId="3DA1E0FD"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E8C646" w14:textId="09BAE8CF"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486555</w:t>
            </w:r>
          </w:p>
        </w:tc>
      </w:tr>
      <w:tr w:rsidR="00EE4051" w14:paraId="33CA031E"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9A3ABC6" w14:textId="62FDC953"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tetrachloroethylene</w:t>
            </w:r>
          </w:p>
        </w:tc>
        <w:tc>
          <w:tcPr>
            <w:tcW w:w="720" w:type="dxa"/>
            <w:tcBorders>
              <w:top w:val="nil"/>
              <w:left w:val="nil"/>
              <w:bottom w:val="single" w:sz="4" w:space="0" w:color="auto"/>
              <w:right w:val="nil"/>
            </w:tcBorders>
            <w:shd w:val="clear" w:color="auto" w:fill="auto"/>
            <w:noWrap/>
            <w:vAlign w:val="bottom"/>
            <w:hideMark/>
          </w:tcPr>
          <w:p w14:paraId="67018D3D" w14:textId="444D1C03"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0.014</w:t>
            </w:r>
          </w:p>
        </w:tc>
        <w:tc>
          <w:tcPr>
            <w:tcW w:w="694" w:type="dxa"/>
            <w:tcBorders>
              <w:top w:val="nil"/>
              <w:left w:val="nil"/>
              <w:bottom w:val="single" w:sz="4" w:space="0" w:color="auto"/>
              <w:right w:val="single" w:sz="8" w:space="0" w:color="auto"/>
            </w:tcBorders>
            <w:shd w:val="clear" w:color="auto" w:fill="auto"/>
            <w:noWrap/>
            <w:vAlign w:val="bottom"/>
            <w:hideMark/>
          </w:tcPr>
          <w:p w14:paraId="419453D9" w14:textId="5947E25B"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72617AE1" w14:textId="302111F2"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6</w:t>
            </w:r>
          </w:p>
        </w:tc>
        <w:tc>
          <w:tcPr>
            <w:tcW w:w="1534" w:type="dxa"/>
            <w:tcBorders>
              <w:top w:val="nil"/>
              <w:left w:val="nil"/>
              <w:bottom w:val="single" w:sz="4" w:space="0" w:color="auto"/>
              <w:right w:val="single" w:sz="4" w:space="0" w:color="auto"/>
            </w:tcBorders>
            <w:shd w:val="clear" w:color="auto" w:fill="auto"/>
            <w:noWrap/>
            <w:vAlign w:val="bottom"/>
            <w:hideMark/>
          </w:tcPr>
          <w:p w14:paraId="20B3FBC8" w14:textId="2745F1A2"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33CEECD1" w14:textId="41273D6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245FDA81" w14:textId="34C6D498"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4E52C5" w14:textId="2456A6DA"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440</w:t>
            </w:r>
          </w:p>
        </w:tc>
      </w:tr>
      <w:tr w:rsidR="00EE4051" w14:paraId="6A25258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7E66E89" w14:textId="1406334F"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toluene</w:t>
            </w:r>
          </w:p>
        </w:tc>
        <w:tc>
          <w:tcPr>
            <w:tcW w:w="720" w:type="dxa"/>
            <w:tcBorders>
              <w:top w:val="nil"/>
              <w:left w:val="nil"/>
              <w:bottom w:val="single" w:sz="4" w:space="0" w:color="auto"/>
              <w:right w:val="nil"/>
            </w:tcBorders>
            <w:shd w:val="clear" w:color="auto" w:fill="auto"/>
            <w:noWrap/>
            <w:vAlign w:val="bottom"/>
            <w:hideMark/>
          </w:tcPr>
          <w:p w14:paraId="0E2B7968" w14:textId="75098E76"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0.191</w:t>
            </w:r>
          </w:p>
        </w:tc>
        <w:tc>
          <w:tcPr>
            <w:tcW w:w="694" w:type="dxa"/>
            <w:tcBorders>
              <w:top w:val="nil"/>
              <w:left w:val="nil"/>
              <w:bottom w:val="single" w:sz="4" w:space="0" w:color="auto"/>
              <w:right w:val="single" w:sz="8" w:space="0" w:color="auto"/>
            </w:tcBorders>
            <w:shd w:val="clear" w:color="auto" w:fill="auto"/>
            <w:noWrap/>
            <w:vAlign w:val="bottom"/>
            <w:hideMark/>
          </w:tcPr>
          <w:p w14:paraId="34DD3305" w14:textId="6397828C"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24FB0F0D" w14:textId="0B4267E1"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2,000</w:t>
            </w:r>
          </w:p>
        </w:tc>
        <w:tc>
          <w:tcPr>
            <w:tcW w:w="1534" w:type="dxa"/>
            <w:tcBorders>
              <w:top w:val="nil"/>
              <w:left w:val="nil"/>
              <w:bottom w:val="single" w:sz="4" w:space="0" w:color="auto"/>
              <w:right w:val="single" w:sz="4" w:space="0" w:color="auto"/>
            </w:tcBorders>
            <w:shd w:val="clear" w:color="auto" w:fill="auto"/>
            <w:noWrap/>
            <w:vAlign w:val="bottom"/>
            <w:hideMark/>
          </w:tcPr>
          <w:p w14:paraId="4E7D1D18" w14:textId="13B17CC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30D2047A" w14:textId="5AF3BAF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4027F3C" w14:textId="6DE315DE"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D7DC23" w14:textId="6ED5B0E9" w:rsidR="00C5581E" w:rsidRDefault="00C5581E" w:rsidP="00093F1B">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10471</w:t>
            </w:r>
          </w:p>
        </w:tc>
      </w:tr>
      <w:tr w:rsidR="00E6321C" w14:paraId="380BE74E" w14:textId="77777777" w:rsidTr="00377278">
        <w:trPr>
          <w:trHeight w:val="145"/>
        </w:trPr>
        <w:tc>
          <w:tcPr>
            <w:tcW w:w="10201"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1E4F807" w14:textId="6434298D" w:rsidR="000A2143" w:rsidRPr="00C5581E" w:rsidRDefault="007A6E3B" w:rsidP="00C5581E">
            <w:pPr>
              <w:keepNext/>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Detected Chemicals without Screening Values</w:t>
            </w:r>
          </w:p>
        </w:tc>
      </w:tr>
      <w:tr w:rsidR="00761D69" w14:paraId="5970D84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84B05BB" w14:textId="0164F8F5" w:rsidR="00686B91" w:rsidRDefault="00686B91" w:rsidP="00686B91">
            <w:pPr>
              <w:keepNext/>
              <w:spacing w:after="0" w:line="240" w:lineRule="auto"/>
              <w:rPr>
                <w:rFonts w:ascii="Calibri" w:hAnsi="Calibri" w:cs="Calibri"/>
                <w:color w:val="000000"/>
                <w:sz w:val="20"/>
                <w:szCs w:val="20"/>
              </w:rPr>
            </w:pPr>
            <w:r>
              <w:rPr>
                <w:rFonts w:ascii="Calibri" w:hAnsi="Calibri" w:cs="Calibri"/>
                <w:color w:val="000000"/>
                <w:sz w:val="20"/>
                <w:szCs w:val="20"/>
              </w:rPr>
              <w:t>butane</w:t>
            </w:r>
          </w:p>
        </w:tc>
        <w:tc>
          <w:tcPr>
            <w:tcW w:w="720" w:type="dxa"/>
            <w:tcBorders>
              <w:top w:val="nil"/>
              <w:left w:val="nil"/>
              <w:bottom w:val="single" w:sz="4" w:space="0" w:color="auto"/>
              <w:right w:val="nil"/>
            </w:tcBorders>
            <w:shd w:val="clear" w:color="auto" w:fill="auto"/>
            <w:noWrap/>
            <w:vAlign w:val="bottom"/>
          </w:tcPr>
          <w:p w14:paraId="6127A95A" w14:textId="19AF85C7" w:rsidR="00686B91" w:rsidRDefault="00686B91" w:rsidP="00686B91">
            <w:pPr>
              <w:keepNext/>
              <w:spacing w:after="0" w:line="240" w:lineRule="auto"/>
              <w:jc w:val="right"/>
              <w:rPr>
                <w:rFonts w:ascii="Calibri" w:hAnsi="Calibri" w:cs="Calibri"/>
                <w:color w:val="000000"/>
                <w:sz w:val="20"/>
                <w:szCs w:val="20"/>
              </w:rPr>
            </w:pPr>
            <w:r>
              <w:rPr>
                <w:rFonts w:ascii="Calibri" w:hAnsi="Calibri" w:cs="Calibri"/>
                <w:color w:val="000000"/>
                <w:sz w:val="20"/>
                <w:szCs w:val="20"/>
              </w:rPr>
              <w:t>3.468</w:t>
            </w:r>
          </w:p>
        </w:tc>
        <w:tc>
          <w:tcPr>
            <w:tcW w:w="694" w:type="dxa"/>
            <w:tcBorders>
              <w:top w:val="nil"/>
              <w:left w:val="nil"/>
              <w:bottom w:val="single" w:sz="4" w:space="0" w:color="auto"/>
              <w:right w:val="single" w:sz="8" w:space="0" w:color="auto"/>
            </w:tcBorders>
            <w:shd w:val="clear" w:color="auto" w:fill="auto"/>
            <w:noWrap/>
            <w:vAlign w:val="bottom"/>
          </w:tcPr>
          <w:p w14:paraId="4998DA68" w14:textId="77777777" w:rsidR="00686B91" w:rsidRDefault="00686B91" w:rsidP="00686B91">
            <w:pPr>
              <w:keepNext/>
              <w:spacing w:after="0" w:line="240" w:lineRule="auto"/>
              <w:rPr>
                <w:rFonts w:ascii="Calibri" w:hAnsi="Calibri" w:cs="Calibri"/>
                <w:color w:val="000000"/>
                <w:sz w:val="14"/>
                <w:szCs w:val="14"/>
              </w:rPr>
            </w:pPr>
          </w:p>
        </w:tc>
        <w:tc>
          <w:tcPr>
            <w:tcW w:w="1107" w:type="dxa"/>
            <w:tcBorders>
              <w:top w:val="nil"/>
              <w:left w:val="nil"/>
              <w:bottom w:val="single" w:sz="4" w:space="0" w:color="auto"/>
              <w:right w:val="single" w:sz="4" w:space="0" w:color="auto"/>
            </w:tcBorders>
            <w:shd w:val="clear" w:color="auto" w:fill="auto"/>
            <w:noWrap/>
            <w:vAlign w:val="bottom"/>
          </w:tcPr>
          <w:p w14:paraId="07FF932A" w14:textId="77777777" w:rsidR="00686B91" w:rsidRDefault="00686B91" w:rsidP="00686B91">
            <w:pPr>
              <w:keepNext/>
              <w:spacing w:after="0" w:line="240" w:lineRule="auto"/>
              <w:jc w:val="center"/>
              <w:rPr>
                <w:rFonts w:ascii="Calibri" w:hAnsi="Calibri" w:cs="Calibri"/>
                <w:color w:val="000000"/>
                <w:sz w:val="20"/>
                <w:szCs w:val="20"/>
              </w:rPr>
            </w:pPr>
          </w:p>
        </w:tc>
        <w:tc>
          <w:tcPr>
            <w:tcW w:w="1534" w:type="dxa"/>
            <w:tcBorders>
              <w:top w:val="nil"/>
              <w:left w:val="nil"/>
              <w:bottom w:val="single" w:sz="4" w:space="0" w:color="auto"/>
              <w:right w:val="single" w:sz="4" w:space="0" w:color="auto"/>
            </w:tcBorders>
            <w:shd w:val="clear" w:color="auto" w:fill="auto"/>
            <w:noWrap/>
            <w:vAlign w:val="bottom"/>
          </w:tcPr>
          <w:p w14:paraId="72BD5B64" w14:textId="77777777" w:rsidR="00686B91" w:rsidRDefault="00686B91" w:rsidP="00686B91">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tcPr>
          <w:p w14:paraId="656800D0" w14:textId="77777777" w:rsidR="00686B91" w:rsidRDefault="00686B91" w:rsidP="00686B91">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tcPr>
          <w:p w14:paraId="61F42492" w14:textId="77777777" w:rsidR="00686B91" w:rsidRDefault="00686B91" w:rsidP="00686B91">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6E2BDC4A" w14:textId="77777777" w:rsidR="00686B91" w:rsidRDefault="00686B91" w:rsidP="00686B91">
            <w:pPr>
              <w:keepNext/>
              <w:spacing w:after="0" w:line="240" w:lineRule="auto"/>
              <w:jc w:val="center"/>
              <w:rPr>
                <w:rFonts w:ascii="Calibri" w:eastAsia="Times New Roman" w:hAnsi="Calibri" w:cs="Calibri"/>
                <w:color w:val="000000"/>
                <w:kern w:val="0"/>
                <w:sz w:val="20"/>
                <w:szCs w:val="20"/>
                <w14:ligatures w14:val="none"/>
              </w:rPr>
            </w:pPr>
          </w:p>
        </w:tc>
      </w:tr>
      <w:tr w:rsidR="00EE4051" w14:paraId="4E33E8B7"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E1D546E" w14:textId="57ABBC94"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1-butene</w:t>
            </w:r>
          </w:p>
        </w:tc>
        <w:tc>
          <w:tcPr>
            <w:tcW w:w="720" w:type="dxa"/>
            <w:tcBorders>
              <w:top w:val="nil"/>
              <w:left w:val="nil"/>
              <w:bottom w:val="single" w:sz="4" w:space="0" w:color="auto"/>
              <w:right w:val="nil"/>
            </w:tcBorders>
            <w:shd w:val="clear" w:color="auto" w:fill="auto"/>
            <w:noWrap/>
            <w:vAlign w:val="bottom"/>
            <w:hideMark/>
          </w:tcPr>
          <w:p w14:paraId="363CD621" w14:textId="06AE9213"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7.594</w:t>
            </w:r>
          </w:p>
        </w:tc>
        <w:tc>
          <w:tcPr>
            <w:tcW w:w="694" w:type="dxa"/>
            <w:tcBorders>
              <w:top w:val="nil"/>
              <w:left w:val="nil"/>
              <w:bottom w:val="single" w:sz="4" w:space="0" w:color="auto"/>
              <w:right w:val="single" w:sz="8" w:space="0" w:color="auto"/>
            </w:tcBorders>
            <w:shd w:val="clear" w:color="auto" w:fill="auto"/>
            <w:noWrap/>
            <w:vAlign w:val="bottom"/>
            <w:hideMark/>
          </w:tcPr>
          <w:p w14:paraId="56EF857B" w14:textId="50047AA6"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3DE0A330" w14:textId="381E42F1"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6DE14AAA" w14:textId="6B2E67C2"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76FA60FA" w14:textId="6E4F6EE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7E675585" w14:textId="785F0782"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48D583" w14:textId="70AFF3D8"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58A48E1D"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873A46D" w14:textId="58DEB71B"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2,2,4-trimethylpentane</w:t>
            </w:r>
          </w:p>
        </w:tc>
        <w:tc>
          <w:tcPr>
            <w:tcW w:w="720" w:type="dxa"/>
            <w:tcBorders>
              <w:top w:val="nil"/>
              <w:left w:val="nil"/>
              <w:bottom w:val="single" w:sz="4" w:space="0" w:color="auto"/>
              <w:right w:val="nil"/>
            </w:tcBorders>
            <w:shd w:val="clear" w:color="auto" w:fill="auto"/>
            <w:noWrap/>
            <w:vAlign w:val="bottom"/>
            <w:hideMark/>
          </w:tcPr>
          <w:p w14:paraId="4777AB4F" w14:textId="2E3FBD7D"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0.110</w:t>
            </w:r>
          </w:p>
        </w:tc>
        <w:tc>
          <w:tcPr>
            <w:tcW w:w="694" w:type="dxa"/>
            <w:tcBorders>
              <w:top w:val="nil"/>
              <w:left w:val="nil"/>
              <w:bottom w:val="single" w:sz="4" w:space="0" w:color="auto"/>
              <w:right w:val="single" w:sz="8" w:space="0" w:color="auto"/>
            </w:tcBorders>
            <w:shd w:val="clear" w:color="auto" w:fill="auto"/>
            <w:noWrap/>
            <w:vAlign w:val="bottom"/>
            <w:hideMark/>
          </w:tcPr>
          <w:p w14:paraId="54F3DB00" w14:textId="04ACCCAC"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2A257F05" w14:textId="1EA96437"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7B86AB7E" w14:textId="292A9BC8"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786E0851" w14:textId="62A71A4D"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3041FBE5" w14:textId="3FA8E33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694C64" w14:textId="4D21E716"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748D88F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BECDD0E" w14:textId="62956D5C"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alpha-pinene</w:t>
            </w:r>
          </w:p>
        </w:tc>
        <w:tc>
          <w:tcPr>
            <w:tcW w:w="720" w:type="dxa"/>
            <w:tcBorders>
              <w:top w:val="nil"/>
              <w:left w:val="nil"/>
              <w:bottom w:val="single" w:sz="4" w:space="0" w:color="auto"/>
              <w:right w:val="nil"/>
            </w:tcBorders>
            <w:shd w:val="clear" w:color="auto" w:fill="auto"/>
            <w:noWrap/>
            <w:vAlign w:val="bottom"/>
            <w:hideMark/>
          </w:tcPr>
          <w:p w14:paraId="08E938DB" w14:textId="78173617"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0.016</w:t>
            </w:r>
          </w:p>
        </w:tc>
        <w:tc>
          <w:tcPr>
            <w:tcW w:w="694" w:type="dxa"/>
            <w:tcBorders>
              <w:top w:val="nil"/>
              <w:left w:val="nil"/>
              <w:bottom w:val="single" w:sz="4" w:space="0" w:color="auto"/>
              <w:right w:val="single" w:sz="8" w:space="0" w:color="auto"/>
            </w:tcBorders>
            <w:shd w:val="clear" w:color="auto" w:fill="auto"/>
            <w:noWrap/>
            <w:vAlign w:val="bottom"/>
            <w:hideMark/>
          </w:tcPr>
          <w:p w14:paraId="7636EA12" w14:textId="1561AF41"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33BE9D71" w14:textId="42133ECF"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32AAB6EB" w14:textId="28AB079E"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5A38180E" w14:textId="444FFCF5"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34FFC440" w14:textId="4BA8248F"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18AC0E" w14:textId="0C8F6ED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1BF745D8"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4CD9EC3" w14:textId="2F561022" w:rsidR="00C5581E" w:rsidRDefault="00C5581E" w:rsidP="00C5581E">
            <w:pPr>
              <w:keepNext/>
              <w:spacing w:after="0" w:line="240" w:lineRule="auto"/>
              <w:rPr>
                <w:rFonts w:ascii="Calibri" w:eastAsia="Times New Roman" w:hAnsi="Calibri" w:cs="Calibri"/>
                <w:color w:val="000000"/>
                <w:kern w:val="0"/>
                <w:sz w:val="20"/>
                <w:szCs w:val="20"/>
                <w14:ligatures w14:val="none"/>
              </w:rPr>
            </w:pPr>
            <w:proofErr w:type="spellStart"/>
            <w:r>
              <w:rPr>
                <w:rFonts w:ascii="Calibri" w:hAnsi="Calibri" w:cs="Calibri"/>
                <w:color w:val="000000"/>
                <w:sz w:val="20"/>
                <w:szCs w:val="20"/>
              </w:rPr>
              <w:t>bromofluorobenzene</w:t>
            </w:r>
            <w:proofErr w:type="spellEnd"/>
          </w:p>
        </w:tc>
        <w:tc>
          <w:tcPr>
            <w:tcW w:w="720" w:type="dxa"/>
            <w:tcBorders>
              <w:top w:val="nil"/>
              <w:left w:val="nil"/>
              <w:bottom w:val="single" w:sz="4" w:space="0" w:color="auto"/>
              <w:right w:val="nil"/>
            </w:tcBorders>
            <w:shd w:val="clear" w:color="auto" w:fill="auto"/>
            <w:noWrap/>
            <w:vAlign w:val="bottom"/>
            <w:hideMark/>
          </w:tcPr>
          <w:p w14:paraId="0F50900F" w14:textId="57264402"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105.2</w:t>
            </w:r>
          </w:p>
        </w:tc>
        <w:tc>
          <w:tcPr>
            <w:tcW w:w="694" w:type="dxa"/>
            <w:tcBorders>
              <w:top w:val="nil"/>
              <w:left w:val="nil"/>
              <w:bottom w:val="single" w:sz="4" w:space="0" w:color="auto"/>
              <w:right w:val="single" w:sz="8" w:space="0" w:color="auto"/>
            </w:tcBorders>
            <w:shd w:val="clear" w:color="auto" w:fill="auto"/>
            <w:noWrap/>
            <w:vAlign w:val="bottom"/>
            <w:hideMark/>
          </w:tcPr>
          <w:p w14:paraId="20B3549C" w14:textId="4D81AAB1"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1AC1B140" w14:textId="3A0226FF"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13B9B028" w14:textId="759B453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55A7A215" w14:textId="60BAD0B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1B01D846" w14:textId="79E56A1F"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D2A456" w14:textId="71251434"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2C390383"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83F37B2" w14:textId="08BDCCD8"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Freon-12</w:t>
            </w:r>
          </w:p>
        </w:tc>
        <w:tc>
          <w:tcPr>
            <w:tcW w:w="720" w:type="dxa"/>
            <w:tcBorders>
              <w:top w:val="nil"/>
              <w:left w:val="nil"/>
              <w:bottom w:val="single" w:sz="4" w:space="0" w:color="auto"/>
              <w:right w:val="nil"/>
            </w:tcBorders>
            <w:shd w:val="clear" w:color="auto" w:fill="auto"/>
            <w:noWrap/>
            <w:vAlign w:val="bottom"/>
            <w:hideMark/>
          </w:tcPr>
          <w:p w14:paraId="2C48ABC4" w14:textId="5C2A6969"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0.504</w:t>
            </w:r>
          </w:p>
        </w:tc>
        <w:tc>
          <w:tcPr>
            <w:tcW w:w="694" w:type="dxa"/>
            <w:tcBorders>
              <w:top w:val="nil"/>
              <w:left w:val="nil"/>
              <w:bottom w:val="single" w:sz="4" w:space="0" w:color="auto"/>
              <w:right w:val="single" w:sz="8" w:space="0" w:color="auto"/>
            </w:tcBorders>
            <w:shd w:val="clear" w:color="auto" w:fill="auto"/>
            <w:noWrap/>
            <w:vAlign w:val="bottom"/>
            <w:hideMark/>
          </w:tcPr>
          <w:p w14:paraId="7AF23AAB" w14:textId="3A83792E"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39C1A25D" w14:textId="269B4AB5"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547EA785" w14:textId="3685134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19ED7C13" w14:textId="2A41D63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46BDA7D0" w14:textId="3AC42877"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DBB844" w14:textId="12513C51"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5DC7B16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2488757" w14:textId="40B1A27C"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trichlorofluoromethane</w:t>
            </w:r>
          </w:p>
        </w:tc>
        <w:tc>
          <w:tcPr>
            <w:tcW w:w="720" w:type="dxa"/>
            <w:tcBorders>
              <w:top w:val="nil"/>
              <w:left w:val="nil"/>
              <w:bottom w:val="single" w:sz="4" w:space="0" w:color="auto"/>
              <w:right w:val="nil"/>
            </w:tcBorders>
            <w:shd w:val="clear" w:color="auto" w:fill="auto"/>
            <w:noWrap/>
            <w:vAlign w:val="bottom"/>
            <w:hideMark/>
          </w:tcPr>
          <w:p w14:paraId="537CEAC6" w14:textId="6E78B8B4"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0.213</w:t>
            </w:r>
          </w:p>
        </w:tc>
        <w:tc>
          <w:tcPr>
            <w:tcW w:w="694" w:type="dxa"/>
            <w:tcBorders>
              <w:top w:val="nil"/>
              <w:left w:val="nil"/>
              <w:bottom w:val="single" w:sz="4" w:space="0" w:color="auto"/>
              <w:right w:val="single" w:sz="8" w:space="0" w:color="auto"/>
            </w:tcBorders>
            <w:shd w:val="clear" w:color="auto" w:fill="auto"/>
            <w:noWrap/>
            <w:vAlign w:val="bottom"/>
            <w:hideMark/>
          </w:tcPr>
          <w:p w14:paraId="7A47836B" w14:textId="093D28A1" w:rsidR="00C5581E" w:rsidRDefault="00C5581E" w:rsidP="00C5581E">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14"/>
                <w:szCs w:val="14"/>
              </w:rPr>
              <w:t> </w:t>
            </w:r>
          </w:p>
        </w:tc>
        <w:tc>
          <w:tcPr>
            <w:tcW w:w="1107" w:type="dxa"/>
            <w:tcBorders>
              <w:top w:val="nil"/>
              <w:left w:val="nil"/>
              <w:bottom w:val="single" w:sz="4" w:space="0" w:color="auto"/>
              <w:right w:val="single" w:sz="4" w:space="0" w:color="auto"/>
            </w:tcBorders>
            <w:shd w:val="clear" w:color="auto" w:fill="auto"/>
            <w:noWrap/>
            <w:vAlign w:val="bottom"/>
            <w:hideMark/>
          </w:tcPr>
          <w:p w14:paraId="2489A9BE" w14:textId="2E34871F"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504199E4" w14:textId="5183B628"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7FB99EAF" w14:textId="44F0085A"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0F099E22" w14:textId="477D4D25"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0429E2" w14:textId="2D05663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p>
        </w:tc>
      </w:tr>
      <w:tr w:rsidR="00E6321C" w14:paraId="1D61FF63" w14:textId="77777777" w:rsidTr="00377278">
        <w:trPr>
          <w:trHeight w:val="145"/>
        </w:trPr>
        <w:tc>
          <w:tcPr>
            <w:tcW w:w="10201" w:type="dxa"/>
            <w:gridSpan w:val="10"/>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6EA80F4" w14:textId="62D9259D" w:rsidR="00C5581E" w:rsidRPr="00C5581E" w:rsidRDefault="5E5210CB" w:rsidP="00C5581E">
            <w:pPr>
              <w:keepNext/>
              <w:spacing w:after="0" w:line="240" w:lineRule="auto"/>
              <w:jc w:val="center"/>
              <w:rPr>
                <w:rFonts w:ascii="Calibri" w:hAnsi="Calibri" w:cs="Calibri"/>
                <w:b/>
                <w:bCs/>
                <w:color w:val="000000"/>
                <w:sz w:val="20"/>
                <w:szCs w:val="20"/>
              </w:rPr>
            </w:pPr>
            <w:r w:rsidRPr="77E3E854">
              <w:rPr>
                <w:rFonts w:ascii="Calibri" w:hAnsi="Calibri" w:cs="Calibri"/>
                <w:b/>
                <w:bCs/>
                <w:color w:val="000000" w:themeColor="text1"/>
                <w:sz w:val="20"/>
                <w:szCs w:val="20"/>
              </w:rPr>
              <w:t>Chemicals</w:t>
            </w:r>
            <w:r w:rsidR="76F6BFED" w:rsidRPr="5B0AACBF">
              <w:rPr>
                <w:rFonts w:ascii="Calibri" w:hAnsi="Calibri" w:cs="Calibri"/>
                <w:b/>
                <w:bCs/>
                <w:color w:val="000000" w:themeColor="text1"/>
                <w:sz w:val="20"/>
                <w:szCs w:val="20"/>
              </w:rPr>
              <w:t xml:space="preserve"> Below Method Detection Limits or Method Reporting Limits </w:t>
            </w:r>
          </w:p>
        </w:tc>
      </w:tr>
      <w:tr w:rsidR="00EE4051" w14:paraId="57451C23"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0ED57EA" w14:textId="7853BA98"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1,1-dichloroethane</w:t>
            </w:r>
          </w:p>
        </w:tc>
        <w:tc>
          <w:tcPr>
            <w:tcW w:w="720" w:type="dxa"/>
            <w:tcBorders>
              <w:top w:val="nil"/>
              <w:left w:val="nil"/>
              <w:bottom w:val="single" w:sz="4" w:space="0" w:color="auto"/>
              <w:right w:val="nil"/>
            </w:tcBorders>
            <w:shd w:val="clear" w:color="auto" w:fill="auto"/>
            <w:noWrap/>
            <w:vAlign w:val="bottom"/>
            <w:hideMark/>
          </w:tcPr>
          <w:p w14:paraId="3C529F40" w14:textId="55090953"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0.001</w:t>
            </w:r>
          </w:p>
        </w:tc>
        <w:tc>
          <w:tcPr>
            <w:tcW w:w="694" w:type="dxa"/>
            <w:tcBorders>
              <w:top w:val="nil"/>
              <w:left w:val="nil"/>
              <w:bottom w:val="single" w:sz="4" w:space="0" w:color="auto"/>
              <w:right w:val="single" w:sz="8" w:space="0" w:color="auto"/>
            </w:tcBorders>
            <w:shd w:val="clear" w:color="auto" w:fill="auto"/>
            <w:noWrap/>
            <w:vAlign w:val="bottom"/>
            <w:hideMark/>
          </w:tcPr>
          <w:p w14:paraId="48B41BAA" w14:textId="5D038047"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40961230" w14:textId="0E60CBAC"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0.44</w:t>
            </w:r>
          </w:p>
        </w:tc>
        <w:tc>
          <w:tcPr>
            <w:tcW w:w="1534" w:type="dxa"/>
            <w:tcBorders>
              <w:top w:val="nil"/>
              <w:left w:val="nil"/>
              <w:bottom w:val="single" w:sz="4" w:space="0" w:color="auto"/>
              <w:right w:val="single" w:sz="4" w:space="0" w:color="auto"/>
            </w:tcBorders>
            <w:shd w:val="clear" w:color="auto" w:fill="auto"/>
            <w:noWrap/>
            <w:vAlign w:val="bottom"/>
            <w:hideMark/>
          </w:tcPr>
          <w:p w14:paraId="58449593" w14:textId="7FDDE180"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5A2B15F2" w14:textId="7153E72B"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41F5D42F" w14:textId="163201A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D9DECD" w14:textId="2341133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305</w:t>
            </w:r>
          </w:p>
        </w:tc>
      </w:tr>
      <w:tr w:rsidR="00EE4051" w14:paraId="6A354391"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48EE3DD2" w14:textId="128B01E5"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1,1-dichloroethene</w:t>
            </w:r>
          </w:p>
        </w:tc>
        <w:tc>
          <w:tcPr>
            <w:tcW w:w="720" w:type="dxa"/>
            <w:tcBorders>
              <w:top w:val="nil"/>
              <w:left w:val="nil"/>
              <w:bottom w:val="single" w:sz="4" w:space="0" w:color="auto"/>
              <w:right w:val="nil"/>
            </w:tcBorders>
            <w:shd w:val="clear" w:color="auto" w:fill="auto"/>
            <w:noWrap/>
            <w:vAlign w:val="bottom"/>
          </w:tcPr>
          <w:p w14:paraId="76C6852A" w14:textId="79D46AA8" w:rsidR="00E20538" w:rsidRDefault="00E20538" w:rsidP="00E20538">
            <w:pPr>
              <w:keepNext/>
              <w:spacing w:after="0" w:line="240" w:lineRule="auto"/>
              <w:jc w:val="right"/>
              <w:rPr>
                <w:rFonts w:ascii="Calibri" w:hAnsi="Calibri" w:cs="Calibri"/>
                <w:color w:val="000000"/>
                <w:sz w:val="20"/>
                <w:szCs w:val="20"/>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tcPr>
          <w:p w14:paraId="38EFA155" w14:textId="650C9F46"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tcPr>
          <w:p w14:paraId="5C0D0422" w14:textId="30471E2B" w:rsidR="00E20538" w:rsidRDefault="00E20538" w:rsidP="00E20538">
            <w:pPr>
              <w:keepNext/>
              <w:spacing w:after="0" w:line="240" w:lineRule="auto"/>
              <w:jc w:val="center"/>
              <w:rPr>
                <w:rFonts w:ascii="Calibri" w:hAnsi="Calibri" w:cs="Calibri"/>
                <w:color w:val="000000"/>
                <w:sz w:val="20"/>
                <w:szCs w:val="20"/>
              </w:rPr>
            </w:pPr>
            <w:r>
              <w:rPr>
                <w:rFonts w:ascii="Calibri" w:hAnsi="Calibri" w:cs="Calibri"/>
                <w:color w:val="000000"/>
                <w:sz w:val="20"/>
                <w:szCs w:val="20"/>
              </w:rPr>
              <w:t>1</w:t>
            </w:r>
          </w:p>
        </w:tc>
        <w:tc>
          <w:tcPr>
            <w:tcW w:w="1534" w:type="dxa"/>
            <w:tcBorders>
              <w:top w:val="nil"/>
              <w:left w:val="nil"/>
              <w:bottom w:val="single" w:sz="4" w:space="0" w:color="auto"/>
              <w:right w:val="single" w:sz="4" w:space="0" w:color="auto"/>
            </w:tcBorders>
            <w:shd w:val="clear" w:color="auto" w:fill="auto"/>
            <w:noWrap/>
            <w:vAlign w:val="bottom"/>
          </w:tcPr>
          <w:p w14:paraId="7A64666A" w14:textId="335D1404"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tcPr>
          <w:p w14:paraId="78B9D715" w14:textId="14D5A05E"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0C7D3419" w14:textId="6275F17D"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3A44531D" w14:textId="7E20E182" w:rsidR="00E20538" w:rsidRDefault="00E20538" w:rsidP="002B681E">
            <w:pPr>
              <w:keepNext/>
              <w:spacing w:after="0" w:line="240" w:lineRule="auto"/>
              <w:jc w:val="center"/>
              <w:rPr>
                <w:rFonts w:ascii="Calibri" w:hAnsi="Calibri" w:cs="Calibri"/>
                <w:color w:val="000000"/>
                <w:sz w:val="20"/>
                <w:szCs w:val="20"/>
              </w:rPr>
            </w:pPr>
          </w:p>
        </w:tc>
      </w:tr>
      <w:tr w:rsidR="00EE4051" w14:paraId="3796D85B"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155575D" w14:textId="6E9C5AEA"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1,1,1-trichloroethane</w:t>
            </w:r>
          </w:p>
        </w:tc>
        <w:tc>
          <w:tcPr>
            <w:tcW w:w="720" w:type="dxa"/>
            <w:tcBorders>
              <w:top w:val="nil"/>
              <w:left w:val="nil"/>
              <w:bottom w:val="single" w:sz="4" w:space="0" w:color="auto"/>
              <w:right w:val="nil"/>
            </w:tcBorders>
            <w:shd w:val="clear" w:color="auto" w:fill="auto"/>
            <w:noWrap/>
            <w:vAlign w:val="bottom"/>
            <w:hideMark/>
          </w:tcPr>
          <w:p w14:paraId="12054CCD" w14:textId="0B56FF97" w:rsidR="00C5581E" w:rsidRDefault="00C5581E" w:rsidP="00C5581E">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0.002</w:t>
            </w:r>
          </w:p>
        </w:tc>
        <w:tc>
          <w:tcPr>
            <w:tcW w:w="694" w:type="dxa"/>
            <w:tcBorders>
              <w:top w:val="nil"/>
              <w:left w:val="nil"/>
              <w:bottom w:val="single" w:sz="4" w:space="0" w:color="auto"/>
              <w:right w:val="single" w:sz="8" w:space="0" w:color="auto"/>
            </w:tcBorders>
            <w:shd w:val="clear" w:color="auto" w:fill="auto"/>
            <w:noWrap/>
            <w:vAlign w:val="bottom"/>
            <w:hideMark/>
          </w:tcPr>
          <w:p w14:paraId="706008EB" w14:textId="1B0066A3" w:rsidR="00C5581E" w:rsidRDefault="00C5581E" w:rsidP="00C5581E">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2F432545" w14:textId="12EB0F03" w:rsidR="00C5581E" w:rsidRDefault="00C5581E" w:rsidP="00C55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1,000</w:t>
            </w:r>
          </w:p>
        </w:tc>
        <w:tc>
          <w:tcPr>
            <w:tcW w:w="1534" w:type="dxa"/>
            <w:tcBorders>
              <w:top w:val="nil"/>
              <w:left w:val="nil"/>
              <w:bottom w:val="single" w:sz="4" w:space="0" w:color="auto"/>
              <w:right w:val="single" w:sz="4" w:space="0" w:color="auto"/>
            </w:tcBorders>
            <w:shd w:val="clear" w:color="auto" w:fill="auto"/>
            <w:noWrap/>
            <w:vAlign w:val="bottom"/>
            <w:hideMark/>
          </w:tcPr>
          <w:p w14:paraId="3DF99252" w14:textId="7754AB2C"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2A6F2DDB" w14:textId="235BB419"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63EEAC7" w14:textId="2878293F"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C17AF5" w14:textId="51E10683" w:rsidR="00C5581E" w:rsidRDefault="00C5581E"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585179</w:t>
            </w:r>
          </w:p>
        </w:tc>
      </w:tr>
      <w:tr w:rsidR="00EE4051" w14:paraId="68B4846A"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283B31BE" w14:textId="725B4D9A"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1,1,1,2-tetrachloroethane</w:t>
            </w:r>
          </w:p>
        </w:tc>
        <w:tc>
          <w:tcPr>
            <w:tcW w:w="720" w:type="dxa"/>
            <w:tcBorders>
              <w:top w:val="nil"/>
              <w:left w:val="nil"/>
              <w:bottom w:val="single" w:sz="4" w:space="0" w:color="auto"/>
              <w:right w:val="nil"/>
            </w:tcBorders>
            <w:shd w:val="clear" w:color="auto" w:fill="auto"/>
            <w:noWrap/>
            <w:vAlign w:val="bottom"/>
          </w:tcPr>
          <w:p w14:paraId="01F01DB2" w14:textId="33BCFA44" w:rsidR="00E20538" w:rsidRDefault="00E20538" w:rsidP="00E20538">
            <w:pPr>
              <w:keepNext/>
              <w:spacing w:after="0" w:line="240" w:lineRule="auto"/>
              <w:jc w:val="right"/>
              <w:rPr>
                <w:rFonts w:ascii="Calibri" w:hAnsi="Calibri" w:cs="Calibri"/>
                <w:color w:val="000000"/>
                <w:sz w:val="20"/>
                <w:szCs w:val="20"/>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tcPr>
          <w:p w14:paraId="73AFD6B4" w14:textId="73D9DD24"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tcPr>
          <w:p w14:paraId="3BCCBB91" w14:textId="08059123" w:rsidR="00E20538" w:rsidRDefault="00E20538" w:rsidP="00E20538">
            <w:pPr>
              <w:keepNext/>
              <w:spacing w:after="0" w:line="240" w:lineRule="auto"/>
              <w:jc w:val="center"/>
              <w:rPr>
                <w:rFonts w:ascii="Calibri" w:hAnsi="Calibri" w:cs="Calibri"/>
                <w:color w:val="000000"/>
                <w:sz w:val="20"/>
                <w:szCs w:val="20"/>
              </w:rPr>
            </w:pPr>
            <w:r>
              <w:rPr>
                <w:rFonts w:ascii="Calibri" w:hAnsi="Calibri" w:cs="Calibri"/>
                <w:color w:val="000000"/>
                <w:sz w:val="20"/>
                <w:szCs w:val="20"/>
              </w:rPr>
              <w:t>0.02</w:t>
            </w:r>
          </w:p>
        </w:tc>
        <w:tc>
          <w:tcPr>
            <w:tcW w:w="1534" w:type="dxa"/>
            <w:tcBorders>
              <w:top w:val="nil"/>
              <w:left w:val="nil"/>
              <w:bottom w:val="single" w:sz="4" w:space="0" w:color="auto"/>
              <w:right w:val="single" w:sz="4" w:space="0" w:color="auto"/>
            </w:tcBorders>
            <w:shd w:val="clear" w:color="auto" w:fill="auto"/>
            <w:noWrap/>
            <w:vAlign w:val="bottom"/>
          </w:tcPr>
          <w:p w14:paraId="3844841D" w14:textId="4E783BBA"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ATSDR CREG</w:t>
            </w:r>
          </w:p>
        </w:tc>
        <w:tc>
          <w:tcPr>
            <w:tcW w:w="1350" w:type="dxa"/>
            <w:tcBorders>
              <w:top w:val="nil"/>
              <w:left w:val="nil"/>
              <w:bottom w:val="single" w:sz="4" w:space="0" w:color="auto"/>
              <w:right w:val="nil"/>
            </w:tcBorders>
            <w:shd w:val="clear" w:color="auto" w:fill="auto"/>
            <w:noWrap/>
            <w:vAlign w:val="bottom"/>
          </w:tcPr>
          <w:p w14:paraId="378D2F97" w14:textId="32B463AE"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3E6792A4" w14:textId="4D60D7E9"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26716ECD" w14:textId="75982004" w:rsidR="00E20538" w:rsidRDefault="00E20538" w:rsidP="002B681E">
            <w:pPr>
              <w:keepNext/>
              <w:spacing w:after="0" w:line="240" w:lineRule="auto"/>
              <w:jc w:val="center"/>
              <w:rPr>
                <w:rFonts w:ascii="Calibri" w:hAnsi="Calibri" w:cs="Calibri"/>
                <w:color w:val="000000"/>
                <w:sz w:val="20"/>
                <w:szCs w:val="20"/>
              </w:rPr>
            </w:pPr>
          </w:p>
        </w:tc>
      </w:tr>
      <w:tr w:rsidR="00EE4051" w14:paraId="46E515DB"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6383FE3C" w14:textId="23B4CF11"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1,1,2-trichloroethane</w:t>
            </w:r>
          </w:p>
        </w:tc>
        <w:tc>
          <w:tcPr>
            <w:tcW w:w="720" w:type="dxa"/>
            <w:tcBorders>
              <w:top w:val="nil"/>
              <w:left w:val="nil"/>
              <w:bottom w:val="single" w:sz="4" w:space="0" w:color="auto"/>
              <w:right w:val="nil"/>
            </w:tcBorders>
            <w:shd w:val="clear" w:color="auto" w:fill="auto"/>
            <w:noWrap/>
            <w:vAlign w:val="bottom"/>
          </w:tcPr>
          <w:p w14:paraId="59BD2D4B" w14:textId="6A787F16" w:rsidR="00E20538" w:rsidRDefault="00E20538" w:rsidP="00E20538">
            <w:pPr>
              <w:keepNext/>
              <w:spacing w:after="0" w:line="240" w:lineRule="auto"/>
              <w:jc w:val="right"/>
              <w:rPr>
                <w:rFonts w:ascii="Calibri" w:hAnsi="Calibri" w:cs="Calibri"/>
                <w:color w:val="000000"/>
                <w:sz w:val="20"/>
                <w:szCs w:val="20"/>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tcPr>
          <w:p w14:paraId="497F8CDB" w14:textId="2BB06CE0" w:rsidR="00E20538" w:rsidRDefault="00E20538" w:rsidP="00E20538">
            <w:pPr>
              <w:keepNext/>
              <w:spacing w:after="0" w:line="240" w:lineRule="auto"/>
              <w:rPr>
                <w:rFonts w:ascii="Calibri" w:hAnsi="Calibri" w:cs="Calibri"/>
                <w:color w:val="000000"/>
                <w:sz w:val="20"/>
                <w:szCs w:val="20"/>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tcPr>
          <w:p w14:paraId="3D4B9C01" w14:textId="2A4D86D9" w:rsidR="00E20538" w:rsidRDefault="00E20538" w:rsidP="00E20538">
            <w:pPr>
              <w:keepNext/>
              <w:spacing w:after="0" w:line="240" w:lineRule="auto"/>
              <w:jc w:val="center"/>
              <w:rPr>
                <w:rFonts w:ascii="Calibri" w:hAnsi="Calibri" w:cs="Calibri"/>
                <w:color w:val="000000"/>
                <w:sz w:val="20"/>
                <w:szCs w:val="20"/>
              </w:rPr>
            </w:pPr>
            <w:r>
              <w:rPr>
                <w:rFonts w:ascii="Calibri" w:hAnsi="Calibri" w:cs="Calibri"/>
                <w:color w:val="000000"/>
                <w:sz w:val="20"/>
                <w:szCs w:val="20"/>
              </w:rPr>
              <w:t>30</w:t>
            </w:r>
          </w:p>
        </w:tc>
        <w:tc>
          <w:tcPr>
            <w:tcW w:w="1534" w:type="dxa"/>
            <w:tcBorders>
              <w:top w:val="nil"/>
              <w:left w:val="nil"/>
              <w:bottom w:val="single" w:sz="4" w:space="0" w:color="auto"/>
              <w:right w:val="single" w:sz="4" w:space="0" w:color="auto"/>
            </w:tcBorders>
            <w:shd w:val="clear" w:color="auto" w:fill="auto"/>
            <w:noWrap/>
            <w:vAlign w:val="bottom"/>
          </w:tcPr>
          <w:p w14:paraId="18ACA22A" w14:textId="7B3AF285"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tcPr>
          <w:p w14:paraId="31D5E9E5" w14:textId="1F76C14B"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tcPr>
          <w:p w14:paraId="767AB85A" w14:textId="29E22028"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5CFF3D72" w14:textId="62F86410" w:rsidR="00E20538" w:rsidRDefault="00E20538" w:rsidP="002B681E">
            <w:pPr>
              <w:keepNext/>
              <w:spacing w:after="0" w:line="240" w:lineRule="auto"/>
              <w:jc w:val="center"/>
              <w:rPr>
                <w:rFonts w:ascii="Calibri" w:hAnsi="Calibri" w:cs="Calibri"/>
                <w:color w:val="000000"/>
                <w:sz w:val="20"/>
                <w:szCs w:val="20"/>
              </w:rPr>
            </w:pPr>
            <w:r>
              <w:rPr>
                <w:rFonts w:ascii="Calibri" w:hAnsi="Calibri" w:cs="Calibri"/>
                <w:color w:val="000000"/>
                <w:sz w:val="20"/>
                <w:szCs w:val="20"/>
              </w:rPr>
              <w:t>92822</w:t>
            </w:r>
          </w:p>
        </w:tc>
      </w:tr>
      <w:tr w:rsidR="00EE4051" w14:paraId="468F85A9"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0F6DC3F" w14:textId="2FE57480"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1,1,2,2-tetrachloroethane</w:t>
            </w:r>
          </w:p>
        </w:tc>
        <w:tc>
          <w:tcPr>
            <w:tcW w:w="720" w:type="dxa"/>
            <w:tcBorders>
              <w:top w:val="nil"/>
              <w:left w:val="nil"/>
              <w:bottom w:val="single" w:sz="4" w:space="0" w:color="auto"/>
              <w:right w:val="nil"/>
            </w:tcBorders>
            <w:shd w:val="clear" w:color="auto" w:fill="auto"/>
            <w:noWrap/>
            <w:vAlign w:val="bottom"/>
            <w:hideMark/>
          </w:tcPr>
          <w:p w14:paraId="096C37C7" w14:textId="447C79FE"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17A48D6F" w14:textId="7EC37D0A"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1ED2A162" w14:textId="318D4876"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0.0070</w:t>
            </w:r>
          </w:p>
        </w:tc>
        <w:tc>
          <w:tcPr>
            <w:tcW w:w="1534" w:type="dxa"/>
            <w:tcBorders>
              <w:top w:val="nil"/>
              <w:left w:val="nil"/>
              <w:bottom w:val="single" w:sz="4" w:space="0" w:color="auto"/>
              <w:right w:val="single" w:sz="4" w:space="0" w:color="auto"/>
            </w:tcBorders>
            <w:shd w:val="clear" w:color="auto" w:fill="auto"/>
            <w:noWrap/>
            <w:vAlign w:val="bottom"/>
            <w:hideMark/>
          </w:tcPr>
          <w:p w14:paraId="11860013" w14:textId="6811244C"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5CBD99B7" w14:textId="1DEAF773"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70BEDFE3" w14:textId="295AC25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A00292" w14:textId="74AA78B5"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3548788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37FD419" w14:textId="7BC93E2D"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1,2-dibromoethane</w:t>
            </w:r>
          </w:p>
        </w:tc>
        <w:tc>
          <w:tcPr>
            <w:tcW w:w="720" w:type="dxa"/>
            <w:tcBorders>
              <w:top w:val="nil"/>
              <w:left w:val="nil"/>
              <w:bottom w:val="single" w:sz="4" w:space="0" w:color="auto"/>
              <w:right w:val="nil"/>
            </w:tcBorders>
            <w:shd w:val="clear" w:color="auto" w:fill="auto"/>
            <w:noWrap/>
            <w:vAlign w:val="bottom"/>
            <w:hideMark/>
          </w:tcPr>
          <w:p w14:paraId="09F8C097" w14:textId="61D72E99"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27011DED" w14:textId="47616BFA"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70E5C1FF" w14:textId="3F1A0B77"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0.00022</w:t>
            </w:r>
          </w:p>
        </w:tc>
        <w:tc>
          <w:tcPr>
            <w:tcW w:w="1534" w:type="dxa"/>
            <w:tcBorders>
              <w:top w:val="nil"/>
              <w:left w:val="nil"/>
              <w:bottom w:val="single" w:sz="4" w:space="0" w:color="auto"/>
              <w:right w:val="single" w:sz="4" w:space="0" w:color="auto"/>
            </w:tcBorders>
            <w:shd w:val="clear" w:color="auto" w:fill="auto"/>
            <w:noWrap/>
            <w:vAlign w:val="bottom"/>
            <w:hideMark/>
          </w:tcPr>
          <w:p w14:paraId="3950369E" w14:textId="4AE5B6A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CREG</w:t>
            </w:r>
          </w:p>
        </w:tc>
        <w:tc>
          <w:tcPr>
            <w:tcW w:w="1350" w:type="dxa"/>
            <w:tcBorders>
              <w:top w:val="nil"/>
              <w:left w:val="nil"/>
              <w:bottom w:val="single" w:sz="4" w:space="0" w:color="auto"/>
              <w:right w:val="nil"/>
            </w:tcBorders>
            <w:shd w:val="clear" w:color="auto" w:fill="auto"/>
            <w:noWrap/>
            <w:vAlign w:val="bottom"/>
            <w:hideMark/>
          </w:tcPr>
          <w:p w14:paraId="554C234A" w14:textId="0492FC93"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64F2AA31" w14:textId="3E1854B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78119C" w14:textId="699E260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3BB60E90"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84460E8" w14:textId="5F2C4C57"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1,2-dichloropropane</w:t>
            </w:r>
          </w:p>
        </w:tc>
        <w:tc>
          <w:tcPr>
            <w:tcW w:w="720" w:type="dxa"/>
            <w:tcBorders>
              <w:top w:val="nil"/>
              <w:left w:val="nil"/>
              <w:bottom w:val="single" w:sz="4" w:space="0" w:color="auto"/>
              <w:right w:val="nil"/>
            </w:tcBorders>
            <w:shd w:val="clear" w:color="auto" w:fill="auto"/>
            <w:noWrap/>
            <w:vAlign w:val="bottom"/>
            <w:hideMark/>
          </w:tcPr>
          <w:p w14:paraId="32466EE9" w14:textId="6E4E9C3F"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0.002</w:t>
            </w:r>
          </w:p>
        </w:tc>
        <w:tc>
          <w:tcPr>
            <w:tcW w:w="694" w:type="dxa"/>
            <w:tcBorders>
              <w:top w:val="nil"/>
              <w:left w:val="nil"/>
              <w:bottom w:val="single" w:sz="4" w:space="0" w:color="auto"/>
              <w:right w:val="single" w:sz="8" w:space="0" w:color="auto"/>
            </w:tcBorders>
            <w:shd w:val="clear" w:color="auto" w:fill="auto"/>
            <w:noWrap/>
            <w:vAlign w:val="bottom"/>
            <w:hideMark/>
          </w:tcPr>
          <w:p w14:paraId="5319B730" w14:textId="4CF94E86"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1C957E69" w14:textId="08A8A089"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w:t>
            </w:r>
          </w:p>
        </w:tc>
        <w:tc>
          <w:tcPr>
            <w:tcW w:w="1534" w:type="dxa"/>
            <w:tcBorders>
              <w:top w:val="nil"/>
              <w:left w:val="nil"/>
              <w:bottom w:val="single" w:sz="4" w:space="0" w:color="auto"/>
              <w:right w:val="single" w:sz="4" w:space="0" w:color="auto"/>
            </w:tcBorders>
            <w:shd w:val="clear" w:color="auto" w:fill="auto"/>
            <w:noWrap/>
            <w:vAlign w:val="bottom"/>
            <w:hideMark/>
          </w:tcPr>
          <w:p w14:paraId="2E1F510C" w14:textId="11C9168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0274F71B" w14:textId="3861B63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5C386DB2" w14:textId="3C6851C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D529EB" w14:textId="2C4B4781"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8862</w:t>
            </w:r>
          </w:p>
        </w:tc>
      </w:tr>
      <w:tr w:rsidR="000F7D41" w14:paraId="695046D4"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3A4AA1FE" w14:textId="35055080" w:rsidR="000F7D41" w:rsidRDefault="000F7D41" w:rsidP="000F7D41">
            <w:pPr>
              <w:keepNext/>
              <w:spacing w:after="0" w:line="240" w:lineRule="auto"/>
              <w:rPr>
                <w:rFonts w:ascii="Calibri" w:hAnsi="Calibri" w:cs="Calibri"/>
                <w:color w:val="000000"/>
                <w:sz w:val="20"/>
                <w:szCs w:val="20"/>
              </w:rPr>
            </w:pPr>
            <w:r>
              <w:rPr>
                <w:rFonts w:ascii="Calibri" w:hAnsi="Calibri" w:cs="Calibri"/>
                <w:color w:val="000000"/>
                <w:sz w:val="20"/>
                <w:szCs w:val="20"/>
              </w:rPr>
              <w:t>1,2,4-trichlorobenzene</w:t>
            </w:r>
          </w:p>
        </w:tc>
        <w:tc>
          <w:tcPr>
            <w:tcW w:w="720" w:type="dxa"/>
            <w:tcBorders>
              <w:top w:val="nil"/>
              <w:left w:val="nil"/>
              <w:bottom w:val="single" w:sz="4" w:space="0" w:color="auto"/>
              <w:right w:val="nil"/>
            </w:tcBorders>
            <w:shd w:val="clear" w:color="auto" w:fill="auto"/>
            <w:noWrap/>
            <w:vAlign w:val="bottom"/>
          </w:tcPr>
          <w:p w14:paraId="5C355E1F" w14:textId="27EE0E73" w:rsidR="000F7D41" w:rsidRDefault="000F7D41" w:rsidP="000F7D41">
            <w:pPr>
              <w:keepNext/>
              <w:spacing w:after="0" w:line="240" w:lineRule="auto"/>
              <w:jc w:val="right"/>
              <w:rPr>
                <w:rFonts w:ascii="Calibri" w:hAnsi="Calibri" w:cs="Calibri"/>
                <w:color w:val="000000"/>
                <w:sz w:val="20"/>
                <w:szCs w:val="20"/>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tcPr>
          <w:p w14:paraId="0668A4BB" w14:textId="72AD2458" w:rsidR="000F7D41" w:rsidRDefault="000F7D41" w:rsidP="000F7D41">
            <w:pPr>
              <w:keepNext/>
              <w:spacing w:after="0" w:line="240" w:lineRule="auto"/>
              <w:rPr>
                <w:rFonts w:ascii="Calibri" w:hAnsi="Calibri" w:cs="Calibri"/>
                <w:color w:val="000000"/>
                <w:sz w:val="20"/>
                <w:szCs w:val="20"/>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tcPr>
          <w:p w14:paraId="778448C3" w14:textId="7BC1F8B5"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 </w:t>
            </w:r>
            <w:r w:rsidR="001A565B">
              <w:rPr>
                <w:rFonts w:ascii="Calibri" w:hAnsi="Calibri" w:cs="Calibri"/>
                <w:color w:val="000000"/>
                <w:sz w:val="20"/>
                <w:szCs w:val="20"/>
              </w:rPr>
              <w:t>0.</w:t>
            </w:r>
            <w:r w:rsidR="004953DB">
              <w:rPr>
                <w:rFonts w:ascii="Calibri" w:hAnsi="Calibri" w:cs="Calibri"/>
                <w:color w:val="000000"/>
                <w:sz w:val="20"/>
                <w:szCs w:val="20"/>
              </w:rPr>
              <w:t>28</w:t>
            </w:r>
          </w:p>
        </w:tc>
        <w:tc>
          <w:tcPr>
            <w:tcW w:w="1534" w:type="dxa"/>
            <w:tcBorders>
              <w:top w:val="nil"/>
              <w:left w:val="nil"/>
              <w:bottom w:val="single" w:sz="4" w:space="0" w:color="auto"/>
              <w:right w:val="single" w:sz="4" w:space="0" w:color="auto"/>
            </w:tcBorders>
            <w:shd w:val="clear" w:color="auto" w:fill="auto"/>
            <w:noWrap/>
            <w:vAlign w:val="bottom"/>
          </w:tcPr>
          <w:p w14:paraId="28E84ED6" w14:textId="1133529D"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tcPr>
          <w:p w14:paraId="73253417" w14:textId="78F501F6"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754C5A14" w14:textId="77777777" w:rsidR="000F7D41" w:rsidRDefault="000F7D41" w:rsidP="000F7D41">
            <w:pPr>
              <w:keepNext/>
              <w:spacing w:after="0" w:line="240" w:lineRule="auto"/>
              <w:jc w:val="center"/>
              <w:rPr>
                <w:rFonts w:ascii="Calibri" w:hAnsi="Calibri" w:cs="Calibri"/>
                <w:color w:val="000000"/>
                <w:sz w:val="20"/>
                <w:szCs w:val="20"/>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0D2897B2" w14:textId="77777777" w:rsidR="000F7D41" w:rsidRDefault="000F7D41" w:rsidP="000F7D41">
            <w:pPr>
              <w:keepNext/>
              <w:spacing w:after="0" w:line="240" w:lineRule="auto"/>
              <w:jc w:val="center"/>
              <w:rPr>
                <w:rFonts w:ascii="Calibri" w:hAnsi="Calibri" w:cs="Calibri"/>
                <w:color w:val="000000"/>
                <w:sz w:val="20"/>
                <w:szCs w:val="20"/>
              </w:rPr>
            </w:pPr>
          </w:p>
        </w:tc>
      </w:tr>
      <w:tr w:rsidR="00EE4051" w14:paraId="2C5083D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2597D42" w14:textId="0DF639CD"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1,3,5-trimethylbenzene</w:t>
            </w:r>
          </w:p>
        </w:tc>
        <w:tc>
          <w:tcPr>
            <w:tcW w:w="720" w:type="dxa"/>
            <w:tcBorders>
              <w:top w:val="nil"/>
              <w:left w:val="nil"/>
              <w:bottom w:val="single" w:sz="4" w:space="0" w:color="auto"/>
              <w:right w:val="nil"/>
            </w:tcBorders>
            <w:shd w:val="clear" w:color="auto" w:fill="auto"/>
            <w:noWrap/>
            <w:vAlign w:val="bottom"/>
            <w:hideMark/>
          </w:tcPr>
          <w:p w14:paraId="4E2729BD" w14:textId="335A63C4"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0.008</w:t>
            </w:r>
          </w:p>
        </w:tc>
        <w:tc>
          <w:tcPr>
            <w:tcW w:w="694" w:type="dxa"/>
            <w:tcBorders>
              <w:top w:val="nil"/>
              <w:left w:val="nil"/>
              <w:bottom w:val="single" w:sz="4" w:space="0" w:color="auto"/>
              <w:right w:val="single" w:sz="8" w:space="0" w:color="auto"/>
            </w:tcBorders>
            <w:shd w:val="clear" w:color="auto" w:fill="auto"/>
            <w:noWrap/>
            <w:vAlign w:val="bottom"/>
            <w:hideMark/>
          </w:tcPr>
          <w:p w14:paraId="4F790C8E" w14:textId="27574E44"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71E375B4" w14:textId="62FAF097" w:rsidR="00E20538" w:rsidRDefault="00F81E8F"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12.8</w:t>
            </w:r>
          </w:p>
        </w:tc>
        <w:tc>
          <w:tcPr>
            <w:tcW w:w="1534" w:type="dxa"/>
            <w:tcBorders>
              <w:top w:val="nil"/>
              <w:left w:val="nil"/>
              <w:bottom w:val="single" w:sz="4" w:space="0" w:color="auto"/>
              <w:right w:val="single" w:sz="4" w:space="0" w:color="auto"/>
            </w:tcBorders>
            <w:shd w:val="clear" w:color="auto" w:fill="auto"/>
            <w:noWrap/>
            <w:vAlign w:val="bottom"/>
            <w:hideMark/>
          </w:tcPr>
          <w:p w14:paraId="3E277D97" w14:textId="2319F71B"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F81E8F">
              <w:rPr>
                <w:rFonts w:ascii="Calibri" w:hAnsi="Calibri" w:cs="Calibri"/>
                <w:color w:val="000000"/>
                <w:sz w:val="20"/>
                <w:szCs w:val="20"/>
              </w:rPr>
              <w:t>RSL</w:t>
            </w:r>
            <w:r w:rsidR="00F81E8F">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0C09E5CC" w14:textId="061D88C2" w:rsidR="00E20538" w:rsidRDefault="00F81E8F"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72C171B6" w14:textId="319595CD"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345293" w14:textId="7A4DF2C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5728339</w:t>
            </w:r>
          </w:p>
        </w:tc>
      </w:tr>
      <w:tr w:rsidR="00EE4051" w14:paraId="0854774A"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7DE3F3A" w14:textId="563270D3"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acrylonitrile</w:t>
            </w:r>
          </w:p>
        </w:tc>
        <w:tc>
          <w:tcPr>
            <w:tcW w:w="720" w:type="dxa"/>
            <w:tcBorders>
              <w:top w:val="nil"/>
              <w:left w:val="nil"/>
              <w:bottom w:val="single" w:sz="4" w:space="0" w:color="auto"/>
              <w:right w:val="nil"/>
            </w:tcBorders>
            <w:shd w:val="clear" w:color="auto" w:fill="auto"/>
            <w:noWrap/>
            <w:vAlign w:val="bottom"/>
            <w:hideMark/>
          </w:tcPr>
          <w:p w14:paraId="142C4B12" w14:textId="1160B8EB"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0248B175" w14:textId="6EDD1C32"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39CC86A8" w14:textId="2A3CC1D3"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100</w:t>
            </w:r>
          </w:p>
        </w:tc>
        <w:tc>
          <w:tcPr>
            <w:tcW w:w="1534" w:type="dxa"/>
            <w:tcBorders>
              <w:top w:val="nil"/>
              <w:left w:val="nil"/>
              <w:bottom w:val="single" w:sz="4" w:space="0" w:color="auto"/>
              <w:right w:val="single" w:sz="4" w:space="0" w:color="auto"/>
            </w:tcBorders>
            <w:shd w:val="clear" w:color="auto" w:fill="auto"/>
            <w:noWrap/>
            <w:vAlign w:val="bottom"/>
            <w:hideMark/>
          </w:tcPr>
          <w:p w14:paraId="7656BADD" w14:textId="14E38FF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784BAD56" w14:textId="22CCBBB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A45C298" w14:textId="199D87C9"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46E88F" w14:textId="71C25811"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26344ADA"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B711459" w14:textId="41B92B0E"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bromoform</w:t>
            </w:r>
          </w:p>
        </w:tc>
        <w:tc>
          <w:tcPr>
            <w:tcW w:w="720" w:type="dxa"/>
            <w:tcBorders>
              <w:top w:val="nil"/>
              <w:left w:val="nil"/>
              <w:bottom w:val="single" w:sz="4" w:space="0" w:color="auto"/>
              <w:right w:val="nil"/>
            </w:tcBorders>
            <w:shd w:val="clear" w:color="auto" w:fill="auto"/>
            <w:noWrap/>
            <w:vAlign w:val="bottom"/>
            <w:hideMark/>
          </w:tcPr>
          <w:p w14:paraId="2C26523B" w14:textId="0E32C5AD"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0.003</w:t>
            </w:r>
          </w:p>
        </w:tc>
        <w:tc>
          <w:tcPr>
            <w:tcW w:w="694" w:type="dxa"/>
            <w:tcBorders>
              <w:top w:val="nil"/>
              <w:left w:val="nil"/>
              <w:bottom w:val="single" w:sz="4" w:space="0" w:color="auto"/>
              <w:right w:val="single" w:sz="8" w:space="0" w:color="auto"/>
            </w:tcBorders>
            <w:shd w:val="clear" w:color="auto" w:fill="auto"/>
            <w:noWrap/>
            <w:vAlign w:val="bottom"/>
            <w:hideMark/>
          </w:tcPr>
          <w:p w14:paraId="552D683D" w14:textId="4F269AB9"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4A04DEF3" w14:textId="08E13792"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0.88</w:t>
            </w:r>
          </w:p>
        </w:tc>
        <w:tc>
          <w:tcPr>
            <w:tcW w:w="1534" w:type="dxa"/>
            <w:tcBorders>
              <w:top w:val="nil"/>
              <w:left w:val="nil"/>
              <w:bottom w:val="single" w:sz="4" w:space="0" w:color="auto"/>
              <w:right w:val="single" w:sz="4" w:space="0" w:color="auto"/>
            </w:tcBorders>
            <w:shd w:val="clear" w:color="auto" w:fill="auto"/>
            <w:noWrap/>
            <w:vAlign w:val="bottom"/>
            <w:hideMark/>
          </w:tcPr>
          <w:p w14:paraId="37E9F49B" w14:textId="47B98534"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CREG</w:t>
            </w:r>
          </w:p>
        </w:tc>
        <w:tc>
          <w:tcPr>
            <w:tcW w:w="1350" w:type="dxa"/>
            <w:tcBorders>
              <w:top w:val="nil"/>
              <w:left w:val="nil"/>
              <w:bottom w:val="single" w:sz="4" w:space="0" w:color="auto"/>
              <w:right w:val="nil"/>
            </w:tcBorders>
            <w:shd w:val="clear" w:color="auto" w:fill="auto"/>
            <w:noWrap/>
            <w:vAlign w:val="bottom"/>
            <w:hideMark/>
          </w:tcPr>
          <w:p w14:paraId="2559C077" w14:textId="3B98B14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7F396D1E" w14:textId="14D1367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1C1A92" w14:textId="1B1F73E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308</w:t>
            </w:r>
          </w:p>
        </w:tc>
      </w:tr>
      <w:tr w:rsidR="00EE4051" w14:paraId="071854B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F2851AE" w14:textId="53605B8D"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bromomethane</w:t>
            </w:r>
          </w:p>
        </w:tc>
        <w:tc>
          <w:tcPr>
            <w:tcW w:w="720" w:type="dxa"/>
            <w:tcBorders>
              <w:top w:val="nil"/>
              <w:left w:val="nil"/>
              <w:bottom w:val="single" w:sz="4" w:space="0" w:color="auto"/>
              <w:right w:val="nil"/>
            </w:tcBorders>
            <w:shd w:val="clear" w:color="auto" w:fill="auto"/>
            <w:noWrap/>
            <w:vAlign w:val="bottom"/>
            <w:hideMark/>
          </w:tcPr>
          <w:p w14:paraId="08D25ACE" w14:textId="00A257F0"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0.009</w:t>
            </w:r>
          </w:p>
        </w:tc>
        <w:tc>
          <w:tcPr>
            <w:tcW w:w="694" w:type="dxa"/>
            <w:tcBorders>
              <w:top w:val="nil"/>
              <w:left w:val="nil"/>
              <w:bottom w:val="single" w:sz="4" w:space="0" w:color="auto"/>
              <w:right w:val="single" w:sz="8" w:space="0" w:color="auto"/>
            </w:tcBorders>
            <w:shd w:val="clear" w:color="auto" w:fill="auto"/>
            <w:noWrap/>
            <w:vAlign w:val="bottom"/>
            <w:hideMark/>
          </w:tcPr>
          <w:p w14:paraId="08F2351B" w14:textId="7606B058"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4EEBFCFD" w14:textId="40EFD4DA"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w:t>
            </w:r>
          </w:p>
        </w:tc>
        <w:tc>
          <w:tcPr>
            <w:tcW w:w="1534" w:type="dxa"/>
            <w:tcBorders>
              <w:top w:val="nil"/>
              <w:left w:val="nil"/>
              <w:bottom w:val="single" w:sz="4" w:space="0" w:color="auto"/>
              <w:right w:val="single" w:sz="4" w:space="0" w:color="auto"/>
            </w:tcBorders>
            <w:shd w:val="clear" w:color="auto" w:fill="auto"/>
            <w:noWrap/>
            <w:vAlign w:val="bottom"/>
            <w:hideMark/>
          </w:tcPr>
          <w:p w14:paraId="4E5547E2" w14:textId="768294C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38B37800" w14:textId="371CBB6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580F7C1A" w14:textId="5325BA94"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18E50F" w14:textId="156AE35E"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107</w:t>
            </w:r>
          </w:p>
        </w:tc>
      </w:tr>
      <w:tr w:rsidR="00EE4051" w14:paraId="79611F7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B765894" w14:textId="07751211"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chlorobenzene</w:t>
            </w:r>
          </w:p>
        </w:tc>
        <w:tc>
          <w:tcPr>
            <w:tcW w:w="720" w:type="dxa"/>
            <w:tcBorders>
              <w:top w:val="nil"/>
              <w:left w:val="nil"/>
              <w:bottom w:val="single" w:sz="4" w:space="0" w:color="auto"/>
              <w:right w:val="nil"/>
            </w:tcBorders>
            <w:shd w:val="clear" w:color="auto" w:fill="auto"/>
            <w:noWrap/>
            <w:vAlign w:val="bottom"/>
            <w:hideMark/>
          </w:tcPr>
          <w:p w14:paraId="163101C8" w14:textId="6802D713"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0.001</w:t>
            </w:r>
          </w:p>
        </w:tc>
        <w:tc>
          <w:tcPr>
            <w:tcW w:w="694" w:type="dxa"/>
            <w:tcBorders>
              <w:top w:val="nil"/>
              <w:left w:val="nil"/>
              <w:bottom w:val="single" w:sz="4" w:space="0" w:color="auto"/>
              <w:right w:val="single" w:sz="8" w:space="0" w:color="auto"/>
            </w:tcBorders>
            <w:shd w:val="clear" w:color="auto" w:fill="auto"/>
            <w:noWrap/>
            <w:vAlign w:val="bottom"/>
            <w:hideMark/>
          </w:tcPr>
          <w:p w14:paraId="711E0B3A" w14:textId="72584B82"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28A1AB67" w14:textId="5DEE6E2F" w:rsidR="00E20538" w:rsidRDefault="001E768B"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11.6</w:t>
            </w:r>
          </w:p>
        </w:tc>
        <w:tc>
          <w:tcPr>
            <w:tcW w:w="1534" w:type="dxa"/>
            <w:tcBorders>
              <w:top w:val="nil"/>
              <w:left w:val="nil"/>
              <w:bottom w:val="single" w:sz="4" w:space="0" w:color="auto"/>
              <w:right w:val="single" w:sz="4" w:space="0" w:color="auto"/>
            </w:tcBorders>
            <w:shd w:val="clear" w:color="auto" w:fill="auto"/>
            <w:noWrap/>
            <w:vAlign w:val="bottom"/>
            <w:hideMark/>
          </w:tcPr>
          <w:p w14:paraId="5D3967A8" w14:textId="6DE5929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32092C">
              <w:rPr>
                <w:rFonts w:ascii="Calibri" w:hAnsi="Calibri" w:cs="Calibri"/>
                <w:color w:val="000000"/>
                <w:sz w:val="20"/>
                <w:szCs w:val="20"/>
              </w:rPr>
              <w:t>RSL</w:t>
            </w:r>
            <w:r w:rsidR="0032092C">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7E4A7EAE" w14:textId="701A2F42" w:rsidR="00E20538" w:rsidRDefault="0032092C"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0AEAD393" w14:textId="7660F759"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C35357" w14:textId="358FC774" w:rsidR="00E20538" w:rsidRDefault="001E768B"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8722</w:t>
            </w:r>
          </w:p>
        </w:tc>
      </w:tr>
      <w:tr w:rsidR="00EE4051" w14:paraId="626D3CDA"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E0244BF" w14:textId="438CD734"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methyl isobutyl ketone</w:t>
            </w:r>
          </w:p>
        </w:tc>
        <w:tc>
          <w:tcPr>
            <w:tcW w:w="720" w:type="dxa"/>
            <w:tcBorders>
              <w:top w:val="nil"/>
              <w:left w:val="nil"/>
              <w:bottom w:val="single" w:sz="4" w:space="0" w:color="auto"/>
              <w:right w:val="nil"/>
            </w:tcBorders>
            <w:shd w:val="clear" w:color="auto" w:fill="auto"/>
            <w:noWrap/>
            <w:vAlign w:val="bottom"/>
            <w:hideMark/>
          </w:tcPr>
          <w:p w14:paraId="581425BB" w14:textId="7AD3B108"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0.004</w:t>
            </w:r>
          </w:p>
        </w:tc>
        <w:tc>
          <w:tcPr>
            <w:tcW w:w="694" w:type="dxa"/>
            <w:tcBorders>
              <w:top w:val="nil"/>
              <w:left w:val="nil"/>
              <w:bottom w:val="single" w:sz="4" w:space="0" w:color="auto"/>
              <w:right w:val="single" w:sz="8" w:space="0" w:color="auto"/>
            </w:tcBorders>
            <w:shd w:val="clear" w:color="auto" w:fill="auto"/>
            <w:noWrap/>
            <w:vAlign w:val="bottom"/>
            <w:hideMark/>
          </w:tcPr>
          <w:p w14:paraId="17F868AD" w14:textId="506729AE"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2FD48459" w14:textId="23BB8AD5"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730</w:t>
            </w:r>
          </w:p>
        </w:tc>
        <w:tc>
          <w:tcPr>
            <w:tcW w:w="1534" w:type="dxa"/>
            <w:tcBorders>
              <w:top w:val="nil"/>
              <w:left w:val="nil"/>
              <w:bottom w:val="single" w:sz="4" w:space="0" w:color="auto"/>
              <w:right w:val="single" w:sz="4" w:space="0" w:color="auto"/>
            </w:tcBorders>
            <w:shd w:val="clear" w:color="auto" w:fill="auto"/>
            <w:noWrap/>
            <w:vAlign w:val="bottom"/>
            <w:hideMark/>
          </w:tcPr>
          <w:p w14:paraId="06E61976" w14:textId="03A46694"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RMEG</w:t>
            </w:r>
          </w:p>
        </w:tc>
        <w:tc>
          <w:tcPr>
            <w:tcW w:w="1350" w:type="dxa"/>
            <w:tcBorders>
              <w:top w:val="nil"/>
              <w:left w:val="nil"/>
              <w:bottom w:val="single" w:sz="4" w:space="0" w:color="auto"/>
              <w:right w:val="nil"/>
            </w:tcBorders>
            <w:shd w:val="clear" w:color="auto" w:fill="auto"/>
            <w:noWrap/>
            <w:vAlign w:val="bottom"/>
            <w:hideMark/>
          </w:tcPr>
          <w:p w14:paraId="446B7026" w14:textId="4090B62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68BA490E" w14:textId="3464948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918377" w14:textId="355D831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187630</w:t>
            </w:r>
          </w:p>
        </w:tc>
      </w:tr>
      <w:tr w:rsidR="00EE4051" w14:paraId="3F253FE6"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3C4621F" w14:textId="195C63B0"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methyl-t-butyl ether</w:t>
            </w:r>
          </w:p>
        </w:tc>
        <w:tc>
          <w:tcPr>
            <w:tcW w:w="720" w:type="dxa"/>
            <w:tcBorders>
              <w:top w:val="nil"/>
              <w:left w:val="nil"/>
              <w:bottom w:val="single" w:sz="4" w:space="0" w:color="auto"/>
              <w:right w:val="nil"/>
            </w:tcBorders>
            <w:shd w:val="clear" w:color="auto" w:fill="auto"/>
            <w:noWrap/>
            <w:vAlign w:val="bottom"/>
            <w:hideMark/>
          </w:tcPr>
          <w:p w14:paraId="6FF4FA74" w14:textId="401D7D8D"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24392103" w14:textId="61BD641C"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3EB44715" w14:textId="29878B79"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2,000</w:t>
            </w:r>
          </w:p>
        </w:tc>
        <w:tc>
          <w:tcPr>
            <w:tcW w:w="1534" w:type="dxa"/>
            <w:tcBorders>
              <w:top w:val="nil"/>
              <w:left w:val="nil"/>
              <w:bottom w:val="single" w:sz="4" w:space="0" w:color="auto"/>
              <w:right w:val="single" w:sz="4" w:space="0" w:color="auto"/>
            </w:tcBorders>
            <w:shd w:val="clear" w:color="auto" w:fill="auto"/>
            <w:noWrap/>
            <w:vAlign w:val="bottom"/>
            <w:hideMark/>
          </w:tcPr>
          <w:p w14:paraId="2517C60D" w14:textId="6D473D7B"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1C1596E6" w14:textId="07B4D37D"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034AB58C" w14:textId="1AB40B5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2373FB" w14:textId="169237B4" w:rsidR="00E20538" w:rsidRDefault="00BC4BCB"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1629</w:t>
            </w:r>
          </w:p>
        </w:tc>
      </w:tr>
      <w:tr w:rsidR="00EE4051" w14:paraId="5CC1B97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31131A0" w14:textId="7B5F0866" w:rsidR="00E20538" w:rsidRDefault="00E20538" w:rsidP="00E20538">
            <w:pPr>
              <w:keepNext/>
              <w:spacing w:after="0" w:line="240" w:lineRule="auto"/>
              <w:rPr>
                <w:rFonts w:ascii="Calibri" w:eastAsia="Times New Roman" w:hAnsi="Calibri" w:cs="Calibri"/>
                <w:color w:val="000000"/>
                <w:kern w:val="0"/>
                <w:sz w:val="20"/>
                <w:szCs w:val="20"/>
                <w14:ligatures w14:val="none"/>
              </w:rPr>
            </w:pPr>
            <w:r w:rsidRPr="04F01544">
              <w:rPr>
                <w:rFonts w:ascii="Calibri" w:hAnsi="Calibri" w:cs="Calibri"/>
                <w:color w:val="000000" w:themeColor="text1"/>
                <w:sz w:val="20"/>
                <w:szCs w:val="20"/>
              </w:rPr>
              <w:t>naphthalene</w:t>
            </w:r>
          </w:p>
        </w:tc>
        <w:tc>
          <w:tcPr>
            <w:tcW w:w="720" w:type="dxa"/>
            <w:tcBorders>
              <w:top w:val="nil"/>
              <w:left w:val="nil"/>
              <w:bottom w:val="single" w:sz="4" w:space="0" w:color="auto"/>
              <w:right w:val="nil"/>
            </w:tcBorders>
            <w:shd w:val="clear" w:color="auto" w:fill="auto"/>
            <w:noWrap/>
            <w:vAlign w:val="bottom"/>
            <w:hideMark/>
          </w:tcPr>
          <w:p w14:paraId="15A97D27" w14:textId="32E00121"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0.007</w:t>
            </w:r>
          </w:p>
        </w:tc>
        <w:tc>
          <w:tcPr>
            <w:tcW w:w="694" w:type="dxa"/>
            <w:tcBorders>
              <w:top w:val="nil"/>
              <w:left w:val="nil"/>
              <w:bottom w:val="single" w:sz="4" w:space="0" w:color="auto"/>
              <w:right w:val="single" w:sz="8" w:space="0" w:color="auto"/>
            </w:tcBorders>
            <w:shd w:val="clear" w:color="auto" w:fill="auto"/>
            <w:noWrap/>
            <w:vAlign w:val="bottom"/>
            <w:hideMark/>
          </w:tcPr>
          <w:p w14:paraId="2232F339" w14:textId="241E78D0"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17A99213" w14:textId="7245ADCD" w:rsidR="00E20538" w:rsidRDefault="009A67B9"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0.7</w:t>
            </w:r>
          </w:p>
        </w:tc>
        <w:tc>
          <w:tcPr>
            <w:tcW w:w="1534" w:type="dxa"/>
            <w:tcBorders>
              <w:top w:val="nil"/>
              <w:left w:val="nil"/>
              <w:bottom w:val="single" w:sz="4" w:space="0" w:color="auto"/>
              <w:right w:val="single" w:sz="4" w:space="0" w:color="auto"/>
            </w:tcBorders>
            <w:shd w:val="clear" w:color="auto" w:fill="auto"/>
            <w:noWrap/>
            <w:vAlign w:val="bottom"/>
            <w:hideMark/>
          </w:tcPr>
          <w:p w14:paraId="5F559780" w14:textId="395AF22B" w:rsidR="00E20538" w:rsidRDefault="009A67B9" w:rsidP="002B681E">
            <w:pPr>
              <w:keepNext/>
              <w:spacing w:after="0" w:line="240" w:lineRule="auto"/>
              <w:jc w:val="center"/>
              <w:rPr>
                <w:rFonts w:ascii="Calibri" w:eastAsia="Times New Roman" w:hAnsi="Calibri" w:cs="Calibri"/>
                <w:color w:val="000000"/>
                <w:kern w:val="0"/>
                <w:sz w:val="20"/>
                <w:szCs w:val="20"/>
                <w14:ligatures w14:val="none"/>
              </w:rPr>
            </w:pPr>
            <w:r w:rsidRPr="581606CF">
              <w:rPr>
                <w:rFonts w:ascii="Calibri" w:hAnsi="Calibri" w:cs="Calibri"/>
                <w:color w:val="000000" w:themeColor="text1"/>
                <w:sz w:val="20"/>
                <w:szCs w:val="20"/>
              </w:rPr>
              <w:t xml:space="preserve">ATSDR </w:t>
            </w:r>
            <w:r w:rsidR="000F7D41" w:rsidRPr="3C91C673">
              <w:rPr>
                <w:rFonts w:ascii="Calibri" w:hAnsi="Calibri" w:cs="Calibri"/>
                <w:color w:val="000000" w:themeColor="text1"/>
                <w:sz w:val="20"/>
                <w:szCs w:val="20"/>
              </w:rPr>
              <w:t>EMEG</w:t>
            </w:r>
          </w:p>
        </w:tc>
        <w:tc>
          <w:tcPr>
            <w:tcW w:w="1350" w:type="dxa"/>
            <w:tcBorders>
              <w:top w:val="nil"/>
              <w:left w:val="nil"/>
              <w:bottom w:val="single" w:sz="4" w:space="0" w:color="auto"/>
              <w:right w:val="nil"/>
            </w:tcBorders>
            <w:shd w:val="clear" w:color="auto" w:fill="auto"/>
            <w:noWrap/>
            <w:vAlign w:val="bottom"/>
            <w:hideMark/>
          </w:tcPr>
          <w:p w14:paraId="71A1F6F8" w14:textId="5A2EB817" w:rsidR="00E20538" w:rsidRDefault="009A67B9"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6D8C7064" w14:textId="1754CC29"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C0A689" w14:textId="7DC2E0A1" w:rsidR="00E20538" w:rsidRDefault="00DE6511"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101</w:t>
            </w:r>
          </w:p>
        </w:tc>
      </w:tr>
      <w:tr w:rsidR="000F7D41" w14:paraId="63DE8025"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tcPr>
          <w:p w14:paraId="70771E03" w14:textId="032A7A18" w:rsidR="000F7D41" w:rsidRDefault="000F7D41" w:rsidP="000F7D41">
            <w:pPr>
              <w:keepNext/>
              <w:spacing w:after="0" w:line="240" w:lineRule="auto"/>
              <w:rPr>
                <w:rFonts w:ascii="Calibri" w:hAnsi="Calibri" w:cs="Calibri"/>
                <w:color w:val="000000"/>
                <w:sz w:val="20"/>
                <w:szCs w:val="20"/>
              </w:rPr>
            </w:pPr>
            <w:r>
              <w:rPr>
                <w:rFonts w:ascii="Calibri" w:hAnsi="Calibri" w:cs="Calibri"/>
                <w:color w:val="000000"/>
                <w:sz w:val="20"/>
                <w:szCs w:val="20"/>
              </w:rPr>
              <w:t>o-dichlorobenzene</w:t>
            </w:r>
          </w:p>
        </w:tc>
        <w:tc>
          <w:tcPr>
            <w:tcW w:w="720" w:type="dxa"/>
            <w:tcBorders>
              <w:top w:val="nil"/>
              <w:left w:val="nil"/>
              <w:bottom w:val="single" w:sz="4" w:space="0" w:color="auto"/>
              <w:right w:val="nil"/>
            </w:tcBorders>
            <w:shd w:val="clear" w:color="auto" w:fill="auto"/>
            <w:noWrap/>
            <w:vAlign w:val="bottom"/>
          </w:tcPr>
          <w:p w14:paraId="24C7582C" w14:textId="0F9A9355" w:rsidR="000F7D41" w:rsidRDefault="000F7D41" w:rsidP="000F7D41">
            <w:pPr>
              <w:keepNext/>
              <w:spacing w:after="0" w:line="240" w:lineRule="auto"/>
              <w:jc w:val="right"/>
              <w:rPr>
                <w:rFonts w:ascii="Calibri" w:hAnsi="Calibri" w:cs="Calibri"/>
                <w:color w:val="000000"/>
                <w:sz w:val="20"/>
                <w:szCs w:val="20"/>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tcPr>
          <w:p w14:paraId="0E8E45DC" w14:textId="3812E897" w:rsidR="000F7D41" w:rsidRDefault="000F7D41" w:rsidP="000F7D41">
            <w:pPr>
              <w:keepNext/>
              <w:spacing w:after="0" w:line="240" w:lineRule="auto"/>
              <w:rPr>
                <w:rFonts w:ascii="Calibri" w:hAnsi="Calibri" w:cs="Calibri"/>
                <w:color w:val="000000"/>
                <w:sz w:val="20"/>
                <w:szCs w:val="20"/>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tcPr>
          <w:p w14:paraId="031AD368" w14:textId="15E6A0AE"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 </w:t>
            </w:r>
            <w:r w:rsidR="004953DB">
              <w:rPr>
                <w:rFonts w:ascii="Calibri" w:hAnsi="Calibri" w:cs="Calibri"/>
                <w:color w:val="000000"/>
                <w:sz w:val="20"/>
                <w:szCs w:val="20"/>
              </w:rPr>
              <w:t>34.2</w:t>
            </w:r>
          </w:p>
        </w:tc>
        <w:tc>
          <w:tcPr>
            <w:tcW w:w="1534" w:type="dxa"/>
            <w:tcBorders>
              <w:top w:val="nil"/>
              <w:left w:val="nil"/>
              <w:bottom w:val="single" w:sz="4" w:space="0" w:color="auto"/>
              <w:right w:val="single" w:sz="4" w:space="0" w:color="auto"/>
            </w:tcBorders>
            <w:shd w:val="clear" w:color="auto" w:fill="auto"/>
            <w:noWrap/>
            <w:vAlign w:val="bottom"/>
          </w:tcPr>
          <w:p w14:paraId="372CDF06" w14:textId="50386D79"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tcPr>
          <w:p w14:paraId="4F74C365" w14:textId="1FCC9373"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4D78DED8" w14:textId="77777777" w:rsidR="000F7D41" w:rsidRDefault="000F7D41" w:rsidP="000F7D41">
            <w:pPr>
              <w:keepNext/>
              <w:spacing w:after="0" w:line="240" w:lineRule="auto"/>
              <w:jc w:val="center"/>
              <w:rPr>
                <w:rFonts w:ascii="Calibri" w:hAnsi="Calibri" w:cs="Calibri"/>
                <w:color w:val="000000"/>
                <w:sz w:val="20"/>
                <w:szCs w:val="20"/>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3109E68D" w14:textId="77777777" w:rsidR="000F7D41" w:rsidRDefault="000F7D41" w:rsidP="000F7D41">
            <w:pPr>
              <w:keepNext/>
              <w:spacing w:after="0" w:line="240" w:lineRule="auto"/>
              <w:jc w:val="center"/>
              <w:rPr>
                <w:rFonts w:ascii="Calibri" w:hAnsi="Calibri" w:cs="Calibri"/>
                <w:color w:val="000000"/>
                <w:sz w:val="20"/>
                <w:szCs w:val="20"/>
              </w:rPr>
            </w:pPr>
          </w:p>
        </w:tc>
      </w:tr>
      <w:tr w:rsidR="00EE4051" w14:paraId="72FF2299"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EF63447" w14:textId="5B6DF579"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p-dichlorobenzene</w:t>
            </w:r>
          </w:p>
        </w:tc>
        <w:tc>
          <w:tcPr>
            <w:tcW w:w="720" w:type="dxa"/>
            <w:tcBorders>
              <w:top w:val="nil"/>
              <w:left w:val="nil"/>
              <w:bottom w:val="single" w:sz="4" w:space="0" w:color="auto"/>
              <w:right w:val="nil"/>
            </w:tcBorders>
            <w:shd w:val="clear" w:color="auto" w:fill="auto"/>
            <w:noWrap/>
            <w:vAlign w:val="bottom"/>
            <w:hideMark/>
          </w:tcPr>
          <w:p w14:paraId="164033EE" w14:textId="538B5142"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0.003</w:t>
            </w:r>
          </w:p>
        </w:tc>
        <w:tc>
          <w:tcPr>
            <w:tcW w:w="694" w:type="dxa"/>
            <w:tcBorders>
              <w:top w:val="nil"/>
              <w:left w:val="nil"/>
              <w:bottom w:val="single" w:sz="4" w:space="0" w:color="auto"/>
              <w:right w:val="single" w:sz="8" w:space="0" w:color="auto"/>
            </w:tcBorders>
            <w:shd w:val="clear" w:color="auto" w:fill="auto"/>
            <w:noWrap/>
            <w:vAlign w:val="bottom"/>
            <w:hideMark/>
          </w:tcPr>
          <w:p w14:paraId="3814E46A" w14:textId="38557B70"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148B7DC5" w14:textId="76AF7BC8"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2,000</w:t>
            </w:r>
          </w:p>
        </w:tc>
        <w:tc>
          <w:tcPr>
            <w:tcW w:w="1534" w:type="dxa"/>
            <w:tcBorders>
              <w:top w:val="nil"/>
              <w:left w:val="nil"/>
              <w:bottom w:val="single" w:sz="4" w:space="0" w:color="auto"/>
              <w:right w:val="single" w:sz="4" w:space="0" w:color="auto"/>
            </w:tcBorders>
            <w:shd w:val="clear" w:color="auto" w:fill="auto"/>
            <w:noWrap/>
            <w:vAlign w:val="bottom"/>
            <w:hideMark/>
          </w:tcPr>
          <w:p w14:paraId="46649814" w14:textId="5B814811"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1C2B02DF" w14:textId="3D13CE60"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3919E30E" w14:textId="41368F14"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2852D9" w14:textId="784C4423"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778210</w:t>
            </w:r>
          </w:p>
        </w:tc>
      </w:tr>
      <w:tr w:rsidR="000F7D41" w14:paraId="16D83553"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671CBBEC" w14:textId="5610996D" w:rsidR="000F7D41" w:rsidRDefault="000F7D41" w:rsidP="000F7D41">
            <w:pPr>
              <w:keepNext/>
              <w:spacing w:after="0" w:line="240" w:lineRule="auto"/>
              <w:rPr>
                <w:rFonts w:ascii="Calibri" w:hAnsi="Calibri" w:cs="Calibri"/>
                <w:color w:val="000000"/>
                <w:sz w:val="20"/>
                <w:szCs w:val="20"/>
              </w:rPr>
            </w:pPr>
            <w:r>
              <w:rPr>
                <w:rFonts w:ascii="Calibri" w:hAnsi="Calibri" w:cs="Calibri"/>
                <w:sz w:val="20"/>
                <w:szCs w:val="20"/>
              </w:rPr>
              <w:t>propionaldehyde</w:t>
            </w:r>
            <w:r>
              <w:rPr>
                <w:rFonts w:ascii="Calibri" w:hAnsi="Calibri" w:cs="Calibri"/>
                <w:sz w:val="20"/>
                <w:szCs w:val="20"/>
                <w:vertAlign w:val="superscript"/>
              </w:rPr>
              <w:t>1</w:t>
            </w:r>
          </w:p>
        </w:tc>
        <w:tc>
          <w:tcPr>
            <w:tcW w:w="720" w:type="dxa"/>
            <w:tcBorders>
              <w:top w:val="nil"/>
              <w:left w:val="nil"/>
              <w:bottom w:val="single" w:sz="4" w:space="0" w:color="auto"/>
              <w:right w:val="nil"/>
            </w:tcBorders>
            <w:shd w:val="clear" w:color="auto" w:fill="auto"/>
            <w:noWrap/>
            <w:vAlign w:val="bottom"/>
          </w:tcPr>
          <w:p w14:paraId="54623841" w14:textId="55DACB8E" w:rsidR="000F7D41" w:rsidRDefault="000F7D41" w:rsidP="000F7D41">
            <w:pPr>
              <w:keepNext/>
              <w:spacing w:after="0" w:line="240" w:lineRule="auto"/>
              <w:jc w:val="right"/>
              <w:rPr>
                <w:rFonts w:ascii="Calibri" w:hAnsi="Calibri" w:cs="Calibri"/>
                <w:color w:val="000000"/>
                <w:sz w:val="20"/>
                <w:szCs w:val="20"/>
              </w:rPr>
            </w:pPr>
            <w:r>
              <w:rPr>
                <w:rFonts w:ascii="Calibri" w:hAnsi="Calibri" w:cs="Calibri"/>
                <w:color w:val="000000"/>
                <w:sz w:val="20"/>
                <w:szCs w:val="20"/>
              </w:rPr>
              <w:t>&lt;MRL</w:t>
            </w:r>
          </w:p>
        </w:tc>
        <w:tc>
          <w:tcPr>
            <w:tcW w:w="694" w:type="dxa"/>
            <w:tcBorders>
              <w:top w:val="nil"/>
              <w:left w:val="nil"/>
              <w:bottom w:val="single" w:sz="4" w:space="0" w:color="auto"/>
              <w:right w:val="single" w:sz="8" w:space="0" w:color="auto"/>
            </w:tcBorders>
            <w:shd w:val="clear" w:color="auto" w:fill="auto"/>
            <w:noWrap/>
            <w:vAlign w:val="bottom"/>
          </w:tcPr>
          <w:p w14:paraId="5715088D" w14:textId="45BFE213" w:rsidR="000F7D41" w:rsidRDefault="000F7D41" w:rsidP="000F7D41">
            <w:pPr>
              <w:keepNext/>
              <w:spacing w:after="0" w:line="240" w:lineRule="auto"/>
              <w:rPr>
                <w:rFonts w:ascii="Calibri" w:hAnsi="Calibri" w:cs="Calibri"/>
                <w:color w:val="000000"/>
                <w:sz w:val="20"/>
                <w:szCs w:val="20"/>
              </w:rPr>
            </w:pPr>
            <w:r>
              <w:rPr>
                <w:rFonts w:ascii="Calibri" w:hAnsi="Calibri" w:cs="Calibri"/>
                <w:color w:val="000000"/>
                <w:sz w:val="20"/>
                <w:szCs w:val="20"/>
              </w:rPr>
              <w:t>&lt;MRL</w:t>
            </w:r>
          </w:p>
        </w:tc>
        <w:tc>
          <w:tcPr>
            <w:tcW w:w="1107" w:type="dxa"/>
            <w:tcBorders>
              <w:top w:val="nil"/>
              <w:left w:val="nil"/>
              <w:bottom w:val="single" w:sz="4" w:space="0" w:color="auto"/>
              <w:right w:val="single" w:sz="4" w:space="0" w:color="auto"/>
            </w:tcBorders>
            <w:shd w:val="clear" w:color="auto" w:fill="auto"/>
            <w:noWrap/>
            <w:vAlign w:val="bottom"/>
          </w:tcPr>
          <w:p w14:paraId="5CF5FB7D" w14:textId="27A8F9D0" w:rsidR="000F7D41" w:rsidRDefault="004953DB"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3.5</w:t>
            </w:r>
          </w:p>
        </w:tc>
        <w:tc>
          <w:tcPr>
            <w:tcW w:w="1534" w:type="dxa"/>
            <w:tcBorders>
              <w:top w:val="nil"/>
              <w:left w:val="nil"/>
              <w:bottom w:val="single" w:sz="4" w:space="0" w:color="auto"/>
              <w:right w:val="single" w:sz="4" w:space="0" w:color="auto"/>
            </w:tcBorders>
            <w:shd w:val="clear" w:color="auto" w:fill="auto"/>
            <w:noWrap/>
            <w:vAlign w:val="bottom"/>
          </w:tcPr>
          <w:p w14:paraId="63BDC452" w14:textId="4E8C550D"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EPA RSL</w:t>
            </w:r>
            <w:r>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tcPr>
          <w:p w14:paraId="02217CCC" w14:textId="78A7AA43" w:rsidR="000F7D41" w:rsidRDefault="000F7D41" w:rsidP="000F7D41">
            <w:pPr>
              <w:keepNext/>
              <w:spacing w:after="0" w:line="240" w:lineRule="auto"/>
              <w:jc w:val="center"/>
              <w:rPr>
                <w:rFonts w:ascii="Calibri" w:hAnsi="Calibri" w:cs="Calibri"/>
                <w:color w:val="000000"/>
                <w:sz w:val="20"/>
                <w:szCs w:val="20"/>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tcPr>
          <w:p w14:paraId="59BD4D03" w14:textId="77777777" w:rsidR="000F7D41" w:rsidRDefault="000F7D41" w:rsidP="000F7D41">
            <w:pPr>
              <w:keepNext/>
              <w:spacing w:after="0" w:line="240" w:lineRule="auto"/>
              <w:jc w:val="center"/>
              <w:rPr>
                <w:rFonts w:ascii="Calibri" w:hAnsi="Calibri" w:cs="Calibri"/>
                <w:color w:val="000000"/>
                <w:sz w:val="20"/>
                <w:szCs w:val="20"/>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tcPr>
          <w:p w14:paraId="4E40610E" w14:textId="77777777" w:rsidR="000F7D41" w:rsidRDefault="000F7D41" w:rsidP="000F7D41">
            <w:pPr>
              <w:keepNext/>
              <w:spacing w:after="0" w:line="240" w:lineRule="auto"/>
              <w:jc w:val="center"/>
              <w:rPr>
                <w:rFonts w:ascii="Calibri" w:hAnsi="Calibri" w:cs="Calibri"/>
                <w:color w:val="000000"/>
                <w:sz w:val="20"/>
                <w:szCs w:val="20"/>
              </w:rPr>
            </w:pPr>
          </w:p>
        </w:tc>
      </w:tr>
      <w:tr w:rsidR="00EE4051" w14:paraId="5A670250"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0DF4AA2" w14:textId="259E01BC"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trans-1,2-dichloroethene</w:t>
            </w:r>
          </w:p>
        </w:tc>
        <w:tc>
          <w:tcPr>
            <w:tcW w:w="720" w:type="dxa"/>
            <w:tcBorders>
              <w:top w:val="nil"/>
              <w:left w:val="nil"/>
              <w:bottom w:val="single" w:sz="4" w:space="0" w:color="auto"/>
              <w:right w:val="nil"/>
            </w:tcBorders>
            <w:shd w:val="clear" w:color="auto" w:fill="auto"/>
            <w:noWrap/>
            <w:vAlign w:val="bottom"/>
            <w:hideMark/>
          </w:tcPr>
          <w:p w14:paraId="513EF6DA" w14:textId="7DCBB157"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0.002</w:t>
            </w:r>
          </w:p>
        </w:tc>
        <w:tc>
          <w:tcPr>
            <w:tcW w:w="694" w:type="dxa"/>
            <w:tcBorders>
              <w:top w:val="nil"/>
              <w:left w:val="nil"/>
              <w:bottom w:val="single" w:sz="4" w:space="0" w:color="auto"/>
              <w:right w:val="single" w:sz="8" w:space="0" w:color="auto"/>
            </w:tcBorders>
            <w:shd w:val="clear" w:color="auto" w:fill="auto"/>
            <w:noWrap/>
            <w:vAlign w:val="bottom"/>
            <w:hideMark/>
          </w:tcPr>
          <w:p w14:paraId="7790E667" w14:textId="081063AD"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0CE3FC20" w14:textId="7D1E509C"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200</w:t>
            </w:r>
          </w:p>
        </w:tc>
        <w:tc>
          <w:tcPr>
            <w:tcW w:w="1534" w:type="dxa"/>
            <w:tcBorders>
              <w:top w:val="nil"/>
              <w:left w:val="nil"/>
              <w:bottom w:val="single" w:sz="4" w:space="0" w:color="auto"/>
              <w:right w:val="single" w:sz="4" w:space="0" w:color="auto"/>
            </w:tcBorders>
            <w:shd w:val="clear" w:color="auto" w:fill="auto"/>
            <w:noWrap/>
            <w:vAlign w:val="bottom"/>
            <w:hideMark/>
          </w:tcPr>
          <w:p w14:paraId="214C1119" w14:textId="2834F925"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7E38ABC5" w14:textId="1EC3BE41"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5F228D8A" w14:textId="3793F54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9CD367" w14:textId="7875B88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94268</w:t>
            </w:r>
          </w:p>
        </w:tc>
      </w:tr>
      <w:tr w:rsidR="00EE4051" w14:paraId="6C9C636B"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CD0A67B" w14:textId="3B55843A" w:rsidR="00E20538" w:rsidRDefault="00E20538" w:rsidP="00E20538">
            <w:pPr>
              <w:keepNext/>
              <w:spacing w:after="0" w:line="240" w:lineRule="auto"/>
              <w:rPr>
                <w:rFonts w:ascii="Calibri" w:eastAsia="Times New Roman" w:hAnsi="Calibri" w:cs="Calibri"/>
                <w:kern w:val="0"/>
                <w:sz w:val="20"/>
                <w:szCs w:val="20"/>
                <w14:ligatures w14:val="none"/>
              </w:rPr>
            </w:pPr>
            <w:r>
              <w:rPr>
                <w:rFonts w:ascii="Calibri" w:hAnsi="Calibri" w:cs="Calibri"/>
                <w:color w:val="000000"/>
                <w:sz w:val="20"/>
                <w:szCs w:val="20"/>
              </w:rPr>
              <w:t>trichloroethylene</w:t>
            </w:r>
          </w:p>
        </w:tc>
        <w:tc>
          <w:tcPr>
            <w:tcW w:w="720" w:type="dxa"/>
            <w:tcBorders>
              <w:top w:val="nil"/>
              <w:left w:val="nil"/>
              <w:bottom w:val="single" w:sz="4" w:space="0" w:color="auto"/>
              <w:right w:val="nil"/>
            </w:tcBorders>
            <w:shd w:val="clear" w:color="auto" w:fill="auto"/>
            <w:noWrap/>
            <w:vAlign w:val="bottom"/>
            <w:hideMark/>
          </w:tcPr>
          <w:p w14:paraId="2B8F9A58" w14:textId="5AEC0D3C"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0.007</w:t>
            </w:r>
          </w:p>
        </w:tc>
        <w:tc>
          <w:tcPr>
            <w:tcW w:w="694" w:type="dxa"/>
            <w:tcBorders>
              <w:top w:val="nil"/>
              <w:left w:val="nil"/>
              <w:bottom w:val="single" w:sz="4" w:space="0" w:color="auto"/>
              <w:right w:val="single" w:sz="8" w:space="0" w:color="auto"/>
            </w:tcBorders>
            <w:shd w:val="clear" w:color="auto" w:fill="auto"/>
            <w:noWrap/>
            <w:vAlign w:val="bottom"/>
            <w:hideMark/>
          </w:tcPr>
          <w:p w14:paraId="3F20FDC2" w14:textId="0EADCF35"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6FB3C282" w14:textId="1643F1A1" w:rsidR="00E20538" w:rsidRDefault="009A67B9"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0.4</w:t>
            </w:r>
          </w:p>
        </w:tc>
        <w:tc>
          <w:tcPr>
            <w:tcW w:w="1534" w:type="dxa"/>
            <w:tcBorders>
              <w:top w:val="nil"/>
              <w:left w:val="nil"/>
              <w:bottom w:val="single" w:sz="4" w:space="0" w:color="auto"/>
              <w:right w:val="single" w:sz="4" w:space="0" w:color="auto"/>
            </w:tcBorders>
            <w:shd w:val="clear" w:color="auto" w:fill="auto"/>
            <w:noWrap/>
            <w:vAlign w:val="bottom"/>
            <w:hideMark/>
          </w:tcPr>
          <w:p w14:paraId="5E39D68F" w14:textId="44E1EF3E"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xml:space="preserve">EPA </w:t>
            </w:r>
            <w:r w:rsidR="009A67B9">
              <w:rPr>
                <w:rFonts w:ascii="Calibri" w:hAnsi="Calibri" w:cs="Calibri"/>
                <w:color w:val="000000"/>
                <w:sz w:val="20"/>
                <w:szCs w:val="20"/>
              </w:rPr>
              <w:t>RSL</w:t>
            </w:r>
            <w:r w:rsidR="009A67B9">
              <w:rPr>
                <w:rFonts w:ascii="Calibri" w:hAnsi="Calibri" w:cs="Calibri"/>
                <w:color w:val="000000"/>
                <w:sz w:val="20"/>
                <w:szCs w:val="20"/>
                <w:vertAlign w:val="superscript"/>
              </w:rPr>
              <w:t>2</w:t>
            </w:r>
          </w:p>
        </w:tc>
        <w:tc>
          <w:tcPr>
            <w:tcW w:w="1350" w:type="dxa"/>
            <w:tcBorders>
              <w:top w:val="nil"/>
              <w:left w:val="nil"/>
              <w:bottom w:val="single" w:sz="4" w:space="0" w:color="auto"/>
              <w:right w:val="nil"/>
            </w:tcBorders>
            <w:shd w:val="clear" w:color="auto" w:fill="auto"/>
            <w:noWrap/>
            <w:vAlign w:val="bottom"/>
            <w:hideMark/>
          </w:tcPr>
          <w:p w14:paraId="6BE903FD" w14:textId="71DC3F5B" w:rsidR="00E20538" w:rsidRDefault="009A67B9"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Chronic</w:t>
            </w:r>
          </w:p>
        </w:tc>
        <w:tc>
          <w:tcPr>
            <w:tcW w:w="1099" w:type="dxa"/>
            <w:tcBorders>
              <w:top w:val="nil"/>
              <w:left w:val="single" w:sz="4" w:space="0" w:color="auto"/>
              <w:bottom w:val="single" w:sz="4" w:space="0" w:color="auto"/>
              <w:right w:val="nil"/>
            </w:tcBorders>
            <w:shd w:val="clear" w:color="auto" w:fill="auto"/>
            <w:noWrap/>
            <w:vAlign w:val="bottom"/>
            <w:hideMark/>
          </w:tcPr>
          <w:p w14:paraId="654AEB28" w14:textId="0D956CB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2C4D41" w14:textId="64913B2E" w:rsidR="00E20538" w:rsidRDefault="009A67B9"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59</w:t>
            </w:r>
          </w:p>
        </w:tc>
      </w:tr>
      <w:tr w:rsidR="00EE4051" w14:paraId="285E6098"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69EF18A" w14:textId="5ADC43C2"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vinyl chloride</w:t>
            </w:r>
          </w:p>
        </w:tc>
        <w:tc>
          <w:tcPr>
            <w:tcW w:w="720" w:type="dxa"/>
            <w:tcBorders>
              <w:top w:val="nil"/>
              <w:left w:val="nil"/>
              <w:bottom w:val="single" w:sz="4" w:space="0" w:color="auto"/>
              <w:right w:val="nil"/>
            </w:tcBorders>
            <w:shd w:val="clear" w:color="auto" w:fill="auto"/>
            <w:noWrap/>
            <w:vAlign w:val="bottom"/>
            <w:hideMark/>
          </w:tcPr>
          <w:p w14:paraId="5AA503BD" w14:textId="267DCCAC"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0.002</w:t>
            </w:r>
          </w:p>
        </w:tc>
        <w:tc>
          <w:tcPr>
            <w:tcW w:w="694" w:type="dxa"/>
            <w:tcBorders>
              <w:top w:val="nil"/>
              <w:left w:val="nil"/>
              <w:bottom w:val="single" w:sz="4" w:space="0" w:color="auto"/>
              <w:right w:val="single" w:sz="8" w:space="0" w:color="auto"/>
            </w:tcBorders>
            <w:shd w:val="clear" w:color="auto" w:fill="auto"/>
            <w:noWrap/>
            <w:vAlign w:val="bottom"/>
            <w:hideMark/>
          </w:tcPr>
          <w:p w14:paraId="078D43E1" w14:textId="7F98F573"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5171B686" w14:textId="5AC94568"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500</w:t>
            </w:r>
          </w:p>
        </w:tc>
        <w:tc>
          <w:tcPr>
            <w:tcW w:w="1534" w:type="dxa"/>
            <w:tcBorders>
              <w:top w:val="nil"/>
              <w:left w:val="nil"/>
              <w:bottom w:val="single" w:sz="4" w:space="0" w:color="auto"/>
              <w:right w:val="single" w:sz="4" w:space="0" w:color="auto"/>
            </w:tcBorders>
            <w:shd w:val="clear" w:color="auto" w:fill="auto"/>
            <w:noWrap/>
            <w:vAlign w:val="bottom"/>
            <w:hideMark/>
          </w:tcPr>
          <w:p w14:paraId="12741DD5" w14:textId="0A49AA2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ATSDR EMEG</w:t>
            </w:r>
          </w:p>
        </w:tc>
        <w:tc>
          <w:tcPr>
            <w:tcW w:w="1350" w:type="dxa"/>
            <w:tcBorders>
              <w:top w:val="nil"/>
              <w:left w:val="nil"/>
              <w:bottom w:val="single" w:sz="4" w:space="0" w:color="auto"/>
              <w:right w:val="nil"/>
            </w:tcBorders>
            <w:shd w:val="clear" w:color="auto" w:fill="auto"/>
            <w:noWrap/>
            <w:vAlign w:val="bottom"/>
            <w:hideMark/>
          </w:tcPr>
          <w:p w14:paraId="0BA91E1E" w14:textId="79F9F15B"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Acute</w:t>
            </w:r>
          </w:p>
        </w:tc>
        <w:tc>
          <w:tcPr>
            <w:tcW w:w="1099" w:type="dxa"/>
            <w:tcBorders>
              <w:top w:val="nil"/>
              <w:left w:val="single" w:sz="4" w:space="0" w:color="auto"/>
              <w:bottom w:val="single" w:sz="4" w:space="0" w:color="auto"/>
              <w:right w:val="nil"/>
            </w:tcBorders>
            <w:shd w:val="clear" w:color="auto" w:fill="auto"/>
            <w:noWrap/>
            <w:vAlign w:val="bottom"/>
            <w:hideMark/>
          </w:tcPr>
          <w:p w14:paraId="71F51F0A" w14:textId="040741BF"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No</w:t>
            </w: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B4C109" w14:textId="1C9BFF0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225683</w:t>
            </w:r>
          </w:p>
        </w:tc>
      </w:tr>
      <w:tr w:rsidR="00EE4051" w14:paraId="143584D1"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61B125BA" w14:textId="64819EAA" w:rsidR="00E20538" w:rsidRDefault="00D27AE3"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sz w:val="20"/>
                <w:szCs w:val="20"/>
              </w:rPr>
              <w:t>benzaldehyde</w:t>
            </w:r>
            <w:r>
              <w:rPr>
                <w:rFonts w:ascii="Calibri" w:hAnsi="Calibri" w:cs="Calibri"/>
                <w:sz w:val="20"/>
                <w:szCs w:val="20"/>
                <w:vertAlign w:val="superscript"/>
              </w:rPr>
              <w:t>1</w:t>
            </w:r>
          </w:p>
        </w:tc>
        <w:tc>
          <w:tcPr>
            <w:tcW w:w="720" w:type="dxa"/>
            <w:tcBorders>
              <w:top w:val="nil"/>
              <w:left w:val="nil"/>
              <w:bottom w:val="single" w:sz="4" w:space="0" w:color="auto"/>
              <w:right w:val="nil"/>
            </w:tcBorders>
            <w:shd w:val="clear" w:color="auto" w:fill="auto"/>
            <w:noWrap/>
            <w:vAlign w:val="bottom"/>
            <w:hideMark/>
          </w:tcPr>
          <w:p w14:paraId="640140AA" w14:textId="14FBE4CD"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&lt;MRL</w:t>
            </w:r>
          </w:p>
        </w:tc>
        <w:tc>
          <w:tcPr>
            <w:tcW w:w="694" w:type="dxa"/>
            <w:tcBorders>
              <w:top w:val="nil"/>
              <w:left w:val="nil"/>
              <w:bottom w:val="single" w:sz="4" w:space="0" w:color="auto"/>
              <w:right w:val="single" w:sz="8" w:space="0" w:color="auto"/>
            </w:tcBorders>
            <w:shd w:val="clear" w:color="auto" w:fill="auto"/>
            <w:noWrap/>
            <w:vAlign w:val="bottom"/>
            <w:hideMark/>
          </w:tcPr>
          <w:p w14:paraId="1F1A94DF" w14:textId="163E2A45"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&lt;MRL</w:t>
            </w:r>
          </w:p>
        </w:tc>
        <w:tc>
          <w:tcPr>
            <w:tcW w:w="1107" w:type="dxa"/>
            <w:tcBorders>
              <w:top w:val="nil"/>
              <w:left w:val="nil"/>
              <w:bottom w:val="single" w:sz="4" w:space="0" w:color="auto"/>
              <w:right w:val="single" w:sz="4" w:space="0" w:color="auto"/>
            </w:tcBorders>
            <w:shd w:val="clear" w:color="auto" w:fill="auto"/>
            <w:noWrap/>
            <w:vAlign w:val="bottom"/>
            <w:hideMark/>
          </w:tcPr>
          <w:p w14:paraId="59CE040E" w14:textId="6511CEA1"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4F7E6D25" w14:textId="2AB0751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402DF909" w14:textId="4E87ED0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3EB7AAE2" w14:textId="4F9C4BC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23670F" w14:textId="3A13FA45"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31C8C457"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434FBA6" w14:textId="3620C73E"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cis-1,3-dichloropropene</w:t>
            </w:r>
          </w:p>
        </w:tc>
        <w:tc>
          <w:tcPr>
            <w:tcW w:w="720" w:type="dxa"/>
            <w:tcBorders>
              <w:top w:val="nil"/>
              <w:left w:val="nil"/>
              <w:bottom w:val="single" w:sz="4" w:space="0" w:color="auto"/>
              <w:right w:val="nil"/>
            </w:tcBorders>
            <w:shd w:val="clear" w:color="auto" w:fill="auto"/>
            <w:noWrap/>
            <w:vAlign w:val="bottom"/>
            <w:hideMark/>
          </w:tcPr>
          <w:p w14:paraId="5FA6F235" w14:textId="6533CAD4"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22A6D278" w14:textId="04ECDD58"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74E4F8B1" w14:textId="688E2349"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0F2599DC" w14:textId="2B74EEE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308C54A1" w14:textId="3FFDD27C"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129777D0" w14:textId="0780AC3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DC1970" w14:textId="6E5BE3FE"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34F6AEE4"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E211199" w14:textId="600C3DD3"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m-dichlorobenzene</w:t>
            </w:r>
          </w:p>
        </w:tc>
        <w:tc>
          <w:tcPr>
            <w:tcW w:w="720" w:type="dxa"/>
            <w:tcBorders>
              <w:top w:val="nil"/>
              <w:left w:val="nil"/>
              <w:bottom w:val="single" w:sz="4" w:space="0" w:color="auto"/>
              <w:right w:val="nil"/>
            </w:tcBorders>
            <w:shd w:val="clear" w:color="auto" w:fill="auto"/>
            <w:noWrap/>
            <w:vAlign w:val="bottom"/>
            <w:hideMark/>
          </w:tcPr>
          <w:p w14:paraId="55AD0C2C" w14:textId="0E709A43"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6AB8DBE8" w14:textId="30781805"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50D95103" w14:textId="14C98074"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3C05B1FD" w14:textId="56466695"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4189FED7" w14:textId="65DA3DC4"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66026654" w14:textId="008067AA"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1C97C2" w14:textId="5915A7F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40C55F61"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6A02A41" w14:textId="7EE00B2D"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n-butylbenzene</w:t>
            </w:r>
          </w:p>
        </w:tc>
        <w:tc>
          <w:tcPr>
            <w:tcW w:w="720" w:type="dxa"/>
            <w:tcBorders>
              <w:top w:val="nil"/>
              <w:left w:val="nil"/>
              <w:bottom w:val="single" w:sz="4" w:space="0" w:color="auto"/>
              <w:right w:val="nil"/>
            </w:tcBorders>
            <w:shd w:val="clear" w:color="auto" w:fill="auto"/>
            <w:noWrap/>
            <w:vAlign w:val="bottom"/>
            <w:hideMark/>
          </w:tcPr>
          <w:p w14:paraId="7982001D" w14:textId="18A0F1F5"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0.002</w:t>
            </w:r>
          </w:p>
        </w:tc>
        <w:tc>
          <w:tcPr>
            <w:tcW w:w="694" w:type="dxa"/>
            <w:tcBorders>
              <w:top w:val="nil"/>
              <w:left w:val="nil"/>
              <w:bottom w:val="single" w:sz="4" w:space="0" w:color="auto"/>
              <w:right w:val="single" w:sz="8" w:space="0" w:color="auto"/>
            </w:tcBorders>
            <w:shd w:val="clear" w:color="auto" w:fill="auto"/>
            <w:noWrap/>
            <w:vAlign w:val="bottom"/>
            <w:hideMark/>
          </w:tcPr>
          <w:p w14:paraId="0B4B4629" w14:textId="4B971EA5" w:rsidR="00E20538" w:rsidRDefault="00E20538" w:rsidP="00E20538">
            <w:pPr>
              <w:keepNext/>
              <w:spacing w:after="0" w:line="240" w:lineRule="auto"/>
              <w:rPr>
                <w:rFonts w:ascii="Calibri" w:eastAsia="Times New Roman" w:hAnsi="Calibri" w:cs="Calibri"/>
                <w:color w:val="000000"/>
                <w:kern w:val="0"/>
                <w:sz w:val="14"/>
                <w:szCs w:val="14"/>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61CF3C7A" w14:textId="593EB604"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66500D41" w14:textId="2ED9AC50"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281956E6" w14:textId="6FB4487C"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6F2778B0" w14:textId="724DAB90"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4DEE8C" w14:textId="28BBB085"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0F01FF80"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F8B8A3C" w14:textId="3A936C5F"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p-</w:t>
            </w:r>
            <w:proofErr w:type="spellStart"/>
            <w:r>
              <w:rPr>
                <w:rFonts w:ascii="Calibri" w:hAnsi="Calibri" w:cs="Calibri"/>
                <w:color w:val="000000"/>
                <w:sz w:val="20"/>
                <w:szCs w:val="20"/>
              </w:rPr>
              <w:t>isopropyltoluene</w:t>
            </w:r>
            <w:proofErr w:type="spellEnd"/>
          </w:p>
        </w:tc>
        <w:tc>
          <w:tcPr>
            <w:tcW w:w="720" w:type="dxa"/>
            <w:tcBorders>
              <w:top w:val="nil"/>
              <w:left w:val="nil"/>
              <w:bottom w:val="single" w:sz="4" w:space="0" w:color="auto"/>
              <w:right w:val="nil"/>
            </w:tcBorders>
            <w:shd w:val="clear" w:color="auto" w:fill="auto"/>
            <w:noWrap/>
            <w:vAlign w:val="bottom"/>
            <w:hideMark/>
          </w:tcPr>
          <w:p w14:paraId="7742CDE0" w14:textId="565AB1BC"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0.005</w:t>
            </w:r>
          </w:p>
        </w:tc>
        <w:tc>
          <w:tcPr>
            <w:tcW w:w="694" w:type="dxa"/>
            <w:tcBorders>
              <w:top w:val="nil"/>
              <w:left w:val="nil"/>
              <w:bottom w:val="single" w:sz="4" w:space="0" w:color="auto"/>
              <w:right w:val="single" w:sz="8" w:space="0" w:color="auto"/>
            </w:tcBorders>
            <w:shd w:val="clear" w:color="auto" w:fill="auto"/>
            <w:noWrap/>
            <w:vAlign w:val="bottom"/>
            <w:hideMark/>
          </w:tcPr>
          <w:p w14:paraId="58E0FF69" w14:textId="62F29E09"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4AB354DB" w14:textId="41535AC4"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5CCB3D1C" w14:textId="2954795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7BF4360E" w14:textId="28BF0CF1"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62CAC3F3" w14:textId="44603E5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CC2DB4" w14:textId="3B443957"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E4051" w14:paraId="5FB0A80F" w14:textId="77777777" w:rsidTr="00377278">
        <w:trPr>
          <w:gridAfter w:val="1"/>
          <w:wAfter w:w="23" w:type="dxa"/>
          <w:trHeight w:val="14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206DB6BE" w14:textId="79AC1D22"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trans-1,3-dichloropropene</w:t>
            </w:r>
          </w:p>
        </w:tc>
        <w:tc>
          <w:tcPr>
            <w:tcW w:w="720" w:type="dxa"/>
            <w:tcBorders>
              <w:top w:val="nil"/>
              <w:left w:val="nil"/>
              <w:bottom w:val="single" w:sz="4" w:space="0" w:color="auto"/>
              <w:right w:val="nil"/>
            </w:tcBorders>
            <w:shd w:val="clear" w:color="auto" w:fill="auto"/>
            <w:noWrap/>
            <w:vAlign w:val="bottom"/>
            <w:hideMark/>
          </w:tcPr>
          <w:p w14:paraId="2C084960" w14:textId="5D1B52F8" w:rsidR="00E20538" w:rsidRDefault="00E20538" w:rsidP="00E20538">
            <w:pPr>
              <w:keepNext/>
              <w:spacing w:after="0" w:line="240" w:lineRule="auto"/>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0.000</w:t>
            </w:r>
          </w:p>
        </w:tc>
        <w:tc>
          <w:tcPr>
            <w:tcW w:w="694" w:type="dxa"/>
            <w:tcBorders>
              <w:top w:val="nil"/>
              <w:left w:val="nil"/>
              <w:bottom w:val="single" w:sz="4" w:space="0" w:color="auto"/>
              <w:right w:val="single" w:sz="8" w:space="0" w:color="auto"/>
            </w:tcBorders>
            <w:shd w:val="clear" w:color="auto" w:fill="auto"/>
            <w:noWrap/>
            <w:vAlign w:val="bottom"/>
            <w:hideMark/>
          </w:tcPr>
          <w:p w14:paraId="54F3C41C" w14:textId="5EF5E289" w:rsidR="00E20538" w:rsidRDefault="00E20538" w:rsidP="00E20538">
            <w:pPr>
              <w:keepNext/>
              <w:spacing w:after="0" w:line="240" w:lineRule="auto"/>
              <w:rPr>
                <w:rFonts w:ascii="Calibri" w:eastAsia="Times New Roman" w:hAnsi="Calibri" w:cs="Calibri"/>
                <w:color w:val="000000"/>
                <w:kern w:val="0"/>
                <w:sz w:val="20"/>
                <w:szCs w:val="20"/>
                <w14:ligatures w14:val="none"/>
              </w:rPr>
            </w:pPr>
            <w:r>
              <w:rPr>
                <w:rFonts w:ascii="Calibri" w:hAnsi="Calibri" w:cs="Calibri"/>
                <w:color w:val="000000"/>
                <w:sz w:val="20"/>
                <w:szCs w:val="20"/>
              </w:rPr>
              <w:t>&lt;MDL</w:t>
            </w:r>
          </w:p>
        </w:tc>
        <w:tc>
          <w:tcPr>
            <w:tcW w:w="1107" w:type="dxa"/>
            <w:tcBorders>
              <w:top w:val="nil"/>
              <w:left w:val="nil"/>
              <w:bottom w:val="single" w:sz="4" w:space="0" w:color="auto"/>
              <w:right w:val="single" w:sz="4" w:space="0" w:color="auto"/>
            </w:tcBorders>
            <w:shd w:val="clear" w:color="auto" w:fill="auto"/>
            <w:noWrap/>
            <w:vAlign w:val="bottom"/>
            <w:hideMark/>
          </w:tcPr>
          <w:p w14:paraId="26B75704" w14:textId="210E5046" w:rsidR="00E20538" w:rsidRDefault="00E20538" w:rsidP="00E20538">
            <w:pPr>
              <w:keepNext/>
              <w:spacing w:after="0" w:line="240" w:lineRule="auto"/>
              <w:jc w:val="center"/>
              <w:rPr>
                <w:rFonts w:ascii="Calibri" w:eastAsia="Times New Roman" w:hAnsi="Calibri" w:cs="Calibri"/>
                <w:color w:val="000000"/>
                <w:kern w:val="0"/>
                <w:sz w:val="20"/>
                <w:szCs w:val="20"/>
                <w14:ligatures w14:val="none"/>
              </w:rPr>
            </w:pPr>
            <w:r>
              <w:rPr>
                <w:rFonts w:ascii="Calibri" w:hAnsi="Calibri" w:cs="Calibri"/>
                <w:color w:val="000000"/>
                <w:sz w:val="20"/>
                <w:szCs w:val="20"/>
              </w:rPr>
              <w:t> </w:t>
            </w:r>
          </w:p>
        </w:tc>
        <w:tc>
          <w:tcPr>
            <w:tcW w:w="1534" w:type="dxa"/>
            <w:tcBorders>
              <w:top w:val="nil"/>
              <w:left w:val="nil"/>
              <w:bottom w:val="single" w:sz="4" w:space="0" w:color="auto"/>
              <w:right w:val="single" w:sz="4" w:space="0" w:color="auto"/>
            </w:tcBorders>
            <w:shd w:val="clear" w:color="auto" w:fill="auto"/>
            <w:noWrap/>
            <w:vAlign w:val="bottom"/>
            <w:hideMark/>
          </w:tcPr>
          <w:p w14:paraId="6291FD0F" w14:textId="062981B0"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350" w:type="dxa"/>
            <w:tcBorders>
              <w:top w:val="nil"/>
              <w:left w:val="nil"/>
              <w:bottom w:val="single" w:sz="4" w:space="0" w:color="auto"/>
              <w:right w:val="nil"/>
            </w:tcBorders>
            <w:shd w:val="clear" w:color="auto" w:fill="auto"/>
            <w:noWrap/>
            <w:vAlign w:val="bottom"/>
            <w:hideMark/>
          </w:tcPr>
          <w:p w14:paraId="15A602AA" w14:textId="0160F118"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099" w:type="dxa"/>
            <w:tcBorders>
              <w:top w:val="nil"/>
              <w:left w:val="single" w:sz="4" w:space="0" w:color="auto"/>
              <w:bottom w:val="single" w:sz="4" w:space="0" w:color="auto"/>
              <w:right w:val="nil"/>
            </w:tcBorders>
            <w:shd w:val="clear" w:color="auto" w:fill="auto"/>
            <w:noWrap/>
            <w:vAlign w:val="bottom"/>
            <w:hideMark/>
          </w:tcPr>
          <w:p w14:paraId="1CC101E9" w14:textId="7F0DCE82"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c>
          <w:tcPr>
            <w:tcW w:w="11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730C6E" w14:textId="4FB85946" w:rsidR="00E20538" w:rsidRDefault="00E20538" w:rsidP="002B681E">
            <w:pPr>
              <w:keepNext/>
              <w:spacing w:after="0" w:line="240" w:lineRule="auto"/>
              <w:jc w:val="center"/>
              <w:rPr>
                <w:rFonts w:ascii="Calibri" w:eastAsia="Times New Roman" w:hAnsi="Calibri" w:cs="Calibri"/>
                <w:color w:val="000000"/>
                <w:kern w:val="0"/>
                <w:sz w:val="20"/>
                <w:szCs w:val="20"/>
                <w14:ligatures w14:val="none"/>
              </w:rPr>
            </w:pPr>
          </w:p>
        </w:tc>
      </w:tr>
      <w:tr w:rsidR="00E6321C" w14:paraId="23B769DB" w14:textId="77777777" w:rsidTr="00377278">
        <w:trPr>
          <w:gridAfter w:val="1"/>
          <w:wAfter w:w="23" w:type="dxa"/>
          <w:trHeight w:val="215"/>
        </w:trPr>
        <w:tc>
          <w:tcPr>
            <w:tcW w:w="2515" w:type="dxa"/>
            <w:tcBorders>
              <w:top w:val="nil"/>
              <w:left w:val="single" w:sz="4" w:space="0" w:color="auto"/>
              <w:bottom w:val="nil"/>
              <w:right w:val="nil"/>
            </w:tcBorders>
            <w:noWrap/>
            <w:hideMark/>
          </w:tcPr>
          <w:p w14:paraId="75F2726A" w14:textId="77777777" w:rsidR="00E20538" w:rsidRDefault="00E20538" w:rsidP="00E20538">
            <w:pPr>
              <w:keepNext/>
              <w:spacing w:after="0" w:line="240" w:lineRule="auto"/>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t>Notes:</w:t>
            </w:r>
          </w:p>
        </w:tc>
        <w:tc>
          <w:tcPr>
            <w:tcW w:w="720" w:type="dxa"/>
            <w:noWrap/>
            <w:hideMark/>
          </w:tcPr>
          <w:p w14:paraId="711C3BD9" w14:textId="77777777" w:rsidR="00E20538" w:rsidRDefault="00E20538" w:rsidP="00E20538">
            <w:pPr>
              <w:spacing w:after="0"/>
              <w:rPr>
                <w:rFonts w:ascii="Arial" w:eastAsia="Times New Roman" w:hAnsi="Arial" w:cs="Arial"/>
                <w:b/>
                <w:bCs/>
                <w:kern w:val="0"/>
                <w:sz w:val="18"/>
                <w:szCs w:val="18"/>
                <w14:ligatures w14:val="none"/>
              </w:rPr>
            </w:pPr>
          </w:p>
        </w:tc>
        <w:tc>
          <w:tcPr>
            <w:tcW w:w="694" w:type="dxa"/>
            <w:noWrap/>
            <w:vAlign w:val="center"/>
            <w:hideMark/>
          </w:tcPr>
          <w:p w14:paraId="6330F109" w14:textId="77777777" w:rsidR="00E20538" w:rsidRDefault="00E20538" w:rsidP="00E20538">
            <w:pPr>
              <w:spacing w:after="0"/>
              <w:rPr>
                <w:kern w:val="0"/>
                <w:sz w:val="20"/>
                <w:szCs w:val="20"/>
                <w14:ligatures w14:val="none"/>
              </w:rPr>
            </w:pPr>
          </w:p>
        </w:tc>
        <w:tc>
          <w:tcPr>
            <w:tcW w:w="1107" w:type="dxa"/>
            <w:noWrap/>
            <w:vAlign w:val="center"/>
            <w:hideMark/>
          </w:tcPr>
          <w:p w14:paraId="679BD430" w14:textId="77777777" w:rsidR="00E20538" w:rsidRDefault="00E20538" w:rsidP="00E20538">
            <w:pPr>
              <w:spacing w:after="0"/>
              <w:rPr>
                <w:kern w:val="0"/>
                <w:sz w:val="20"/>
                <w:szCs w:val="20"/>
                <w14:ligatures w14:val="none"/>
              </w:rPr>
            </w:pPr>
          </w:p>
        </w:tc>
        <w:tc>
          <w:tcPr>
            <w:tcW w:w="1534" w:type="dxa"/>
            <w:noWrap/>
            <w:vAlign w:val="center"/>
            <w:hideMark/>
          </w:tcPr>
          <w:p w14:paraId="6028212F" w14:textId="77777777" w:rsidR="00E20538" w:rsidRDefault="00E20538" w:rsidP="00E20538">
            <w:pPr>
              <w:spacing w:after="0"/>
              <w:rPr>
                <w:kern w:val="0"/>
                <w:sz w:val="20"/>
                <w:szCs w:val="20"/>
                <w14:ligatures w14:val="none"/>
              </w:rPr>
            </w:pPr>
          </w:p>
        </w:tc>
        <w:tc>
          <w:tcPr>
            <w:tcW w:w="1350" w:type="dxa"/>
            <w:noWrap/>
            <w:vAlign w:val="center"/>
            <w:hideMark/>
          </w:tcPr>
          <w:p w14:paraId="7E8DE98D" w14:textId="77777777" w:rsidR="00E20538" w:rsidRDefault="00E20538" w:rsidP="00E20538">
            <w:pPr>
              <w:spacing w:after="0"/>
              <w:rPr>
                <w:kern w:val="0"/>
                <w:sz w:val="20"/>
                <w:szCs w:val="20"/>
                <w14:ligatures w14:val="none"/>
              </w:rPr>
            </w:pPr>
          </w:p>
        </w:tc>
        <w:tc>
          <w:tcPr>
            <w:tcW w:w="1099" w:type="dxa"/>
            <w:noWrap/>
            <w:vAlign w:val="bottom"/>
            <w:hideMark/>
          </w:tcPr>
          <w:p w14:paraId="2545D27E" w14:textId="77777777" w:rsidR="00E20538" w:rsidRDefault="00E20538" w:rsidP="00E20538">
            <w:pPr>
              <w:spacing w:after="0"/>
              <w:rPr>
                <w:kern w:val="0"/>
                <w:sz w:val="20"/>
                <w:szCs w:val="20"/>
                <w14:ligatures w14:val="none"/>
              </w:rPr>
            </w:pPr>
          </w:p>
        </w:tc>
        <w:tc>
          <w:tcPr>
            <w:tcW w:w="1159" w:type="dxa"/>
            <w:gridSpan w:val="2"/>
            <w:tcBorders>
              <w:top w:val="nil"/>
              <w:left w:val="nil"/>
              <w:bottom w:val="nil"/>
              <w:right w:val="single" w:sz="4" w:space="0" w:color="auto"/>
            </w:tcBorders>
            <w:noWrap/>
            <w:vAlign w:val="bottom"/>
            <w:hideMark/>
          </w:tcPr>
          <w:p w14:paraId="02A8E074" w14:textId="77777777" w:rsidR="00E20538" w:rsidRDefault="00E20538" w:rsidP="00E20538">
            <w:pPr>
              <w:spacing w:after="0"/>
              <w:rPr>
                <w:kern w:val="0"/>
                <w:sz w:val="20"/>
                <w:szCs w:val="20"/>
                <w14:ligatures w14:val="none"/>
              </w:rPr>
            </w:pPr>
          </w:p>
        </w:tc>
      </w:tr>
      <w:tr w:rsidR="00E6321C" w14:paraId="644B9451" w14:textId="77777777" w:rsidTr="00377278">
        <w:trPr>
          <w:trHeight w:val="133"/>
        </w:trPr>
        <w:tc>
          <w:tcPr>
            <w:tcW w:w="10201" w:type="dxa"/>
            <w:gridSpan w:val="10"/>
            <w:tcBorders>
              <w:top w:val="nil"/>
              <w:left w:val="single" w:sz="4" w:space="0" w:color="auto"/>
              <w:bottom w:val="nil"/>
              <w:right w:val="single" w:sz="4" w:space="0" w:color="auto"/>
            </w:tcBorders>
            <w:noWrap/>
            <w:hideMark/>
          </w:tcPr>
          <w:p w14:paraId="17EFC454" w14:textId="05CF781E" w:rsidR="00E20538" w:rsidRDefault="38FFC339" w:rsidP="00E20538">
            <w:pPr>
              <w:spacing w:after="0" w:line="257"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VOCs analyzed by Rhode Island State Health Laboratories by VOCs by GCFID and GCMS (i.e., modified EPA Method TO-15)</w:t>
            </w:r>
          </w:p>
        </w:tc>
      </w:tr>
      <w:tr w:rsidR="00E6321C" w14:paraId="5D447DFC" w14:textId="77777777" w:rsidTr="00377278">
        <w:trPr>
          <w:trHeight w:val="133"/>
        </w:trPr>
        <w:tc>
          <w:tcPr>
            <w:tcW w:w="10201" w:type="dxa"/>
            <w:gridSpan w:val="10"/>
            <w:tcBorders>
              <w:top w:val="nil"/>
              <w:left w:val="single" w:sz="4" w:space="0" w:color="auto"/>
              <w:bottom w:val="nil"/>
              <w:right w:val="single" w:sz="4" w:space="0" w:color="auto"/>
            </w:tcBorders>
            <w:noWrap/>
            <w:hideMark/>
          </w:tcPr>
          <w:p w14:paraId="259842B9" w14:textId="78169FFC" w:rsidR="00E20538" w:rsidRDefault="00E20538" w:rsidP="00E20538">
            <w:pPr>
              <w:spacing w:after="0" w:line="257"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1. VOC carbonyl compounds analyzed at MassDEP Division of Environmental Laboratory Sciences by modified EPA Method TO-11A</w:t>
            </w:r>
          </w:p>
        </w:tc>
      </w:tr>
      <w:tr w:rsidR="00E6321C" w14:paraId="6D423053" w14:textId="77777777" w:rsidTr="00377278">
        <w:trPr>
          <w:trHeight w:val="133"/>
        </w:trPr>
        <w:tc>
          <w:tcPr>
            <w:tcW w:w="10201" w:type="dxa"/>
            <w:gridSpan w:val="10"/>
            <w:tcBorders>
              <w:top w:val="nil"/>
              <w:left w:val="single" w:sz="4" w:space="0" w:color="auto"/>
              <w:bottom w:val="nil"/>
              <w:right w:val="single" w:sz="4" w:space="0" w:color="auto"/>
            </w:tcBorders>
            <w:noWrap/>
            <w:hideMark/>
          </w:tcPr>
          <w:p w14:paraId="70AE6413" w14:textId="1ECF234A" w:rsidR="00E20538" w:rsidRDefault="67528D48" w:rsidP="00E20538">
            <w:pPr>
              <w:spacing w:after="0" w:line="257" w:lineRule="auto"/>
              <w:rPr>
                <w:kern w:val="0"/>
                <w:sz w:val="20"/>
                <w:szCs w:val="20"/>
                <w14:ligatures w14:val="none"/>
              </w:rPr>
            </w:pPr>
            <w:r>
              <w:rPr>
                <w:rFonts w:ascii="Arial" w:eastAsia="Times New Roman" w:hAnsi="Arial" w:cs="Arial"/>
                <w:kern w:val="0"/>
                <w:sz w:val="16"/>
                <w:szCs w:val="16"/>
                <w14:ligatures w14:val="none"/>
              </w:rPr>
              <w:t xml:space="preserve">2. </w:t>
            </w:r>
            <w:r w:rsidR="7725170E">
              <w:rPr>
                <w:rFonts w:ascii="Arial" w:eastAsia="Times New Roman" w:hAnsi="Arial" w:cs="Arial"/>
                <w:kern w:val="0"/>
                <w:sz w:val="16"/>
                <w:szCs w:val="16"/>
                <w14:ligatures w14:val="none"/>
              </w:rPr>
              <w:t xml:space="preserve">Converted </w:t>
            </w:r>
            <w:r>
              <w:rPr>
                <w:rFonts w:ascii="Arial" w:eastAsia="Times New Roman" w:hAnsi="Arial" w:cs="Arial"/>
                <w:kern w:val="0"/>
                <w:sz w:val="16"/>
                <w:szCs w:val="16"/>
                <w14:ligatures w14:val="none"/>
              </w:rPr>
              <w:t>from µg/m</w:t>
            </w:r>
            <w:r>
              <w:rPr>
                <w:rFonts w:ascii="Arial" w:eastAsia="Times New Roman" w:hAnsi="Arial" w:cs="Arial"/>
                <w:kern w:val="0"/>
                <w:sz w:val="16"/>
                <w:szCs w:val="16"/>
                <w:vertAlign w:val="superscript"/>
                <w14:ligatures w14:val="none"/>
              </w:rPr>
              <w:t>3</w:t>
            </w:r>
            <w:r>
              <w:rPr>
                <w:rFonts w:ascii="Arial" w:eastAsia="Times New Roman" w:hAnsi="Arial" w:cs="Arial"/>
                <w:kern w:val="0"/>
                <w:sz w:val="16"/>
                <w:szCs w:val="16"/>
                <w14:ligatures w14:val="none"/>
              </w:rPr>
              <w:t xml:space="preserve"> to ppb [ppb=(concentration in </w:t>
            </w:r>
            <w:r w:rsidR="22501BA4">
              <w:rPr>
                <w:rFonts w:ascii="Arial" w:eastAsia="Times New Roman" w:hAnsi="Arial" w:cs="Arial"/>
                <w:kern w:val="0"/>
                <w:sz w:val="16"/>
                <w:szCs w:val="16"/>
                <w14:ligatures w14:val="none"/>
              </w:rPr>
              <w:t>µg</w:t>
            </w:r>
            <w:r>
              <w:rPr>
                <w:rFonts w:ascii="Arial" w:eastAsia="Times New Roman" w:hAnsi="Arial" w:cs="Arial"/>
                <w:kern w:val="0"/>
                <w:sz w:val="16"/>
                <w:szCs w:val="16"/>
                <w14:ligatures w14:val="none"/>
              </w:rPr>
              <w:t>/m</w:t>
            </w:r>
            <w:r>
              <w:rPr>
                <w:rFonts w:ascii="Arial" w:eastAsia="Times New Roman" w:hAnsi="Arial" w:cs="Arial"/>
                <w:kern w:val="0"/>
                <w:sz w:val="16"/>
                <w:szCs w:val="16"/>
                <w:vertAlign w:val="superscript"/>
                <w14:ligatures w14:val="none"/>
              </w:rPr>
              <w:t>3</w:t>
            </w:r>
            <w:r>
              <w:rPr>
                <w:rFonts w:ascii="Arial" w:eastAsia="Times New Roman" w:hAnsi="Arial" w:cs="Arial"/>
                <w:kern w:val="0"/>
                <w:sz w:val="16"/>
                <w:szCs w:val="16"/>
                <w14:ligatures w14:val="none"/>
              </w:rPr>
              <w:t xml:space="preserve"> x 24.4)/contaminant molecular weight in grams/mole]. </w:t>
            </w:r>
          </w:p>
        </w:tc>
      </w:tr>
      <w:tr w:rsidR="00A46B4B" w14:paraId="39C8FDAB" w14:textId="77777777" w:rsidTr="00377278">
        <w:trPr>
          <w:trHeight w:val="133"/>
        </w:trPr>
        <w:tc>
          <w:tcPr>
            <w:tcW w:w="10201" w:type="dxa"/>
            <w:gridSpan w:val="10"/>
            <w:tcBorders>
              <w:top w:val="nil"/>
              <w:left w:val="single" w:sz="4" w:space="0" w:color="auto"/>
              <w:bottom w:val="nil"/>
              <w:right w:val="single" w:sz="4" w:space="0" w:color="auto"/>
            </w:tcBorders>
            <w:noWrap/>
          </w:tcPr>
          <w:p w14:paraId="73D47CE9" w14:textId="4620D891" w:rsidR="00A46B4B" w:rsidRDefault="00A46B4B" w:rsidP="008545BC">
            <w:pPr>
              <w:spacing w:after="0" w:line="240" w:lineRule="auto"/>
              <w:rPr>
                <w:kern w:val="0"/>
                <w:sz w:val="20"/>
                <w:szCs w:val="20"/>
                <w14:ligatures w14:val="none"/>
              </w:rPr>
            </w:pPr>
            <w:r>
              <w:rPr>
                <w:rFonts w:ascii="Arial" w:eastAsia="Times New Roman" w:hAnsi="Arial" w:cs="Arial"/>
                <w:kern w:val="0"/>
                <w:sz w:val="16"/>
                <w:szCs w:val="16"/>
                <w14:ligatures w14:val="none"/>
              </w:rPr>
              <w:t xml:space="preserve">3. </w:t>
            </w:r>
            <w:r w:rsidRPr="008545BC">
              <w:rPr>
                <w:rFonts w:ascii="Arial" w:eastAsia="Times New Roman" w:hAnsi="Arial" w:cs="Arial"/>
                <w:kern w:val="0"/>
                <w:sz w:val="16"/>
                <w:szCs w:val="16"/>
                <w14:ligatures w14:val="none"/>
              </w:rPr>
              <w:t>Based on toxicity of hexane</w:t>
            </w:r>
          </w:p>
        </w:tc>
      </w:tr>
      <w:tr w:rsidR="00E6321C" w14:paraId="3E443EB4" w14:textId="77777777" w:rsidTr="00377278">
        <w:trPr>
          <w:gridAfter w:val="1"/>
          <w:wAfter w:w="23" w:type="dxa"/>
          <w:trHeight w:val="133"/>
        </w:trPr>
        <w:tc>
          <w:tcPr>
            <w:tcW w:w="2515" w:type="dxa"/>
            <w:tcBorders>
              <w:top w:val="nil"/>
              <w:left w:val="single" w:sz="4" w:space="0" w:color="auto"/>
              <w:bottom w:val="nil"/>
              <w:right w:val="nil"/>
            </w:tcBorders>
            <w:noWrap/>
            <w:hideMark/>
          </w:tcPr>
          <w:p w14:paraId="1D4FADBE" w14:textId="77777777" w:rsidR="00E20538" w:rsidRDefault="00E20538" w:rsidP="00E20538">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NA = Not Available</w:t>
            </w:r>
          </w:p>
        </w:tc>
        <w:tc>
          <w:tcPr>
            <w:tcW w:w="720" w:type="dxa"/>
            <w:noWrap/>
            <w:hideMark/>
          </w:tcPr>
          <w:p w14:paraId="14C91264" w14:textId="77777777" w:rsidR="00E20538" w:rsidRDefault="00E20538" w:rsidP="00E20538">
            <w:pPr>
              <w:spacing w:after="0" w:line="240" w:lineRule="auto"/>
              <w:rPr>
                <w:rFonts w:ascii="Arial" w:eastAsia="Times New Roman" w:hAnsi="Arial" w:cs="Arial"/>
                <w:kern w:val="0"/>
                <w:sz w:val="16"/>
                <w:szCs w:val="16"/>
                <w14:ligatures w14:val="none"/>
              </w:rPr>
            </w:pPr>
          </w:p>
        </w:tc>
        <w:tc>
          <w:tcPr>
            <w:tcW w:w="694" w:type="dxa"/>
            <w:noWrap/>
            <w:vAlign w:val="center"/>
            <w:hideMark/>
          </w:tcPr>
          <w:p w14:paraId="00D33AEF" w14:textId="77777777" w:rsidR="00E20538" w:rsidRDefault="00E20538" w:rsidP="00E20538">
            <w:pPr>
              <w:spacing w:after="0" w:line="240" w:lineRule="auto"/>
              <w:rPr>
                <w:kern w:val="0"/>
                <w:sz w:val="20"/>
                <w:szCs w:val="20"/>
                <w14:ligatures w14:val="none"/>
              </w:rPr>
            </w:pPr>
          </w:p>
        </w:tc>
        <w:tc>
          <w:tcPr>
            <w:tcW w:w="1107" w:type="dxa"/>
            <w:noWrap/>
            <w:vAlign w:val="center"/>
            <w:hideMark/>
          </w:tcPr>
          <w:p w14:paraId="42888391" w14:textId="77777777" w:rsidR="00E20538" w:rsidRDefault="00E20538" w:rsidP="00E20538">
            <w:pPr>
              <w:spacing w:after="0" w:line="240" w:lineRule="auto"/>
              <w:rPr>
                <w:kern w:val="0"/>
                <w:sz w:val="20"/>
                <w:szCs w:val="20"/>
                <w14:ligatures w14:val="none"/>
              </w:rPr>
            </w:pPr>
          </w:p>
        </w:tc>
        <w:tc>
          <w:tcPr>
            <w:tcW w:w="1534" w:type="dxa"/>
            <w:noWrap/>
            <w:vAlign w:val="center"/>
            <w:hideMark/>
          </w:tcPr>
          <w:p w14:paraId="0A2C39FB" w14:textId="77777777" w:rsidR="00E20538" w:rsidRDefault="00E20538" w:rsidP="00E20538">
            <w:pPr>
              <w:spacing w:after="0" w:line="240" w:lineRule="auto"/>
              <w:rPr>
                <w:kern w:val="0"/>
                <w:sz w:val="20"/>
                <w:szCs w:val="20"/>
                <w14:ligatures w14:val="none"/>
              </w:rPr>
            </w:pPr>
          </w:p>
        </w:tc>
        <w:tc>
          <w:tcPr>
            <w:tcW w:w="1350" w:type="dxa"/>
            <w:noWrap/>
            <w:vAlign w:val="center"/>
            <w:hideMark/>
          </w:tcPr>
          <w:p w14:paraId="5DB90B21" w14:textId="77777777" w:rsidR="00E20538" w:rsidRDefault="00E20538" w:rsidP="00E20538">
            <w:pPr>
              <w:spacing w:after="0" w:line="240" w:lineRule="auto"/>
              <w:rPr>
                <w:kern w:val="0"/>
                <w:sz w:val="20"/>
                <w:szCs w:val="20"/>
                <w14:ligatures w14:val="none"/>
              </w:rPr>
            </w:pPr>
          </w:p>
        </w:tc>
        <w:tc>
          <w:tcPr>
            <w:tcW w:w="1099" w:type="dxa"/>
            <w:noWrap/>
            <w:vAlign w:val="bottom"/>
            <w:hideMark/>
          </w:tcPr>
          <w:p w14:paraId="1EECCCA1" w14:textId="77777777" w:rsidR="00E20538" w:rsidRDefault="00E20538" w:rsidP="00E20538">
            <w:pPr>
              <w:spacing w:after="0" w:line="240" w:lineRule="auto"/>
              <w:rPr>
                <w:kern w:val="0"/>
                <w:sz w:val="20"/>
                <w:szCs w:val="20"/>
                <w14:ligatures w14:val="none"/>
              </w:rPr>
            </w:pPr>
          </w:p>
        </w:tc>
        <w:tc>
          <w:tcPr>
            <w:tcW w:w="1159" w:type="dxa"/>
            <w:gridSpan w:val="2"/>
            <w:tcBorders>
              <w:top w:val="nil"/>
              <w:left w:val="nil"/>
              <w:bottom w:val="nil"/>
              <w:right w:val="single" w:sz="4" w:space="0" w:color="auto"/>
            </w:tcBorders>
            <w:noWrap/>
            <w:vAlign w:val="bottom"/>
            <w:hideMark/>
          </w:tcPr>
          <w:p w14:paraId="7D72F595" w14:textId="77777777" w:rsidR="00E20538" w:rsidRDefault="00E20538" w:rsidP="00E20538">
            <w:pPr>
              <w:spacing w:after="0" w:line="240" w:lineRule="auto"/>
              <w:rPr>
                <w:kern w:val="0"/>
                <w:sz w:val="20"/>
                <w:szCs w:val="20"/>
                <w14:ligatures w14:val="none"/>
              </w:rPr>
            </w:pPr>
          </w:p>
        </w:tc>
      </w:tr>
      <w:tr w:rsidR="00A46B4B" w14:paraId="6CE901E1" w14:textId="77777777" w:rsidTr="00377278">
        <w:trPr>
          <w:trHeight w:val="133"/>
        </w:trPr>
        <w:tc>
          <w:tcPr>
            <w:tcW w:w="10201" w:type="dxa"/>
            <w:gridSpan w:val="10"/>
            <w:tcBorders>
              <w:top w:val="nil"/>
              <w:left w:val="single" w:sz="4" w:space="0" w:color="auto"/>
              <w:bottom w:val="nil"/>
              <w:right w:val="single" w:sz="4" w:space="0" w:color="auto"/>
            </w:tcBorders>
            <w:noWrap/>
            <w:hideMark/>
          </w:tcPr>
          <w:p w14:paraId="640D4A51" w14:textId="7CC4EB52" w:rsidR="00A46B4B" w:rsidRDefault="00A46B4B" w:rsidP="00E20538">
            <w:pPr>
              <w:spacing w:after="0" w:line="240" w:lineRule="auto"/>
              <w:rPr>
                <w:kern w:val="0"/>
                <w:sz w:val="20"/>
                <w:szCs w:val="20"/>
                <w14:ligatures w14:val="none"/>
              </w:rPr>
            </w:pPr>
            <w:r>
              <w:rPr>
                <w:rFonts w:ascii="Arial" w:eastAsia="Times New Roman" w:hAnsi="Arial" w:cs="Arial"/>
                <w:kern w:val="0"/>
                <w:sz w:val="16"/>
                <w:szCs w:val="16"/>
                <w14:ligatures w14:val="none"/>
              </w:rPr>
              <w:t xml:space="preserve">&lt;MRL = Less than the method reporting limit as reported by MassDEP.  </w:t>
            </w:r>
          </w:p>
        </w:tc>
      </w:tr>
      <w:tr w:rsidR="00A46B4B" w14:paraId="1D0B9DB1" w14:textId="77777777" w:rsidTr="00377278">
        <w:trPr>
          <w:trHeight w:val="133"/>
        </w:trPr>
        <w:tc>
          <w:tcPr>
            <w:tcW w:w="9469" w:type="dxa"/>
            <w:gridSpan w:val="8"/>
            <w:tcBorders>
              <w:top w:val="nil"/>
              <w:left w:val="single" w:sz="4" w:space="0" w:color="auto"/>
              <w:bottom w:val="nil"/>
              <w:right w:val="nil"/>
            </w:tcBorders>
            <w:noWrap/>
            <w:hideMark/>
          </w:tcPr>
          <w:p w14:paraId="41FA09A0" w14:textId="75D7BFEB" w:rsidR="00A46B4B" w:rsidRDefault="00A46B4B" w:rsidP="00E20538">
            <w:pPr>
              <w:spacing w:after="0" w:line="240" w:lineRule="auto"/>
              <w:rPr>
                <w:rFonts w:ascii="Arial" w:eastAsia="Times New Roman" w:hAnsi="Arial" w:cs="Arial"/>
                <w:kern w:val="0"/>
                <w:sz w:val="16"/>
                <w:szCs w:val="16"/>
                <w14:ligatures w14:val="none"/>
              </w:rPr>
            </w:pPr>
            <w:r>
              <w:rPr>
                <w:rFonts w:ascii="Arial" w:eastAsia="Times New Roman" w:hAnsi="Arial" w:cs="Arial"/>
                <w:color w:val="000000"/>
                <w:kern w:val="0"/>
                <w:sz w:val="16"/>
                <w:szCs w:val="16"/>
                <w14:ligatures w14:val="none"/>
              </w:rPr>
              <w:t>&lt;MDL</w:t>
            </w:r>
            <w:r>
              <w:rPr>
                <w:rFonts w:ascii="Arial" w:eastAsia="Times New Roman" w:hAnsi="Arial" w:cs="Arial"/>
                <w:kern w:val="0"/>
                <w:sz w:val="16"/>
                <w:szCs w:val="16"/>
                <w14:ligatures w14:val="none"/>
              </w:rPr>
              <w:t xml:space="preserve"> = less than Method Detection Limit as Reported by RI State Health Laboratories</w:t>
            </w:r>
          </w:p>
        </w:tc>
        <w:tc>
          <w:tcPr>
            <w:tcW w:w="732" w:type="dxa"/>
            <w:gridSpan w:val="2"/>
            <w:tcBorders>
              <w:right w:val="single" w:sz="4" w:space="0" w:color="auto"/>
            </w:tcBorders>
            <w:noWrap/>
            <w:vAlign w:val="bottom"/>
            <w:hideMark/>
          </w:tcPr>
          <w:p w14:paraId="0DEB759C" w14:textId="77777777" w:rsidR="00A46B4B" w:rsidRDefault="00A46B4B" w:rsidP="00E20538">
            <w:pPr>
              <w:spacing w:after="0" w:line="240" w:lineRule="auto"/>
              <w:rPr>
                <w:kern w:val="0"/>
                <w:sz w:val="20"/>
                <w:szCs w:val="20"/>
                <w14:ligatures w14:val="none"/>
              </w:rPr>
            </w:pPr>
          </w:p>
        </w:tc>
      </w:tr>
      <w:tr w:rsidR="00E6321C" w14:paraId="64E524C1" w14:textId="77777777" w:rsidTr="00377278">
        <w:trPr>
          <w:gridAfter w:val="1"/>
          <w:wAfter w:w="23" w:type="dxa"/>
          <w:trHeight w:val="133"/>
        </w:trPr>
        <w:tc>
          <w:tcPr>
            <w:tcW w:w="3929" w:type="dxa"/>
            <w:gridSpan w:val="3"/>
            <w:tcBorders>
              <w:top w:val="nil"/>
              <w:left w:val="single" w:sz="4" w:space="0" w:color="auto"/>
              <w:bottom w:val="nil"/>
              <w:right w:val="nil"/>
            </w:tcBorders>
            <w:noWrap/>
            <w:hideMark/>
          </w:tcPr>
          <w:p w14:paraId="61AD55BB" w14:textId="57EF920E" w:rsidR="00E20538" w:rsidRDefault="00E20538" w:rsidP="00E20538">
            <w:pPr>
              <w:spacing w:after="0" w:line="240" w:lineRule="auto"/>
              <w:rPr>
                <w:rFonts w:ascii="Arial" w:eastAsia="Times New Roman" w:hAnsi="Arial" w:cs="Arial"/>
                <w:kern w:val="0"/>
                <w:sz w:val="16"/>
                <w:szCs w:val="16"/>
                <w14:ligatures w14:val="none"/>
              </w:rPr>
            </w:pPr>
          </w:p>
        </w:tc>
        <w:tc>
          <w:tcPr>
            <w:tcW w:w="1107" w:type="dxa"/>
            <w:noWrap/>
            <w:vAlign w:val="center"/>
            <w:hideMark/>
          </w:tcPr>
          <w:p w14:paraId="51BEDD3F" w14:textId="77777777" w:rsidR="00E20538" w:rsidRDefault="00E20538" w:rsidP="00E20538">
            <w:pPr>
              <w:spacing w:after="0" w:line="240" w:lineRule="auto"/>
              <w:rPr>
                <w:rFonts w:ascii="Arial" w:eastAsia="Times New Roman" w:hAnsi="Arial" w:cs="Arial"/>
                <w:kern w:val="0"/>
                <w:sz w:val="16"/>
                <w:szCs w:val="16"/>
                <w14:ligatures w14:val="none"/>
              </w:rPr>
            </w:pPr>
          </w:p>
        </w:tc>
        <w:tc>
          <w:tcPr>
            <w:tcW w:w="1534" w:type="dxa"/>
            <w:noWrap/>
            <w:vAlign w:val="center"/>
            <w:hideMark/>
          </w:tcPr>
          <w:p w14:paraId="223A8C76" w14:textId="77777777" w:rsidR="00E20538" w:rsidRDefault="00E20538" w:rsidP="00E20538">
            <w:pPr>
              <w:spacing w:after="0" w:line="240" w:lineRule="auto"/>
              <w:rPr>
                <w:kern w:val="0"/>
                <w:sz w:val="20"/>
                <w:szCs w:val="20"/>
                <w14:ligatures w14:val="none"/>
              </w:rPr>
            </w:pPr>
          </w:p>
        </w:tc>
        <w:tc>
          <w:tcPr>
            <w:tcW w:w="1350" w:type="dxa"/>
            <w:noWrap/>
            <w:vAlign w:val="center"/>
            <w:hideMark/>
          </w:tcPr>
          <w:p w14:paraId="3B2B44CA" w14:textId="77777777" w:rsidR="00E20538" w:rsidRDefault="00E20538" w:rsidP="00E20538">
            <w:pPr>
              <w:spacing w:after="0" w:line="240" w:lineRule="auto"/>
              <w:rPr>
                <w:kern w:val="0"/>
                <w:sz w:val="20"/>
                <w:szCs w:val="20"/>
                <w14:ligatures w14:val="none"/>
              </w:rPr>
            </w:pPr>
          </w:p>
        </w:tc>
        <w:tc>
          <w:tcPr>
            <w:tcW w:w="1099" w:type="dxa"/>
            <w:noWrap/>
            <w:vAlign w:val="bottom"/>
            <w:hideMark/>
          </w:tcPr>
          <w:p w14:paraId="05FABC86" w14:textId="77777777" w:rsidR="00E20538" w:rsidRDefault="00E20538" w:rsidP="00E20538">
            <w:pPr>
              <w:spacing w:after="0" w:line="240" w:lineRule="auto"/>
              <w:rPr>
                <w:kern w:val="0"/>
                <w:sz w:val="20"/>
                <w:szCs w:val="20"/>
                <w14:ligatures w14:val="none"/>
              </w:rPr>
            </w:pPr>
          </w:p>
        </w:tc>
        <w:tc>
          <w:tcPr>
            <w:tcW w:w="1159" w:type="dxa"/>
            <w:gridSpan w:val="2"/>
            <w:tcBorders>
              <w:top w:val="nil"/>
              <w:left w:val="nil"/>
              <w:bottom w:val="nil"/>
              <w:right w:val="single" w:sz="4" w:space="0" w:color="auto"/>
            </w:tcBorders>
            <w:noWrap/>
            <w:vAlign w:val="bottom"/>
            <w:hideMark/>
          </w:tcPr>
          <w:p w14:paraId="7F1F0A90" w14:textId="77777777" w:rsidR="00E20538" w:rsidRDefault="00E20538" w:rsidP="00E20538">
            <w:pPr>
              <w:spacing w:after="0" w:line="240" w:lineRule="auto"/>
              <w:rPr>
                <w:kern w:val="0"/>
                <w:sz w:val="20"/>
                <w:szCs w:val="20"/>
                <w14:ligatures w14:val="none"/>
              </w:rPr>
            </w:pPr>
          </w:p>
        </w:tc>
      </w:tr>
      <w:tr w:rsidR="00E6321C" w14:paraId="3E831BF8" w14:textId="77777777" w:rsidTr="00377278">
        <w:trPr>
          <w:gridAfter w:val="1"/>
          <w:wAfter w:w="23" w:type="dxa"/>
          <w:trHeight w:val="133"/>
        </w:trPr>
        <w:tc>
          <w:tcPr>
            <w:tcW w:w="3929" w:type="dxa"/>
            <w:gridSpan w:val="3"/>
            <w:tcBorders>
              <w:top w:val="nil"/>
              <w:left w:val="single" w:sz="4" w:space="0" w:color="auto"/>
              <w:bottom w:val="nil"/>
              <w:right w:val="nil"/>
            </w:tcBorders>
            <w:noWrap/>
            <w:hideMark/>
          </w:tcPr>
          <w:p w14:paraId="45BFF66D" w14:textId="77777777" w:rsidR="00E20538" w:rsidRDefault="00E20538" w:rsidP="00E20538">
            <w:pPr>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CREG = ATSDR Cancer Risk Evaluation Guides</w:t>
            </w:r>
          </w:p>
        </w:tc>
        <w:tc>
          <w:tcPr>
            <w:tcW w:w="1107" w:type="dxa"/>
            <w:noWrap/>
            <w:vAlign w:val="center"/>
            <w:hideMark/>
          </w:tcPr>
          <w:p w14:paraId="705D862A" w14:textId="77777777" w:rsidR="00E20538" w:rsidRDefault="00E20538" w:rsidP="00E20538">
            <w:pPr>
              <w:spacing w:after="0" w:line="240" w:lineRule="auto"/>
              <w:rPr>
                <w:rFonts w:ascii="Arial" w:eastAsia="Times New Roman" w:hAnsi="Arial" w:cs="Arial"/>
                <w:kern w:val="0"/>
                <w:sz w:val="16"/>
                <w:szCs w:val="16"/>
                <w14:ligatures w14:val="none"/>
              </w:rPr>
            </w:pPr>
          </w:p>
        </w:tc>
        <w:tc>
          <w:tcPr>
            <w:tcW w:w="1534" w:type="dxa"/>
            <w:noWrap/>
            <w:vAlign w:val="center"/>
            <w:hideMark/>
          </w:tcPr>
          <w:p w14:paraId="4EF0FFE7" w14:textId="77777777" w:rsidR="00E20538" w:rsidRDefault="00E20538" w:rsidP="00E20538">
            <w:pPr>
              <w:spacing w:after="0" w:line="240" w:lineRule="auto"/>
              <w:rPr>
                <w:kern w:val="0"/>
                <w:sz w:val="20"/>
                <w:szCs w:val="20"/>
                <w14:ligatures w14:val="none"/>
              </w:rPr>
            </w:pPr>
          </w:p>
        </w:tc>
        <w:tc>
          <w:tcPr>
            <w:tcW w:w="1350" w:type="dxa"/>
            <w:noWrap/>
            <w:vAlign w:val="center"/>
            <w:hideMark/>
          </w:tcPr>
          <w:p w14:paraId="0E962A7F" w14:textId="77777777" w:rsidR="00E20538" w:rsidRDefault="00E20538" w:rsidP="00E20538">
            <w:pPr>
              <w:spacing w:after="0" w:line="240" w:lineRule="auto"/>
              <w:rPr>
                <w:kern w:val="0"/>
                <w:sz w:val="20"/>
                <w:szCs w:val="20"/>
                <w14:ligatures w14:val="none"/>
              </w:rPr>
            </w:pPr>
          </w:p>
        </w:tc>
        <w:tc>
          <w:tcPr>
            <w:tcW w:w="1099" w:type="dxa"/>
            <w:noWrap/>
            <w:vAlign w:val="bottom"/>
            <w:hideMark/>
          </w:tcPr>
          <w:p w14:paraId="31E8FAFE" w14:textId="77777777" w:rsidR="00E20538" w:rsidRDefault="00E20538" w:rsidP="00E20538">
            <w:pPr>
              <w:spacing w:after="0" w:line="240" w:lineRule="auto"/>
              <w:rPr>
                <w:kern w:val="0"/>
                <w:sz w:val="20"/>
                <w:szCs w:val="20"/>
                <w14:ligatures w14:val="none"/>
              </w:rPr>
            </w:pPr>
          </w:p>
        </w:tc>
        <w:tc>
          <w:tcPr>
            <w:tcW w:w="1159" w:type="dxa"/>
            <w:gridSpan w:val="2"/>
            <w:tcBorders>
              <w:top w:val="nil"/>
              <w:left w:val="nil"/>
              <w:bottom w:val="nil"/>
              <w:right w:val="single" w:sz="4" w:space="0" w:color="auto"/>
            </w:tcBorders>
            <w:noWrap/>
            <w:vAlign w:val="bottom"/>
            <w:hideMark/>
          </w:tcPr>
          <w:p w14:paraId="51F1A63C" w14:textId="77777777" w:rsidR="00E20538" w:rsidRDefault="00E20538" w:rsidP="00E20538">
            <w:pPr>
              <w:spacing w:after="0" w:line="240" w:lineRule="auto"/>
              <w:rPr>
                <w:kern w:val="0"/>
                <w:sz w:val="20"/>
                <w:szCs w:val="20"/>
                <w14:ligatures w14:val="none"/>
              </w:rPr>
            </w:pPr>
          </w:p>
        </w:tc>
      </w:tr>
      <w:tr w:rsidR="005F5819" w14:paraId="08AEA9DA" w14:textId="77777777" w:rsidTr="00377278">
        <w:trPr>
          <w:trHeight w:val="133"/>
        </w:trPr>
        <w:tc>
          <w:tcPr>
            <w:tcW w:w="10201" w:type="dxa"/>
            <w:gridSpan w:val="10"/>
            <w:tcBorders>
              <w:top w:val="nil"/>
              <w:left w:val="single" w:sz="4" w:space="0" w:color="auto"/>
              <w:bottom w:val="nil"/>
              <w:right w:val="single" w:sz="4" w:space="0" w:color="auto"/>
            </w:tcBorders>
            <w:noWrap/>
            <w:hideMark/>
          </w:tcPr>
          <w:p w14:paraId="645E173F" w14:textId="2FF11B6D" w:rsidR="005F5819" w:rsidRDefault="005F5819" w:rsidP="00E20538">
            <w:pPr>
              <w:spacing w:after="0" w:line="240" w:lineRule="auto"/>
              <w:rPr>
                <w:kern w:val="0"/>
                <w:sz w:val="20"/>
                <w:szCs w:val="20"/>
                <w14:ligatures w14:val="none"/>
              </w:rPr>
            </w:pPr>
            <w:r>
              <w:rPr>
                <w:rFonts w:ascii="Arial" w:eastAsia="Times New Roman" w:hAnsi="Arial" w:cs="Arial"/>
                <w:kern w:val="0"/>
                <w:sz w:val="16"/>
                <w:szCs w:val="16"/>
                <w14:ligatures w14:val="none"/>
              </w:rPr>
              <w:t>EMEG = ATSDR Environmental Media Evaluation Guides</w:t>
            </w:r>
          </w:p>
        </w:tc>
      </w:tr>
      <w:tr w:rsidR="00A46B4B" w14:paraId="2EA55FB9" w14:textId="77777777" w:rsidTr="00377278">
        <w:trPr>
          <w:trHeight w:val="118"/>
        </w:trPr>
        <w:tc>
          <w:tcPr>
            <w:tcW w:w="10201" w:type="dxa"/>
            <w:gridSpan w:val="10"/>
            <w:tcBorders>
              <w:top w:val="nil"/>
              <w:left w:val="single" w:sz="4" w:space="0" w:color="auto"/>
              <w:bottom w:val="nil"/>
              <w:right w:val="single" w:sz="4" w:space="0" w:color="auto"/>
            </w:tcBorders>
            <w:noWrap/>
            <w:hideMark/>
          </w:tcPr>
          <w:p w14:paraId="15245A35" w14:textId="412E7C70" w:rsidR="00A46B4B" w:rsidRDefault="00A46B4B" w:rsidP="00E20538">
            <w:pPr>
              <w:spacing w:after="0" w:line="240" w:lineRule="auto"/>
              <w:rPr>
                <w:kern w:val="0"/>
                <w:sz w:val="20"/>
                <w:szCs w:val="20"/>
                <w14:ligatures w14:val="none"/>
              </w:rPr>
            </w:pPr>
            <w:r>
              <w:rPr>
                <w:rFonts w:ascii="Arial" w:eastAsia="Times New Roman" w:hAnsi="Arial" w:cs="Arial"/>
                <w:kern w:val="0"/>
                <w:sz w:val="16"/>
                <w:szCs w:val="16"/>
                <w14:ligatures w14:val="none"/>
              </w:rPr>
              <w:t>RMEG = Reference Dose Environmental Media Evaluation Guides</w:t>
            </w:r>
          </w:p>
        </w:tc>
      </w:tr>
      <w:tr w:rsidR="00E6321C" w14:paraId="054C6B32" w14:textId="77777777" w:rsidTr="00377278">
        <w:trPr>
          <w:gridAfter w:val="1"/>
          <w:wAfter w:w="23" w:type="dxa"/>
          <w:trHeight w:val="133"/>
        </w:trPr>
        <w:tc>
          <w:tcPr>
            <w:tcW w:w="2515" w:type="dxa"/>
            <w:tcBorders>
              <w:top w:val="nil"/>
              <w:left w:val="single" w:sz="4" w:space="0" w:color="auto"/>
              <w:bottom w:val="nil"/>
              <w:right w:val="nil"/>
            </w:tcBorders>
            <w:noWrap/>
            <w:hideMark/>
          </w:tcPr>
          <w:p w14:paraId="37109D96" w14:textId="77777777" w:rsidR="00E20538" w:rsidRDefault="00E20538" w:rsidP="00E20538">
            <w:pPr>
              <w:keepNext/>
              <w:spacing w:after="0"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NC = No comparison</w:t>
            </w:r>
          </w:p>
        </w:tc>
        <w:tc>
          <w:tcPr>
            <w:tcW w:w="720" w:type="dxa"/>
            <w:noWrap/>
            <w:hideMark/>
          </w:tcPr>
          <w:p w14:paraId="137A4EA6" w14:textId="77777777" w:rsidR="00E20538" w:rsidRDefault="00E20538" w:rsidP="00E20538">
            <w:pPr>
              <w:spacing w:after="0" w:line="240" w:lineRule="auto"/>
              <w:rPr>
                <w:rFonts w:ascii="Arial" w:eastAsia="Times New Roman" w:hAnsi="Arial" w:cs="Arial"/>
                <w:kern w:val="0"/>
                <w:sz w:val="16"/>
                <w:szCs w:val="16"/>
                <w14:ligatures w14:val="none"/>
              </w:rPr>
            </w:pPr>
          </w:p>
        </w:tc>
        <w:tc>
          <w:tcPr>
            <w:tcW w:w="694" w:type="dxa"/>
            <w:noWrap/>
            <w:vAlign w:val="center"/>
            <w:hideMark/>
          </w:tcPr>
          <w:p w14:paraId="5627F0E6" w14:textId="77777777" w:rsidR="00E20538" w:rsidRDefault="00E20538" w:rsidP="00E20538">
            <w:pPr>
              <w:spacing w:after="0" w:line="240" w:lineRule="auto"/>
              <w:rPr>
                <w:kern w:val="0"/>
                <w:sz w:val="20"/>
                <w:szCs w:val="20"/>
                <w14:ligatures w14:val="none"/>
              </w:rPr>
            </w:pPr>
          </w:p>
        </w:tc>
        <w:tc>
          <w:tcPr>
            <w:tcW w:w="1107" w:type="dxa"/>
            <w:noWrap/>
            <w:vAlign w:val="center"/>
            <w:hideMark/>
          </w:tcPr>
          <w:p w14:paraId="5551830B" w14:textId="77777777" w:rsidR="00E20538" w:rsidRDefault="00E20538" w:rsidP="00E20538">
            <w:pPr>
              <w:spacing w:after="0" w:line="240" w:lineRule="auto"/>
              <w:rPr>
                <w:kern w:val="0"/>
                <w:sz w:val="20"/>
                <w:szCs w:val="20"/>
                <w14:ligatures w14:val="none"/>
              </w:rPr>
            </w:pPr>
          </w:p>
        </w:tc>
        <w:tc>
          <w:tcPr>
            <w:tcW w:w="1534" w:type="dxa"/>
            <w:noWrap/>
            <w:vAlign w:val="center"/>
            <w:hideMark/>
          </w:tcPr>
          <w:p w14:paraId="331D0E85" w14:textId="77777777" w:rsidR="00E20538" w:rsidRDefault="00E20538" w:rsidP="00E20538">
            <w:pPr>
              <w:spacing w:after="0" w:line="240" w:lineRule="auto"/>
              <w:rPr>
                <w:kern w:val="0"/>
                <w:sz w:val="20"/>
                <w:szCs w:val="20"/>
                <w14:ligatures w14:val="none"/>
              </w:rPr>
            </w:pPr>
          </w:p>
        </w:tc>
        <w:tc>
          <w:tcPr>
            <w:tcW w:w="1350" w:type="dxa"/>
            <w:noWrap/>
            <w:vAlign w:val="center"/>
            <w:hideMark/>
          </w:tcPr>
          <w:p w14:paraId="7CC2CFC4" w14:textId="77777777" w:rsidR="00E20538" w:rsidRDefault="00E20538" w:rsidP="00E20538">
            <w:pPr>
              <w:spacing w:after="0" w:line="240" w:lineRule="auto"/>
              <w:rPr>
                <w:kern w:val="0"/>
                <w:sz w:val="20"/>
                <w:szCs w:val="20"/>
                <w14:ligatures w14:val="none"/>
              </w:rPr>
            </w:pPr>
          </w:p>
        </w:tc>
        <w:tc>
          <w:tcPr>
            <w:tcW w:w="1099" w:type="dxa"/>
            <w:noWrap/>
            <w:vAlign w:val="bottom"/>
            <w:hideMark/>
          </w:tcPr>
          <w:p w14:paraId="58A98F08" w14:textId="77777777" w:rsidR="00E20538" w:rsidRDefault="00E20538" w:rsidP="00E20538">
            <w:pPr>
              <w:spacing w:after="0" w:line="240" w:lineRule="auto"/>
              <w:rPr>
                <w:kern w:val="0"/>
                <w:sz w:val="20"/>
                <w:szCs w:val="20"/>
                <w14:ligatures w14:val="none"/>
              </w:rPr>
            </w:pPr>
          </w:p>
        </w:tc>
        <w:tc>
          <w:tcPr>
            <w:tcW w:w="1159" w:type="dxa"/>
            <w:gridSpan w:val="2"/>
            <w:tcBorders>
              <w:top w:val="nil"/>
              <w:left w:val="nil"/>
              <w:bottom w:val="nil"/>
              <w:right w:val="single" w:sz="4" w:space="0" w:color="auto"/>
            </w:tcBorders>
            <w:noWrap/>
            <w:vAlign w:val="bottom"/>
            <w:hideMark/>
          </w:tcPr>
          <w:p w14:paraId="7BE1176B" w14:textId="77777777" w:rsidR="00E20538" w:rsidRDefault="00E20538" w:rsidP="00E20538">
            <w:pPr>
              <w:spacing w:after="0" w:line="240" w:lineRule="auto"/>
              <w:rPr>
                <w:kern w:val="0"/>
                <w:sz w:val="20"/>
                <w:szCs w:val="20"/>
                <w14:ligatures w14:val="none"/>
              </w:rPr>
            </w:pPr>
          </w:p>
        </w:tc>
      </w:tr>
      <w:tr w:rsidR="00A46B4B" w14:paraId="14619F05" w14:textId="77777777" w:rsidTr="00377278">
        <w:trPr>
          <w:trHeight w:val="133"/>
        </w:trPr>
        <w:tc>
          <w:tcPr>
            <w:tcW w:w="10201" w:type="dxa"/>
            <w:gridSpan w:val="10"/>
            <w:tcBorders>
              <w:top w:val="nil"/>
              <w:left w:val="single" w:sz="4" w:space="0" w:color="auto"/>
              <w:bottom w:val="single" w:sz="4" w:space="0" w:color="auto"/>
              <w:right w:val="single" w:sz="4" w:space="0" w:color="auto"/>
            </w:tcBorders>
            <w:noWrap/>
            <w:hideMark/>
          </w:tcPr>
          <w:p w14:paraId="74B1F5B3" w14:textId="77777777" w:rsidR="00A46B4B" w:rsidRDefault="00A46B4B" w:rsidP="552EF0C9">
            <w:pPr>
              <w:keepNext/>
              <w:spacing w:after="0" w:line="240" w:lineRule="auto"/>
              <w:rPr>
                <w:rFonts w:ascii="Arial" w:eastAsia="Times New Roman" w:hAnsi="Arial" w:cs="Arial"/>
                <w:sz w:val="16"/>
                <w:szCs w:val="16"/>
              </w:rPr>
            </w:pPr>
            <w:r>
              <w:rPr>
                <w:rFonts w:ascii="Arial" w:eastAsia="Times New Roman" w:hAnsi="Arial" w:cs="Arial"/>
                <w:kern w:val="0"/>
                <w:sz w:val="16"/>
                <w:szCs w:val="16"/>
                <w14:ligatures w14:val="none"/>
              </w:rPr>
              <w:t>EPA RSL = EPA Regional Screening values for Chemical Contaminants at Superfund Sites, non-cancer chronic (THQ=1)</w:t>
            </w:r>
          </w:p>
          <w:p w14:paraId="5A053225" w14:textId="5DB8E246" w:rsidR="00A46B4B" w:rsidRDefault="00A46B4B" w:rsidP="00E20538">
            <w:pPr>
              <w:rPr>
                <w:rFonts w:ascii="Arial" w:eastAsia="Times New Roman" w:hAnsi="Arial" w:cs="Arial"/>
                <w:kern w:val="0"/>
                <w:sz w:val="16"/>
                <w:szCs w:val="16"/>
                <w14:ligatures w14:val="none"/>
              </w:rPr>
            </w:pPr>
            <w:r w:rsidRPr="552EF0C9">
              <w:rPr>
                <w:rFonts w:ascii="Arial" w:eastAsia="Times New Roman" w:hAnsi="Arial" w:cs="Arial"/>
                <w:sz w:val="16"/>
                <w:szCs w:val="16"/>
              </w:rPr>
              <w:t>MOE = A ratio of the screening value to the VOC concentration.</w:t>
            </w:r>
          </w:p>
        </w:tc>
      </w:tr>
    </w:tbl>
    <w:p w14:paraId="001E33AD" w14:textId="545EBFD0" w:rsidR="009C7DFA" w:rsidRDefault="009C7DFA" w:rsidP="009C7DFA">
      <w:pPr>
        <w:spacing w:after="0" w:line="240" w:lineRule="auto"/>
        <w:rPr>
          <w:rFonts w:ascii="Times New Roman" w:hAnsi="Times New Roman" w:cs="Times New Roman"/>
          <w:kern w:val="0"/>
          <w:sz w:val="24"/>
          <w:szCs w:val="24"/>
          <w14:ligatures w14:val="none"/>
        </w:rPr>
      </w:pPr>
    </w:p>
    <w:p w14:paraId="6F7EF52B" w14:textId="37AA6035" w:rsidR="00ED134B" w:rsidRPr="00496006" w:rsidRDefault="3702EE51" w:rsidP="00B915D3">
      <w:pPr>
        <w:spacing w:after="0" w:line="240" w:lineRule="auto"/>
        <w:jc w:val="both"/>
        <w:rPr>
          <w:sz w:val="24"/>
          <w:szCs w:val="24"/>
        </w:rPr>
      </w:pPr>
      <w:r w:rsidRPr="431755CA">
        <w:rPr>
          <w:sz w:val="24"/>
          <w:szCs w:val="24"/>
        </w:rPr>
        <w:t>Seven</w:t>
      </w:r>
      <w:r w:rsidR="21EA9098" w:rsidRPr="431755CA">
        <w:rPr>
          <w:sz w:val="24"/>
          <w:szCs w:val="24"/>
        </w:rPr>
        <w:t xml:space="preserve"> </w:t>
      </w:r>
      <w:r w:rsidRPr="431755CA">
        <w:rPr>
          <w:sz w:val="24"/>
          <w:szCs w:val="24"/>
        </w:rPr>
        <w:t>VOCs</w:t>
      </w:r>
      <w:r w:rsidR="21EA9098" w:rsidRPr="431755CA">
        <w:rPr>
          <w:sz w:val="24"/>
          <w:szCs w:val="24"/>
        </w:rPr>
        <w:t xml:space="preserve"> detected at the Weymouth monitoring station on 2/17/23 did not have screening values and therefore could not be evaluated quantitatively relative to a SV. Table 4 shows concentrations of these VOCs measured o</w:t>
      </w:r>
      <w:r w:rsidR="30486698" w:rsidRPr="431755CA">
        <w:rPr>
          <w:sz w:val="24"/>
          <w:szCs w:val="24"/>
        </w:rPr>
        <w:t>n 2/5/23, 2/11/23 and 2/17/23.</w:t>
      </w:r>
      <w:r w:rsidRPr="431755CA">
        <w:rPr>
          <w:sz w:val="24"/>
          <w:szCs w:val="24"/>
        </w:rPr>
        <w:t xml:space="preserve"> For Freon-12, </w:t>
      </w:r>
      <w:proofErr w:type="spellStart"/>
      <w:r w:rsidRPr="431755CA">
        <w:rPr>
          <w:sz w:val="24"/>
          <w:szCs w:val="24"/>
        </w:rPr>
        <w:t>bromofluorobenzene</w:t>
      </w:r>
      <w:proofErr w:type="spellEnd"/>
      <w:r w:rsidRPr="431755CA">
        <w:rPr>
          <w:sz w:val="24"/>
          <w:szCs w:val="24"/>
        </w:rPr>
        <w:t>, and trichloromethane, concentrations observed during and after the fire were comparable to concentrations observed before the fire.</w:t>
      </w:r>
      <w:r w:rsidR="57E933F7" w:rsidRPr="431755CA">
        <w:rPr>
          <w:sz w:val="24"/>
          <w:szCs w:val="24"/>
        </w:rPr>
        <w:t xml:space="preserve"> As such, these VOCs are likely not related to the fire.</w:t>
      </w:r>
      <w:r w:rsidR="414D775B" w:rsidRPr="431755CA">
        <w:rPr>
          <w:sz w:val="24"/>
          <w:szCs w:val="24"/>
        </w:rPr>
        <w:t xml:space="preserve"> Concentrations of 1-butene, 2,2,4-trimethylpentane, alpha-pinene, and butane, observed during and immediately after the fire were greater than concentrations observed before the fire. As such, these VOCs may have been released during the fire. </w:t>
      </w:r>
    </w:p>
    <w:p w14:paraId="5B72CE5D" w14:textId="77777777" w:rsidR="00D718DC" w:rsidRPr="00496006" w:rsidRDefault="00D718DC" w:rsidP="00B915D3">
      <w:pPr>
        <w:spacing w:after="0" w:line="240" w:lineRule="auto"/>
        <w:jc w:val="both"/>
        <w:rPr>
          <w:sz w:val="24"/>
          <w:szCs w:val="24"/>
        </w:rPr>
      </w:pPr>
    </w:p>
    <w:tbl>
      <w:tblPr>
        <w:tblW w:w="7200" w:type="dxa"/>
        <w:tblLook w:val="04A0" w:firstRow="1" w:lastRow="0" w:firstColumn="1" w:lastColumn="0" w:noHBand="0" w:noVBand="1"/>
      </w:tblPr>
      <w:tblGrid>
        <w:gridCol w:w="3268"/>
        <w:gridCol w:w="1397"/>
        <w:gridCol w:w="1340"/>
        <w:gridCol w:w="1195"/>
      </w:tblGrid>
      <w:tr w:rsidR="00C23E81" w:rsidRPr="00C23E81" w14:paraId="2127FC15" w14:textId="77777777" w:rsidTr="00C23E81">
        <w:trPr>
          <w:trHeight w:val="315"/>
        </w:trPr>
        <w:tc>
          <w:tcPr>
            <w:tcW w:w="7200" w:type="dxa"/>
            <w:gridSpan w:val="4"/>
            <w:tcBorders>
              <w:top w:val="nil"/>
              <w:left w:val="nil"/>
              <w:bottom w:val="nil"/>
              <w:right w:val="nil"/>
            </w:tcBorders>
            <w:shd w:val="clear" w:color="auto" w:fill="auto"/>
            <w:noWrap/>
            <w:vAlign w:val="center"/>
            <w:hideMark/>
          </w:tcPr>
          <w:p w14:paraId="7026F23D" w14:textId="77046CF9" w:rsidR="00C23E81" w:rsidRPr="00C23E81" w:rsidRDefault="00C23E81" w:rsidP="00710F18">
            <w:pPr>
              <w:keepNext/>
              <w:spacing w:after="0" w:line="240" w:lineRule="auto"/>
              <w:rPr>
                <w:rFonts w:eastAsia="Times New Roman" w:cstheme="minorHAnsi"/>
                <w:kern w:val="0"/>
                <w:sz w:val="20"/>
                <w:szCs w:val="20"/>
                <w14:ligatures w14:val="none"/>
              </w:rPr>
            </w:pPr>
            <w:r w:rsidRPr="00C23E81">
              <w:rPr>
                <w:rFonts w:eastAsia="Times New Roman" w:cstheme="minorHAnsi"/>
                <w:b/>
                <w:bCs/>
                <w:kern w:val="0"/>
                <w14:ligatures w14:val="none"/>
              </w:rPr>
              <w:t>Table 4 - Detected VOCs Without SVs</w:t>
            </w:r>
          </w:p>
        </w:tc>
      </w:tr>
      <w:tr w:rsidR="00C23E81" w:rsidRPr="00C23E81" w14:paraId="5F5C9F4C" w14:textId="77777777" w:rsidTr="00C23E81">
        <w:trPr>
          <w:trHeight w:val="315"/>
        </w:trPr>
        <w:tc>
          <w:tcPr>
            <w:tcW w:w="3268" w:type="dxa"/>
            <w:tcBorders>
              <w:top w:val="single" w:sz="4" w:space="0" w:color="auto"/>
              <w:left w:val="single" w:sz="4" w:space="0" w:color="auto"/>
              <w:bottom w:val="nil"/>
              <w:right w:val="single" w:sz="4" w:space="0" w:color="auto"/>
            </w:tcBorders>
            <w:shd w:val="clear" w:color="000000" w:fill="D9E1F2"/>
            <w:noWrap/>
            <w:vAlign w:val="center"/>
            <w:hideMark/>
          </w:tcPr>
          <w:p w14:paraId="15FE7717"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 </w:t>
            </w:r>
          </w:p>
        </w:tc>
        <w:tc>
          <w:tcPr>
            <w:tcW w:w="1397" w:type="dxa"/>
            <w:tcBorders>
              <w:top w:val="single" w:sz="4" w:space="0" w:color="auto"/>
              <w:left w:val="nil"/>
              <w:bottom w:val="nil"/>
              <w:right w:val="single" w:sz="4" w:space="0" w:color="auto"/>
            </w:tcBorders>
            <w:shd w:val="clear" w:color="000000" w:fill="D9E1F2"/>
            <w:noWrap/>
            <w:vAlign w:val="bottom"/>
            <w:hideMark/>
          </w:tcPr>
          <w:p w14:paraId="5E2B6F71"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2/5/2023</w:t>
            </w:r>
          </w:p>
        </w:tc>
        <w:tc>
          <w:tcPr>
            <w:tcW w:w="1340" w:type="dxa"/>
            <w:tcBorders>
              <w:top w:val="single" w:sz="4" w:space="0" w:color="auto"/>
              <w:left w:val="nil"/>
              <w:bottom w:val="nil"/>
              <w:right w:val="single" w:sz="4" w:space="0" w:color="auto"/>
            </w:tcBorders>
            <w:shd w:val="clear" w:color="000000" w:fill="D9E1F2"/>
            <w:noWrap/>
            <w:vAlign w:val="bottom"/>
            <w:hideMark/>
          </w:tcPr>
          <w:p w14:paraId="435F23D5"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2/11/2023</w:t>
            </w:r>
          </w:p>
        </w:tc>
        <w:tc>
          <w:tcPr>
            <w:tcW w:w="1195" w:type="dxa"/>
            <w:tcBorders>
              <w:top w:val="single" w:sz="4" w:space="0" w:color="auto"/>
              <w:left w:val="nil"/>
              <w:bottom w:val="nil"/>
              <w:right w:val="single" w:sz="4" w:space="0" w:color="auto"/>
            </w:tcBorders>
            <w:shd w:val="clear" w:color="000000" w:fill="D9E1F2"/>
            <w:noWrap/>
            <w:vAlign w:val="bottom"/>
            <w:hideMark/>
          </w:tcPr>
          <w:p w14:paraId="33EE7DCB"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2/17/2023</w:t>
            </w:r>
          </w:p>
        </w:tc>
      </w:tr>
      <w:tr w:rsidR="00C23E81" w:rsidRPr="00C23E81" w14:paraId="331FB6B8" w14:textId="77777777" w:rsidTr="00C23E81">
        <w:trPr>
          <w:trHeight w:val="313"/>
        </w:trPr>
        <w:tc>
          <w:tcPr>
            <w:tcW w:w="3268" w:type="dxa"/>
            <w:tcBorders>
              <w:top w:val="nil"/>
              <w:left w:val="single" w:sz="4" w:space="0" w:color="auto"/>
              <w:bottom w:val="double" w:sz="6" w:space="0" w:color="auto"/>
              <w:right w:val="single" w:sz="4" w:space="0" w:color="auto"/>
            </w:tcBorders>
            <w:shd w:val="clear" w:color="000000" w:fill="D9E1F2"/>
            <w:noWrap/>
            <w:vAlign w:val="center"/>
            <w:hideMark/>
          </w:tcPr>
          <w:p w14:paraId="7F581C8B"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VOC</w:t>
            </w:r>
          </w:p>
        </w:tc>
        <w:tc>
          <w:tcPr>
            <w:tcW w:w="1397" w:type="dxa"/>
            <w:tcBorders>
              <w:top w:val="nil"/>
              <w:left w:val="nil"/>
              <w:bottom w:val="double" w:sz="6" w:space="0" w:color="auto"/>
              <w:right w:val="single" w:sz="4" w:space="0" w:color="auto"/>
            </w:tcBorders>
            <w:shd w:val="clear" w:color="000000" w:fill="D9E1F2"/>
            <w:noWrap/>
            <w:vAlign w:val="bottom"/>
            <w:hideMark/>
          </w:tcPr>
          <w:p w14:paraId="724BFCF3"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ppb</w:t>
            </w:r>
          </w:p>
        </w:tc>
        <w:tc>
          <w:tcPr>
            <w:tcW w:w="1340" w:type="dxa"/>
            <w:tcBorders>
              <w:top w:val="nil"/>
              <w:left w:val="nil"/>
              <w:bottom w:val="double" w:sz="6" w:space="0" w:color="auto"/>
              <w:right w:val="single" w:sz="4" w:space="0" w:color="auto"/>
            </w:tcBorders>
            <w:shd w:val="clear" w:color="000000" w:fill="D9E1F2"/>
            <w:noWrap/>
            <w:vAlign w:val="bottom"/>
            <w:hideMark/>
          </w:tcPr>
          <w:p w14:paraId="6833EB3D"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ppb</w:t>
            </w:r>
          </w:p>
        </w:tc>
        <w:tc>
          <w:tcPr>
            <w:tcW w:w="1195" w:type="dxa"/>
            <w:tcBorders>
              <w:top w:val="nil"/>
              <w:left w:val="nil"/>
              <w:bottom w:val="double" w:sz="6" w:space="0" w:color="auto"/>
              <w:right w:val="single" w:sz="4" w:space="0" w:color="auto"/>
            </w:tcBorders>
            <w:shd w:val="clear" w:color="000000" w:fill="D9E1F2"/>
            <w:noWrap/>
            <w:vAlign w:val="bottom"/>
            <w:hideMark/>
          </w:tcPr>
          <w:p w14:paraId="2AD471D5" w14:textId="77777777" w:rsidR="00C23E81" w:rsidRPr="00C23E81" w:rsidRDefault="00C23E81" w:rsidP="00C23E81">
            <w:pPr>
              <w:spacing w:after="0" w:line="240" w:lineRule="auto"/>
              <w:jc w:val="center"/>
              <w:rPr>
                <w:rFonts w:eastAsia="Times New Roman" w:cstheme="minorHAnsi"/>
                <w:b/>
                <w:bCs/>
                <w:kern w:val="0"/>
                <w14:ligatures w14:val="none"/>
              </w:rPr>
            </w:pPr>
            <w:r w:rsidRPr="00C23E81">
              <w:rPr>
                <w:rFonts w:eastAsia="Times New Roman" w:cstheme="minorHAnsi"/>
                <w:b/>
                <w:bCs/>
                <w:kern w:val="0"/>
                <w14:ligatures w14:val="none"/>
              </w:rPr>
              <w:t>ppb</w:t>
            </w:r>
          </w:p>
        </w:tc>
      </w:tr>
      <w:tr w:rsidR="00C23E81" w:rsidRPr="00C23E81" w14:paraId="5FA8C82F" w14:textId="77777777" w:rsidTr="00C23E81">
        <w:trPr>
          <w:trHeight w:val="300"/>
        </w:trPr>
        <w:tc>
          <w:tcPr>
            <w:tcW w:w="3268" w:type="dxa"/>
            <w:tcBorders>
              <w:top w:val="nil"/>
              <w:left w:val="single" w:sz="4" w:space="0" w:color="auto"/>
              <w:bottom w:val="nil"/>
              <w:right w:val="single" w:sz="4" w:space="0" w:color="auto"/>
            </w:tcBorders>
            <w:shd w:val="clear" w:color="auto" w:fill="auto"/>
            <w:noWrap/>
            <w:vAlign w:val="center"/>
            <w:hideMark/>
          </w:tcPr>
          <w:p w14:paraId="62B18F7A"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1-butene</w:t>
            </w:r>
          </w:p>
        </w:tc>
        <w:tc>
          <w:tcPr>
            <w:tcW w:w="1397" w:type="dxa"/>
            <w:tcBorders>
              <w:top w:val="nil"/>
              <w:left w:val="nil"/>
              <w:bottom w:val="nil"/>
              <w:right w:val="single" w:sz="4" w:space="0" w:color="auto"/>
            </w:tcBorders>
            <w:shd w:val="clear" w:color="auto" w:fill="auto"/>
            <w:noWrap/>
            <w:vAlign w:val="bottom"/>
            <w:hideMark/>
          </w:tcPr>
          <w:p w14:paraId="50DA24F8"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3.024</w:t>
            </w:r>
          </w:p>
        </w:tc>
        <w:tc>
          <w:tcPr>
            <w:tcW w:w="1340" w:type="dxa"/>
            <w:tcBorders>
              <w:top w:val="nil"/>
              <w:left w:val="nil"/>
              <w:bottom w:val="nil"/>
              <w:right w:val="single" w:sz="4" w:space="0" w:color="auto"/>
            </w:tcBorders>
            <w:shd w:val="clear" w:color="auto" w:fill="auto"/>
            <w:noWrap/>
            <w:vAlign w:val="bottom"/>
            <w:hideMark/>
          </w:tcPr>
          <w:p w14:paraId="5BC91C47"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3.247</w:t>
            </w:r>
          </w:p>
        </w:tc>
        <w:tc>
          <w:tcPr>
            <w:tcW w:w="1195" w:type="dxa"/>
            <w:tcBorders>
              <w:top w:val="nil"/>
              <w:left w:val="nil"/>
              <w:bottom w:val="nil"/>
              <w:right w:val="single" w:sz="4" w:space="0" w:color="auto"/>
            </w:tcBorders>
            <w:shd w:val="clear" w:color="auto" w:fill="auto"/>
            <w:noWrap/>
            <w:vAlign w:val="bottom"/>
            <w:hideMark/>
          </w:tcPr>
          <w:p w14:paraId="4D4EB5FF"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7.594</w:t>
            </w:r>
          </w:p>
        </w:tc>
      </w:tr>
      <w:tr w:rsidR="00C23E81" w:rsidRPr="00C23E81" w14:paraId="2FDF128D" w14:textId="77777777" w:rsidTr="00C23E81">
        <w:trPr>
          <w:trHeight w:val="315"/>
        </w:trPr>
        <w:tc>
          <w:tcPr>
            <w:tcW w:w="3268" w:type="dxa"/>
            <w:tcBorders>
              <w:top w:val="nil"/>
              <w:left w:val="single" w:sz="4" w:space="0" w:color="auto"/>
              <w:bottom w:val="nil"/>
              <w:right w:val="single" w:sz="4" w:space="0" w:color="auto"/>
            </w:tcBorders>
            <w:shd w:val="clear" w:color="auto" w:fill="auto"/>
            <w:noWrap/>
            <w:vAlign w:val="center"/>
            <w:hideMark/>
          </w:tcPr>
          <w:p w14:paraId="69149707"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2,2,4-trimethylpentane</w:t>
            </w:r>
          </w:p>
        </w:tc>
        <w:tc>
          <w:tcPr>
            <w:tcW w:w="1397" w:type="dxa"/>
            <w:tcBorders>
              <w:top w:val="nil"/>
              <w:left w:val="nil"/>
              <w:bottom w:val="nil"/>
              <w:right w:val="single" w:sz="4" w:space="0" w:color="auto"/>
            </w:tcBorders>
            <w:shd w:val="clear" w:color="auto" w:fill="auto"/>
            <w:noWrap/>
            <w:vAlign w:val="bottom"/>
            <w:hideMark/>
          </w:tcPr>
          <w:p w14:paraId="55F2CD38"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0.073</w:t>
            </w:r>
          </w:p>
        </w:tc>
        <w:tc>
          <w:tcPr>
            <w:tcW w:w="1340" w:type="dxa"/>
            <w:tcBorders>
              <w:top w:val="nil"/>
              <w:left w:val="nil"/>
              <w:bottom w:val="nil"/>
              <w:right w:val="single" w:sz="4" w:space="0" w:color="auto"/>
            </w:tcBorders>
            <w:shd w:val="clear" w:color="auto" w:fill="auto"/>
            <w:noWrap/>
            <w:vAlign w:val="bottom"/>
            <w:hideMark/>
          </w:tcPr>
          <w:p w14:paraId="5EB7C9D7"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0.050</w:t>
            </w:r>
          </w:p>
        </w:tc>
        <w:tc>
          <w:tcPr>
            <w:tcW w:w="1195" w:type="dxa"/>
            <w:tcBorders>
              <w:top w:val="nil"/>
              <w:left w:val="nil"/>
              <w:bottom w:val="nil"/>
              <w:right w:val="single" w:sz="4" w:space="0" w:color="auto"/>
            </w:tcBorders>
            <w:shd w:val="clear" w:color="auto" w:fill="auto"/>
            <w:noWrap/>
            <w:vAlign w:val="bottom"/>
            <w:hideMark/>
          </w:tcPr>
          <w:p w14:paraId="4BC7178B"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0.110</w:t>
            </w:r>
          </w:p>
        </w:tc>
      </w:tr>
      <w:tr w:rsidR="00C23E81" w:rsidRPr="00C23E81" w14:paraId="7148E71D" w14:textId="77777777" w:rsidTr="00C23E81">
        <w:trPr>
          <w:trHeight w:val="315"/>
        </w:trPr>
        <w:tc>
          <w:tcPr>
            <w:tcW w:w="3268" w:type="dxa"/>
            <w:tcBorders>
              <w:top w:val="nil"/>
              <w:left w:val="single" w:sz="4" w:space="0" w:color="auto"/>
              <w:bottom w:val="nil"/>
              <w:right w:val="single" w:sz="4" w:space="0" w:color="auto"/>
            </w:tcBorders>
            <w:shd w:val="clear" w:color="auto" w:fill="auto"/>
            <w:noWrap/>
            <w:vAlign w:val="center"/>
            <w:hideMark/>
          </w:tcPr>
          <w:p w14:paraId="1BD78A02"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alpha-pinene</w:t>
            </w:r>
          </w:p>
        </w:tc>
        <w:tc>
          <w:tcPr>
            <w:tcW w:w="1397" w:type="dxa"/>
            <w:tcBorders>
              <w:top w:val="nil"/>
              <w:left w:val="nil"/>
              <w:bottom w:val="nil"/>
              <w:right w:val="single" w:sz="4" w:space="0" w:color="auto"/>
            </w:tcBorders>
            <w:shd w:val="clear" w:color="auto" w:fill="auto"/>
            <w:noWrap/>
            <w:vAlign w:val="bottom"/>
            <w:hideMark/>
          </w:tcPr>
          <w:p w14:paraId="36D63FF3"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0.007*</w:t>
            </w:r>
          </w:p>
        </w:tc>
        <w:tc>
          <w:tcPr>
            <w:tcW w:w="1340" w:type="dxa"/>
            <w:tcBorders>
              <w:top w:val="nil"/>
              <w:left w:val="nil"/>
              <w:bottom w:val="nil"/>
              <w:right w:val="single" w:sz="4" w:space="0" w:color="auto"/>
            </w:tcBorders>
            <w:shd w:val="clear" w:color="auto" w:fill="auto"/>
            <w:noWrap/>
            <w:vAlign w:val="bottom"/>
            <w:hideMark/>
          </w:tcPr>
          <w:p w14:paraId="54602338"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0.007*</w:t>
            </w:r>
          </w:p>
        </w:tc>
        <w:tc>
          <w:tcPr>
            <w:tcW w:w="1195" w:type="dxa"/>
            <w:tcBorders>
              <w:top w:val="nil"/>
              <w:left w:val="nil"/>
              <w:bottom w:val="nil"/>
              <w:right w:val="single" w:sz="4" w:space="0" w:color="auto"/>
            </w:tcBorders>
            <w:shd w:val="clear" w:color="auto" w:fill="auto"/>
            <w:noWrap/>
            <w:vAlign w:val="bottom"/>
            <w:hideMark/>
          </w:tcPr>
          <w:p w14:paraId="0734024D"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0.016</w:t>
            </w:r>
          </w:p>
        </w:tc>
      </w:tr>
      <w:tr w:rsidR="00C23E81" w:rsidRPr="00C23E81" w14:paraId="0FB684DE" w14:textId="77777777" w:rsidTr="00C23E81">
        <w:trPr>
          <w:trHeight w:val="290"/>
        </w:trPr>
        <w:tc>
          <w:tcPr>
            <w:tcW w:w="3268" w:type="dxa"/>
            <w:tcBorders>
              <w:top w:val="nil"/>
              <w:left w:val="single" w:sz="4" w:space="0" w:color="auto"/>
              <w:bottom w:val="nil"/>
              <w:right w:val="single" w:sz="4" w:space="0" w:color="auto"/>
            </w:tcBorders>
            <w:shd w:val="clear" w:color="auto" w:fill="auto"/>
            <w:noWrap/>
            <w:vAlign w:val="center"/>
            <w:hideMark/>
          </w:tcPr>
          <w:p w14:paraId="14D724A5"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butane</w:t>
            </w:r>
          </w:p>
        </w:tc>
        <w:tc>
          <w:tcPr>
            <w:tcW w:w="1397" w:type="dxa"/>
            <w:tcBorders>
              <w:top w:val="nil"/>
              <w:left w:val="nil"/>
              <w:bottom w:val="nil"/>
              <w:right w:val="single" w:sz="4" w:space="0" w:color="auto"/>
            </w:tcBorders>
            <w:shd w:val="clear" w:color="auto" w:fill="auto"/>
            <w:noWrap/>
            <w:vAlign w:val="bottom"/>
            <w:hideMark/>
          </w:tcPr>
          <w:p w14:paraId="1CA59101"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2.720</w:t>
            </w:r>
          </w:p>
        </w:tc>
        <w:tc>
          <w:tcPr>
            <w:tcW w:w="1340" w:type="dxa"/>
            <w:tcBorders>
              <w:top w:val="nil"/>
              <w:left w:val="nil"/>
              <w:bottom w:val="nil"/>
              <w:right w:val="single" w:sz="4" w:space="0" w:color="auto"/>
            </w:tcBorders>
            <w:shd w:val="clear" w:color="auto" w:fill="auto"/>
            <w:noWrap/>
            <w:vAlign w:val="bottom"/>
            <w:hideMark/>
          </w:tcPr>
          <w:p w14:paraId="16B89CA5"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1.047</w:t>
            </w:r>
          </w:p>
        </w:tc>
        <w:tc>
          <w:tcPr>
            <w:tcW w:w="1195" w:type="dxa"/>
            <w:tcBorders>
              <w:top w:val="nil"/>
              <w:left w:val="nil"/>
              <w:bottom w:val="nil"/>
              <w:right w:val="single" w:sz="4" w:space="0" w:color="auto"/>
            </w:tcBorders>
            <w:shd w:val="clear" w:color="auto" w:fill="auto"/>
            <w:noWrap/>
            <w:vAlign w:val="bottom"/>
            <w:hideMark/>
          </w:tcPr>
          <w:p w14:paraId="435E3225"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3.468</w:t>
            </w:r>
          </w:p>
        </w:tc>
      </w:tr>
      <w:tr w:rsidR="00C23E81" w:rsidRPr="00C23E81" w14:paraId="560126AA" w14:textId="77777777" w:rsidTr="00C23E81">
        <w:trPr>
          <w:trHeight w:val="290"/>
        </w:trPr>
        <w:tc>
          <w:tcPr>
            <w:tcW w:w="3268" w:type="dxa"/>
            <w:tcBorders>
              <w:top w:val="nil"/>
              <w:left w:val="single" w:sz="4" w:space="0" w:color="auto"/>
              <w:bottom w:val="nil"/>
              <w:right w:val="single" w:sz="4" w:space="0" w:color="auto"/>
            </w:tcBorders>
            <w:shd w:val="clear" w:color="auto" w:fill="auto"/>
            <w:noWrap/>
            <w:vAlign w:val="center"/>
            <w:hideMark/>
          </w:tcPr>
          <w:p w14:paraId="681400CD"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Freon-12</w:t>
            </w:r>
          </w:p>
        </w:tc>
        <w:tc>
          <w:tcPr>
            <w:tcW w:w="1397" w:type="dxa"/>
            <w:tcBorders>
              <w:top w:val="nil"/>
              <w:left w:val="nil"/>
              <w:bottom w:val="nil"/>
              <w:right w:val="single" w:sz="4" w:space="0" w:color="auto"/>
            </w:tcBorders>
            <w:shd w:val="clear" w:color="auto" w:fill="auto"/>
            <w:noWrap/>
            <w:vAlign w:val="bottom"/>
            <w:hideMark/>
          </w:tcPr>
          <w:p w14:paraId="626FB59A"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0.516</w:t>
            </w:r>
          </w:p>
        </w:tc>
        <w:tc>
          <w:tcPr>
            <w:tcW w:w="1340" w:type="dxa"/>
            <w:tcBorders>
              <w:top w:val="nil"/>
              <w:left w:val="nil"/>
              <w:bottom w:val="nil"/>
              <w:right w:val="single" w:sz="4" w:space="0" w:color="auto"/>
            </w:tcBorders>
            <w:shd w:val="clear" w:color="auto" w:fill="auto"/>
            <w:noWrap/>
            <w:vAlign w:val="bottom"/>
            <w:hideMark/>
          </w:tcPr>
          <w:p w14:paraId="7296BBD2"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0.487</w:t>
            </w:r>
          </w:p>
        </w:tc>
        <w:tc>
          <w:tcPr>
            <w:tcW w:w="1195" w:type="dxa"/>
            <w:tcBorders>
              <w:top w:val="nil"/>
              <w:left w:val="nil"/>
              <w:bottom w:val="nil"/>
              <w:right w:val="single" w:sz="4" w:space="0" w:color="auto"/>
            </w:tcBorders>
            <w:shd w:val="clear" w:color="auto" w:fill="auto"/>
            <w:noWrap/>
            <w:vAlign w:val="bottom"/>
            <w:hideMark/>
          </w:tcPr>
          <w:p w14:paraId="1BB05031"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0.504</w:t>
            </w:r>
          </w:p>
        </w:tc>
      </w:tr>
      <w:tr w:rsidR="00C23E81" w:rsidRPr="00C23E81" w14:paraId="5A641383" w14:textId="77777777" w:rsidTr="00C23E81">
        <w:trPr>
          <w:trHeight w:val="315"/>
        </w:trPr>
        <w:tc>
          <w:tcPr>
            <w:tcW w:w="3268" w:type="dxa"/>
            <w:tcBorders>
              <w:top w:val="nil"/>
              <w:left w:val="single" w:sz="4" w:space="0" w:color="auto"/>
              <w:bottom w:val="nil"/>
              <w:right w:val="single" w:sz="4" w:space="0" w:color="auto"/>
            </w:tcBorders>
            <w:shd w:val="clear" w:color="auto" w:fill="auto"/>
            <w:noWrap/>
            <w:vAlign w:val="center"/>
            <w:hideMark/>
          </w:tcPr>
          <w:p w14:paraId="053530D0" w14:textId="77777777" w:rsidR="00C23E81" w:rsidRPr="00C23E81" w:rsidRDefault="00C23E81" w:rsidP="00C23E81">
            <w:pPr>
              <w:spacing w:after="0" w:line="240" w:lineRule="auto"/>
              <w:jc w:val="center"/>
              <w:rPr>
                <w:rFonts w:eastAsia="Times New Roman" w:cstheme="minorHAnsi"/>
                <w:kern w:val="0"/>
                <w14:ligatures w14:val="none"/>
              </w:rPr>
            </w:pPr>
            <w:proofErr w:type="spellStart"/>
            <w:r w:rsidRPr="00C23E81">
              <w:rPr>
                <w:rFonts w:eastAsia="Times New Roman" w:cstheme="minorHAnsi"/>
                <w:kern w:val="0"/>
                <w14:ligatures w14:val="none"/>
              </w:rPr>
              <w:t>bromofluorobenzene</w:t>
            </w:r>
            <w:proofErr w:type="spellEnd"/>
          </w:p>
        </w:tc>
        <w:tc>
          <w:tcPr>
            <w:tcW w:w="1397" w:type="dxa"/>
            <w:tcBorders>
              <w:top w:val="nil"/>
              <w:left w:val="nil"/>
              <w:bottom w:val="nil"/>
              <w:right w:val="single" w:sz="4" w:space="0" w:color="auto"/>
            </w:tcBorders>
            <w:shd w:val="clear" w:color="auto" w:fill="auto"/>
            <w:noWrap/>
            <w:vAlign w:val="bottom"/>
            <w:hideMark/>
          </w:tcPr>
          <w:p w14:paraId="649E4200"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106.4</w:t>
            </w:r>
          </w:p>
        </w:tc>
        <w:tc>
          <w:tcPr>
            <w:tcW w:w="1340" w:type="dxa"/>
            <w:tcBorders>
              <w:top w:val="nil"/>
              <w:left w:val="nil"/>
              <w:bottom w:val="nil"/>
              <w:right w:val="single" w:sz="4" w:space="0" w:color="auto"/>
            </w:tcBorders>
            <w:shd w:val="clear" w:color="auto" w:fill="auto"/>
            <w:noWrap/>
            <w:vAlign w:val="bottom"/>
            <w:hideMark/>
          </w:tcPr>
          <w:p w14:paraId="2656DACF"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113.4</w:t>
            </w:r>
          </w:p>
        </w:tc>
        <w:tc>
          <w:tcPr>
            <w:tcW w:w="1195" w:type="dxa"/>
            <w:tcBorders>
              <w:top w:val="nil"/>
              <w:left w:val="nil"/>
              <w:bottom w:val="nil"/>
              <w:right w:val="single" w:sz="4" w:space="0" w:color="auto"/>
            </w:tcBorders>
            <w:shd w:val="clear" w:color="auto" w:fill="auto"/>
            <w:noWrap/>
            <w:vAlign w:val="bottom"/>
            <w:hideMark/>
          </w:tcPr>
          <w:p w14:paraId="6D1504BF"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105.2</w:t>
            </w:r>
          </w:p>
        </w:tc>
      </w:tr>
      <w:tr w:rsidR="00C23E81" w:rsidRPr="00C23E81" w14:paraId="76E267A0" w14:textId="77777777" w:rsidTr="00C23E81">
        <w:trPr>
          <w:trHeight w:val="290"/>
        </w:trPr>
        <w:tc>
          <w:tcPr>
            <w:tcW w:w="3268" w:type="dxa"/>
            <w:tcBorders>
              <w:top w:val="nil"/>
              <w:left w:val="single" w:sz="4" w:space="0" w:color="auto"/>
              <w:bottom w:val="single" w:sz="4" w:space="0" w:color="auto"/>
              <w:right w:val="single" w:sz="4" w:space="0" w:color="auto"/>
            </w:tcBorders>
            <w:shd w:val="clear" w:color="auto" w:fill="auto"/>
            <w:noWrap/>
            <w:vAlign w:val="center"/>
            <w:hideMark/>
          </w:tcPr>
          <w:p w14:paraId="4C4D79CE" w14:textId="77777777" w:rsidR="00C23E81" w:rsidRPr="00C23E81" w:rsidRDefault="00C23E81" w:rsidP="00C23E81">
            <w:pPr>
              <w:spacing w:after="0" w:line="240" w:lineRule="auto"/>
              <w:jc w:val="center"/>
              <w:rPr>
                <w:rFonts w:eastAsia="Times New Roman" w:cstheme="minorHAnsi"/>
                <w:kern w:val="0"/>
                <w14:ligatures w14:val="none"/>
              </w:rPr>
            </w:pPr>
            <w:r w:rsidRPr="00C23E81">
              <w:rPr>
                <w:rFonts w:eastAsia="Times New Roman" w:cstheme="minorHAnsi"/>
                <w:kern w:val="0"/>
                <w14:ligatures w14:val="none"/>
              </w:rPr>
              <w:t>trichlorofluoromethane</w:t>
            </w:r>
          </w:p>
        </w:tc>
        <w:tc>
          <w:tcPr>
            <w:tcW w:w="1397" w:type="dxa"/>
            <w:tcBorders>
              <w:top w:val="nil"/>
              <w:left w:val="nil"/>
              <w:bottom w:val="single" w:sz="4" w:space="0" w:color="auto"/>
              <w:right w:val="single" w:sz="4" w:space="0" w:color="auto"/>
            </w:tcBorders>
            <w:shd w:val="clear" w:color="auto" w:fill="auto"/>
            <w:noWrap/>
            <w:vAlign w:val="bottom"/>
            <w:hideMark/>
          </w:tcPr>
          <w:p w14:paraId="5346BF48"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0.216</w:t>
            </w:r>
          </w:p>
        </w:tc>
        <w:tc>
          <w:tcPr>
            <w:tcW w:w="1340" w:type="dxa"/>
            <w:tcBorders>
              <w:top w:val="nil"/>
              <w:left w:val="nil"/>
              <w:bottom w:val="single" w:sz="4" w:space="0" w:color="auto"/>
              <w:right w:val="single" w:sz="4" w:space="0" w:color="auto"/>
            </w:tcBorders>
            <w:shd w:val="clear" w:color="auto" w:fill="auto"/>
            <w:noWrap/>
            <w:vAlign w:val="bottom"/>
            <w:hideMark/>
          </w:tcPr>
          <w:p w14:paraId="5C251920"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0.206</w:t>
            </w:r>
          </w:p>
        </w:tc>
        <w:tc>
          <w:tcPr>
            <w:tcW w:w="1195" w:type="dxa"/>
            <w:tcBorders>
              <w:top w:val="nil"/>
              <w:left w:val="nil"/>
              <w:bottom w:val="single" w:sz="4" w:space="0" w:color="auto"/>
              <w:right w:val="single" w:sz="4" w:space="0" w:color="auto"/>
            </w:tcBorders>
            <w:shd w:val="clear" w:color="auto" w:fill="auto"/>
            <w:noWrap/>
            <w:vAlign w:val="bottom"/>
            <w:hideMark/>
          </w:tcPr>
          <w:p w14:paraId="1641D704" w14:textId="77777777" w:rsidR="00C23E81" w:rsidRPr="00C23E81" w:rsidRDefault="00C23E81" w:rsidP="00C23E81">
            <w:pPr>
              <w:spacing w:after="0" w:line="240" w:lineRule="auto"/>
              <w:jc w:val="center"/>
              <w:rPr>
                <w:rFonts w:eastAsia="Times New Roman" w:cstheme="minorHAnsi"/>
                <w:color w:val="000000"/>
                <w:kern w:val="0"/>
                <w14:ligatures w14:val="none"/>
              </w:rPr>
            </w:pPr>
            <w:r w:rsidRPr="00C23E81">
              <w:rPr>
                <w:rFonts w:eastAsia="Times New Roman" w:cstheme="minorHAnsi"/>
                <w:color w:val="000000"/>
                <w:kern w:val="0"/>
                <w14:ligatures w14:val="none"/>
              </w:rPr>
              <w:t>0.213</w:t>
            </w:r>
          </w:p>
        </w:tc>
      </w:tr>
      <w:tr w:rsidR="00C23E81" w:rsidRPr="00C23E81" w14:paraId="4DC5604F" w14:textId="77777777" w:rsidTr="00C23E81">
        <w:trPr>
          <w:trHeight w:val="315"/>
        </w:trPr>
        <w:tc>
          <w:tcPr>
            <w:tcW w:w="7200" w:type="dxa"/>
            <w:gridSpan w:val="4"/>
            <w:tcBorders>
              <w:top w:val="nil"/>
              <w:left w:val="nil"/>
              <w:bottom w:val="nil"/>
              <w:right w:val="nil"/>
            </w:tcBorders>
            <w:shd w:val="clear" w:color="auto" w:fill="auto"/>
            <w:noWrap/>
            <w:hideMark/>
          </w:tcPr>
          <w:p w14:paraId="4DC9B22E" w14:textId="4C815C1D" w:rsidR="00C23E81" w:rsidRPr="00C23E81" w:rsidRDefault="00C23E81" w:rsidP="00C23E81">
            <w:pPr>
              <w:spacing w:after="0" w:line="240" w:lineRule="auto"/>
              <w:rPr>
                <w:rFonts w:eastAsia="Times New Roman" w:cstheme="minorHAnsi"/>
                <w:kern w:val="0"/>
                <w:sz w:val="20"/>
                <w:szCs w:val="20"/>
                <w14:ligatures w14:val="none"/>
              </w:rPr>
            </w:pPr>
            <w:r w:rsidRPr="00C23E81">
              <w:rPr>
                <w:rFonts w:eastAsia="Times New Roman" w:cstheme="minorHAnsi"/>
                <w:kern w:val="0"/>
                <w14:ligatures w14:val="none"/>
              </w:rPr>
              <w:t>* Value less than Method Detection Limit</w:t>
            </w:r>
          </w:p>
        </w:tc>
      </w:tr>
    </w:tbl>
    <w:p w14:paraId="5D41C2AB" w14:textId="280D069C" w:rsidR="00A5559D" w:rsidRDefault="00A5559D" w:rsidP="008E438A"/>
    <w:p w14:paraId="06617289" w14:textId="61F5BAAD" w:rsidR="00D525DB" w:rsidRDefault="04636A28" w:rsidP="00B915D3">
      <w:pPr>
        <w:spacing w:after="0" w:line="240" w:lineRule="auto"/>
        <w:jc w:val="both"/>
        <w:rPr>
          <w:sz w:val="24"/>
          <w:szCs w:val="24"/>
        </w:rPr>
      </w:pPr>
      <w:r w:rsidRPr="00496006">
        <w:rPr>
          <w:sz w:val="24"/>
          <w:szCs w:val="24"/>
        </w:rPr>
        <w:t xml:space="preserve">For </w:t>
      </w:r>
      <w:r w:rsidR="6313CD26" w:rsidRPr="00496006">
        <w:rPr>
          <w:sz w:val="24"/>
          <w:szCs w:val="24"/>
        </w:rPr>
        <w:t xml:space="preserve">2,2,4-trimethylpentane, alpha-pinene, and butane </w:t>
      </w:r>
      <w:r w:rsidRPr="00496006">
        <w:rPr>
          <w:sz w:val="24"/>
          <w:szCs w:val="24"/>
        </w:rPr>
        <w:t>VOCs, effects following acute exposure include confusion, dizziness, headache, nausea, vomiting, and irritation of the nose, throat</w:t>
      </w:r>
      <w:r w:rsidR="00F26ED0">
        <w:rPr>
          <w:sz w:val="24"/>
          <w:szCs w:val="24"/>
        </w:rPr>
        <w:t>,</w:t>
      </w:r>
      <w:r w:rsidRPr="00496006">
        <w:rPr>
          <w:sz w:val="24"/>
          <w:szCs w:val="24"/>
        </w:rPr>
        <w:t xml:space="preserve"> and lung (</w:t>
      </w:r>
      <w:bookmarkStart w:id="1" w:name="_Hlk137398291"/>
      <w:r w:rsidRPr="00496006">
        <w:rPr>
          <w:sz w:val="24"/>
          <w:szCs w:val="24"/>
        </w:rPr>
        <w:t xml:space="preserve">NJ Health, </w:t>
      </w:r>
      <w:r w:rsidR="7AB49BD0" w:rsidRPr="00496006">
        <w:rPr>
          <w:sz w:val="24"/>
          <w:szCs w:val="24"/>
        </w:rPr>
        <w:t xml:space="preserve">2008. </w:t>
      </w:r>
      <w:r w:rsidRPr="00496006">
        <w:rPr>
          <w:sz w:val="24"/>
          <w:szCs w:val="24"/>
        </w:rPr>
        <w:t>2017; NIOSH, 201</w:t>
      </w:r>
      <w:bookmarkEnd w:id="1"/>
      <w:r w:rsidR="00523136" w:rsidRPr="00496006">
        <w:rPr>
          <w:sz w:val="24"/>
          <w:szCs w:val="24"/>
        </w:rPr>
        <w:t>4</w:t>
      </w:r>
      <w:r w:rsidRPr="00496006">
        <w:rPr>
          <w:sz w:val="24"/>
          <w:szCs w:val="24"/>
        </w:rPr>
        <w:t xml:space="preserve">). </w:t>
      </w:r>
      <w:r w:rsidR="7AB49BD0" w:rsidRPr="00496006">
        <w:rPr>
          <w:sz w:val="24"/>
          <w:szCs w:val="24"/>
        </w:rPr>
        <w:t>T</w:t>
      </w:r>
      <w:r w:rsidRPr="00496006">
        <w:rPr>
          <w:sz w:val="24"/>
          <w:szCs w:val="24"/>
        </w:rPr>
        <w:t>hese effects are reversible once individuals are no longer exposed to the VOC.</w:t>
      </w:r>
      <w:r w:rsidR="62C4D431" w:rsidRPr="00496006">
        <w:rPr>
          <w:sz w:val="24"/>
          <w:szCs w:val="24"/>
        </w:rPr>
        <w:t xml:space="preserve"> Moreover, concentrations of 2,2,4-trimethylpentane, alpha-pinene, and butane measured during the fire are much less than concentrations allowed in the workplace for</w:t>
      </w:r>
      <w:r w:rsidR="49E3D1F5" w:rsidRPr="00496006">
        <w:rPr>
          <w:sz w:val="24"/>
          <w:szCs w:val="24"/>
        </w:rPr>
        <w:t xml:space="preserve"> </w:t>
      </w:r>
      <w:r w:rsidR="412AC761" w:rsidRPr="00496006">
        <w:rPr>
          <w:sz w:val="24"/>
          <w:szCs w:val="24"/>
        </w:rPr>
        <w:t xml:space="preserve">continuous </w:t>
      </w:r>
      <w:r w:rsidR="2093A239" w:rsidRPr="00496006">
        <w:rPr>
          <w:sz w:val="24"/>
          <w:szCs w:val="24"/>
        </w:rPr>
        <w:t>exposure</w:t>
      </w:r>
      <w:r w:rsidR="4583AF2D" w:rsidRPr="00496006">
        <w:rPr>
          <w:sz w:val="24"/>
          <w:szCs w:val="24"/>
        </w:rPr>
        <w:t xml:space="preserve"> </w:t>
      </w:r>
      <w:r w:rsidR="5F3E9BE8" w:rsidRPr="00496006">
        <w:rPr>
          <w:sz w:val="24"/>
          <w:szCs w:val="24"/>
        </w:rPr>
        <w:t xml:space="preserve">during an </w:t>
      </w:r>
      <w:r w:rsidR="62C4D431" w:rsidRPr="00496006">
        <w:rPr>
          <w:sz w:val="24"/>
          <w:szCs w:val="24"/>
        </w:rPr>
        <w:t>8-hour</w:t>
      </w:r>
      <w:r w:rsidR="341F51FF" w:rsidRPr="00496006">
        <w:rPr>
          <w:sz w:val="24"/>
          <w:szCs w:val="24"/>
        </w:rPr>
        <w:t xml:space="preserve"> workday</w:t>
      </w:r>
      <w:r w:rsidR="62C4D431" w:rsidRPr="00496006">
        <w:rPr>
          <w:sz w:val="24"/>
          <w:szCs w:val="24"/>
        </w:rPr>
        <w:t>: the allowable workplace concentrations are 300,000 ppb, 20,000 ppb, and 800,000 ppb, respectively.</w:t>
      </w:r>
      <w:r w:rsidR="6313CD26" w:rsidRPr="00496006">
        <w:rPr>
          <w:sz w:val="24"/>
          <w:szCs w:val="24"/>
        </w:rPr>
        <w:t xml:space="preserve"> </w:t>
      </w:r>
      <w:r w:rsidR="006F02E0" w:rsidRPr="00496006">
        <w:rPr>
          <w:sz w:val="24"/>
          <w:szCs w:val="24"/>
        </w:rPr>
        <w:t>We recognize that allowable workplace concentrations are not intended to protect the general population or sensitive individuals.</w:t>
      </w:r>
      <w:r w:rsidR="00C34378" w:rsidRPr="00496006">
        <w:rPr>
          <w:sz w:val="24"/>
          <w:szCs w:val="24"/>
        </w:rPr>
        <w:t xml:space="preserve"> However, given </w:t>
      </w:r>
      <w:r w:rsidR="00894D95" w:rsidRPr="00496006">
        <w:rPr>
          <w:sz w:val="24"/>
          <w:szCs w:val="24"/>
        </w:rPr>
        <w:t xml:space="preserve">that the allowable workplace concentrations are </w:t>
      </w:r>
      <w:r w:rsidR="00EB452F" w:rsidRPr="00496006">
        <w:rPr>
          <w:sz w:val="24"/>
          <w:szCs w:val="24"/>
        </w:rPr>
        <w:t xml:space="preserve">more than 200,000 times greater than levels measured at </w:t>
      </w:r>
      <w:r w:rsidR="001D18ED" w:rsidRPr="00496006">
        <w:rPr>
          <w:sz w:val="24"/>
          <w:szCs w:val="24"/>
        </w:rPr>
        <w:t xml:space="preserve">MassDEP’s air monitoring station, it is not likely that individuals would have been harmed </w:t>
      </w:r>
      <w:r w:rsidR="00733DC7" w:rsidRPr="00496006">
        <w:rPr>
          <w:sz w:val="24"/>
          <w:szCs w:val="24"/>
        </w:rPr>
        <w:t>from exposure to these VOCs during the fire.</w:t>
      </w:r>
    </w:p>
    <w:p w14:paraId="15535289" w14:textId="77777777" w:rsidR="00B07F87" w:rsidRPr="00496006" w:rsidRDefault="00B07F87" w:rsidP="00B915D3">
      <w:pPr>
        <w:spacing w:after="0" w:line="240" w:lineRule="auto"/>
        <w:jc w:val="both"/>
        <w:rPr>
          <w:sz w:val="24"/>
          <w:szCs w:val="24"/>
        </w:rPr>
      </w:pPr>
    </w:p>
    <w:p w14:paraId="7FB4A568" w14:textId="3C53029B" w:rsidR="00ED134B" w:rsidRPr="00496006" w:rsidRDefault="073B9231" w:rsidP="00B915D3">
      <w:pPr>
        <w:spacing w:after="0" w:line="240" w:lineRule="auto"/>
        <w:jc w:val="both"/>
        <w:rPr>
          <w:sz w:val="24"/>
          <w:szCs w:val="24"/>
        </w:rPr>
      </w:pPr>
      <w:r w:rsidRPr="23A4FC9A">
        <w:rPr>
          <w:sz w:val="24"/>
          <w:szCs w:val="24"/>
        </w:rPr>
        <w:t>We did</w:t>
      </w:r>
      <w:r w:rsidR="77F52745" w:rsidRPr="23A4FC9A">
        <w:rPr>
          <w:sz w:val="24"/>
          <w:szCs w:val="24"/>
        </w:rPr>
        <w:t xml:space="preserve"> not </w:t>
      </w:r>
      <w:r w:rsidRPr="23A4FC9A">
        <w:rPr>
          <w:sz w:val="24"/>
          <w:szCs w:val="24"/>
        </w:rPr>
        <w:t>identify</w:t>
      </w:r>
      <w:r w:rsidR="4F6DDD0D" w:rsidRPr="23A4FC9A">
        <w:rPr>
          <w:sz w:val="24"/>
          <w:szCs w:val="24"/>
        </w:rPr>
        <w:t xml:space="preserve"> allowable workplace concentrations or other allowable concentrations for 1-butene. A review of 1-butene toxicity by the Organization for Economic Cooperation and Development concluded that 1-butene is not highly toxic. In various studies in laboratory animals, adverse health effects were observed only at concentrations greater than 5,000,000 ppb (</w:t>
      </w:r>
      <w:bookmarkStart w:id="2" w:name="_Hlk137398298"/>
      <w:r w:rsidR="4F6DDD0D" w:rsidRPr="23A4FC9A">
        <w:rPr>
          <w:sz w:val="24"/>
          <w:szCs w:val="24"/>
        </w:rPr>
        <w:t>OECD, 2004</w:t>
      </w:r>
      <w:bookmarkEnd w:id="2"/>
      <w:r w:rsidR="4F6DDD0D" w:rsidRPr="23A4FC9A">
        <w:rPr>
          <w:sz w:val="24"/>
          <w:szCs w:val="24"/>
        </w:rPr>
        <w:t>)</w:t>
      </w:r>
      <w:r w:rsidR="331ABC23" w:rsidRPr="23A4FC9A">
        <w:rPr>
          <w:sz w:val="24"/>
          <w:szCs w:val="24"/>
        </w:rPr>
        <w:t xml:space="preserve">, which is more than 1 million times greater than </w:t>
      </w:r>
      <w:r w:rsidR="002149FD" w:rsidRPr="23A4FC9A">
        <w:rPr>
          <w:sz w:val="24"/>
          <w:szCs w:val="24"/>
        </w:rPr>
        <w:t>the level measured at the air monitoring station</w:t>
      </w:r>
      <w:r w:rsidR="4F6DDD0D" w:rsidRPr="23A4FC9A">
        <w:rPr>
          <w:sz w:val="24"/>
          <w:szCs w:val="24"/>
        </w:rPr>
        <w:t xml:space="preserve">. </w:t>
      </w:r>
      <w:r w:rsidR="58E752B0" w:rsidRPr="23A4FC9A">
        <w:rPr>
          <w:sz w:val="24"/>
          <w:szCs w:val="24"/>
        </w:rPr>
        <w:t xml:space="preserve">Although humans </w:t>
      </w:r>
      <w:r w:rsidR="58D3720A" w:rsidRPr="23A4FC9A">
        <w:rPr>
          <w:sz w:val="24"/>
          <w:szCs w:val="24"/>
        </w:rPr>
        <w:t>could be mo</w:t>
      </w:r>
      <w:r w:rsidR="320DCA30" w:rsidRPr="23A4FC9A">
        <w:rPr>
          <w:sz w:val="24"/>
          <w:szCs w:val="24"/>
        </w:rPr>
        <w:t>re sensitive than animals to 1-buten</w:t>
      </w:r>
      <w:r w:rsidR="569C1571" w:rsidRPr="23A4FC9A">
        <w:rPr>
          <w:sz w:val="24"/>
          <w:szCs w:val="24"/>
        </w:rPr>
        <w:t>e</w:t>
      </w:r>
      <w:r w:rsidR="320DCA30" w:rsidRPr="23A4FC9A">
        <w:rPr>
          <w:sz w:val="24"/>
          <w:szCs w:val="24"/>
        </w:rPr>
        <w:t xml:space="preserve">, </w:t>
      </w:r>
      <w:r w:rsidR="61BDFCDB" w:rsidRPr="23A4FC9A">
        <w:rPr>
          <w:sz w:val="24"/>
          <w:szCs w:val="24"/>
        </w:rPr>
        <w:t xml:space="preserve">differences in sensitivity between animals and humans is typically about 10-fold, or less. </w:t>
      </w:r>
      <w:r w:rsidR="4F6DDD0D" w:rsidRPr="23A4FC9A">
        <w:rPr>
          <w:sz w:val="24"/>
          <w:szCs w:val="24"/>
        </w:rPr>
        <w:t xml:space="preserve">Therefore, as with 2,2,4-trimethylpentane, alpha-pinene, and butane, it is not likely that individuals would have </w:t>
      </w:r>
      <w:r w:rsidR="58E752B0" w:rsidRPr="23A4FC9A">
        <w:rPr>
          <w:sz w:val="24"/>
          <w:szCs w:val="24"/>
        </w:rPr>
        <w:t>been harmed</w:t>
      </w:r>
      <w:r w:rsidR="4F6DDD0D" w:rsidRPr="23A4FC9A">
        <w:rPr>
          <w:sz w:val="24"/>
          <w:szCs w:val="24"/>
        </w:rPr>
        <w:t xml:space="preserve"> from exposure to 1-butene during the fire.</w:t>
      </w:r>
    </w:p>
    <w:p w14:paraId="2CAB8348" w14:textId="3A472537" w:rsidR="00D525DB" w:rsidRDefault="2E6F2706" w:rsidP="00D525DB">
      <w:r>
        <w:t xml:space="preserve"> </w:t>
      </w:r>
    </w:p>
    <w:p w14:paraId="20F71297" w14:textId="5DBBD510" w:rsidR="009C7DFA" w:rsidRPr="00CE42B9" w:rsidRDefault="00E9734B" w:rsidP="009E7271">
      <w:pPr>
        <w:pStyle w:val="Heading2"/>
        <w:spacing w:after="0" w:line="240" w:lineRule="auto"/>
      </w:pPr>
      <w:r>
        <w:t>4.3</w:t>
      </w:r>
      <w:r>
        <w:tab/>
      </w:r>
      <w:r w:rsidR="009C7DFA" w:rsidRPr="00CE42B9">
        <w:t>Ozone and NO</w:t>
      </w:r>
      <w:r w:rsidR="009C7DFA" w:rsidRPr="00CE42B9">
        <w:rPr>
          <w:vertAlign w:val="subscript"/>
        </w:rPr>
        <w:t xml:space="preserve">2 </w:t>
      </w:r>
      <w:r w:rsidR="009C7DFA" w:rsidRPr="00CE42B9">
        <w:t>Data</w:t>
      </w:r>
    </w:p>
    <w:p w14:paraId="4190FA5B" w14:textId="21676868" w:rsidR="009C7DFA" w:rsidRPr="00496006" w:rsidRDefault="64243313" w:rsidP="00B915D3">
      <w:pPr>
        <w:spacing w:after="0" w:line="240" w:lineRule="auto"/>
        <w:jc w:val="both"/>
        <w:rPr>
          <w:b/>
          <w:bCs/>
          <w:sz w:val="24"/>
          <w:szCs w:val="24"/>
        </w:rPr>
      </w:pPr>
      <w:r w:rsidRPr="23A4FC9A">
        <w:rPr>
          <w:sz w:val="24"/>
          <w:szCs w:val="24"/>
        </w:rPr>
        <w:t xml:space="preserve">Ozone is a colorless gas that occurs naturally in the stratosphere. Ozone can also form at ground level when VOCs and nitrogen oxides react in sunlight (US EPA, 2018b). </w:t>
      </w:r>
      <w:r w:rsidR="753F6306" w:rsidRPr="23A4FC9A">
        <w:rPr>
          <w:sz w:val="24"/>
          <w:szCs w:val="24"/>
        </w:rPr>
        <w:t>Breathing</w:t>
      </w:r>
      <w:r w:rsidRPr="23A4FC9A">
        <w:rPr>
          <w:sz w:val="24"/>
          <w:szCs w:val="24"/>
        </w:rPr>
        <w:t xml:space="preserve"> ozone can be harmful to human health, especially for sensitive populations such as children, people with asthma, and older adults (US EPA, 2015b). NO</w:t>
      </w:r>
      <w:r w:rsidRPr="23A4FC9A">
        <w:rPr>
          <w:sz w:val="24"/>
          <w:szCs w:val="24"/>
          <w:vertAlign w:val="subscript"/>
        </w:rPr>
        <w:t>2</w:t>
      </w:r>
      <w:r w:rsidRPr="23A4FC9A">
        <w:rPr>
          <w:sz w:val="24"/>
          <w:szCs w:val="24"/>
        </w:rPr>
        <w:t xml:space="preserve"> is a gas that primarily forms from the combustion of carbon-rich materials such as fossil fuel. </w:t>
      </w:r>
      <w:r w:rsidR="753F6306" w:rsidRPr="23A4FC9A">
        <w:rPr>
          <w:sz w:val="24"/>
          <w:szCs w:val="24"/>
        </w:rPr>
        <w:t>Breathing</w:t>
      </w:r>
      <w:r w:rsidRPr="23A4FC9A">
        <w:rPr>
          <w:sz w:val="24"/>
          <w:szCs w:val="24"/>
        </w:rPr>
        <w:t xml:space="preserve"> NO</w:t>
      </w:r>
      <w:r w:rsidRPr="23A4FC9A">
        <w:rPr>
          <w:sz w:val="24"/>
          <w:szCs w:val="24"/>
          <w:vertAlign w:val="subscript"/>
        </w:rPr>
        <w:t>2</w:t>
      </w:r>
      <w:r w:rsidRPr="23A4FC9A">
        <w:rPr>
          <w:sz w:val="24"/>
          <w:szCs w:val="24"/>
        </w:rPr>
        <w:t xml:space="preserve"> can </w:t>
      </w:r>
      <w:r w:rsidR="753F6306" w:rsidRPr="23A4FC9A">
        <w:rPr>
          <w:sz w:val="24"/>
          <w:szCs w:val="24"/>
        </w:rPr>
        <w:t>cause</w:t>
      </w:r>
      <w:r w:rsidRPr="23A4FC9A">
        <w:rPr>
          <w:sz w:val="24"/>
          <w:szCs w:val="24"/>
        </w:rPr>
        <w:t xml:space="preserve"> respiratory health effects, especially for sensitive populations such as individuals with asthma (US EPA, 2018a).</w:t>
      </w:r>
    </w:p>
    <w:p w14:paraId="364A5AB3" w14:textId="62DC0DAF" w:rsidR="23A4FC9A" w:rsidRDefault="23A4FC9A" w:rsidP="23A4FC9A">
      <w:pPr>
        <w:spacing w:after="0" w:line="240" w:lineRule="auto"/>
        <w:jc w:val="both"/>
        <w:rPr>
          <w:sz w:val="24"/>
          <w:szCs w:val="24"/>
        </w:rPr>
      </w:pPr>
    </w:p>
    <w:p w14:paraId="71E1442E" w14:textId="2E37F982" w:rsidR="009C7DFA" w:rsidRDefault="009C7DFA" w:rsidP="00B915D3">
      <w:pPr>
        <w:spacing w:after="0" w:line="240" w:lineRule="auto"/>
        <w:jc w:val="both"/>
        <w:rPr>
          <w:sz w:val="24"/>
          <w:szCs w:val="24"/>
        </w:rPr>
      </w:pPr>
      <w:r w:rsidRPr="00496006">
        <w:rPr>
          <w:sz w:val="24"/>
          <w:szCs w:val="24"/>
        </w:rPr>
        <w:t>Ozone and NO</w:t>
      </w:r>
      <w:r w:rsidRPr="00496006">
        <w:rPr>
          <w:sz w:val="24"/>
          <w:szCs w:val="24"/>
          <w:vertAlign w:val="subscript"/>
        </w:rPr>
        <w:t xml:space="preserve">2 </w:t>
      </w:r>
      <w:r w:rsidRPr="00496006">
        <w:rPr>
          <w:sz w:val="24"/>
          <w:szCs w:val="24"/>
        </w:rPr>
        <w:t xml:space="preserve">concentrations were compared to </w:t>
      </w:r>
      <w:r w:rsidRPr="00496006">
        <w:rPr>
          <w:rFonts w:ascii="Calibri" w:eastAsia="Times New Roman" w:hAnsi="Calibri" w:cs="Calibri"/>
          <w:color w:val="000000"/>
          <w:kern w:val="0"/>
          <w:sz w:val="24"/>
          <w:szCs w:val="24"/>
          <w14:ligatures w14:val="none"/>
        </w:rPr>
        <w:t xml:space="preserve">the most conservative SVs </w:t>
      </w:r>
      <w:r w:rsidR="00FF4B63" w:rsidRPr="00496006">
        <w:rPr>
          <w:rFonts w:ascii="Calibri" w:eastAsia="Times New Roman" w:hAnsi="Calibri" w:cs="Calibri"/>
          <w:color w:val="000000"/>
          <w:kern w:val="0"/>
          <w:sz w:val="24"/>
          <w:szCs w:val="24"/>
          <w14:ligatures w14:val="none"/>
        </w:rPr>
        <w:t>among</w:t>
      </w:r>
      <w:r w:rsidRPr="00496006">
        <w:rPr>
          <w:rFonts w:ascii="Calibri" w:eastAsia="Times New Roman" w:hAnsi="Calibri" w:cs="Calibri"/>
          <w:color w:val="000000"/>
          <w:kern w:val="0"/>
          <w:sz w:val="24"/>
          <w:szCs w:val="24"/>
          <w14:ligatures w14:val="none"/>
        </w:rPr>
        <w:t xml:space="preserve"> </w:t>
      </w:r>
      <w:r w:rsidRPr="00496006">
        <w:rPr>
          <w:sz w:val="24"/>
          <w:szCs w:val="24"/>
        </w:rPr>
        <w:t xml:space="preserve">EPA’s NAAQS, California’s </w:t>
      </w:r>
      <w:r w:rsidRPr="00496006">
        <w:rPr>
          <w:rFonts w:ascii="Calibri" w:eastAsia="Times New Roman" w:hAnsi="Calibri" w:cs="Calibri"/>
          <w:color w:val="000000"/>
          <w:kern w:val="0"/>
          <w:sz w:val="24"/>
          <w:szCs w:val="24"/>
          <w14:ligatures w14:val="none"/>
        </w:rPr>
        <w:t xml:space="preserve">Office of Environmental Health Hazard Assessment (OEHHA) Acute Reference Exposure Level, or WHO’s AQG. One, eight, or </w:t>
      </w:r>
      <w:proofErr w:type="gramStart"/>
      <w:r w:rsidRPr="00496006">
        <w:rPr>
          <w:rFonts w:ascii="Calibri" w:eastAsia="Times New Roman" w:hAnsi="Calibri" w:cs="Calibri"/>
          <w:color w:val="000000"/>
          <w:kern w:val="0"/>
          <w:sz w:val="24"/>
          <w:szCs w:val="24"/>
          <w14:ligatures w14:val="none"/>
        </w:rPr>
        <w:t>twenty-four hour</w:t>
      </w:r>
      <w:proofErr w:type="gramEnd"/>
      <w:r w:rsidRPr="00496006">
        <w:rPr>
          <w:rFonts w:ascii="Calibri" w:eastAsia="Times New Roman" w:hAnsi="Calibri" w:cs="Calibri"/>
          <w:color w:val="000000"/>
          <w:kern w:val="0"/>
          <w:sz w:val="24"/>
          <w:szCs w:val="24"/>
          <w14:ligatures w14:val="none"/>
        </w:rPr>
        <w:t xml:space="preserve"> average concentrations of ozone and NO</w:t>
      </w:r>
      <w:r w:rsidRPr="00496006">
        <w:rPr>
          <w:rFonts w:ascii="Calibri" w:eastAsia="Times New Roman" w:hAnsi="Calibri" w:cs="Calibri"/>
          <w:color w:val="000000"/>
          <w:kern w:val="0"/>
          <w:sz w:val="24"/>
          <w:szCs w:val="24"/>
          <w:vertAlign w:val="subscript"/>
          <w14:ligatures w14:val="none"/>
        </w:rPr>
        <w:t xml:space="preserve">2 </w:t>
      </w:r>
      <w:r w:rsidRPr="00496006">
        <w:rPr>
          <w:rFonts w:ascii="Calibri" w:eastAsia="Times New Roman" w:hAnsi="Calibri" w:cs="Calibri"/>
          <w:color w:val="000000"/>
          <w:kern w:val="0"/>
          <w:sz w:val="24"/>
          <w:szCs w:val="24"/>
          <w14:ligatures w14:val="none"/>
        </w:rPr>
        <w:t xml:space="preserve">were calculated appropriately, for comparison with the selected health-based SV. </w:t>
      </w:r>
      <w:r w:rsidR="00FF4B63" w:rsidRPr="00496006">
        <w:rPr>
          <w:sz w:val="24"/>
          <w:szCs w:val="24"/>
        </w:rPr>
        <w:t xml:space="preserve">There are no ATSDR </w:t>
      </w:r>
      <w:r w:rsidR="00AA7139" w:rsidRPr="00496006">
        <w:rPr>
          <w:sz w:val="24"/>
          <w:szCs w:val="24"/>
        </w:rPr>
        <w:t>S</w:t>
      </w:r>
      <w:r w:rsidR="00FF4B63" w:rsidRPr="00496006">
        <w:rPr>
          <w:sz w:val="24"/>
          <w:szCs w:val="24"/>
        </w:rPr>
        <w:t>Vs for ozone or NO</w:t>
      </w:r>
      <w:r w:rsidR="00FF4B63" w:rsidRPr="00496006">
        <w:rPr>
          <w:sz w:val="24"/>
          <w:szCs w:val="24"/>
          <w:vertAlign w:val="subscript"/>
        </w:rPr>
        <w:t>2</w:t>
      </w:r>
      <w:r w:rsidR="00FF4B63" w:rsidRPr="00496006">
        <w:rPr>
          <w:sz w:val="24"/>
          <w:szCs w:val="24"/>
        </w:rPr>
        <w:t>.</w:t>
      </w:r>
    </w:p>
    <w:p w14:paraId="571C19D2" w14:textId="77777777" w:rsidR="00B07F87" w:rsidRPr="00496006" w:rsidRDefault="00B07F87" w:rsidP="00B915D3">
      <w:pPr>
        <w:spacing w:after="0" w:line="240" w:lineRule="auto"/>
        <w:jc w:val="both"/>
        <w:rPr>
          <w:sz w:val="24"/>
          <w:szCs w:val="24"/>
        </w:rPr>
      </w:pPr>
    </w:p>
    <w:p w14:paraId="415F8DCD" w14:textId="6FFDA118" w:rsidR="00F76C53" w:rsidRPr="00496006" w:rsidRDefault="119F5123" w:rsidP="00B915D3">
      <w:pPr>
        <w:spacing w:after="0" w:line="240" w:lineRule="auto"/>
        <w:jc w:val="both"/>
        <w:rPr>
          <w:sz w:val="24"/>
          <w:szCs w:val="24"/>
        </w:rPr>
      </w:pPr>
      <w:r w:rsidRPr="00496006">
        <w:rPr>
          <w:kern w:val="0"/>
          <w:sz w:val="24"/>
          <w:szCs w:val="24"/>
          <w14:ligatures w14:val="none"/>
        </w:rPr>
        <w:t>As shown in Table 5, the maximum 1-hour concentrations of ozone (</w:t>
      </w:r>
      <w:r w:rsidR="47BE12EC" w:rsidRPr="00496006">
        <w:rPr>
          <w:sz w:val="24"/>
          <w:szCs w:val="24"/>
        </w:rPr>
        <w:t>50.6</w:t>
      </w:r>
      <w:r w:rsidRPr="00496006">
        <w:rPr>
          <w:kern w:val="0"/>
          <w:sz w:val="24"/>
          <w:szCs w:val="24"/>
          <w14:ligatures w14:val="none"/>
        </w:rPr>
        <w:t xml:space="preserve"> ppb) and NO</w:t>
      </w:r>
      <w:r w:rsidRPr="00496006">
        <w:rPr>
          <w:kern w:val="0"/>
          <w:sz w:val="24"/>
          <w:szCs w:val="24"/>
          <w:vertAlign w:val="subscript"/>
          <w14:ligatures w14:val="none"/>
        </w:rPr>
        <w:t>2</w:t>
      </w:r>
      <w:r w:rsidRPr="00496006">
        <w:rPr>
          <w:kern w:val="0"/>
          <w:sz w:val="24"/>
          <w:szCs w:val="24"/>
          <w14:ligatures w14:val="none"/>
        </w:rPr>
        <w:t xml:space="preserve"> (</w:t>
      </w:r>
      <w:r w:rsidR="74044629" w:rsidRPr="00496006">
        <w:rPr>
          <w:sz w:val="24"/>
          <w:szCs w:val="24"/>
        </w:rPr>
        <w:t>26.0</w:t>
      </w:r>
      <w:r w:rsidRPr="00496006">
        <w:rPr>
          <w:kern w:val="0"/>
          <w:sz w:val="24"/>
          <w:szCs w:val="24"/>
          <w14:ligatures w14:val="none"/>
        </w:rPr>
        <w:t xml:space="preserve"> ppb) at the MassDEP monitoring station are both less than their respective SVs of 91.7 ppb (CA OEHHA) and 100 ppb (NAAQS). The ozone 8-hour maximum (</w:t>
      </w:r>
      <w:r w:rsidR="21FD3E00" w:rsidRPr="00496006">
        <w:rPr>
          <w:kern w:val="0"/>
          <w:sz w:val="24"/>
          <w:szCs w:val="24"/>
          <w14:ligatures w14:val="none"/>
        </w:rPr>
        <w:t>39.1</w:t>
      </w:r>
      <w:r w:rsidRPr="00496006">
        <w:rPr>
          <w:kern w:val="0"/>
          <w:sz w:val="24"/>
          <w:szCs w:val="24"/>
          <w14:ligatures w14:val="none"/>
        </w:rPr>
        <w:t xml:space="preserve"> ppb) is below its SVs of 50.9 ppb (WHO AQG). </w:t>
      </w:r>
      <w:r w:rsidR="1862911B" w:rsidRPr="00496006">
        <w:rPr>
          <w:sz w:val="24"/>
          <w:szCs w:val="24"/>
        </w:rPr>
        <w:t>The maximum 24-hour concentration for NO</w:t>
      </w:r>
      <w:r w:rsidR="1862911B" w:rsidRPr="00496006">
        <w:rPr>
          <w:sz w:val="24"/>
          <w:szCs w:val="24"/>
          <w:vertAlign w:val="subscript"/>
        </w:rPr>
        <w:t xml:space="preserve">2 </w:t>
      </w:r>
      <w:r w:rsidR="03EF9A5E" w:rsidRPr="00496006">
        <w:rPr>
          <w:sz w:val="24"/>
          <w:szCs w:val="24"/>
        </w:rPr>
        <w:t xml:space="preserve">(7.0 ppb) </w:t>
      </w:r>
      <w:r w:rsidR="30889EA6" w:rsidRPr="00496006">
        <w:rPr>
          <w:sz w:val="24"/>
          <w:szCs w:val="24"/>
        </w:rPr>
        <w:t>is</w:t>
      </w:r>
      <w:r w:rsidR="1862911B" w:rsidRPr="00496006">
        <w:rPr>
          <w:sz w:val="24"/>
          <w:szCs w:val="24"/>
        </w:rPr>
        <w:t xml:space="preserve"> below the 24-hour WHO AQG. </w:t>
      </w:r>
      <w:r w:rsidRPr="00496006">
        <w:rPr>
          <w:kern w:val="0"/>
          <w:sz w:val="24"/>
          <w:szCs w:val="24"/>
          <w14:ligatures w14:val="none"/>
        </w:rPr>
        <w:t>Health effects would not be expected from acute inhalation exposure to levels of ozone</w:t>
      </w:r>
      <w:r w:rsidRPr="00496006">
        <w:rPr>
          <w:sz w:val="24"/>
          <w:szCs w:val="24"/>
        </w:rPr>
        <w:t xml:space="preserve"> </w:t>
      </w:r>
      <w:r w:rsidR="028F3BEA" w:rsidRPr="00496006">
        <w:rPr>
          <w:sz w:val="24"/>
          <w:szCs w:val="24"/>
        </w:rPr>
        <w:t>or NO</w:t>
      </w:r>
      <w:r w:rsidR="028F3BEA" w:rsidRPr="00496006">
        <w:rPr>
          <w:sz w:val="24"/>
          <w:szCs w:val="24"/>
          <w:vertAlign w:val="subscript"/>
        </w:rPr>
        <w:t>2</w:t>
      </w:r>
      <w:r w:rsidRPr="00496006">
        <w:rPr>
          <w:sz w:val="24"/>
          <w:szCs w:val="24"/>
        </w:rPr>
        <w:t xml:space="preserve"> detected </w:t>
      </w:r>
      <w:r w:rsidR="12AA2D2F">
        <w:rPr>
          <w:sz w:val="24"/>
          <w:szCs w:val="24"/>
        </w:rPr>
        <w:t>by</w:t>
      </w:r>
      <w:r w:rsidR="12AA2D2F" w:rsidRPr="00496006">
        <w:rPr>
          <w:sz w:val="24"/>
          <w:szCs w:val="24"/>
        </w:rPr>
        <w:t xml:space="preserve"> </w:t>
      </w:r>
      <w:r w:rsidRPr="00496006">
        <w:rPr>
          <w:sz w:val="24"/>
          <w:szCs w:val="24"/>
        </w:rPr>
        <w:t xml:space="preserve">the DEP T640 </w:t>
      </w:r>
      <w:r w:rsidR="12AA2D2F">
        <w:rPr>
          <w:sz w:val="24"/>
          <w:szCs w:val="24"/>
        </w:rPr>
        <w:t>mon</w:t>
      </w:r>
      <w:r w:rsidR="21B293B2">
        <w:rPr>
          <w:sz w:val="24"/>
          <w:szCs w:val="24"/>
        </w:rPr>
        <w:t>itor</w:t>
      </w:r>
      <w:r w:rsidR="12AA2D2F" w:rsidRPr="00496006">
        <w:rPr>
          <w:sz w:val="24"/>
          <w:szCs w:val="24"/>
        </w:rPr>
        <w:t xml:space="preserve"> </w:t>
      </w:r>
      <w:r w:rsidRPr="00496006">
        <w:rPr>
          <w:sz w:val="24"/>
          <w:szCs w:val="24"/>
        </w:rPr>
        <w:t xml:space="preserve">during and after the fire. </w:t>
      </w:r>
      <w:r w:rsidR="1CB224BA" w:rsidRPr="00496006">
        <w:rPr>
          <w:sz w:val="24"/>
          <w:szCs w:val="24"/>
        </w:rPr>
        <w:t>It should be noted that NO</w:t>
      </w:r>
      <w:r w:rsidR="1CB224BA" w:rsidRPr="00496006">
        <w:rPr>
          <w:sz w:val="24"/>
          <w:szCs w:val="24"/>
          <w:vertAlign w:val="subscript"/>
        </w:rPr>
        <w:t xml:space="preserve">2 </w:t>
      </w:r>
      <w:r w:rsidR="1CB224BA" w:rsidRPr="00496006">
        <w:rPr>
          <w:sz w:val="24"/>
          <w:szCs w:val="24"/>
        </w:rPr>
        <w:t>and ozone levels prior to the fire were greater than levels measured during and after the fire, indicating that the fire did not contribute to a</w:t>
      </w:r>
      <w:r w:rsidR="0DF1C90D" w:rsidRPr="00496006">
        <w:rPr>
          <w:sz w:val="24"/>
          <w:szCs w:val="24"/>
        </w:rPr>
        <w:t xml:space="preserve"> </w:t>
      </w:r>
      <w:r w:rsidR="1CB224BA" w:rsidRPr="00496006">
        <w:rPr>
          <w:sz w:val="24"/>
          <w:szCs w:val="24"/>
        </w:rPr>
        <w:t>n</w:t>
      </w:r>
      <w:r w:rsidR="0DF1C90D" w:rsidRPr="00496006">
        <w:rPr>
          <w:sz w:val="24"/>
          <w:szCs w:val="24"/>
        </w:rPr>
        <w:t>otable</w:t>
      </w:r>
      <w:r w:rsidR="1CB224BA" w:rsidRPr="00496006">
        <w:rPr>
          <w:sz w:val="24"/>
          <w:szCs w:val="24"/>
        </w:rPr>
        <w:t xml:space="preserve"> increase in NO</w:t>
      </w:r>
      <w:r w:rsidR="1CB224BA" w:rsidRPr="00496006">
        <w:rPr>
          <w:sz w:val="24"/>
          <w:szCs w:val="24"/>
          <w:vertAlign w:val="subscript"/>
        </w:rPr>
        <w:t xml:space="preserve">2 </w:t>
      </w:r>
      <w:r w:rsidR="1CB224BA" w:rsidRPr="00496006">
        <w:rPr>
          <w:sz w:val="24"/>
          <w:szCs w:val="24"/>
        </w:rPr>
        <w:t>and ozone levels.</w:t>
      </w:r>
    </w:p>
    <w:p w14:paraId="02F41688" w14:textId="0FE2E885" w:rsidR="00F76C53" w:rsidRPr="004300FF" w:rsidRDefault="00F76C53" w:rsidP="00260B68">
      <w:pPr>
        <w:spacing w:line="257" w:lineRule="auto"/>
      </w:pPr>
    </w:p>
    <w:tbl>
      <w:tblPr>
        <w:tblW w:w="10136" w:type="dxa"/>
        <w:tblLook w:val="04A0" w:firstRow="1" w:lastRow="0" w:firstColumn="1" w:lastColumn="0" w:noHBand="0" w:noVBand="1"/>
      </w:tblPr>
      <w:tblGrid>
        <w:gridCol w:w="1938"/>
        <w:gridCol w:w="2202"/>
        <w:gridCol w:w="1318"/>
        <w:gridCol w:w="2176"/>
        <w:gridCol w:w="2502"/>
      </w:tblGrid>
      <w:tr w:rsidR="009C7DFA" w:rsidDel="00F76C53" w14:paraId="0D2B88F9" w14:textId="445ECBD3" w:rsidTr="00A62B50">
        <w:trPr>
          <w:trHeight w:val="278"/>
        </w:trPr>
        <w:tc>
          <w:tcPr>
            <w:tcW w:w="7634" w:type="dxa"/>
            <w:gridSpan w:val="4"/>
            <w:tcBorders>
              <w:bottom w:val="single" w:sz="4" w:space="0" w:color="auto"/>
              <w:right w:val="nil"/>
            </w:tcBorders>
            <w:noWrap/>
            <w:vAlign w:val="center"/>
            <w:hideMark/>
          </w:tcPr>
          <w:p w14:paraId="6A0191B8" w14:textId="5E6DDE58" w:rsidR="009C7DFA" w:rsidDel="00F76C53" w:rsidRDefault="009C7DFA" w:rsidP="00F76C53">
            <w:pPr>
              <w:keepNext/>
              <w:spacing w:after="0" w:line="240" w:lineRule="auto"/>
              <w:rPr>
                <w:rFonts w:ascii="Times New Roman" w:eastAsia="Times New Roman" w:hAnsi="Times New Roman" w:cs="Times New Roman"/>
                <w:kern w:val="0"/>
                <w14:ligatures w14:val="none"/>
              </w:rPr>
            </w:pPr>
            <w:r w:rsidDel="00F76C53">
              <w:rPr>
                <w:rFonts w:ascii="Calibri" w:eastAsia="Times New Roman" w:hAnsi="Calibri" w:cs="Calibri"/>
                <w:b/>
                <w:bCs/>
                <w:color w:val="000000"/>
                <w:kern w:val="0"/>
                <w14:ligatures w14:val="none"/>
              </w:rPr>
              <w:t xml:space="preserve">Table </w:t>
            </w:r>
            <w:r w:rsidR="008D2C2D">
              <w:rPr>
                <w:rFonts w:ascii="Calibri" w:eastAsia="Times New Roman" w:hAnsi="Calibri" w:cs="Calibri"/>
                <w:b/>
                <w:bCs/>
                <w:color w:val="000000"/>
                <w:kern w:val="0"/>
                <w14:ligatures w14:val="none"/>
              </w:rPr>
              <w:t>5</w:t>
            </w:r>
            <w:r w:rsidDel="00F76C53">
              <w:rPr>
                <w:rFonts w:ascii="Calibri" w:eastAsia="Times New Roman" w:hAnsi="Calibri" w:cs="Calibri"/>
                <w:b/>
                <w:bCs/>
                <w:color w:val="000000"/>
                <w:kern w:val="0"/>
                <w14:ligatures w14:val="none"/>
              </w:rPr>
              <w:t>: Ozone and NO</w:t>
            </w:r>
            <w:r w:rsidDel="00F76C53">
              <w:rPr>
                <w:rFonts w:ascii="Calibri" w:eastAsia="Times New Roman" w:hAnsi="Calibri" w:cs="Calibri"/>
                <w:b/>
                <w:bCs/>
                <w:color w:val="000000"/>
                <w:kern w:val="0"/>
                <w:vertAlign w:val="subscript"/>
                <w14:ligatures w14:val="none"/>
              </w:rPr>
              <w:t xml:space="preserve">2 </w:t>
            </w:r>
            <w:r w:rsidDel="00F76C53">
              <w:rPr>
                <w:rFonts w:ascii="Calibri" w:eastAsia="Times New Roman" w:hAnsi="Calibri" w:cs="Calibri"/>
                <w:b/>
                <w:bCs/>
                <w:color w:val="000000"/>
                <w:kern w:val="0"/>
                <w14:ligatures w14:val="none"/>
              </w:rPr>
              <w:t>Screening Evaluation</w:t>
            </w:r>
          </w:p>
        </w:tc>
        <w:tc>
          <w:tcPr>
            <w:tcW w:w="2502" w:type="dxa"/>
            <w:tcBorders>
              <w:left w:val="nil"/>
              <w:bottom w:val="single" w:sz="4" w:space="0" w:color="auto"/>
            </w:tcBorders>
            <w:noWrap/>
            <w:vAlign w:val="bottom"/>
            <w:hideMark/>
          </w:tcPr>
          <w:p w14:paraId="5940272B" w14:textId="23210237" w:rsidR="009C7DFA" w:rsidDel="00F76C53" w:rsidRDefault="009C7DFA" w:rsidP="00F76C53">
            <w:pPr>
              <w:keepNext/>
              <w:spacing w:after="0" w:line="240" w:lineRule="auto"/>
              <w:rPr>
                <w:rFonts w:ascii="Times New Roman" w:eastAsia="Times New Roman" w:hAnsi="Times New Roman" w:cs="Times New Roman"/>
                <w:kern w:val="0"/>
                <w14:ligatures w14:val="none"/>
              </w:rPr>
            </w:pPr>
          </w:p>
        </w:tc>
      </w:tr>
      <w:tr w:rsidR="002E0757" w14:paraId="19A4DFEC" w14:textId="77777777" w:rsidTr="000405C2">
        <w:trPr>
          <w:trHeight w:val="552"/>
        </w:trPr>
        <w:tc>
          <w:tcPr>
            <w:tcW w:w="1938"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A325E98"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Contaminant</w:t>
            </w:r>
          </w:p>
        </w:tc>
        <w:tc>
          <w:tcPr>
            <w:tcW w:w="220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963D884"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Averaging Time</w:t>
            </w:r>
          </w:p>
        </w:tc>
        <w:tc>
          <w:tcPr>
            <w:tcW w:w="1318"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66761DFC" w14:textId="737509CC"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Value (ppb)</w:t>
            </w:r>
          </w:p>
        </w:tc>
        <w:tc>
          <w:tcPr>
            <w:tcW w:w="2176"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5C694B2D"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Screening Value (ppb)</w:t>
            </w:r>
          </w:p>
        </w:tc>
        <w:tc>
          <w:tcPr>
            <w:tcW w:w="2502"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4E75D623"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Description of Screening Value</w:t>
            </w:r>
          </w:p>
        </w:tc>
      </w:tr>
      <w:tr w:rsidR="009C7DFA" w14:paraId="54272F6B" w14:textId="77777777" w:rsidTr="000405C2">
        <w:trPr>
          <w:trHeight w:val="620"/>
        </w:trPr>
        <w:tc>
          <w:tcPr>
            <w:tcW w:w="1938" w:type="dxa"/>
            <w:vMerge w:val="restart"/>
            <w:tcBorders>
              <w:top w:val="single" w:sz="4" w:space="0" w:color="auto"/>
              <w:left w:val="single" w:sz="4" w:space="0" w:color="auto"/>
              <w:bottom w:val="single" w:sz="4" w:space="0" w:color="auto"/>
              <w:right w:val="single" w:sz="4" w:space="0" w:color="auto"/>
            </w:tcBorders>
            <w:noWrap/>
            <w:vAlign w:val="center"/>
            <w:hideMark/>
          </w:tcPr>
          <w:p w14:paraId="652F2717"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Ozone (O</w:t>
            </w:r>
            <w:r>
              <w:rPr>
                <w:rFonts w:ascii="Calibri" w:eastAsia="Times New Roman" w:hAnsi="Calibri" w:cs="Calibri"/>
                <w:b/>
                <w:bCs/>
                <w:color w:val="000000"/>
                <w:kern w:val="0"/>
                <w:vertAlign w:val="subscript"/>
                <w14:ligatures w14:val="none"/>
              </w:rPr>
              <w:t>3</w:t>
            </w:r>
            <w:r>
              <w:rPr>
                <w:rFonts w:ascii="Calibri" w:eastAsia="Times New Roman" w:hAnsi="Calibri" w:cs="Calibri"/>
                <w:b/>
                <w:bCs/>
                <w:color w:val="000000"/>
                <w:kern w:val="0"/>
                <w14:ligatures w14:val="none"/>
              </w:rPr>
              <w:t>)</w:t>
            </w:r>
          </w:p>
        </w:tc>
        <w:tc>
          <w:tcPr>
            <w:tcW w:w="2202" w:type="dxa"/>
            <w:tcBorders>
              <w:top w:val="nil"/>
              <w:left w:val="nil"/>
              <w:bottom w:val="single" w:sz="4" w:space="0" w:color="auto"/>
              <w:right w:val="single" w:sz="4" w:space="0" w:color="auto"/>
            </w:tcBorders>
            <w:vAlign w:val="center"/>
            <w:hideMark/>
          </w:tcPr>
          <w:p w14:paraId="5CFB8CB3" w14:textId="0A98AD72"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Maximum</w:t>
            </w:r>
            <w:r w:rsidR="002F4BE1">
              <w:rPr>
                <w:rFonts w:ascii="Calibri" w:eastAsia="Times New Roman" w:hAnsi="Calibri" w:cs="Calibri"/>
                <w:b/>
                <w:bCs/>
                <w:color w:val="000000"/>
                <w:kern w:val="0"/>
                <w14:ligatures w14:val="none"/>
              </w:rPr>
              <w:t xml:space="preserve"> – 1 hour</w:t>
            </w:r>
            <w:r w:rsidR="001C7B18" w:rsidRPr="00060944">
              <w:rPr>
                <w:rFonts w:ascii="Calibri" w:eastAsia="Times New Roman" w:hAnsi="Calibri" w:cs="Calibri"/>
                <w:b/>
                <w:bCs/>
                <w:color w:val="000000"/>
                <w:kern w:val="0"/>
                <w:vertAlign w:val="superscript"/>
                <w14:ligatures w14:val="none"/>
              </w:rPr>
              <w:t>1</w:t>
            </w:r>
          </w:p>
        </w:tc>
        <w:tc>
          <w:tcPr>
            <w:tcW w:w="1318" w:type="dxa"/>
            <w:tcBorders>
              <w:top w:val="nil"/>
              <w:left w:val="nil"/>
              <w:bottom w:val="single" w:sz="4" w:space="0" w:color="auto"/>
              <w:right w:val="single" w:sz="4" w:space="0" w:color="auto"/>
            </w:tcBorders>
            <w:noWrap/>
            <w:vAlign w:val="center"/>
            <w:hideMark/>
          </w:tcPr>
          <w:p w14:paraId="395185B8" w14:textId="1255C857" w:rsidR="009C7DFA" w:rsidRDefault="3FA11B62" w:rsidP="00F76C53">
            <w:pPr>
              <w:keepNext/>
              <w:spacing w:after="0" w:line="240" w:lineRule="auto"/>
              <w:jc w:val="center"/>
              <w:rPr>
                <w:rFonts w:ascii="Calibri" w:eastAsia="Times New Roman" w:hAnsi="Calibri" w:cs="Calibri"/>
                <w:b/>
                <w:color w:val="000000" w:themeColor="text1"/>
              </w:rPr>
            </w:pPr>
            <w:r>
              <w:rPr>
                <w:rFonts w:ascii="Calibri" w:eastAsia="Times New Roman" w:hAnsi="Calibri" w:cs="Calibri"/>
                <w:b/>
                <w:bCs/>
                <w:color w:val="000000"/>
                <w:kern w:val="0"/>
                <w14:ligatures w14:val="none"/>
              </w:rPr>
              <w:t xml:space="preserve"> </w:t>
            </w:r>
            <w:r w:rsidR="00322714">
              <w:rPr>
                <w:rFonts w:ascii="Calibri" w:eastAsia="Times New Roman" w:hAnsi="Calibri" w:cs="Calibri"/>
                <w:b/>
                <w:bCs/>
                <w:color w:val="000000"/>
                <w:kern w:val="0"/>
                <w14:ligatures w14:val="none"/>
              </w:rPr>
              <w:t>50.6</w:t>
            </w:r>
          </w:p>
        </w:tc>
        <w:tc>
          <w:tcPr>
            <w:tcW w:w="2176" w:type="dxa"/>
            <w:tcBorders>
              <w:top w:val="nil"/>
              <w:left w:val="nil"/>
              <w:bottom w:val="single" w:sz="4" w:space="0" w:color="auto"/>
              <w:right w:val="single" w:sz="4" w:space="0" w:color="auto"/>
            </w:tcBorders>
            <w:noWrap/>
            <w:vAlign w:val="center"/>
            <w:hideMark/>
          </w:tcPr>
          <w:p w14:paraId="0783C3C1" w14:textId="77777777"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91.7</w:t>
            </w:r>
          </w:p>
        </w:tc>
        <w:tc>
          <w:tcPr>
            <w:tcW w:w="2502" w:type="dxa"/>
            <w:tcBorders>
              <w:top w:val="nil"/>
              <w:left w:val="nil"/>
              <w:bottom w:val="single" w:sz="4" w:space="0" w:color="auto"/>
              <w:right w:val="single" w:sz="4" w:space="0" w:color="auto"/>
            </w:tcBorders>
            <w:noWrap/>
            <w:vAlign w:val="center"/>
            <w:hideMark/>
          </w:tcPr>
          <w:p w14:paraId="64F989C5" w14:textId="6482AD62"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CA OEHHA REL (1 hour)</w:t>
            </w:r>
            <w:r w:rsidR="00541F43">
              <w:rPr>
                <w:rFonts w:ascii="Calibri" w:eastAsia="Times New Roman" w:hAnsi="Calibri" w:cs="Calibri"/>
                <w:color w:val="000000"/>
                <w:kern w:val="0"/>
                <w:vertAlign w:val="superscript"/>
                <w14:ligatures w14:val="none"/>
              </w:rPr>
              <w:t>4</w:t>
            </w:r>
          </w:p>
        </w:tc>
      </w:tr>
      <w:tr w:rsidR="009C7DFA" w14:paraId="282C6D1C" w14:textId="77777777" w:rsidTr="000405C2">
        <w:trPr>
          <w:trHeight w:val="493"/>
        </w:trPr>
        <w:tc>
          <w:tcPr>
            <w:tcW w:w="0" w:type="auto"/>
            <w:vMerge/>
            <w:tcBorders>
              <w:top w:val="single" w:sz="8" w:space="0" w:color="000000" w:themeColor="text1"/>
              <w:left w:val="single" w:sz="4" w:space="0" w:color="auto"/>
              <w:bottom w:val="single" w:sz="4" w:space="0" w:color="auto"/>
            </w:tcBorders>
            <w:vAlign w:val="center"/>
            <w:hideMark/>
          </w:tcPr>
          <w:p w14:paraId="7E530870" w14:textId="77777777" w:rsidR="009C7DFA" w:rsidRDefault="009C7DFA" w:rsidP="006218E2">
            <w:pPr>
              <w:keepNext/>
              <w:spacing w:after="0"/>
              <w:rPr>
                <w:rFonts w:ascii="Calibri" w:eastAsia="Times New Roman" w:hAnsi="Calibri" w:cs="Calibri"/>
                <w:b/>
                <w:bCs/>
                <w:color w:val="000000"/>
                <w:kern w:val="0"/>
                <w14:ligatures w14:val="none"/>
              </w:rPr>
            </w:pPr>
          </w:p>
        </w:tc>
        <w:tc>
          <w:tcPr>
            <w:tcW w:w="2202" w:type="dxa"/>
            <w:tcBorders>
              <w:top w:val="nil"/>
              <w:left w:val="single" w:sz="4" w:space="0" w:color="auto"/>
              <w:bottom w:val="nil"/>
              <w:right w:val="single" w:sz="4" w:space="0" w:color="auto"/>
            </w:tcBorders>
            <w:vAlign w:val="center"/>
            <w:hideMark/>
          </w:tcPr>
          <w:p w14:paraId="5277B875" w14:textId="772325F8"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Maximum </w:t>
            </w:r>
            <w:r w:rsidR="002F4BE1">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8 hour</w:t>
            </w:r>
            <w:r w:rsidR="00370FDB">
              <w:rPr>
                <w:rFonts w:ascii="Calibri" w:eastAsia="Times New Roman" w:hAnsi="Calibri" w:cs="Calibri"/>
                <w:b/>
                <w:bCs/>
                <w:color w:val="000000"/>
                <w:kern w:val="0"/>
                <w:vertAlign w:val="superscript"/>
                <w14:ligatures w14:val="none"/>
              </w:rPr>
              <w:t>2</w:t>
            </w:r>
          </w:p>
        </w:tc>
        <w:tc>
          <w:tcPr>
            <w:tcW w:w="1318" w:type="dxa"/>
            <w:tcBorders>
              <w:top w:val="nil"/>
              <w:left w:val="nil"/>
              <w:bottom w:val="nil"/>
              <w:right w:val="single" w:sz="4" w:space="0" w:color="auto"/>
            </w:tcBorders>
            <w:noWrap/>
            <w:vAlign w:val="center"/>
            <w:hideMark/>
          </w:tcPr>
          <w:p w14:paraId="55EC3F70" w14:textId="41E217EB" w:rsidR="009C7DFA" w:rsidRDefault="2ECA3B61" w:rsidP="00F76C53">
            <w:pPr>
              <w:keepNext/>
              <w:spacing w:after="0" w:line="240" w:lineRule="auto"/>
              <w:jc w:val="center"/>
              <w:rPr>
                <w:rFonts w:ascii="Calibri" w:eastAsia="Times New Roman" w:hAnsi="Calibri" w:cs="Calibri"/>
                <w:b/>
                <w:color w:val="000000" w:themeColor="text1"/>
              </w:rPr>
            </w:pPr>
            <w:r w:rsidRPr="2DCCDD3D">
              <w:rPr>
                <w:rFonts w:ascii="Calibri" w:eastAsia="Times New Roman" w:hAnsi="Calibri" w:cs="Calibri"/>
                <w:b/>
                <w:bCs/>
                <w:color w:val="000000" w:themeColor="text1"/>
              </w:rPr>
              <w:t xml:space="preserve"> </w:t>
            </w:r>
            <w:r w:rsidR="008F775C">
              <w:rPr>
                <w:rFonts w:ascii="Calibri" w:eastAsia="Times New Roman" w:hAnsi="Calibri" w:cs="Calibri"/>
                <w:b/>
                <w:bCs/>
                <w:color w:val="000000" w:themeColor="text1"/>
              </w:rPr>
              <w:t>39.1</w:t>
            </w:r>
          </w:p>
        </w:tc>
        <w:tc>
          <w:tcPr>
            <w:tcW w:w="2176" w:type="dxa"/>
            <w:tcBorders>
              <w:top w:val="nil"/>
              <w:left w:val="nil"/>
              <w:bottom w:val="single" w:sz="4" w:space="0" w:color="auto"/>
              <w:right w:val="single" w:sz="4" w:space="0" w:color="auto"/>
            </w:tcBorders>
            <w:noWrap/>
            <w:vAlign w:val="center"/>
            <w:hideMark/>
          </w:tcPr>
          <w:p w14:paraId="634A8AD8" w14:textId="77777777"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50.9</w:t>
            </w:r>
          </w:p>
        </w:tc>
        <w:tc>
          <w:tcPr>
            <w:tcW w:w="2502" w:type="dxa"/>
            <w:tcBorders>
              <w:top w:val="nil"/>
              <w:left w:val="nil"/>
              <w:bottom w:val="single" w:sz="4" w:space="0" w:color="auto"/>
              <w:right w:val="single" w:sz="4" w:space="0" w:color="auto"/>
            </w:tcBorders>
            <w:noWrap/>
            <w:vAlign w:val="center"/>
            <w:hideMark/>
          </w:tcPr>
          <w:p w14:paraId="3DBD7488" w14:textId="7D7CE344"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WHO AQG (8 hour)</w:t>
            </w:r>
            <w:r w:rsidR="00157D82" w:rsidDel="00157D82">
              <w:rPr>
                <w:rFonts w:ascii="Calibri" w:eastAsia="Times New Roman" w:hAnsi="Calibri" w:cs="Calibri"/>
                <w:color w:val="000000"/>
                <w:kern w:val="0"/>
                <w:vertAlign w:val="superscript"/>
                <w14:ligatures w14:val="none"/>
              </w:rPr>
              <w:t xml:space="preserve"> </w:t>
            </w:r>
            <w:r>
              <w:rPr>
                <w:rFonts w:ascii="Calibri" w:eastAsia="Times New Roman" w:hAnsi="Calibri" w:cs="Calibri"/>
                <w:color w:val="000000"/>
                <w:kern w:val="0"/>
                <w:vertAlign w:val="superscript"/>
                <w14:ligatures w14:val="none"/>
              </w:rPr>
              <w:t>3</w:t>
            </w:r>
            <w:r w:rsidR="00157D82">
              <w:rPr>
                <w:rFonts w:ascii="Calibri" w:eastAsia="Times New Roman" w:hAnsi="Calibri" w:cs="Calibri"/>
                <w:color w:val="000000"/>
                <w:kern w:val="0"/>
                <w:vertAlign w:val="superscript"/>
                <w14:ligatures w14:val="none"/>
              </w:rPr>
              <w:t>,4</w:t>
            </w:r>
          </w:p>
        </w:tc>
      </w:tr>
      <w:tr w:rsidR="002E0757" w14:paraId="474561F9" w14:textId="77777777" w:rsidTr="000405C2">
        <w:trPr>
          <w:trHeight w:val="430"/>
        </w:trPr>
        <w:tc>
          <w:tcPr>
            <w:tcW w:w="1938"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B628DA2" w14:textId="77777777"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Nitrogen Dioxide (NO</w:t>
            </w:r>
            <w:r>
              <w:rPr>
                <w:rFonts w:ascii="Calibri" w:eastAsia="Times New Roman" w:hAnsi="Calibri" w:cs="Calibri"/>
                <w:b/>
                <w:bCs/>
                <w:color w:val="000000"/>
                <w:kern w:val="0"/>
                <w:vertAlign w:val="subscript"/>
                <w14:ligatures w14:val="none"/>
              </w:rPr>
              <w:t>2</w:t>
            </w:r>
            <w:r>
              <w:rPr>
                <w:rFonts w:ascii="Calibri" w:eastAsia="Times New Roman" w:hAnsi="Calibri" w:cs="Calibri"/>
                <w:b/>
                <w:bCs/>
                <w:color w:val="000000"/>
                <w:kern w:val="0"/>
                <w14:ligatures w14:val="none"/>
              </w:rPr>
              <w:t>)</w:t>
            </w:r>
          </w:p>
        </w:tc>
        <w:tc>
          <w:tcPr>
            <w:tcW w:w="2202" w:type="dxa"/>
            <w:tcBorders>
              <w:top w:val="single" w:sz="8" w:space="0" w:color="auto"/>
              <w:left w:val="nil"/>
              <w:bottom w:val="nil"/>
              <w:right w:val="single" w:sz="4" w:space="0" w:color="auto"/>
            </w:tcBorders>
            <w:vAlign w:val="center"/>
            <w:hideMark/>
          </w:tcPr>
          <w:p w14:paraId="1EE05E1D" w14:textId="6081033E"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Maximum</w:t>
            </w:r>
            <w:r w:rsidR="002F4BE1">
              <w:rPr>
                <w:rFonts w:ascii="Calibri" w:eastAsia="Times New Roman" w:hAnsi="Calibri" w:cs="Calibri"/>
                <w:b/>
                <w:bCs/>
                <w:color w:val="000000"/>
                <w:kern w:val="0"/>
                <w14:ligatures w14:val="none"/>
              </w:rPr>
              <w:t>- 1 hour</w:t>
            </w:r>
            <w:r w:rsidR="000F37F9" w:rsidRPr="65C10688">
              <w:rPr>
                <w:rFonts w:ascii="Calibri" w:eastAsia="Times New Roman" w:hAnsi="Calibri" w:cs="Calibri"/>
                <w:b/>
                <w:color w:val="000000" w:themeColor="text1"/>
                <w:vertAlign w:val="superscript"/>
              </w:rPr>
              <w:t>1</w:t>
            </w:r>
          </w:p>
        </w:tc>
        <w:tc>
          <w:tcPr>
            <w:tcW w:w="1318" w:type="dxa"/>
            <w:tcBorders>
              <w:top w:val="single" w:sz="8" w:space="0" w:color="auto"/>
              <w:left w:val="nil"/>
              <w:bottom w:val="nil"/>
              <w:right w:val="single" w:sz="4" w:space="0" w:color="auto"/>
            </w:tcBorders>
            <w:noWrap/>
            <w:vAlign w:val="center"/>
            <w:hideMark/>
          </w:tcPr>
          <w:p w14:paraId="20874558" w14:textId="50677BC2" w:rsidR="009C7DFA" w:rsidRDefault="5D63DF75" w:rsidP="00F76C53">
            <w:pPr>
              <w:keepNext/>
              <w:spacing w:after="0" w:line="240" w:lineRule="auto"/>
              <w:jc w:val="center"/>
              <w:rPr>
                <w:rFonts w:ascii="Calibri" w:eastAsia="Calibri" w:hAnsi="Calibri" w:cs="Calibri"/>
              </w:rPr>
            </w:pPr>
            <w:r w:rsidRPr="14428B20">
              <w:rPr>
                <w:rFonts w:ascii="Calibri" w:eastAsia="Times New Roman" w:hAnsi="Calibri" w:cs="Calibri"/>
                <w:b/>
                <w:bCs/>
                <w:color w:val="000000" w:themeColor="text1"/>
              </w:rPr>
              <w:t>26.0</w:t>
            </w:r>
          </w:p>
        </w:tc>
        <w:tc>
          <w:tcPr>
            <w:tcW w:w="2176" w:type="dxa"/>
            <w:tcBorders>
              <w:top w:val="single" w:sz="8" w:space="0" w:color="auto"/>
              <w:left w:val="nil"/>
              <w:bottom w:val="single" w:sz="4" w:space="0" w:color="auto"/>
              <w:right w:val="single" w:sz="4" w:space="0" w:color="auto"/>
            </w:tcBorders>
            <w:noWrap/>
            <w:vAlign w:val="center"/>
            <w:hideMark/>
          </w:tcPr>
          <w:p w14:paraId="007C0D66" w14:textId="77777777"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100</w:t>
            </w:r>
          </w:p>
        </w:tc>
        <w:tc>
          <w:tcPr>
            <w:tcW w:w="2502" w:type="dxa"/>
            <w:tcBorders>
              <w:top w:val="single" w:sz="8" w:space="0" w:color="auto"/>
              <w:left w:val="nil"/>
              <w:bottom w:val="single" w:sz="4" w:space="0" w:color="auto"/>
              <w:right w:val="single" w:sz="4" w:space="0" w:color="auto"/>
            </w:tcBorders>
            <w:noWrap/>
            <w:vAlign w:val="center"/>
            <w:hideMark/>
          </w:tcPr>
          <w:p w14:paraId="321AC006" w14:textId="6AE99498"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EPA NAAQS (1 hour)</w:t>
            </w:r>
            <w:r w:rsidR="00445B49">
              <w:rPr>
                <w:rFonts w:ascii="Calibri" w:eastAsia="Times New Roman" w:hAnsi="Calibri" w:cs="Calibri"/>
                <w:color w:val="000000"/>
                <w:kern w:val="0"/>
                <w:vertAlign w:val="superscript"/>
                <w14:ligatures w14:val="none"/>
              </w:rPr>
              <w:t>6</w:t>
            </w:r>
          </w:p>
        </w:tc>
      </w:tr>
      <w:tr w:rsidR="00060944" w14:paraId="27A08E83" w14:textId="77777777" w:rsidTr="002C36EB">
        <w:trPr>
          <w:trHeight w:val="493"/>
        </w:trPr>
        <w:tc>
          <w:tcPr>
            <w:tcW w:w="0" w:type="auto"/>
            <w:vMerge/>
            <w:tcBorders>
              <w:left w:val="single" w:sz="4" w:space="0" w:color="auto"/>
              <w:bottom w:val="single" w:sz="4" w:space="0" w:color="auto"/>
            </w:tcBorders>
            <w:vAlign w:val="center"/>
            <w:hideMark/>
          </w:tcPr>
          <w:p w14:paraId="4BCC70D9" w14:textId="77777777" w:rsidR="009C7DFA" w:rsidRDefault="009C7DFA" w:rsidP="006218E2">
            <w:pPr>
              <w:keepNext/>
              <w:spacing w:after="0"/>
              <w:rPr>
                <w:rFonts w:ascii="Calibri" w:eastAsia="Times New Roman" w:hAnsi="Calibri" w:cs="Calibri"/>
                <w:b/>
                <w:bCs/>
                <w:color w:val="000000"/>
                <w:kern w:val="0"/>
                <w14:ligatures w14:val="none"/>
              </w:rPr>
            </w:pPr>
          </w:p>
        </w:tc>
        <w:tc>
          <w:tcPr>
            <w:tcW w:w="2202" w:type="dxa"/>
            <w:tcBorders>
              <w:top w:val="single" w:sz="4" w:space="0" w:color="auto"/>
              <w:left w:val="single" w:sz="4" w:space="0" w:color="auto"/>
              <w:bottom w:val="single" w:sz="4" w:space="0" w:color="auto"/>
              <w:right w:val="single" w:sz="4" w:space="0" w:color="auto"/>
            </w:tcBorders>
            <w:vAlign w:val="center"/>
            <w:hideMark/>
          </w:tcPr>
          <w:p w14:paraId="7D121FD4" w14:textId="6A10D482" w:rsidR="009C7DFA" w:rsidRDefault="009C7DFA" w:rsidP="00F76C53">
            <w:pPr>
              <w:keepNext/>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Maximum </w:t>
            </w:r>
            <w:r w:rsidR="002F4BE1">
              <w:rPr>
                <w:rFonts w:ascii="Calibri" w:eastAsia="Times New Roman" w:hAnsi="Calibri" w:cs="Calibri"/>
                <w:b/>
                <w:bCs/>
                <w:color w:val="000000"/>
                <w:kern w:val="0"/>
                <w14:ligatures w14:val="none"/>
              </w:rPr>
              <w:t xml:space="preserve">- </w:t>
            </w:r>
            <w:r>
              <w:rPr>
                <w:rFonts w:ascii="Calibri" w:eastAsia="Times New Roman" w:hAnsi="Calibri" w:cs="Calibri"/>
                <w:b/>
                <w:bCs/>
                <w:color w:val="000000"/>
                <w:kern w:val="0"/>
                <w14:ligatures w14:val="none"/>
              </w:rPr>
              <w:t>24 hour</w:t>
            </w:r>
            <w:r w:rsidR="00370FDB">
              <w:rPr>
                <w:rFonts w:ascii="Calibri" w:eastAsia="Times New Roman" w:hAnsi="Calibri" w:cs="Calibri"/>
                <w:b/>
                <w:bCs/>
                <w:color w:val="000000"/>
                <w:kern w:val="0"/>
                <w:vertAlign w:val="superscript"/>
                <w14:ligatures w14:val="none"/>
              </w:rPr>
              <w:t>3</w:t>
            </w:r>
          </w:p>
        </w:tc>
        <w:tc>
          <w:tcPr>
            <w:tcW w:w="1318" w:type="dxa"/>
            <w:tcBorders>
              <w:top w:val="single" w:sz="4" w:space="0" w:color="auto"/>
              <w:left w:val="nil"/>
              <w:bottom w:val="single" w:sz="4" w:space="0" w:color="auto"/>
              <w:right w:val="single" w:sz="4" w:space="0" w:color="auto"/>
            </w:tcBorders>
            <w:noWrap/>
            <w:vAlign w:val="center"/>
            <w:hideMark/>
          </w:tcPr>
          <w:p w14:paraId="3B5BF08B" w14:textId="44F45736" w:rsidR="009C7DFA" w:rsidRDefault="6304DE66" w:rsidP="00F76C53">
            <w:pPr>
              <w:keepNext/>
              <w:spacing w:after="0" w:line="240" w:lineRule="auto"/>
              <w:jc w:val="center"/>
              <w:rPr>
                <w:rFonts w:ascii="Calibri" w:eastAsia="Calibri" w:hAnsi="Calibri" w:cs="Calibri"/>
              </w:rPr>
            </w:pPr>
            <w:r w:rsidRPr="14428B20">
              <w:rPr>
                <w:rFonts w:ascii="Calibri" w:eastAsia="Times New Roman" w:hAnsi="Calibri" w:cs="Calibri"/>
                <w:b/>
                <w:bCs/>
                <w:color w:val="000000" w:themeColor="text1"/>
              </w:rPr>
              <w:t>7.0</w:t>
            </w:r>
          </w:p>
        </w:tc>
        <w:tc>
          <w:tcPr>
            <w:tcW w:w="2176" w:type="dxa"/>
            <w:tcBorders>
              <w:top w:val="nil"/>
              <w:left w:val="nil"/>
              <w:bottom w:val="single" w:sz="4" w:space="0" w:color="auto"/>
              <w:right w:val="single" w:sz="4" w:space="0" w:color="auto"/>
            </w:tcBorders>
            <w:noWrap/>
            <w:vAlign w:val="center"/>
            <w:hideMark/>
          </w:tcPr>
          <w:p w14:paraId="5127C6F5" w14:textId="77777777"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13</w:t>
            </w:r>
          </w:p>
        </w:tc>
        <w:tc>
          <w:tcPr>
            <w:tcW w:w="2502" w:type="dxa"/>
            <w:tcBorders>
              <w:top w:val="nil"/>
              <w:left w:val="nil"/>
              <w:bottom w:val="single" w:sz="4" w:space="0" w:color="auto"/>
              <w:right w:val="single" w:sz="4" w:space="0" w:color="auto"/>
            </w:tcBorders>
            <w:noWrap/>
            <w:vAlign w:val="center"/>
            <w:hideMark/>
          </w:tcPr>
          <w:p w14:paraId="7E088343" w14:textId="72024E78" w:rsidR="009C7DFA" w:rsidRDefault="009C7DFA" w:rsidP="00F76C53">
            <w:pPr>
              <w:keepNext/>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WHO AQG (24 hour)</w:t>
            </w:r>
            <w:r w:rsidR="004A2092">
              <w:rPr>
                <w:rFonts w:ascii="Calibri" w:eastAsia="Times New Roman" w:hAnsi="Calibri" w:cs="Calibri"/>
                <w:color w:val="000000"/>
                <w:kern w:val="0"/>
                <w:vertAlign w:val="superscript"/>
                <w14:ligatures w14:val="none"/>
              </w:rPr>
              <w:t>4,</w:t>
            </w:r>
            <w:r w:rsidR="00445B49">
              <w:rPr>
                <w:rFonts w:ascii="Calibri" w:eastAsia="Times New Roman" w:hAnsi="Calibri" w:cs="Calibri"/>
                <w:color w:val="000000"/>
                <w:kern w:val="0"/>
                <w:vertAlign w:val="superscript"/>
                <w14:ligatures w14:val="none"/>
              </w:rPr>
              <w:t>5</w:t>
            </w:r>
          </w:p>
        </w:tc>
      </w:tr>
      <w:tr w:rsidR="009C7DFA" w14:paraId="68D01A3C" w14:textId="77777777" w:rsidTr="002C36EB">
        <w:trPr>
          <w:trHeight w:val="268"/>
        </w:trPr>
        <w:tc>
          <w:tcPr>
            <w:tcW w:w="1938" w:type="dxa"/>
            <w:tcBorders>
              <w:top w:val="single" w:sz="4" w:space="0" w:color="auto"/>
              <w:left w:val="single" w:sz="4" w:space="0" w:color="auto"/>
              <w:bottom w:val="nil"/>
              <w:right w:val="nil"/>
            </w:tcBorders>
            <w:noWrap/>
            <w:vAlign w:val="bottom"/>
            <w:hideMark/>
          </w:tcPr>
          <w:p w14:paraId="55880417" w14:textId="77777777" w:rsidR="009C7DFA" w:rsidRDefault="009C7DFA" w:rsidP="00F76C53">
            <w:pPr>
              <w:keepNext/>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sz w:val="20"/>
                <w:szCs w:val="20"/>
                <w14:ligatures w14:val="none"/>
              </w:rPr>
              <w:t>Notes:</w:t>
            </w:r>
          </w:p>
        </w:tc>
        <w:tc>
          <w:tcPr>
            <w:tcW w:w="2202" w:type="dxa"/>
            <w:tcBorders>
              <w:top w:val="single" w:sz="4" w:space="0" w:color="auto"/>
            </w:tcBorders>
            <w:noWrap/>
            <w:vAlign w:val="bottom"/>
            <w:hideMark/>
          </w:tcPr>
          <w:p w14:paraId="5E11D1A7" w14:textId="77777777" w:rsidR="009C7DFA" w:rsidRDefault="009C7DFA" w:rsidP="008B472B">
            <w:pPr>
              <w:keepNext/>
              <w:spacing w:after="0" w:line="240" w:lineRule="auto"/>
              <w:rPr>
                <w:rFonts w:ascii="Calibri" w:eastAsia="Times New Roman" w:hAnsi="Calibri" w:cs="Calibri"/>
                <w:b/>
                <w:bCs/>
                <w:color w:val="000000"/>
                <w:kern w:val="0"/>
                <w14:ligatures w14:val="none"/>
              </w:rPr>
            </w:pPr>
          </w:p>
        </w:tc>
        <w:tc>
          <w:tcPr>
            <w:tcW w:w="1318" w:type="dxa"/>
            <w:tcBorders>
              <w:top w:val="single" w:sz="4" w:space="0" w:color="auto"/>
            </w:tcBorders>
            <w:noWrap/>
            <w:vAlign w:val="bottom"/>
            <w:hideMark/>
          </w:tcPr>
          <w:p w14:paraId="6CA4D1B3" w14:textId="77777777" w:rsidR="009C7DFA" w:rsidRDefault="009C7DFA" w:rsidP="008B472B">
            <w:pPr>
              <w:keepNext/>
              <w:spacing w:after="0" w:line="240" w:lineRule="auto"/>
              <w:rPr>
                <w:kern w:val="0"/>
                <w:sz w:val="20"/>
                <w:szCs w:val="20"/>
                <w14:ligatures w14:val="none"/>
              </w:rPr>
            </w:pPr>
          </w:p>
        </w:tc>
        <w:tc>
          <w:tcPr>
            <w:tcW w:w="2176" w:type="dxa"/>
            <w:tcBorders>
              <w:top w:val="single" w:sz="4" w:space="0" w:color="auto"/>
            </w:tcBorders>
            <w:noWrap/>
            <w:vAlign w:val="bottom"/>
            <w:hideMark/>
          </w:tcPr>
          <w:p w14:paraId="0A0DBEA9" w14:textId="77777777" w:rsidR="009C7DFA" w:rsidRDefault="009C7DFA" w:rsidP="008B472B">
            <w:pPr>
              <w:keepNext/>
              <w:spacing w:after="0" w:line="240" w:lineRule="auto"/>
              <w:rPr>
                <w:kern w:val="0"/>
                <w:sz w:val="20"/>
                <w:szCs w:val="20"/>
                <w14:ligatures w14:val="none"/>
              </w:rPr>
            </w:pPr>
          </w:p>
        </w:tc>
        <w:tc>
          <w:tcPr>
            <w:tcW w:w="2502" w:type="dxa"/>
            <w:tcBorders>
              <w:top w:val="single" w:sz="4" w:space="0" w:color="auto"/>
              <w:left w:val="nil"/>
              <w:bottom w:val="nil"/>
              <w:right w:val="single" w:sz="4" w:space="0" w:color="auto"/>
            </w:tcBorders>
            <w:noWrap/>
            <w:vAlign w:val="bottom"/>
            <w:hideMark/>
          </w:tcPr>
          <w:p w14:paraId="4C580BF9" w14:textId="77777777" w:rsidR="009C7DFA" w:rsidRDefault="009C7DFA" w:rsidP="008B472B">
            <w:pPr>
              <w:keepNext/>
              <w:spacing w:after="0" w:line="240" w:lineRule="auto"/>
              <w:rPr>
                <w:kern w:val="0"/>
                <w:sz w:val="20"/>
                <w:szCs w:val="20"/>
                <w14:ligatures w14:val="none"/>
              </w:rPr>
            </w:pPr>
          </w:p>
        </w:tc>
      </w:tr>
      <w:tr w:rsidR="009C7DFA" w14:paraId="062CF187" w14:textId="77777777" w:rsidTr="23A4FC9A">
        <w:trPr>
          <w:trHeight w:val="281"/>
        </w:trPr>
        <w:tc>
          <w:tcPr>
            <w:tcW w:w="10136" w:type="dxa"/>
            <w:gridSpan w:val="5"/>
            <w:tcBorders>
              <w:top w:val="nil"/>
              <w:left w:val="single" w:sz="4" w:space="0" w:color="auto"/>
              <w:bottom w:val="nil"/>
              <w:right w:val="single" w:sz="4" w:space="0" w:color="auto"/>
            </w:tcBorders>
            <w:noWrap/>
            <w:vAlign w:val="bottom"/>
            <w:hideMark/>
          </w:tcPr>
          <w:p w14:paraId="128B5447" w14:textId="55B8EEC1" w:rsidR="009C7DFA" w:rsidRDefault="64243313" w:rsidP="00F76C53">
            <w:pPr>
              <w:keepNext/>
              <w:spacing w:after="0" w:line="240" w:lineRule="auto"/>
              <w:rPr>
                <w:rFonts w:ascii="Times New Roman" w:eastAsia="Times New Roman" w:hAnsi="Times New Roman" w:cs="Times New Roman"/>
                <w:kern w:val="0"/>
                <w:sz w:val="20"/>
                <w:szCs w:val="20"/>
                <w14:ligatures w14:val="none"/>
              </w:rPr>
            </w:pPr>
            <w:r>
              <w:rPr>
                <w:rFonts w:ascii="Calibri" w:eastAsia="Times New Roman" w:hAnsi="Calibri" w:cs="Calibri"/>
                <w:color w:val="000000"/>
                <w:kern w:val="0"/>
                <w:sz w:val="16"/>
                <w:szCs w:val="16"/>
                <w14:ligatures w14:val="none"/>
              </w:rPr>
              <w:t xml:space="preserve">Data collected </w:t>
            </w:r>
            <w:r w:rsidR="7D163EEF">
              <w:rPr>
                <w:rFonts w:ascii="Calibri" w:eastAsia="Times New Roman" w:hAnsi="Calibri" w:cs="Calibri"/>
                <w:color w:val="000000"/>
                <w:kern w:val="0"/>
                <w:sz w:val="16"/>
                <w:szCs w:val="16"/>
                <w14:ligatures w14:val="none"/>
              </w:rPr>
              <w:t xml:space="preserve">at </w:t>
            </w:r>
            <w:r>
              <w:rPr>
                <w:rFonts w:ascii="Calibri" w:eastAsia="Times New Roman" w:hAnsi="Calibri" w:cs="Calibri"/>
                <w:color w:val="000000"/>
                <w:kern w:val="0"/>
                <w:sz w:val="16"/>
                <w:szCs w:val="16"/>
                <w14:ligatures w14:val="none"/>
              </w:rPr>
              <w:t>the MassDEP Air Monitoring Station, DEPT640, 2/16/23 - 2/1</w:t>
            </w:r>
            <w:r w:rsidR="6D49224F">
              <w:rPr>
                <w:rFonts w:ascii="Calibri" w:eastAsia="Times New Roman" w:hAnsi="Calibri" w:cs="Calibri"/>
                <w:color w:val="000000"/>
                <w:kern w:val="0"/>
                <w:sz w:val="16"/>
                <w:szCs w:val="16"/>
                <w14:ligatures w14:val="none"/>
              </w:rPr>
              <w:t>8</w:t>
            </w:r>
            <w:r>
              <w:rPr>
                <w:rFonts w:ascii="Calibri" w:eastAsia="Times New Roman" w:hAnsi="Calibri" w:cs="Calibri"/>
                <w:color w:val="000000"/>
                <w:kern w:val="0"/>
                <w:sz w:val="16"/>
                <w:szCs w:val="16"/>
                <w14:ligatures w14:val="none"/>
              </w:rPr>
              <w:t>/23</w:t>
            </w:r>
          </w:p>
        </w:tc>
      </w:tr>
      <w:tr w:rsidR="008B472B" w14:paraId="12B8EE91" w14:textId="77777777" w:rsidTr="23A4FC9A">
        <w:trPr>
          <w:trHeight w:val="281"/>
        </w:trPr>
        <w:tc>
          <w:tcPr>
            <w:tcW w:w="10136" w:type="dxa"/>
            <w:gridSpan w:val="5"/>
            <w:tcBorders>
              <w:top w:val="nil"/>
              <w:left w:val="single" w:sz="4" w:space="0" w:color="auto"/>
              <w:bottom w:val="nil"/>
              <w:right w:val="single" w:sz="4" w:space="0" w:color="auto"/>
            </w:tcBorders>
            <w:noWrap/>
            <w:vAlign w:val="center"/>
          </w:tcPr>
          <w:p w14:paraId="161CB07F" w14:textId="31ED4DC2" w:rsidR="008B472B" w:rsidRDefault="008B472B" w:rsidP="14428B20">
            <w:pPr>
              <w:keepNext/>
              <w:spacing w:after="0" w:line="240" w:lineRule="auto"/>
              <w:rPr>
                <w:rFonts w:ascii="Calibri" w:eastAsia="Times New Roman" w:hAnsi="Calibri" w:cs="Calibri"/>
                <w:sz w:val="16"/>
                <w:szCs w:val="16"/>
              </w:rPr>
            </w:pPr>
            <w:r w:rsidRPr="14428B20">
              <w:rPr>
                <w:rFonts w:ascii="Calibri" w:eastAsia="Times New Roman" w:hAnsi="Calibri" w:cs="Calibri"/>
                <w:sz w:val="16"/>
                <w:szCs w:val="16"/>
              </w:rPr>
              <w:t xml:space="preserve">1. </w:t>
            </w:r>
            <w:r w:rsidR="380C7E36" w:rsidRPr="14428B20">
              <w:rPr>
                <w:rFonts w:ascii="Calibri" w:eastAsia="Times New Roman" w:hAnsi="Calibri" w:cs="Calibri"/>
                <w:sz w:val="16"/>
                <w:szCs w:val="16"/>
              </w:rPr>
              <w:t>O</w:t>
            </w:r>
            <w:r w:rsidR="380C7E36" w:rsidRPr="00060944">
              <w:rPr>
                <w:rFonts w:ascii="Calibri" w:eastAsia="Times New Roman" w:hAnsi="Calibri" w:cs="Calibri"/>
                <w:sz w:val="16"/>
                <w:szCs w:val="16"/>
                <w:vertAlign w:val="subscript"/>
              </w:rPr>
              <w:t>3</w:t>
            </w:r>
            <w:r w:rsidR="380C7E36" w:rsidRPr="14428B20">
              <w:rPr>
                <w:rFonts w:ascii="Calibri" w:eastAsia="Times New Roman" w:hAnsi="Calibri" w:cs="Calibri"/>
                <w:sz w:val="16"/>
                <w:szCs w:val="16"/>
              </w:rPr>
              <w:t xml:space="preserve"> 1 hour maximum </w:t>
            </w:r>
            <w:r w:rsidR="006218E2">
              <w:rPr>
                <w:rFonts w:ascii="Calibri" w:eastAsia="Times New Roman" w:hAnsi="Calibri" w:cs="Calibri"/>
                <w:sz w:val="16"/>
                <w:szCs w:val="16"/>
              </w:rPr>
              <w:t xml:space="preserve">occurred </w:t>
            </w:r>
            <w:r w:rsidR="380C7E36" w:rsidRPr="14428B20">
              <w:rPr>
                <w:rFonts w:ascii="Calibri" w:eastAsia="Times New Roman" w:hAnsi="Calibri" w:cs="Calibri"/>
                <w:sz w:val="16"/>
                <w:szCs w:val="16"/>
              </w:rPr>
              <w:t xml:space="preserve">at </w:t>
            </w:r>
            <w:r w:rsidR="0099076B">
              <w:rPr>
                <w:rFonts w:ascii="Calibri" w:eastAsia="Times New Roman" w:hAnsi="Calibri" w:cs="Calibri"/>
                <w:sz w:val="16"/>
                <w:szCs w:val="16"/>
              </w:rPr>
              <w:t>3</w:t>
            </w:r>
            <w:r w:rsidR="0099076B" w:rsidRPr="14428B20">
              <w:rPr>
                <w:rFonts w:ascii="Calibri" w:eastAsia="Times New Roman" w:hAnsi="Calibri" w:cs="Calibri"/>
                <w:sz w:val="16"/>
                <w:szCs w:val="16"/>
              </w:rPr>
              <w:t xml:space="preserve"> </w:t>
            </w:r>
            <w:r w:rsidR="0099076B">
              <w:rPr>
                <w:rFonts w:ascii="Calibri" w:eastAsia="Times New Roman" w:hAnsi="Calibri" w:cs="Calibri"/>
                <w:sz w:val="16"/>
                <w:szCs w:val="16"/>
              </w:rPr>
              <w:t>A</w:t>
            </w:r>
            <w:r w:rsidR="0099076B" w:rsidRPr="14428B20">
              <w:rPr>
                <w:rFonts w:ascii="Calibri" w:eastAsia="Times New Roman" w:hAnsi="Calibri" w:cs="Calibri"/>
                <w:sz w:val="16"/>
                <w:szCs w:val="16"/>
              </w:rPr>
              <w:t xml:space="preserve">M </w:t>
            </w:r>
            <w:r w:rsidR="1153849B" w:rsidRPr="14428B20">
              <w:rPr>
                <w:rFonts w:ascii="Calibri" w:eastAsia="Times New Roman" w:hAnsi="Calibri" w:cs="Calibri"/>
                <w:sz w:val="16"/>
                <w:szCs w:val="16"/>
              </w:rPr>
              <w:t>on 2/</w:t>
            </w:r>
            <w:r w:rsidR="0099076B" w:rsidRPr="14428B20">
              <w:rPr>
                <w:rFonts w:ascii="Calibri" w:eastAsia="Times New Roman" w:hAnsi="Calibri" w:cs="Calibri"/>
                <w:sz w:val="16"/>
                <w:szCs w:val="16"/>
              </w:rPr>
              <w:t>1</w:t>
            </w:r>
            <w:r w:rsidR="0099076B">
              <w:rPr>
                <w:rFonts w:ascii="Calibri" w:eastAsia="Times New Roman" w:hAnsi="Calibri" w:cs="Calibri"/>
                <w:sz w:val="16"/>
                <w:szCs w:val="16"/>
              </w:rPr>
              <w:t>8</w:t>
            </w:r>
            <w:r w:rsidR="1153849B" w:rsidRPr="14428B20">
              <w:rPr>
                <w:rFonts w:ascii="Calibri" w:eastAsia="Times New Roman" w:hAnsi="Calibri" w:cs="Calibri"/>
                <w:sz w:val="16"/>
                <w:szCs w:val="16"/>
              </w:rPr>
              <w:t>; NO</w:t>
            </w:r>
            <w:r w:rsidR="1153849B" w:rsidRPr="006218E2">
              <w:rPr>
                <w:rFonts w:ascii="Calibri" w:eastAsia="Times New Roman" w:hAnsi="Calibri" w:cs="Calibri"/>
                <w:sz w:val="16"/>
                <w:szCs w:val="16"/>
                <w:vertAlign w:val="subscript"/>
              </w:rPr>
              <w:t>2</w:t>
            </w:r>
            <w:r w:rsidR="1153849B" w:rsidRPr="14428B20">
              <w:rPr>
                <w:rFonts w:ascii="Calibri" w:eastAsia="Times New Roman" w:hAnsi="Calibri" w:cs="Calibri"/>
                <w:sz w:val="16"/>
                <w:szCs w:val="16"/>
              </w:rPr>
              <w:t xml:space="preserve"> 1 hour maximum </w:t>
            </w:r>
            <w:r w:rsidR="006218E2">
              <w:rPr>
                <w:rFonts w:ascii="Calibri" w:eastAsia="Times New Roman" w:hAnsi="Calibri" w:cs="Calibri"/>
                <w:sz w:val="16"/>
                <w:szCs w:val="16"/>
              </w:rPr>
              <w:t xml:space="preserve">occurred </w:t>
            </w:r>
            <w:r w:rsidR="1153849B" w:rsidRPr="14428B20">
              <w:rPr>
                <w:rFonts w:ascii="Calibri" w:eastAsia="Times New Roman" w:hAnsi="Calibri" w:cs="Calibri"/>
                <w:sz w:val="16"/>
                <w:szCs w:val="16"/>
              </w:rPr>
              <w:t>at 12 AM on 2/17</w:t>
            </w:r>
          </w:p>
          <w:p w14:paraId="49CB2E38" w14:textId="22A10DA9" w:rsidR="008B472B" w:rsidRDefault="0CBDB69E" w:rsidP="00F76C53">
            <w:pPr>
              <w:keepNext/>
              <w:spacing w:after="0" w:line="240" w:lineRule="auto"/>
              <w:rPr>
                <w:rFonts w:ascii="Calibri" w:eastAsia="Times New Roman" w:hAnsi="Calibri" w:cs="Calibri"/>
                <w:kern w:val="0"/>
                <w:sz w:val="16"/>
                <w:szCs w:val="16"/>
                <w14:ligatures w14:val="none"/>
              </w:rPr>
            </w:pPr>
            <w:r w:rsidRPr="23A4FC9A">
              <w:rPr>
                <w:rFonts w:ascii="Calibri" w:eastAsia="Times New Roman" w:hAnsi="Calibri" w:cs="Calibri"/>
                <w:sz w:val="16"/>
                <w:szCs w:val="16"/>
              </w:rPr>
              <w:t xml:space="preserve">2. </w:t>
            </w:r>
            <w:r w:rsidR="613A8945" w:rsidRPr="23A4FC9A">
              <w:rPr>
                <w:rFonts w:ascii="Calibri" w:eastAsia="Times New Roman" w:hAnsi="Calibri" w:cs="Calibri"/>
                <w:sz w:val="16"/>
                <w:szCs w:val="16"/>
              </w:rPr>
              <w:t xml:space="preserve"> </w:t>
            </w:r>
            <w:r w:rsidR="60F1CF77" w:rsidRPr="23A4FC9A">
              <w:rPr>
                <w:rFonts w:ascii="Calibri" w:eastAsia="Times New Roman" w:hAnsi="Calibri" w:cs="Calibri"/>
                <w:sz w:val="16"/>
                <w:szCs w:val="16"/>
              </w:rPr>
              <w:t>For</w:t>
            </w:r>
            <w:r w:rsidR="6ECB31C7" w:rsidRPr="23A4FC9A">
              <w:rPr>
                <w:rFonts w:ascii="Calibri" w:eastAsia="Times New Roman" w:hAnsi="Calibri" w:cs="Calibri"/>
                <w:sz w:val="16"/>
                <w:szCs w:val="16"/>
              </w:rPr>
              <w:t xml:space="preserve"> </w:t>
            </w:r>
            <w:r w:rsidR="2774A09A" w:rsidRPr="23A4FC9A">
              <w:rPr>
                <w:rFonts w:ascii="Calibri" w:eastAsia="Times New Roman" w:hAnsi="Calibri" w:cs="Calibri"/>
                <w:sz w:val="16"/>
                <w:szCs w:val="16"/>
              </w:rPr>
              <w:t>8-</w:t>
            </w:r>
            <w:r w:rsidR="60F1CF77" w:rsidRPr="23A4FC9A">
              <w:rPr>
                <w:rFonts w:ascii="Calibri" w:eastAsia="Times New Roman" w:hAnsi="Calibri" w:cs="Calibri"/>
                <w:sz w:val="16"/>
                <w:szCs w:val="16"/>
              </w:rPr>
              <w:t>hour period of</w:t>
            </w:r>
            <w:r w:rsidR="7FB0AFDC" w:rsidRPr="23A4FC9A">
              <w:rPr>
                <w:rFonts w:ascii="Calibri" w:eastAsia="Times New Roman" w:hAnsi="Calibri" w:cs="Calibri"/>
                <w:sz w:val="16"/>
                <w:szCs w:val="16"/>
              </w:rPr>
              <w:t xml:space="preserve"> 3</w:t>
            </w:r>
            <w:r w:rsidR="6D91083F" w:rsidRPr="23A4FC9A">
              <w:rPr>
                <w:rFonts w:ascii="Calibri" w:eastAsia="Times New Roman" w:hAnsi="Calibri" w:cs="Calibri"/>
                <w:sz w:val="16"/>
                <w:szCs w:val="16"/>
              </w:rPr>
              <w:t xml:space="preserve"> </w:t>
            </w:r>
            <w:r w:rsidR="7FB0AFDC" w:rsidRPr="23A4FC9A">
              <w:rPr>
                <w:rFonts w:ascii="Calibri" w:eastAsia="Times New Roman" w:hAnsi="Calibri" w:cs="Calibri"/>
                <w:sz w:val="16"/>
                <w:szCs w:val="16"/>
              </w:rPr>
              <w:t>A</w:t>
            </w:r>
            <w:r w:rsidR="6D91083F" w:rsidRPr="23A4FC9A">
              <w:rPr>
                <w:rFonts w:ascii="Calibri" w:eastAsia="Times New Roman" w:hAnsi="Calibri" w:cs="Calibri"/>
                <w:sz w:val="16"/>
                <w:szCs w:val="16"/>
              </w:rPr>
              <w:t>M</w:t>
            </w:r>
            <w:r w:rsidR="7E14E69A" w:rsidRPr="23A4FC9A">
              <w:rPr>
                <w:rFonts w:ascii="Calibri" w:eastAsia="Times New Roman" w:hAnsi="Calibri" w:cs="Calibri"/>
                <w:sz w:val="16"/>
                <w:szCs w:val="16"/>
              </w:rPr>
              <w:t xml:space="preserve"> to </w:t>
            </w:r>
            <w:r w:rsidR="7FB0AFDC" w:rsidRPr="23A4FC9A">
              <w:rPr>
                <w:rFonts w:ascii="Calibri" w:eastAsia="Times New Roman" w:hAnsi="Calibri" w:cs="Calibri"/>
                <w:sz w:val="16"/>
                <w:szCs w:val="16"/>
              </w:rPr>
              <w:t>11</w:t>
            </w:r>
            <w:r w:rsidR="297FD94F" w:rsidRPr="23A4FC9A">
              <w:rPr>
                <w:rFonts w:ascii="Calibri" w:eastAsia="Times New Roman" w:hAnsi="Calibri" w:cs="Calibri"/>
                <w:sz w:val="16"/>
                <w:szCs w:val="16"/>
              </w:rPr>
              <w:t xml:space="preserve"> AM </w:t>
            </w:r>
            <w:r w:rsidR="055EC5EF" w:rsidRPr="23A4FC9A">
              <w:rPr>
                <w:rFonts w:ascii="Calibri" w:eastAsia="Times New Roman" w:hAnsi="Calibri" w:cs="Calibri"/>
                <w:sz w:val="16"/>
                <w:szCs w:val="16"/>
              </w:rPr>
              <w:t>on</w:t>
            </w:r>
            <w:r w:rsidR="23BFB032" w:rsidRPr="23A4FC9A">
              <w:rPr>
                <w:rFonts w:ascii="Calibri" w:eastAsia="Times New Roman" w:hAnsi="Calibri" w:cs="Calibri"/>
                <w:sz w:val="16"/>
                <w:szCs w:val="16"/>
              </w:rPr>
              <w:t xml:space="preserve"> 2/18</w:t>
            </w:r>
          </w:p>
        </w:tc>
      </w:tr>
      <w:tr w:rsidR="008B472B" w14:paraId="3B74F18B" w14:textId="77777777" w:rsidTr="23A4FC9A">
        <w:trPr>
          <w:trHeight w:val="281"/>
        </w:trPr>
        <w:tc>
          <w:tcPr>
            <w:tcW w:w="10136" w:type="dxa"/>
            <w:gridSpan w:val="5"/>
            <w:tcBorders>
              <w:top w:val="nil"/>
              <w:left w:val="single" w:sz="4" w:space="0" w:color="auto"/>
              <w:bottom w:val="nil"/>
              <w:right w:val="single" w:sz="4" w:space="0" w:color="auto"/>
            </w:tcBorders>
            <w:noWrap/>
            <w:vAlign w:val="center"/>
          </w:tcPr>
          <w:p w14:paraId="548989B6" w14:textId="401F8238" w:rsidR="008B472B" w:rsidRDefault="36A04850" w:rsidP="00F76C53">
            <w:pPr>
              <w:keepNext/>
              <w:spacing w:after="0" w:line="240" w:lineRule="auto"/>
              <w:rPr>
                <w:rFonts w:ascii="Calibri" w:eastAsia="Times New Roman" w:hAnsi="Calibri" w:cs="Calibri"/>
                <w:kern w:val="0"/>
                <w:sz w:val="16"/>
                <w:szCs w:val="16"/>
                <w14:ligatures w14:val="none"/>
              </w:rPr>
            </w:pPr>
            <w:r w:rsidRPr="23A4FC9A">
              <w:rPr>
                <w:rFonts w:ascii="Calibri" w:eastAsia="Times New Roman" w:hAnsi="Calibri" w:cs="Calibri"/>
                <w:sz w:val="16"/>
                <w:szCs w:val="16"/>
              </w:rPr>
              <w:t>3</w:t>
            </w:r>
            <w:r w:rsidR="033AAFA9" w:rsidRPr="23A4FC9A">
              <w:rPr>
                <w:rFonts w:ascii="Calibri" w:eastAsia="Times New Roman" w:hAnsi="Calibri" w:cs="Calibri"/>
                <w:sz w:val="16"/>
                <w:szCs w:val="16"/>
              </w:rPr>
              <w:t xml:space="preserve">. </w:t>
            </w:r>
            <w:r w:rsidR="272E999E" w:rsidRPr="23A4FC9A">
              <w:rPr>
                <w:rFonts w:ascii="Calibri" w:eastAsia="Times New Roman" w:hAnsi="Calibri" w:cs="Calibri"/>
                <w:sz w:val="16"/>
                <w:szCs w:val="16"/>
              </w:rPr>
              <w:t>For 24-</w:t>
            </w:r>
            <w:r w:rsidR="1E7B1C59" w:rsidRPr="23A4FC9A">
              <w:rPr>
                <w:rFonts w:ascii="Calibri" w:eastAsia="Times New Roman" w:hAnsi="Calibri" w:cs="Calibri"/>
                <w:sz w:val="16"/>
                <w:szCs w:val="16"/>
              </w:rPr>
              <w:t xml:space="preserve">hour period of </w:t>
            </w:r>
            <w:r w:rsidR="57A0054A" w:rsidRPr="23A4FC9A">
              <w:rPr>
                <w:rFonts w:ascii="Calibri" w:eastAsia="Times New Roman" w:hAnsi="Calibri" w:cs="Calibri"/>
                <w:sz w:val="16"/>
                <w:szCs w:val="16"/>
              </w:rPr>
              <w:t>10 PM</w:t>
            </w:r>
            <w:r w:rsidR="1E7B1C59" w:rsidRPr="23A4FC9A">
              <w:rPr>
                <w:rFonts w:ascii="Calibri" w:eastAsia="Times New Roman" w:hAnsi="Calibri" w:cs="Calibri"/>
                <w:sz w:val="16"/>
                <w:szCs w:val="16"/>
              </w:rPr>
              <w:t xml:space="preserve"> on 2/16 to</w:t>
            </w:r>
            <w:r w:rsidR="5E817B05" w:rsidRPr="23A4FC9A">
              <w:rPr>
                <w:rFonts w:ascii="Calibri" w:eastAsia="Times New Roman" w:hAnsi="Calibri" w:cs="Calibri"/>
                <w:sz w:val="16"/>
                <w:szCs w:val="16"/>
              </w:rPr>
              <w:t xml:space="preserve"> </w:t>
            </w:r>
            <w:r w:rsidR="1F378018" w:rsidRPr="23A4FC9A">
              <w:rPr>
                <w:rFonts w:ascii="Calibri" w:eastAsia="Times New Roman" w:hAnsi="Calibri" w:cs="Calibri"/>
                <w:sz w:val="16"/>
                <w:szCs w:val="16"/>
              </w:rPr>
              <w:t>10 PM</w:t>
            </w:r>
            <w:r w:rsidR="1E7B1C59" w:rsidRPr="23A4FC9A">
              <w:rPr>
                <w:rFonts w:ascii="Calibri" w:eastAsia="Times New Roman" w:hAnsi="Calibri" w:cs="Calibri"/>
                <w:sz w:val="16"/>
                <w:szCs w:val="16"/>
              </w:rPr>
              <w:t xml:space="preserve"> on 2/1</w:t>
            </w:r>
            <w:r w:rsidR="5BE5B915" w:rsidRPr="23A4FC9A">
              <w:rPr>
                <w:rFonts w:ascii="Calibri" w:eastAsia="Times New Roman" w:hAnsi="Calibri" w:cs="Calibri"/>
                <w:sz w:val="16"/>
                <w:szCs w:val="16"/>
              </w:rPr>
              <w:t>7</w:t>
            </w:r>
          </w:p>
        </w:tc>
      </w:tr>
      <w:tr w:rsidR="00AA3A96" w14:paraId="15918787" w14:textId="77777777" w:rsidTr="23A4FC9A">
        <w:trPr>
          <w:trHeight w:val="281"/>
        </w:trPr>
        <w:tc>
          <w:tcPr>
            <w:tcW w:w="10136" w:type="dxa"/>
            <w:gridSpan w:val="5"/>
            <w:tcBorders>
              <w:top w:val="nil"/>
              <w:left w:val="single" w:sz="4" w:space="0" w:color="auto"/>
              <w:bottom w:val="nil"/>
              <w:right w:val="single" w:sz="4" w:space="0" w:color="auto"/>
            </w:tcBorders>
            <w:noWrap/>
            <w:vAlign w:val="center"/>
          </w:tcPr>
          <w:p w14:paraId="52A4FAA8" w14:textId="75C25797" w:rsidR="00192CA3" w:rsidRDefault="557E8E17" w:rsidP="004736FF">
            <w:pPr>
              <w:keepNext/>
              <w:spacing w:after="0" w:line="240" w:lineRule="auto"/>
              <w:rPr>
                <w:rFonts w:ascii="Calibri" w:eastAsia="Times New Roman" w:hAnsi="Calibri" w:cs="Calibri"/>
                <w:kern w:val="0"/>
                <w:sz w:val="16"/>
                <w:szCs w:val="16"/>
                <w14:ligatures w14:val="none"/>
              </w:rPr>
            </w:pPr>
            <w:r w:rsidRPr="14428B20">
              <w:rPr>
                <w:rFonts w:ascii="Calibri" w:eastAsia="Times New Roman" w:hAnsi="Calibri" w:cs="Calibri"/>
                <w:sz w:val="16"/>
                <w:szCs w:val="16"/>
              </w:rPr>
              <w:t>4</w:t>
            </w:r>
            <w:r w:rsidR="3889F8D8" w:rsidRPr="14428B20">
              <w:rPr>
                <w:rFonts w:ascii="Calibri" w:eastAsia="Times New Roman" w:hAnsi="Calibri" w:cs="Calibri"/>
                <w:sz w:val="16"/>
                <w:szCs w:val="16"/>
              </w:rPr>
              <w:t xml:space="preserve">. converted from </w:t>
            </w:r>
            <w:r w:rsidR="2774A09A">
              <w:rPr>
                <w:rFonts w:ascii="Calibri" w:eastAsia="Times New Roman" w:hAnsi="Calibri" w:cs="Calibri"/>
                <w:sz w:val="16"/>
                <w:szCs w:val="16"/>
              </w:rPr>
              <w:t>µ</w:t>
            </w:r>
            <w:r w:rsidR="2774A09A" w:rsidRPr="14428B20">
              <w:rPr>
                <w:rFonts w:ascii="Calibri" w:eastAsia="Times New Roman" w:hAnsi="Calibri" w:cs="Calibri"/>
                <w:sz w:val="16"/>
                <w:szCs w:val="16"/>
              </w:rPr>
              <w:t>g</w:t>
            </w:r>
            <w:r w:rsidR="3889F8D8" w:rsidRPr="14428B20">
              <w:rPr>
                <w:rFonts w:ascii="Calibri" w:eastAsia="Times New Roman" w:hAnsi="Calibri" w:cs="Calibri"/>
                <w:sz w:val="16"/>
                <w:szCs w:val="16"/>
              </w:rPr>
              <w:t>/m</w:t>
            </w:r>
            <w:r w:rsidR="3889F8D8" w:rsidRPr="14428B20">
              <w:rPr>
                <w:rFonts w:ascii="Calibri" w:eastAsia="Times New Roman" w:hAnsi="Calibri" w:cs="Calibri"/>
                <w:sz w:val="16"/>
                <w:szCs w:val="16"/>
                <w:vertAlign w:val="superscript"/>
              </w:rPr>
              <w:t>3</w:t>
            </w:r>
            <w:r w:rsidR="3889F8D8" w:rsidRPr="14428B20">
              <w:rPr>
                <w:rFonts w:ascii="Calibri" w:eastAsia="Times New Roman" w:hAnsi="Calibri" w:cs="Calibri"/>
                <w:sz w:val="16"/>
                <w:szCs w:val="16"/>
              </w:rPr>
              <w:t xml:space="preserve"> to ppb [ppb</w:t>
            </w:r>
            <w:r w:rsidR="44E99F22">
              <w:rPr>
                <w:rFonts w:ascii="Calibri" w:eastAsia="Times New Roman" w:hAnsi="Calibri" w:cs="Calibri"/>
                <w:sz w:val="16"/>
                <w:szCs w:val="16"/>
              </w:rPr>
              <w:t xml:space="preserve"> </w:t>
            </w:r>
            <w:r w:rsidR="3889F8D8" w:rsidRPr="14428B20">
              <w:rPr>
                <w:rFonts w:ascii="Calibri" w:eastAsia="Times New Roman" w:hAnsi="Calibri" w:cs="Calibri"/>
                <w:sz w:val="16"/>
                <w:szCs w:val="16"/>
              </w:rPr>
              <w:t>=</w:t>
            </w:r>
            <w:r w:rsidR="3A6519B2">
              <w:rPr>
                <w:rFonts w:ascii="Calibri" w:eastAsia="Times New Roman" w:hAnsi="Calibri" w:cs="Calibri"/>
                <w:sz w:val="16"/>
                <w:szCs w:val="16"/>
              </w:rPr>
              <w:t xml:space="preserve"> </w:t>
            </w:r>
            <w:r w:rsidR="3889F8D8" w:rsidRPr="14428B20">
              <w:rPr>
                <w:rFonts w:ascii="Calibri" w:eastAsia="Times New Roman" w:hAnsi="Calibri" w:cs="Calibri"/>
                <w:sz w:val="16"/>
                <w:szCs w:val="16"/>
              </w:rPr>
              <w:t xml:space="preserve">(concentration in </w:t>
            </w:r>
            <w:r w:rsidR="6D6114FA">
              <w:rPr>
                <w:rFonts w:ascii="Calibri" w:eastAsia="Times New Roman" w:hAnsi="Calibri" w:cs="Calibri"/>
                <w:sz w:val="16"/>
                <w:szCs w:val="16"/>
              </w:rPr>
              <w:t>µ</w:t>
            </w:r>
            <w:r w:rsidR="6D6114FA" w:rsidRPr="14428B20">
              <w:rPr>
                <w:rFonts w:ascii="Calibri" w:eastAsia="Times New Roman" w:hAnsi="Calibri" w:cs="Calibri"/>
                <w:sz w:val="16"/>
                <w:szCs w:val="16"/>
              </w:rPr>
              <w:t>g</w:t>
            </w:r>
            <w:r w:rsidR="3889F8D8" w:rsidRPr="14428B20">
              <w:rPr>
                <w:rFonts w:ascii="Calibri" w:eastAsia="Times New Roman" w:hAnsi="Calibri" w:cs="Calibri"/>
                <w:sz w:val="16"/>
                <w:szCs w:val="16"/>
              </w:rPr>
              <w:t>/m</w:t>
            </w:r>
            <w:r w:rsidR="3889F8D8" w:rsidRPr="14428B20">
              <w:rPr>
                <w:rFonts w:ascii="Calibri" w:eastAsia="Times New Roman" w:hAnsi="Calibri" w:cs="Calibri"/>
                <w:sz w:val="16"/>
                <w:szCs w:val="16"/>
                <w:vertAlign w:val="superscript"/>
              </w:rPr>
              <w:t>3</w:t>
            </w:r>
            <w:r w:rsidR="3889F8D8" w:rsidRPr="14428B20">
              <w:rPr>
                <w:rFonts w:ascii="Calibri" w:eastAsia="Times New Roman" w:hAnsi="Calibri" w:cs="Calibri"/>
                <w:sz w:val="16"/>
                <w:szCs w:val="16"/>
              </w:rPr>
              <w:t xml:space="preserve"> x 24.4)/contaminant molecular weight in grams/mole].</w:t>
            </w:r>
            <w:r w:rsidR="2936D54F">
              <w:rPr>
                <w:rFonts w:ascii="Calibri" w:eastAsia="Times New Roman" w:hAnsi="Calibri" w:cs="Calibri"/>
                <w:kern w:val="0"/>
                <w:sz w:val="16"/>
                <w:szCs w:val="16"/>
                <w14:ligatures w14:val="none"/>
              </w:rPr>
              <w:t xml:space="preserve"> </w:t>
            </w:r>
          </w:p>
          <w:p w14:paraId="7A331AA1" w14:textId="2869B809" w:rsidR="00AA3A96" w:rsidRPr="002E0757" w:rsidRDefault="004736FF" w:rsidP="00F76C53">
            <w:pPr>
              <w:keepNext/>
              <w:spacing w:after="0" w:line="240" w:lineRule="auto"/>
              <w:rPr>
                <w:rFonts w:ascii="Calibri" w:eastAsia="Times New Roman" w:hAnsi="Calibri" w:cs="Calibri"/>
                <w:kern w:val="0"/>
                <w:sz w:val="16"/>
                <w:szCs w:val="16"/>
                <w14:ligatures w14:val="none"/>
              </w:rPr>
            </w:pPr>
            <w:r>
              <w:rPr>
                <w:rFonts w:ascii="Calibri" w:eastAsia="Times New Roman" w:hAnsi="Calibri" w:cs="Calibri"/>
                <w:kern w:val="0"/>
                <w:sz w:val="16"/>
                <w:szCs w:val="16"/>
                <w14:ligatures w14:val="none"/>
              </w:rPr>
              <w:t xml:space="preserve"> molecular weights: ozone = 48 grams/mole, nitrogen dioxide = 46.0055 grams/mole</w:t>
            </w:r>
          </w:p>
        </w:tc>
      </w:tr>
      <w:tr w:rsidR="009C7DFA" w14:paraId="714CE6A9" w14:textId="77777777" w:rsidTr="23A4FC9A">
        <w:trPr>
          <w:trHeight w:val="281"/>
        </w:trPr>
        <w:tc>
          <w:tcPr>
            <w:tcW w:w="10136" w:type="dxa"/>
            <w:gridSpan w:val="5"/>
            <w:tcBorders>
              <w:top w:val="nil"/>
              <w:left w:val="single" w:sz="4" w:space="0" w:color="auto"/>
              <w:right w:val="single" w:sz="4" w:space="0" w:color="auto"/>
            </w:tcBorders>
            <w:noWrap/>
            <w:vAlign w:val="center"/>
            <w:hideMark/>
          </w:tcPr>
          <w:p w14:paraId="77FAF318" w14:textId="463D2432" w:rsidR="009C7DFA" w:rsidRDefault="00BF5ECF" w:rsidP="00F76C53">
            <w:pPr>
              <w:keepNext/>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16"/>
                <w:szCs w:val="16"/>
                <w14:ligatures w14:val="none"/>
              </w:rPr>
              <w:t>5</w:t>
            </w:r>
            <w:r w:rsidR="009C7DFA">
              <w:rPr>
                <w:rFonts w:ascii="Calibri" w:eastAsia="Times New Roman" w:hAnsi="Calibri" w:cs="Calibri"/>
                <w:color w:val="000000"/>
                <w:kern w:val="0"/>
                <w:sz w:val="16"/>
                <w:szCs w:val="16"/>
                <w14:ligatures w14:val="none"/>
              </w:rPr>
              <w:t>. WHO AQG of 50.9 ppb for Ozone is lower than the NAAQS value of 70 ppb for the same averaging time (8 hours)</w:t>
            </w:r>
          </w:p>
        </w:tc>
      </w:tr>
      <w:tr w:rsidR="009C7DFA" w14:paraId="7E59B346" w14:textId="77777777" w:rsidTr="23A4FC9A">
        <w:trPr>
          <w:trHeight w:val="281"/>
        </w:trPr>
        <w:tc>
          <w:tcPr>
            <w:tcW w:w="10136" w:type="dxa"/>
            <w:gridSpan w:val="5"/>
            <w:tcBorders>
              <w:top w:val="nil"/>
              <w:left w:val="single" w:sz="4" w:space="0" w:color="auto"/>
              <w:bottom w:val="single" w:sz="4" w:space="0" w:color="auto"/>
              <w:right w:val="single" w:sz="4" w:space="0" w:color="auto"/>
            </w:tcBorders>
            <w:noWrap/>
            <w:vAlign w:val="center"/>
            <w:hideMark/>
          </w:tcPr>
          <w:p w14:paraId="2E39E6D8" w14:textId="0DC0869D" w:rsidR="009C7DFA" w:rsidRDefault="00445B49" w:rsidP="00F76C53">
            <w:pPr>
              <w:keepNext/>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16"/>
                <w:szCs w:val="16"/>
                <w14:ligatures w14:val="none"/>
              </w:rPr>
              <w:t>6</w:t>
            </w:r>
            <w:r w:rsidR="009C7DFA">
              <w:rPr>
                <w:rFonts w:ascii="Calibri" w:eastAsia="Times New Roman" w:hAnsi="Calibri" w:cs="Calibri"/>
                <w:color w:val="000000"/>
                <w:kern w:val="0"/>
                <w:sz w:val="16"/>
                <w:szCs w:val="16"/>
                <w14:ligatures w14:val="none"/>
              </w:rPr>
              <w:t>. NAAQS of 100 ppb for nitrogen dioxide is lower than the CA OEHHA REL of 250 ppb for the same averaging time (1 hour)</w:t>
            </w:r>
          </w:p>
        </w:tc>
      </w:tr>
    </w:tbl>
    <w:p w14:paraId="4072406B" w14:textId="77777777" w:rsidR="009C7DFA" w:rsidRDefault="009C7DFA" w:rsidP="009C7DFA">
      <w:pPr>
        <w:keepNext/>
        <w:rPr>
          <w:b/>
          <w:bCs/>
          <w:u w:val="single"/>
        </w:rPr>
      </w:pPr>
    </w:p>
    <w:p w14:paraId="0F69A46D" w14:textId="05FA3854" w:rsidR="009A3EAB" w:rsidRPr="00E8215E" w:rsidRDefault="009A3EAB" w:rsidP="009E7271">
      <w:pPr>
        <w:pStyle w:val="Heading2"/>
        <w:spacing w:after="0" w:line="240" w:lineRule="auto"/>
      </w:pPr>
      <w:r>
        <w:t>4.4</w:t>
      </w:r>
      <w:r>
        <w:tab/>
      </w:r>
      <w:r w:rsidRPr="00E8215E">
        <w:t>Data limitations</w:t>
      </w:r>
    </w:p>
    <w:p w14:paraId="62D5992D" w14:textId="77777777" w:rsidR="009A3EAB" w:rsidRDefault="009A3EAB" w:rsidP="00983A39">
      <w:pPr>
        <w:keepNext/>
        <w:spacing w:after="0" w:line="240" w:lineRule="auto"/>
        <w:jc w:val="both"/>
        <w:rPr>
          <w:sz w:val="24"/>
          <w:szCs w:val="24"/>
        </w:rPr>
      </w:pPr>
      <w:r w:rsidRPr="00496006">
        <w:rPr>
          <w:sz w:val="24"/>
          <w:szCs w:val="24"/>
        </w:rPr>
        <w:t xml:space="preserve">The available air data for this health consultation have limitations, including the accuracy of the </w:t>
      </w:r>
      <w:proofErr w:type="spellStart"/>
      <w:r w:rsidRPr="00496006">
        <w:rPr>
          <w:sz w:val="24"/>
          <w:szCs w:val="24"/>
        </w:rPr>
        <w:t>PurpleAir</w:t>
      </w:r>
      <w:proofErr w:type="spellEnd"/>
      <w:r w:rsidRPr="00496006">
        <w:rPr>
          <w:sz w:val="24"/>
          <w:szCs w:val="24"/>
        </w:rPr>
        <w:t xml:space="preserve"> sensors, and the lack of peak VOC concentrations.</w:t>
      </w:r>
    </w:p>
    <w:p w14:paraId="142F347A" w14:textId="77777777" w:rsidR="00D37BD4" w:rsidRPr="00496006" w:rsidRDefault="00D37BD4" w:rsidP="00983A39">
      <w:pPr>
        <w:keepNext/>
        <w:spacing w:after="0" w:line="240" w:lineRule="auto"/>
        <w:jc w:val="both"/>
        <w:rPr>
          <w:sz w:val="24"/>
          <w:szCs w:val="24"/>
        </w:rPr>
      </w:pPr>
    </w:p>
    <w:p w14:paraId="37623A4D" w14:textId="314C1928" w:rsidR="009A3EAB" w:rsidRDefault="4B109390" w:rsidP="00983A39">
      <w:pPr>
        <w:keepNext/>
        <w:spacing w:after="0" w:line="240" w:lineRule="auto"/>
        <w:jc w:val="both"/>
        <w:rPr>
          <w:sz w:val="24"/>
          <w:szCs w:val="24"/>
        </w:rPr>
      </w:pPr>
      <w:r w:rsidRPr="23A4FC9A">
        <w:rPr>
          <w:sz w:val="24"/>
          <w:szCs w:val="24"/>
        </w:rPr>
        <w:t xml:space="preserve">According to the EPA and the Air Quality Sensor Performance Evaluation Center, </w:t>
      </w:r>
      <w:proofErr w:type="spellStart"/>
      <w:r w:rsidRPr="23A4FC9A">
        <w:rPr>
          <w:sz w:val="24"/>
          <w:szCs w:val="24"/>
        </w:rPr>
        <w:t>PurpleAir</w:t>
      </w:r>
      <w:proofErr w:type="spellEnd"/>
      <w:r w:rsidRPr="23A4FC9A">
        <w:rPr>
          <w:sz w:val="24"/>
          <w:szCs w:val="24"/>
        </w:rPr>
        <w:t xml:space="preserve"> sensors have moderate to good accuracy while monitoring stations such as MassDEP’s T640 </w:t>
      </w:r>
      <w:r w:rsidR="6D6114FA" w:rsidRPr="23A4FC9A">
        <w:rPr>
          <w:sz w:val="24"/>
          <w:szCs w:val="24"/>
        </w:rPr>
        <w:t>monitor</w:t>
      </w:r>
      <w:r w:rsidRPr="23A4FC9A">
        <w:rPr>
          <w:sz w:val="24"/>
          <w:szCs w:val="24"/>
        </w:rPr>
        <w:t xml:space="preserve">, which is a laboratory-grade air monitor, has greater precision and accuracy than </w:t>
      </w:r>
      <w:proofErr w:type="spellStart"/>
      <w:r w:rsidRPr="23A4FC9A">
        <w:rPr>
          <w:sz w:val="24"/>
          <w:szCs w:val="24"/>
        </w:rPr>
        <w:t>PurpleAir</w:t>
      </w:r>
      <w:proofErr w:type="spellEnd"/>
      <w:r w:rsidRPr="23A4FC9A">
        <w:rPr>
          <w:sz w:val="24"/>
          <w:szCs w:val="24"/>
        </w:rPr>
        <w:t xml:space="preserve"> sensors (AQSPEC, </w:t>
      </w:r>
      <w:r w:rsidR="1F3F153A" w:rsidRPr="23A4FC9A">
        <w:rPr>
          <w:sz w:val="24"/>
          <w:szCs w:val="24"/>
        </w:rPr>
        <w:t>2023</w:t>
      </w:r>
      <w:r w:rsidRPr="23A4FC9A">
        <w:rPr>
          <w:sz w:val="24"/>
          <w:szCs w:val="24"/>
        </w:rPr>
        <w:t xml:space="preserve">). </w:t>
      </w:r>
      <w:proofErr w:type="spellStart"/>
      <w:r w:rsidRPr="23A4FC9A">
        <w:rPr>
          <w:sz w:val="24"/>
          <w:szCs w:val="24"/>
        </w:rPr>
        <w:t>PurpleAir</w:t>
      </w:r>
      <w:proofErr w:type="spellEnd"/>
      <w:r w:rsidRPr="23A4FC9A">
        <w:rPr>
          <w:sz w:val="24"/>
          <w:szCs w:val="24"/>
        </w:rPr>
        <w:t xml:space="preserve"> sensor data are most valuable for assessing changes in air quality by comparing environmental data to other </w:t>
      </w:r>
      <w:proofErr w:type="spellStart"/>
      <w:r w:rsidRPr="23A4FC9A">
        <w:rPr>
          <w:sz w:val="24"/>
          <w:szCs w:val="24"/>
        </w:rPr>
        <w:t>PurpleAir</w:t>
      </w:r>
      <w:proofErr w:type="spellEnd"/>
      <w:r w:rsidRPr="23A4FC9A">
        <w:rPr>
          <w:sz w:val="24"/>
          <w:szCs w:val="24"/>
        </w:rPr>
        <w:t xml:space="preserve"> sensors. However, these sensors’ exact values for pollutants are not considered to be as accurate and precise as stationary monitors (US EPA, 2022b) and generally overestimate PM</w:t>
      </w:r>
      <w:r w:rsidRPr="23A4FC9A">
        <w:rPr>
          <w:sz w:val="24"/>
          <w:szCs w:val="24"/>
          <w:vertAlign w:val="subscript"/>
        </w:rPr>
        <w:t xml:space="preserve">2.5 </w:t>
      </w:r>
      <w:r w:rsidRPr="23A4FC9A">
        <w:rPr>
          <w:sz w:val="24"/>
          <w:szCs w:val="24"/>
        </w:rPr>
        <w:t>concentrations (</w:t>
      </w:r>
      <w:proofErr w:type="spellStart"/>
      <w:r w:rsidRPr="23A4FC9A">
        <w:rPr>
          <w:sz w:val="24"/>
          <w:szCs w:val="24"/>
        </w:rPr>
        <w:t>Barkjohn</w:t>
      </w:r>
      <w:proofErr w:type="spellEnd"/>
      <w:r w:rsidRPr="23A4FC9A">
        <w:rPr>
          <w:sz w:val="24"/>
          <w:szCs w:val="24"/>
        </w:rPr>
        <w:t xml:space="preserve"> et al., 2022)</w:t>
      </w:r>
      <w:r w:rsidR="149AAD80" w:rsidRPr="23A4FC9A">
        <w:rPr>
          <w:sz w:val="24"/>
          <w:szCs w:val="24"/>
        </w:rPr>
        <w:t>.</w:t>
      </w:r>
      <w:r w:rsidRPr="23A4FC9A">
        <w:rPr>
          <w:sz w:val="24"/>
          <w:szCs w:val="24"/>
        </w:rPr>
        <w:t xml:space="preserve"> This was observed in the data from the </w:t>
      </w:r>
      <w:r w:rsidR="6D6114FA" w:rsidRPr="23A4FC9A">
        <w:rPr>
          <w:sz w:val="24"/>
          <w:szCs w:val="24"/>
        </w:rPr>
        <w:t>Mass</w:t>
      </w:r>
      <w:r w:rsidRPr="23A4FC9A">
        <w:rPr>
          <w:sz w:val="24"/>
          <w:szCs w:val="24"/>
        </w:rPr>
        <w:t xml:space="preserve">DEP station, where there is both a </w:t>
      </w:r>
      <w:proofErr w:type="spellStart"/>
      <w:r w:rsidRPr="23A4FC9A">
        <w:rPr>
          <w:sz w:val="24"/>
          <w:szCs w:val="24"/>
        </w:rPr>
        <w:t>PurpleAir</w:t>
      </w:r>
      <w:proofErr w:type="spellEnd"/>
      <w:r w:rsidRPr="23A4FC9A">
        <w:rPr>
          <w:sz w:val="24"/>
          <w:szCs w:val="24"/>
        </w:rPr>
        <w:t xml:space="preserve"> sensor and the laboratory grade monitor. For all PM</w:t>
      </w:r>
      <w:r w:rsidRPr="23A4FC9A">
        <w:rPr>
          <w:sz w:val="24"/>
          <w:szCs w:val="24"/>
          <w:vertAlign w:val="subscript"/>
        </w:rPr>
        <w:t xml:space="preserve">2.5 </w:t>
      </w:r>
      <w:r w:rsidRPr="23A4FC9A">
        <w:rPr>
          <w:sz w:val="24"/>
          <w:szCs w:val="24"/>
        </w:rPr>
        <w:t xml:space="preserve">data collected at the same time at the </w:t>
      </w:r>
      <w:r w:rsidR="6D6114FA" w:rsidRPr="23A4FC9A">
        <w:rPr>
          <w:sz w:val="24"/>
          <w:szCs w:val="24"/>
        </w:rPr>
        <w:t>Mass</w:t>
      </w:r>
      <w:r w:rsidRPr="23A4FC9A">
        <w:rPr>
          <w:sz w:val="24"/>
          <w:szCs w:val="24"/>
        </w:rPr>
        <w:t xml:space="preserve">DEP location, the </w:t>
      </w:r>
      <w:proofErr w:type="spellStart"/>
      <w:r w:rsidRPr="23A4FC9A">
        <w:rPr>
          <w:sz w:val="24"/>
          <w:szCs w:val="24"/>
        </w:rPr>
        <w:t>PurpleAir</w:t>
      </w:r>
      <w:proofErr w:type="spellEnd"/>
      <w:r w:rsidRPr="23A4FC9A">
        <w:rPr>
          <w:sz w:val="24"/>
          <w:szCs w:val="24"/>
        </w:rPr>
        <w:t xml:space="preserve"> sensor data were greater than the data from the MassDEP’s stationary monitor. Given this limitation, the data collected from the </w:t>
      </w:r>
      <w:proofErr w:type="spellStart"/>
      <w:r w:rsidRPr="23A4FC9A">
        <w:rPr>
          <w:sz w:val="24"/>
          <w:szCs w:val="24"/>
        </w:rPr>
        <w:t>PurpleAir</w:t>
      </w:r>
      <w:proofErr w:type="spellEnd"/>
      <w:r w:rsidRPr="23A4FC9A">
        <w:rPr>
          <w:sz w:val="24"/>
          <w:szCs w:val="24"/>
        </w:rPr>
        <w:t xml:space="preserve"> sensors described in this health consultation most likely overestimated PM</w:t>
      </w:r>
      <w:r w:rsidRPr="23A4FC9A">
        <w:rPr>
          <w:sz w:val="24"/>
          <w:szCs w:val="24"/>
          <w:vertAlign w:val="subscript"/>
        </w:rPr>
        <w:t>2.5</w:t>
      </w:r>
      <w:r w:rsidRPr="23A4FC9A">
        <w:rPr>
          <w:sz w:val="24"/>
          <w:szCs w:val="24"/>
        </w:rPr>
        <w:t xml:space="preserve"> levels, and correspondingly the potential risks for experiencing health effects from inhalation of PM2.5 related to the fire. </w:t>
      </w:r>
    </w:p>
    <w:p w14:paraId="0E64584D" w14:textId="77777777" w:rsidR="00D37BD4" w:rsidRPr="00496006" w:rsidRDefault="00D37BD4" w:rsidP="00983A39">
      <w:pPr>
        <w:keepNext/>
        <w:spacing w:after="0" w:line="240" w:lineRule="auto"/>
        <w:jc w:val="both"/>
        <w:rPr>
          <w:sz w:val="24"/>
          <w:szCs w:val="24"/>
        </w:rPr>
      </w:pPr>
    </w:p>
    <w:p w14:paraId="4E63657A" w14:textId="6AF49A0E" w:rsidR="009A3EAB" w:rsidRPr="00496006" w:rsidRDefault="072B7066" w:rsidP="00D37BD4">
      <w:pPr>
        <w:keepNext/>
        <w:spacing w:after="240" w:line="240" w:lineRule="auto"/>
        <w:jc w:val="both"/>
        <w:rPr>
          <w:sz w:val="24"/>
          <w:szCs w:val="24"/>
        </w:rPr>
      </w:pPr>
      <w:r w:rsidRPr="0C7FB68C">
        <w:rPr>
          <w:sz w:val="24"/>
          <w:szCs w:val="24"/>
        </w:rPr>
        <w:t>Another data limitation is that the 24-hour average VOC concentrations measured at MassDEP’s stationary monitor might not have captured peak VOC concentrations potentially related to the Clean Harbors Fire. As shown in Table 3, SVs were at least nine times greater than the 24-hour average VOC concentrations, as indicated by the Margin of Exposure (which is</w:t>
      </w:r>
      <w:r w:rsidR="1F394DD9" w:rsidRPr="0C7FB68C">
        <w:rPr>
          <w:sz w:val="24"/>
          <w:szCs w:val="24"/>
        </w:rPr>
        <w:t xml:space="preserve"> a ratio of</w:t>
      </w:r>
      <w:r w:rsidRPr="0C7FB68C">
        <w:rPr>
          <w:sz w:val="24"/>
          <w:szCs w:val="24"/>
        </w:rPr>
        <w:t xml:space="preserve"> the SV divided by the VOC concentration). Thus, even if peak VOC concentrations were 9 times greater than the 24-hour average concentrations, they would still be less than or equal to health-protective SVs. </w:t>
      </w:r>
    </w:p>
    <w:p w14:paraId="7BD1FC19" w14:textId="2966C453" w:rsidR="0065055D" w:rsidRDefault="0065055D" w:rsidP="006C429C">
      <w:pPr>
        <w:pStyle w:val="Heading1"/>
      </w:pPr>
      <w:r>
        <w:t>EVALUATION OF EXPOSURE TO SOIL AND WATER</w:t>
      </w:r>
    </w:p>
    <w:p w14:paraId="0081725B" w14:textId="77777777" w:rsidR="00496006" w:rsidRDefault="00496006" w:rsidP="00D37BD4">
      <w:pPr>
        <w:spacing w:after="0" w:line="240" w:lineRule="auto"/>
        <w:rPr>
          <w:sz w:val="24"/>
          <w:szCs w:val="24"/>
        </w:rPr>
      </w:pPr>
    </w:p>
    <w:p w14:paraId="66866DF4" w14:textId="2C4BE20D" w:rsidR="00617DB5" w:rsidRPr="00496006" w:rsidRDefault="00EB78B7" w:rsidP="00983A39">
      <w:pPr>
        <w:keepNext/>
        <w:spacing w:after="0" w:line="240" w:lineRule="auto"/>
        <w:jc w:val="both"/>
        <w:rPr>
          <w:sz w:val="24"/>
          <w:szCs w:val="24"/>
        </w:rPr>
      </w:pPr>
      <w:r w:rsidRPr="0C7FB68C">
        <w:rPr>
          <w:sz w:val="24"/>
          <w:szCs w:val="24"/>
        </w:rPr>
        <w:t xml:space="preserve">There are no </w:t>
      </w:r>
      <w:r w:rsidR="0077654F" w:rsidRPr="0C7FB68C">
        <w:rPr>
          <w:sz w:val="24"/>
          <w:szCs w:val="24"/>
        </w:rPr>
        <w:t>environmental data</w:t>
      </w:r>
      <w:r w:rsidR="006B428C" w:rsidRPr="0C7FB68C">
        <w:rPr>
          <w:sz w:val="24"/>
          <w:szCs w:val="24"/>
        </w:rPr>
        <w:t xml:space="preserve"> for </w:t>
      </w:r>
      <w:r w:rsidR="00782803" w:rsidRPr="0C7FB68C">
        <w:rPr>
          <w:sz w:val="24"/>
          <w:szCs w:val="24"/>
        </w:rPr>
        <w:t xml:space="preserve">soil in residential yards, or for </w:t>
      </w:r>
      <w:r w:rsidR="006B428C" w:rsidRPr="0C7FB68C">
        <w:rPr>
          <w:sz w:val="24"/>
          <w:szCs w:val="24"/>
        </w:rPr>
        <w:t xml:space="preserve">surface water in the Fore </w:t>
      </w:r>
      <w:r w:rsidR="002100AA" w:rsidRPr="0C7FB68C">
        <w:rPr>
          <w:sz w:val="24"/>
          <w:szCs w:val="24"/>
        </w:rPr>
        <w:t xml:space="preserve">River, </w:t>
      </w:r>
      <w:r w:rsidR="00782803" w:rsidRPr="0C7FB68C">
        <w:rPr>
          <w:sz w:val="24"/>
          <w:szCs w:val="24"/>
        </w:rPr>
        <w:t>in the aftermath of the fire. As such MPDH/B</w:t>
      </w:r>
      <w:r w:rsidR="6B515C6F" w:rsidRPr="0C7FB68C">
        <w:rPr>
          <w:sz w:val="24"/>
          <w:szCs w:val="24"/>
        </w:rPr>
        <w:t>C</w:t>
      </w:r>
      <w:r w:rsidR="00782803" w:rsidRPr="0C7FB68C">
        <w:rPr>
          <w:sz w:val="24"/>
          <w:szCs w:val="24"/>
        </w:rPr>
        <w:t xml:space="preserve">EH did not quantitatively evaluate exposure to </w:t>
      </w:r>
      <w:r w:rsidR="00F2673B" w:rsidRPr="0C7FB68C">
        <w:rPr>
          <w:sz w:val="24"/>
          <w:szCs w:val="24"/>
        </w:rPr>
        <w:t xml:space="preserve">soil or surface water. </w:t>
      </w:r>
      <w:r w:rsidR="002B5077" w:rsidRPr="0C7FB68C">
        <w:rPr>
          <w:sz w:val="24"/>
          <w:szCs w:val="24"/>
        </w:rPr>
        <w:t>However, data f</w:t>
      </w:r>
      <w:r w:rsidR="00120533" w:rsidRPr="0C7FB68C">
        <w:rPr>
          <w:sz w:val="24"/>
          <w:szCs w:val="24"/>
        </w:rPr>
        <w:t xml:space="preserve">or soil and surface water collected at the Clean Harbors facility provides </w:t>
      </w:r>
      <w:r w:rsidR="00F379EC" w:rsidRPr="0C7FB68C">
        <w:rPr>
          <w:sz w:val="24"/>
          <w:szCs w:val="24"/>
        </w:rPr>
        <w:t>information to</w:t>
      </w:r>
      <w:r w:rsidR="000109B7" w:rsidRPr="0C7FB68C">
        <w:rPr>
          <w:sz w:val="24"/>
          <w:szCs w:val="24"/>
        </w:rPr>
        <w:t xml:space="preserve"> evaluate qualitatively</w:t>
      </w:r>
      <w:r w:rsidR="00955AEC" w:rsidRPr="0C7FB68C">
        <w:rPr>
          <w:sz w:val="24"/>
          <w:szCs w:val="24"/>
        </w:rPr>
        <w:t xml:space="preserve"> potential exposure to </w:t>
      </w:r>
      <w:r w:rsidR="003B4FA4" w:rsidRPr="0C7FB68C">
        <w:rPr>
          <w:sz w:val="24"/>
          <w:szCs w:val="24"/>
        </w:rPr>
        <w:t xml:space="preserve">fire-related contaminants </w:t>
      </w:r>
      <w:r w:rsidR="00DD3BA2" w:rsidRPr="0C7FB68C">
        <w:rPr>
          <w:sz w:val="24"/>
          <w:szCs w:val="24"/>
        </w:rPr>
        <w:t xml:space="preserve">in </w:t>
      </w:r>
      <w:r w:rsidR="000109B7" w:rsidRPr="0C7FB68C">
        <w:rPr>
          <w:sz w:val="24"/>
          <w:szCs w:val="24"/>
        </w:rPr>
        <w:t>residential soil and the Fore River.</w:t>
      </w:r>
    </w:p>
    <w:p w14:paraId="1EDBCEE6" w14:textId="77777777" w:rsidR="00617DB5" w:rsidRDefault="00617DB5" w:rsidP="00617DB5">
      <w:pPr>
        <w:keepNext/>
        <w:spacing w:after="0" w:line="240" w:lineRule="auto"/>
        <w:ind w:left="1440"/>
        <w:rPr>
          <w:b/>
          <w:bCs/>
        </w:rPr>
      </w:pPr>
    </w:p>
    <w:p w14:paraId="5C6A9F89" w14:textId="59DEC3DD" w:rsidR="00617DB5" w:rsidRDefault="00C07577" w:rsidP="009E7271">
      <w:pPr>
        <w:pStyle w:val="Heading2"/>
        <w:spacing w:after="0" w:line="240" w:lineRule="auto"/>
      </w:pPr>
      <w:r>
        <w:t>5.1</w:t>
      </w:r>
      <w:r>
        <w:tab/>
        <w:t>S</w:t>
      </w:r>
      <w:r w:rsidR="0099749E">
        <w:t>oil</w:t>
      </w:r>
    </w:p>
    <w:p w14:paraId="288478E7" w14:textId="11344EC7" w:rsidR="009904B6" w:rsidRPr="00496006" w:rsidRDefault="54A86019" w:rsidP="00D37BD4">
      <w:pPr>
        <w:keepNext/>
        <w:spacing w:after="240" w:line="240" w:lineRule="auto"/>
        <w:jc w:val="both"/>
        <w:rPr>
          <w:sz w:val="24"/>
          <w:szCs w:val="24"/>
        </w:rPr>
      </w:pPr>
      <w:r w:rsidRPr="0C7FB68C">
        <w:rPr>
          <w:sz w:val="24"/>
          <w:szCs w:val="24"/>
        </w:rPr>
        <w:t xml:space="preserve">To </w:t>
      </w:r>
      <w:r w:rsidR="5572835C" w:rsidRPr="0C7FB68C">
        <w:rPr>
          <w:sz w:val="24"/>
          <w:szCs w:val="24"/>
        </w:rPr>
        <w:t>assess potential impact</w:t>
      </w:r>
      <w:r w:rsidR="6D6114FA" w:rsidRPr="0C7FB68C">
        <w:rPr>
          <w:sz w:val="24"/>
          <w:szCs w:val="24"/>
        </w:rPr>
        <w:t>s</w:t>
      </w:r>
      <w:r w:rsidR="5572835C" w:rsidRPr="0C7FB68C">
        <w:rPr>
          <w:sz w:val="24"/>
          <w:szCs w:val="24"/>
        </w:rPr>
        <w:t xml:space="preserve"> of the fire on residential soil, </w:t>
      </w:r>
      <w:r w:rsidR="059DF6EA" w:rsidRPr="0C7FB68C">
        <w:rPr>
          <w:sz w:val="24"/>
          <w:szCs w:val="24"/>
        </w:rPr>
        <w:t>MDPH/B</w:t>
      </w:r>
      <w:r w:rsidR="43E0AB2B" w:rsidRPr="0C7FB68C">
        <w:rPr>
          <w:sz w:val="24"/>
          <w:szCs w:val="24"/>
        </w:rPr>
        <w:t>C</w:t>
      </w:r>
      <w:r w:rsidR="059DF6EA" w:rsidRPr="0C7FB68C">
        <w:rPr>
          <w:sz w:val="24"/>
          <w:szCs w:val="24"/>
        </w:rPr>
        <w:t xml:space="preserve">EH reviewed </w:t>
      </w:r>
      <w:r w:rsidR="7949C923" w:rsidRPr="0C7FB68C">
        <w:rPr>
          <w:sz w:val="24"/>
          <w:szCs w:val="24"/>
        </w:rPr>
        <w:t xml:space="preserve">results for soil samples collected </w:t>
      </w:r>
      <w:r w:rsidR="7ADEE855" w:rsidRPr="0C7FB68C">
        <w:rPr>
          <w:sz w:val="24"/>
          <w:szCs w:val="24"/>
        </w:rPr>
        <w:t xml:space="preserve">on 3/29/23 </w:t>
      </w:r>
      <w:r w:rsidR="7949C923" w:rsidRPr="0C7FB68C">
        <w:rPr>
          <w:sz w:val="24"/>
          <w:szCs w:val="24"/>
        </w:rPr>
        <w:t>by Tetra Tech</w:t>
      </w:r>
      <w:r w:rsidR="7ADEE855" w:rsidRPr="0C7FB68C">
        <w:rPr>
          <w:sz w:val="24"/>
          <w:szCs w:val="24"/>
        </w:rPr>
        <w:t>,</w:t>
      </w:r>
      <w:r w:rsidR="6224BABD" w:rsidRPr="0C7FB68C">
        <w:rPr>
          <w:sz w:val="24"/>
          <w:szCs w:val="24"/>
        </w:rPr>
        <w:t xml:space="preserve"> along the northeast </w:t>
      </w:r>
      <w:r w:rsidR="265D0585" w:rsidRPr="0C7FB68C">
        <w:rPr>
          <w:sz w:val="24"/>
          <w:szCs w:val="24"/>
        </w:rPr>
        <w:t xml:space="preserve">side of the Clean Harbors </w:t>
      </w:r>
      <w:r w:rsidR="7ADEE855" w:rsidRPr="0C7FB68C">
        <w:rPr>
          <w:sz w:val="24"/>
          <w:szCs w:val="24"/>
        </w:rPr>
        <w:t xml:space="preserve">facility, near the </w:t>
      </w:r>
      <w:r w:rsidR="1EE6C0B7" w:rsidRPr="0C7FB68C">
        <w:rPr>
          <w:sz w:val="24"/>
          <w:szCs w:val="24"/>
        </w:rPr>
        <w:t>border with the CITGO property</w:t>
      </w:r>
      <w:r w:rsidR="77F58338" w:rsidRPr="0C7FB68C">
        <w:rPr>
          <w:sz w:val="24"/>
          <w:szCs w:val="24"/>
        </w:rPr>
        <w:t>. This sampling includes</w:t>
      </w:r>
      <w:r w:rsidR="6A084042" w:rsidRPr="0C7FB68C">
        <w:rPr>
          <w:sz w:val="24"/>
          <w:szCs w:val="24"/>
        </w:rPr>
        <w:t xml:space="preserve">: four surface soil samples collected from areas </w:t>
      </w:r>
      <w:r w:rsidR="0A992996" w:rsidRPr="0C7FB68C">
        <w:rPr>
          <w:sz w:val="24"/>
          <w:szCs w:val="24"/>
        </w:rPr>
        <w:t>with visible evidence of soot</w:t>
      </w:r>
      <w:r w:rsidR="56EB6594" w:rsidRPr="0C7FB68C">
        <w:rPr>
          <w:sz w:val="24"/>
          <w:szCs w:val="24"/>
        </w:rPr>
        <w:t>; four soil samples collected from</w:t>
      </w:r>
      <w:r w:rsidR="742CF49B" w:rsidRPr="0C7FB68C">
        <w:rPr>
          <w:sz w:val="24"/>
          <w:szCs w:val="24"/>
        </w:rPr>
        <w:t xml:space="preserve"> the underlying soil after soot-impacted soil was removed</w:t>
      </w:r>
      <w:r w:rsidR="138A6A88" w:rsidRPr="0C7FB68C">
        <w:rPr>
          <w:sz w:val="24"/>
          <w:szCs w:val="24"/>
        </w:rPr>
        <w:t xml:space="preserve">; and two surface soil samples collected </w:t>
      </w:r>
      <w:r w:rsidR="1E3E399D" w:rsidRPr="0C7FB68C">
        <w:rPr>
          <w:sz w:val="24"/>
          <w:szCs w:val="24"/>
        </w:rPr>
        <w:t xml:space="preserve">from an area where there was no </w:t>
      </w:r>
      <w:r w:rsidR="6EA5803A" w:rsidRPr="0C7FB68C">
        <w:rPr>
          <w:sz w:val="24"/>
          <w:szCs w:val="24"/>
        </w:rPr>
        <w:t xml:space="preserve">visible </w:t>
      </w:r>
      <w:r w:rsidR="1E3E399D" w:rsidRPr="0C7FB68C">
        <w:rPr>
          <w:sz w:val="24"/>
          <w:szCs w:val="24"/>
        </w:rPr>
        <w:t>evidence of the fire (TTI, 2023).</w:t>
      </w:r>
      <w:r w:rsidR="7E3D8DCD" w:rsidRPr="0C7FB68C">
        <w:rPr>
          <w:sz w:val="24"/>
          <w:szCs w:val="24"/>
        </w:rPr>
        <w:t xml:space="preserve"> </w:t>
      </w:r>
    </w:p>
    <w:p w14:paraId="6A334DE6" w14:textId="50234FD3" w:rsidR="0041071C" w:rsidRPr="00496006" w:rsidRDefault="61C248CA" w:rsidP="0C7FB68C">
      <w:pPr>
        <w:keepNext/>
        <w:spacing w:after="240" w:line="240" w:lineRule="auto"/>
        <w:jc w:val="both"/>
        <w:rPr>
          <w:sz w:val="24"/>
          <w:szCs w:val="24"/>
        </w:rPr>
      </w:pPr>
      <w:r w:rsidRPr="00496006">
        <w:rPr>
          <w:sz w:val="24"/>
          <w:szCs w:val="24"/>
        </w:rPr>
        <w:t xml:space="preserve">Importantly, </w:t>
      </w:r>
      <w:r w:rsidR="00862A86" w:rsidRPr="00496006">
        <w:rPr>
          <w:sz w:val="24"/>
          <w:szCs w:val="24"/>
        </w:rPr>
        <w:t>except for</w:t>
      </w:r>
      <w:r w:rsidR="00B4EAB5" w:rsidRPr="00496006">
        <w:rPr>
          <w:sz w:val="24"/>
          <w:szCs w:val="24"/>
        </w:rPr>
        <w:t xml:space="preserve"> </w:t>
      </w:r>
      <w:r w:rsidR="095A0508" w:rsidRPr="00496006">
        <w:rPr>
          <w:sz w:val="24"/>
          <w:szCs w:val="24"/>
        </w:rPr>
        <w:t>certain petroleum-based chemicals, po</w:t>
      </w:r>
      <w:r w:rsidR="64141F90" w:rsidRPr="00496006">
        <w:rPr>
          <w:sz w:val="24"/>
          <w:szCs w:val="24"/>
        </w:rPr>
        <w:t xml:space="preserve">lychlorinated biphenyl compounds (PCBs) and </w:t>
      </w:r>
      <w:r w:rsidR="3B0A27E4" w:rsidRPr="00496006">
        <w:rPr>
          <w:sz w:val="24"/>
          <w:szCs w:val="24"/>
        </w:rPr>
        <w:t xml:space="preserve">dioxins/furans, </w:t>
      </w:r>
      <w:r w:rsidR="00B4EAB5" w:rsidRPr="00496006">
        <w:rPr>
          <w:sz w:val="24"/>
          <w:szCs w:val="24"/>
        </w:rPr>
        <w:t xml:space="preserve">concentrations of contaminants in </w:t>
      </w:r>
      <w:r w:rsidR="433118AC" w:rsidRPr="00496006">
        <w:rPr>
          <w:sz w:val="24"/>
          <w:szCs w:val="24"/>
        </w:rPr>
        <w:t xml:space="preserve">surface </w:t>
      </w:r>
      <w:r w:rsidR="00B4EAB5" w:rsidRPr="00496006">
        <w:rPr>
          <w:sz w:val="24"/>
          <w:szCs w:val="24"/>
        </w:rPr>
        <w:t xml:space="preserve">soil visibly impacted by soot were </w:t>
      </w:r>
      <w:r w:rsidR="7D7AA4A1" w:rsidRPr="00496006">
        <w:rPr>
          <w:sz w:val="24"/>
          <w:szCs w:val="24"/>
        </w:rPr>
        <w:t>less than MassDEP’s criteria for determining when soil represents a potential health hazard</w:t>
      </w:r>
      <w:r w:rsidR="320C0FF7" w:rsidRPr="00496006">
        <w:rPr>
          <w:sz w:val="24"/>
          <w:szCs w:val="24"/>
        </w:rPr>
        <w:t xml:space="preserve"> in residential yards</w:t>
      </w:r>
      <w:r w:rsidR="7D7AA4A1" w:rsidRPr="00496006">
        <w:rPr>
          <w:sz w:val="24"/>
          <w:szCs w:val="24"/>
        </w:rPr>
        <w:t>.</w:t>
      </w:r>
      <w:r w:rsidR="2797B0D8" w:rsidRPr="00771520">
        <w:rPr>
          <w:rStyle w:val="FootnoteReference"/>
          <w:sz w:val="24"/>
          <w:szCs w:val="24"/>
        </w:rPr>
        <w:t xml:space="preserve"> </w:t>
      </w:r>
      <w:r w:rsidR="00771520">
        <w:rPr>
          <w:rStyle w:val="FootnoteReference"/>
          <w:sz w:val="24"/>
          <w:szCs w:val="24"/>
        </w:rPr>
        <w:footnoteReference w:id="8"/>
      </w:r>
      <w:r w:rsidR="7D7AA4A1" w:rsidRPr="00496006">
        <w:rPr>
          <w:sz w:val="24"/>
          <w:szCs w:val="24"/>
        </w:rPr>
        <w:t xml:space="preserve"> </w:t>
      </w:r>
      <w:r w:rsidR="34BF2977" w:rsidRPr="00496006">
        <w:rPr>
          <w:sz w:val="24"/>
          <w:szCs w:val="24"/>
        </w:rPr>
        <w:t>Both PCB</w:t>
      </w:r>
      <w:r w:rsidR="47D4177B" w:rsidRPr="00496006">
        <w:rPr>
          <w:sz w:val="24"/>
          <w:szCs w:val="24"/>
        </w:rPr>
        <w:t xml:space="preserve">s and dioxins/furans were </w:t>
      </w:r>
      <w:r w:rsidR="433118AC" w:rsidRPr="00496006">
        <w:rPr>
          <w:sz w:val="24"/>
          <w:szCs w:val="24"/>
        </w:rPr>
        <w:t xml:space="preserve">also observed in </w:t>
      </w:r>
      <w:r w:rsidR="26D56F93" w:rsidRPr="00496006">
        <w:rPr>
          <w:sz w:val="24"/>
          <w:szCs w:val="24"/>
        </w:rPr>
        <w:t>the underlying soil</w:t>
      </w:r>
      <w:r w:rsidR="7390BA7C" w:rsidRPr="00496006">
        <w:rPr>
          <w:sz w:val="24"/>
          <w:szCs w:val="24"/>
        </w:rPr>
        <w:t xml:space="preserve"> at concentrations comparable to the surface soil</w:t>
      </w:r>
      <w:r w:rsidR="45945C78" w:rsidRPr="00496006">
        <w:rPr>
          <w:sz w:val="24"/>
          <w:szCs w:val="24"/>
        </w:rPr>
        <w:t xml:space="preserve">. Hence, these contaminants </w:t>
      </w:r>
      <w:r w:rsidR="5C640D09" w:rsidRPr="00496006">
        <w:rPr>
          <w:sz w:val="24"/>
          <w:szCs w:val="24"/>
        </w:rPr>
        <w:t xml:space="preserve">may have been present in the soil </w:t>
      </w:r>
      <w:r w:rsidR="60719AA2" w:rsidRPr="00496006">
        <w:rPr>
          <w:sz w:val="24"/>
          <w:szCs w:val="24"/>
        </w:rPr>
        <w:t xml:space="preserve">prior to the fire. </w:t>
      </w:r>
      <w:r w:rsidR="58F65ABF" w:rsidRPr="00496006">
        <w:rPr>
          <w:sz w:val="24"/>
          <w:szCs w:val="24"/>
        </w:rPr>
        <w:t>The petroleum-based chemicals</w:t>
      </w:r>
      <w:r w:rsidR="296C8681" w:rsidRPr="00496006">
        <w:rPr>
          <w:sz w:val="24"/>
          <w:szCs w:val="24"/>
        </w:rPr>
        <w:t xml:space="preserve"> may have originated from </w:t>
      </w:r>
      <w:r w:rsidR="540D55F2" w:rsidRPr="00496006">
        <w:rPr>
          <w:sz w:val="24"/>
          <w:szCs w:val="24"/>
        </w:rPr>
        <w:t xml:space="preserve">the </w:t>
      </w:r>
      <w:r w:rsidR="7FC0CF04" w:rsidRPr="00496006">
        <w:rPr>
          <w:sz w:val="24"/>
          <w:szCs w:val="24"/>
        </w:rPr>
        <w:t xml:space="preserve">trailers, and </w:t>
      </w:r>
      <w:r w:rsidR="2A75E70E" w:rsidRPr="00496006">
        <w:rPr>
          <w:sz w:val="24"/>
          <w:szCs w:val="24"/>
        </w:rPr>
        <w:t>then washed ov</w:t>
      </w:r>
      <w:r w:rsidR="3BC15FFA" w:rsidRPr="00496006">
        <w:rPr>
          <w:sz w:val="24"/>
          <w:szCs w:val="24"/>
        </w:rPr>
        <w:t>er</w:t>
      </w:r>
      <w:r w:rsidR="2115F4EB" w:rsidRPr="00496006">
        <w:rPr>
          <w:sz w:val="24"/>
          <w:szCs w:val="24"/>
        </w:rPr>
        <w:t xml:space="preserve"> </w:t>
      </w:r>
      <w:r w:rsidR="0F9F458A" w:rsidRPr="00496006">
        <w:rPr>
          <w:sz w:val="24"/>
          <w:szCs w:val="24"/>
        </w:rPr>
        <w:t>in</w:t>
      </w:r>
      <w:r w:rsidR="02D59D20" w:rsidRPr="00496006">
        <w:rPr>
          <w:sz w:val="24"/>
          <w:szCs w:val="24"/>
        </w:rPr>
        <w:t xml:space="preserve"> the firefighting water </w:t>
      </w:r>
      <w:r w:rsidR="2115F4EB" w:rsidRPr="00496006">
        <w:rPr>
          <w:sz w:val="24"/>
          <w:szCs w:val="24"/>
        </w:rPr>
        <w:t xml:space="preserve">to </w:t>
      </w:r>
      <w:r w:rsidR="00D19419" w:rsidRPr="00496006">
        <w:rPr>
          <w:sz w:val="24"/>
          <w:szCs w:val="24"/>
        </w:rPr>
        <w:t>where the soil samples were collected</w:t>
      </w:r>
      <w:r w:rsidR="3BC15FFA" w:rsidRPr="00496006">
        <w:rPr>
          <w:sz w:val="24"/>
          <w:szCs w:val="24"/>
        </w:rPr>
        <w:t>.</w:t>
      </w:r>
      <w:r w:rsidR="7F945BA1" w:rsidRPr="00496006">
        <w:rPr>
          <w:sz w:val="24"/>
          <w:szCs w:val="24"/>
        </w:rPr>
        <w:t xml:space="preserve"> </w:t>
      </w:r>
      <w:r w:rsidR="5FAA8211" w:rsidRPr="00496006">
        <w:rPr>
          <w:sz w:val="24"/>
          <w:szCs w:val="24"/>
        </w:rPr>
        <w:t xml:space="preserve">For </w:t>
      </w:r>
      <w:r w:rsidR="74793AC2" w:rsidRPr="00496006">
        <w:rPr>
          <w:sz w:val="24"/>
          <w:szCs w:val="24"/>
        </w:rPr>
        <w:t>soil not visi</w:t>
      </w:r>
      <w:r w:rsidR="149E5682" w:rsidRPr="00496006">
        <w:rPr>
          <w:sz w:val="24"/>
          <w:szCs w:val="24"/>
        </w:rPr>
        <w:t>bly impacted by the fire</w:t>
      </w:r>
      <w:r w:rsidR="04FA5381" w:rsidRPr="00496006">
        <w:rPr>
          <w:sz w:val="24"/>
          <w:szCs w:val="24"/>
        </w:rPr>
        <w:t xml:space="preserve">, lead was the </w:t>
      </w:r>
      <w:r w:rsidR="6151997B" w:rsidRPr="00496006">
        <w:rPr>
          <w:sz w:val="24"/>
          <w:szCs w:val="24"/>
        </w:rPr>
        <w:t xml:space="preserve">only </w:t>
      </w:r>
      <w:r w:rsidR="04FA5381" w:rsidRPr="00496006">
        <w:rPr>
          <w:sz w:val="24"/>
          <w:szCs w:val="24"/>
        </w:rPr>
        <w:t xml:space="preserve">contaminant with a concentration greater </w:t>
      </w:r>
      <w:r w:rsidR="24FF8E50" w:rsidRPr="00496006">
        <w:rPr>
          <w:sz w:val="24"/>
          <w:szCs w:val="24"/>
        </w:rPr>
        <w:t xml:space="preserve">than </w:t>
      </w:r>
      <w:r w:rsidR="26AB6585" w:rsidRPr="00496006">
        <w:rPr>
          <w:sz w:val="24"/>
          <w:szCs w:val="24"/>
        </w:rPr>
        <w:t xml:space="preserve">MassDEP’s </w:t>
      </w:r>
      <w:r w:rsidR="4BBF9977" w:rsidRPr="00496006">
        <w:rPr>
          <w:sz w:val="24"/>
          <w:szCs w:val="24"/>
        </w:rPr>
        <w:t xml:space="preserve">soil </w:t>
      </w:r>
      <w:r w:rsidR="6F23872C" w:rsidRPr="00496006">
        <w:rPr>
          <w:sz w:val="24"/>
          <w:szCs w:val="24"/>
        </w:rPr>
        <w:t>criteria.</w:t>
      </w:r>
      <w:r w:rsidR="47748C84" w:rsidRPr="00496006">
        <w:rPr>
          <w:sz w:val="24"/>
          <w:szCs w:val="24"/>
        </w:rPr>
        <w:t xml:space="preserve"> As with the PCBs and dioxins/furans</w:t>
      </w:r>
      <w:r w:rsidR="4A5BA8DB" w:rsidRPr="00496006">
        <w:rPr>
          <w:sz w:val="24"/>
          <w:szCs w:val="24"/>
        </w:rPr>
        <w:t>, lead was also observed in the underlying soil at concentrations comparable to the surface soil</w:t>
      </w:r>
      <w:r w:rsidR="15E51032" w:rsidRPr="0C7FB68C">
        <w:rPr>
          <w:sz w:val="24"/>
          <w:szCs w:val="24"/>
        </w:rPr>
        <w:t>, suggesting lead may have been present in the soil prior to the fire.</w:t>
      </w:r>
    </w:p>
    <w:p w14:paraId="616CB25B" w14:textId="6C282F8A" w:rsidR="001678EF" w:rsidRPr="00496006" w:rsidRDefault="6D8193F0" w:rsidP="79698A27">
      <w:pPr>
        <w:keepNext/>
        <w:spacing w:after="240" w:line="240" w:lineRule="auto"/>
        <w:jc w:val="both"/>
        <w:rPr>
          <w:sz w:val="24"/>
          <w:szCs w:val="24"/>
        </w:rPr>
      </w:pPr>
      <w:r w:rsidRPr="431755CA">
        <w:rPr>
          <w:sz w:val="24"/>
          <w:szCs w:val="24"/>
        </w:rPr>
        <w:t xml:space="preserve">For some contaminants, </w:t>
      </w:r>
      <w:r w:rsidR="7D7AEF5D" w:rsidRPr="431755CA">
        <w:rPr>
          <w:sz w:val="24"/>
          <w:szCs w:val="24"/>
        </w:rPr>
        <w:t xml:space="preserve">primarily solvents, </w:t>
      </w:r>
      <w:r w:rsidRPr="431755CA">
        <w:rPr>
          <w:sz w:val="24"/>
          <w:szCs w:val="24"/>
        </w:rPr>
        <w:t xml:space="preserve">concentrations in surface soil visibly impacted by soot from the fire were greater than concentrations in the underlying soil after the soot-impacted soil was removed. </w:t>
      </w:r>
      <w:r w:rsidR="61950BC7" w:rsidRPr="431755CA">
        <w:rPr>
          <w:sz w:val="24"/>
          <w:szCs w:val="24"/>
        </w:rPr>
        <w:t>As with the petroleum-based chemicals, these</w:t>
      </w:r>
      <w:r w:rsidRPr="431755CA">
        <w:rPr>
          <w:sz w:val="24"/>
          <w:szCs w:val="24"/>
        </w:rPr>
        <w:t xml:space="preserve"> contaminants</w:t>
      </w:r>
      <w:r w:rsidR="4D49E3E2" w:rsidRPr="431755CA">
        <w:rPr>
          <w:sz w:val="24"/>
          <w:szCs w:val="24"/>
        </w:rPr>
        <w:t xml:space="preserve"> may have </w:t>
      </w:r>
      <w:r w:rsidR="1238D96E" w:rsidRPr="431755CA">
        <w:rPr>
          <w:sz w:val="24"/>
          <w:szCs w:val="24"/>
        </w:rPr>
        <w:t xml:space="preserve">similarly </w:t>
      </w:r>
      <w:r w:rsidR="250187D3" w:rsidRPr="431755CA">
        <w:rPr>
          <w:sz w:val="24"/>
          <w:szCs w:val="24"/>
        </w:rPr>
        <w:t>washed over in</w:t>
      </w:r>
      <w:r w:rsidR="61229210" w:rsidRPr="431755CA">
        <w:rPr>
          <w:sz w:val="24"/>
          <w:szCs w:val="24"/>
        </w:rPr>
        <w:t xml:space="preserve"> the firefighting water </w:t>
      </w:r>
      <w:r w:rsidR="60F907DD" w:rsidRPr="431755CA">
        <w:rPr>
          <w:sz w:val="24"/>
          <w:szCs w:val="24"/>
        </w:rPr>
        <w:t>from the trailers</w:t>
      </w:r>
      <w:r w:rsidRPr="431755CA">
        <w:rPr>
          <w:sz w:val="24"/>
          <w:szCs w:val="24"/>
        </w:rPr>
        <w:t>. In contrast, contaminant concentrations in surface soil not visibly impacted by the fire were generally comparable to concentrations in underlying soil.</w:t>
      </w:r>
    </w:p>
    <w:p w14:paraId="62ED3BC4" w14:textId="7A810CE5" w:rsidR="001678EF" w:rsidRPr="00496006" w:rsidRDefault="5FDF9CD9" w:rsidP="79698A27">
      <w:pPr>
        <w:keepNext/>
        <w:spacing w:after="240" w:line="240" w:lineRule="auto"/>
        <w:jc w:val="both"/>
        <w:rPr>
          <w:sz w:val="24"/>
          <w:szCs w:val="24"/>
        </w:rPr>
      </w:pPr>
      <w:r w:rsidRPr="431755CA">
        <w:rPr>
          <w:sz w:val="24"/>
          <w:szCs w:val="24"/>
        </w:rPr>
        <w:t>T</w:t>
      </w:r>
      <w:r w:rsidR="3C9C09AF" w:rsidRPr="431755CA">
        <w:rPr>
          <w:sz w:val="24"/>
          <w:szCs w:val="24"/>
        </w:rPr>
        <w:t>he soil samples su</w:t>
      </w:r>
      <w:r w:rsidR="7EC72D10" w:rsidRPr="431755CA">
        <w:rPr>
          <w:sz w:val="24"/>
          <w:szCs w:val="24"/>
        </w:rPr>
        <w:t>ggest that</w:t>
      </w:r>
      <w:r w:rsidR="5E6303DD" w:rsidRPr="431755CA">
        <w:rPr>
          <w:sz w:val="24"/>
          <w:szCs w:val="24"/>
        </w:rPr>
        <w:t xml:space="preserve"> emissions from</w:t>
      </w:r>
      <w:r w:rsidR="52C3207A" w:rsidRPr="431755CA">
        <w:rPr>
          <w:sz w:val="24"/>
          <w:szCs w:val="24"/>
        </w:rPr>
        <w:t xml:space="preserve"> the fire </w:t>
      </w:r>
      <w:r w:rsidR="5E6303DD" w:rsidRPr="431755CA">
        <w:rPr>
          <w:sz w:val="24"/>
          <w:szCs w:val="24"/>
        </w:rPr>
        <w:t>did</w:t>
      </w:r>
      <w:r w:rsidR="3A96BBB8" w:rsidRPr="431755CA">
        <w:rPr>
          <w:sz w:val="24"/>
          <w:szCs w:val="24"/>
        </w:rPr>
        <w:t xml:space="preserve"> not </w:t>
      </w:r>
      <w:r w:rsidR="3FA0DA89" w:rsidRPr="431755CA">
        <w:rPr>
          <w:sz w:val="24"/>
          <w:szCs w:val="24"/>
        </w:rPr>
        <w:t xml:space="preserve">result </w:t>
      </w:r>
      <w:r w:rsidR="0E0ED829" w:rsidRPr="431755CA">
        <w:rPr>
          <w:sz w:val="24"/>
          <w:szCs w:val="24"/>
        </w:rPr>
        <w:t>in</w:t>
      </w:r>
      <w:r w:rsidR="3FA0DA89" w:rsidRPr="431755CA">
        <w:rPr>
          <w:sz w:val="24"/>
          <w:szCs w:val="24"/>
        </w:rPr>
        <w:t xml:space="preserve"> </w:t>
      </w:r>
      <w:r w:rsidR="2E1CC183" w:rsidRPr="431755CA">
        <w:rPr>
          <w:sz w:val="24"/>
          <w:szCs w:val="24"/>
        </w:rPr>
        <w:t xml:space="preserve">contamination </w:t>
      </w:r>
      <w:r w:rsidR="1E45C86E" w:rsidRPr="431755CA">
        <w:rPr>
          <w:sz w:val="24"/>
          <w:szCs w:val="24"/>
        </w:rPr>
        <w:t>that would be a heal</w:t>
      </w:r>
      <w:r w:rsidR="674D58E8" w:rsidRPr="431755CA">
        <w:rPr>
          <w:sz w:val="24"/>
          <w:szCs w:val="24"/>
        </w:rPr>
        <w:t>th concern</w:t>
      </w:r>
      <w:r w:rsidR="55E013BB" w:rsidRPr="431755CA">
        <w:rPr>
          <w:sz w:val="24"/>
          <w:szCs w:val="24"/>
        </w:rPr>
        <w:t xml:space="preserve">. </w:t>
      </w:r>
      <w:r w:rsidR="00862A86" w:rsidRPr="431755CA">
        <w:rPr>
          <w:sz w:val="24"/>
          <w:szCs w:val="24"/>
        </w:rPr>
        <w:t>If</w:t>
      </w:r>
      <w:r w:rsidR="51DA2C84" w:rsidRPr="431755CA">
        <w:rPr>
          <w:sz w:val="24"/>
          <w:szCs w:val="24"/>
        </w:rPr>
        <w:t xml:space="preserve"> the fire  impact</w:t>
      </w:r>
      <w:r w:rsidR="770273DF" w:rsidRPr="431755CA">
        <w:rPr>
          <w:sz w:val="24"/>
          <w:szCs w:val="24"/>
        </w:rPr>
        <w:t>ed</w:t>
      </w:r>
      <w:r w:rsidR="51DA2C84" w:rsidRPr="431755CA">
        <w:rPr>
          <w:sz w:val="24"/>
          <w:szCs w:val="24"/>
        </w:rPr>
        <w:t xml:space="preserve"> residential soils in a </w:t>
      </w:r>
      <w:r w:rsidR="365F559C" w:rsidRPr="431755CA">
        <w:rPr>
          <w:sz w:val="24"/>
          <w:szCs w:val="24"/>
        </w:rPr>
        <w:t xml:space="preserve">similar </w:t>
      </w:r>
      <w:r w:rsidR="51DA2C84" w:rsidRPr="431755CA">
        <w:rPr>
          <w:sz w:val="24"/>
          <w:szCs w:val="24"/>
        </w:rPr>
        <w:t>manner</w:t>
      </w:r>
      <w:r w:rsidR="27F7733E" w:rsidRPr="431755CA">
        <w:rPr>
          <w:sz w:val="24"/>
          <w:szCs w:val="24"/>
        </w:rPr>
        <w:t xml:space="preserve">, it is unlikely that the incident resulted in any residential contamination of concern.  </w:t>
      </w:r>
    </w:p>
    <w:p w14:paraId="1FCC217A" w14:textId="27D528E9" w:rsidR="001678EF" w:rsidRDefault="3758DBD4" w:rsidP="4E0E408D">
      <w:pPr>
        <w:pStyle w:val="Heading2"/>
      </w:pPr>
      <w:r>
        <w:t>5.2</w:t>
      </w:r>
      <w:r w:rsidR="001678EF">
        <w:tab/>
      </w:r>
      <w:r w:rsidR="00DCE097">
        <w:t>Water</w:t>
      </w:r>
    </w:p>
    <w:p w14:paraId="1A9075DC" w14:textId="74FCA043" w:rsidR="00806F55" w:rsidRDefault="00806F55" w:rsidP="004D3BFC">
      <w:pPr>
        <w:pStyle w:val="Heading3"/>
        <w:spacing w:line="240" w:lineRule="auto"/>
      </w:pPr>
      <w:r>
        <w:t>5.2.1</w:t>
      </w:r>
      <w:r>
        <w:tab/>
      </w:r>
      <w:r w:rsidR="00871CA2">
        <w:t>Fore River Surface Water</w:t>
      </w:r>
    </w:p>
    <w:p w14:paraId="0FB052D9" w14:textId="2CC2BB9C" w:rsidR="00617DB5" w:rsidRPr="00496006" w:rsidRDefault="30868DEF" w:rsidP="00D37BD4">
      <w:pPr>
        <w:keepNext/>
        <w:spacing w:after="240" w:line="240" w:lineRule="auto"/>
        <w:jc w:val="both"/>
        <w:rPr>
          <w:sz w:val="24"/>
          <w:szCs w:val="24"/>
        </w:rPr>
      </w:pPr>
      <w:r w:rsidRPr="431755CA">
        <w:rPr>
          <w:sz w:val="24"/>
          <w:szCs w:val="24"/>
        </w:rPr>
        <w:t xml:space="preserve">According to the IRAC report, approximately 330,000 gallons of water were used to extinguish the fire (TTI, 2023). The firefighting water was collected into </w:t>
      </w:r>
      <w:r w:rsidR="199E3835" w:rsidRPr="431755CA">
        <w:rPr>
          <w:sz w:val="24"/>
          <w:szCs w:val="24"/>
        </w:rPr>
        <w:t xml:space="preserve">storage </w:t>
      </w:r>
      <w:r w:rsidRPr="431755CA">
        <w:rPr>
          <w:sz w:val="24"/>
          <w:szCs w:val="24"/>
        </w:rPr>
        <w:t xml:space="preserve">tanks, partially treated on-site, and stored </w:t>
      </w:r>
      <w:r w:rsidR="12416AB0" w:rsidRPr="431755CA">
        <w:rPr>
          <w:sz w:val="24"/>
          <w:szCs w:val="24"/>
        </w:rPr>
        <w:t xml:space="preserve">for eventual </w:t>
      </w:r>
      <w:r w:rsidRPr="431755CA">
        <w:rPr>
          <w:sz w:val="24"/>
          <w:szCs w:val="24"/>
        </w:rPr>
        <w:t xml:space="preserve">off-site </w:t>
      </w:r>
      <w:r w:rsidR="08235248" w:rsidRPr="431755CA">
        <w:rPr>
          <w:sz w:val="24"/>
          <w:szCs w:val="24"/>
        </w:rPr>
        <w:t xml:space="preserve">disposition </w:t>
      </w:r>
      <w:r w:rsidRPr="431755CA">
        <w:rPr>
          <w:sz w:val="24"/>
          <w:szCs w:val="24"/>
        </w:rPr>
        <w:t xml:space="preserve">(TTI, 2023). Most runoff water was collected, but some firefighting water </w:t>
      </w:r>
      <w:r w:rsidR="473DB92C" w:rsidRPr="431755CA">
        <w:rPr>
          <w:sz w:val="24"/>
          <w:szCs w:val="24"/>
        </w:rPr>
        <w:t>might have</w:t>
      </w:r>
      <w:r w:rsidRPr="431755CA">
        <w:rPr>
          <w:sz w:val="24"/>
          <w:szCs w:val="24"/>
        </w:rPr>
        <w:t xml:space="preserve"> migrated onto the adjacent Citgo property. According to the IRAC report, the firefighting water was contained at both the Citgo property and the Clean Harbors facility. The IRAC report </w:t>
      </w:r>
      <w:r w:rsidR="5347377D" w:rsidRPr="431755CA">
        <w:rPr>
          <w:sz w:val="24"/>
          <w:szCs w:val="24"/>
        </w:rPr>
        <w:t xml:space="preserve">also </w:t>
      </w:r>
      <w:r w:rsidRPr="431755CA">
        <w:rPr>
          <w:sz w:val="24"/>
          <w:szCs w:val="24"/>
        </w:rPr>
        <w:t>describes a cloudy, white substance that was observed on 2/17</w:t>
      </w:r>
      <w:r w:rsidR="2D659146" w:rsidRPr="431755CA">
        <w:rPr>
          <w:sz w:val="24"/>
          <w:szCs w:val="24"/>
        </w:rPr>
        <w:t>/23</w:t>
      </w:r>
      <w:r w:rsidRPr="431755CA">
        <w:rPr>
          <w:sz w:val="24"/>
          <w:szCs w:val="24"/>
        </w:rPr>
        <w:t xml:space="preserve"> near the Hayward Creek outfall </w:t>
      </w:r>
      <w:r w:rsidR="5E88EE09" w:rsidRPr="431755CA">
        <w:rPr>
          <w:sz w:val="24"/>
          <w:szCs w:val="24"/>
        </w:rPr>
        <w:t>to</w:t>
      </w:r>
      <w:r w:rsidRPr="431755CA">
        <w:rPr>
          <w:sz w:val="24"/>
          <w:szCs w:val="24"/>
        </w:rPr>
        <w:t xml:space="preserve"> the Fore River (TTI, 2023). It could not be determined if the cloudy, white substance </w:t>
      </w:r>
      <w:r w:rsidR="00636074" w:rsidRPr="431755CA">
        <w:rPr>
          <w:sz w:val="24"/>
          <w:szCs w:val="24"/>
        </w:rPr>
        <w:t>was</w:t>
      </w:r>
      <w:r w:rsidRPr="431755CA">
        <w:rPr>
          <w:sz w:val="24"/>
          <w:szCs w:val="24"/>
        </w:rPr>
        <w:t xml:space="preserve"> related to the fire because surface water samples were not </w:t>
      </w:r>
      <w:r w:rsidR="78115123" w:rsidRPr="431755CA">
        <w:rPr>
          <w:sz w:val="24"/>
          <w:szCs w:val="24"/>
        </w:rPr>
        <w:t xml:space="preserve">immediately </w:t>
      </w:r>
      <w:r w:rsidRPr="431755CA">
        <w:rPr>
          <w:sz w:val="24"/>
          <w:szCs w:val="24"/>
        </w:rPr>
        <w:t xml:space="preserve">collected when the substance was </w:t>
      </w:r>
      <w:r w:rsidR="00862A86" w:rsidRPr="431755CA">
        <w:rPr>
          <w:sz w:val="24"/>
          <w:szCs w:val="24"/>
        </w:rPr>
        <w:t>observed,</w:t>
      </w:r>
      <w:r w:rsidRPr="431755CA">
        <w:rPr>
          <w:sz w:val="24"/>
          <w:szCs w:val="24"/>
        </w:rPr>
        <w:t xml:space="preserve"> and the discharge was no longer visible by 2/19</w:t>
      </w:r>
      <w:r w:rsidR="2D659146" w:rsidRPr="431755CA">
        <w:rPr>
          <w:sz w:val="24"/>
          <w:szCs w:val="24"/>
        </w:rPr>
        <w:t>/23</w:t>
      </w:r>
      <w:r w:rsidRPr="431755CA">
        <w:rPr>
          <w:sz w:val="24"/>
          <w:szCs w:val="24"/>
        </w:rPr>
        <w:t xml:space="preserve">. For these reasons, it is not possible to evaluate the white substance with respect to exposure and potential health implications. </w:t>
      </w:r>
    </w:p>
    <w:p w14:paraId="1182AE6E" w14:textId="77777777" w:rsidR="00496006" w:rsidRDefault="0B08F789" w:rsidP="00D37BD4">
      <w:pPr>
        <w:keepNext/>
        <w:spacing w:after="240" w:line="240" w:lineRule="auto"/>
        <w:jc w:val="both"/>
        <w:rPr>
          <w:sz w:val="24"/>
          <w:szCs w:val="24"/>
        </w:rPr>
      </w:pPr>
      <w:r w:rsidRPr="00496006">
        <w:rPr>
          <w:sz w:val="24"/>
          <w:szCs w:val="24"/>
        </w:rPr>
        <w:t xml:space="preserve">Although </w:t>
      </w:r>
      <w:r w:rsidR="43CB2399" w:rsidRPr="00496006">
        <w:rPr>
          <w:sz w:val="24"/>
          <w:szCs w:val="24"/>
        </w:rPr>
        <w:t xml:space="preserve">surface water samples were not collected from the Fore River, Clean Harbors measured </w:t>
      </w:r>
      <w:r w:rsidR="3C4256E1" w:rsidRPr="00496006">
        <w:rPr>
          <w:sz w:val="24"/>
          <w:szCs w:val="24"/>
        </w:rPr>
        <w:t xml:space="preserve">contaminant concentrations in firefighting water that had collected on the Clean Harbors property. </w:t>
      </w:r>
      <w:r w:rsidR="3500DCAF" w:rsidRPr="00496006">
        <w:rPr>
          <w:sz w:val="24"/>
          <w:szCs w:val="24"/>
        </w:rPr>
        <w:t xml:space="preserve"> </w:t>
      </w:r>
    </w:p>
    <w:p w14:paraId="2B477ED2" w14:textId="52B2550E" w:rsidR="00573B6B" w:rsidRPr="00496006" w:rsidRDefault="0627E8E7" w:rsidP="00D37BD4">
      <w:pPr>
        <w:keepNext/>
        <w:spacing w:after="240" w:line="240" w:lineRule="auto"/>
        <w:jc w:val="both"/>
        <w:rPr>
          <w:sz w:val="24"/>
          <w:szCs w:val="24"/>
        </w:rPr>
      </w:pPr>
      <w:r w:rsidRPr="00496006">
        <w:rPr>
          <w:sz w:val="24"/>
          <w:szCs w:val="24"/>
        </w:rPr>
        <w:t>Twenty</w:t>
      </w:r>
      <w:r w:rsidR="382C91F5" w:rsidRPr="00496006">
        <w:rPr>
          <w:sz w:val="24"/>
          <w:szCs w:val="24"/>
        </w:rPr>
        <w:t>-</w:t>
      </w:r>
      <w:r w:rsidRPr="00496006">
        <w:rPr>
          <w:sz w:val="24"/>
          <w:szCs w:val="24"/>
        </w:rPr>
        <w:t>nine</w:t>
      </w:r>
      <w:r w:rsidR="0554A40F" w:rsidRPr="00496006">
        <w:rPr>
          <w:sz w:val="24"/>
          <w:szCs w:val="24"/>
        </w:rPr>
        <w:t xml:space="preserve"> chemicals were </w:t>
      </w:r>
      <w:r w:rsidR="41E8CFDB" w:rsidRPr="00496006">
        <w:rPr>
          <w:sz w:val="24"/>
          <w:szCs w:val="24"/>
        </w:rPr>
        <w:t>measured</w:t>
      </w:r>
      <w:r w:rsidR="31930F02" w:rsidRPr="00496006">
        <w:rPr>
          <w:sz w:val="24"/>
          <w:szCs w:val="24"/>
        </w:rPr>
        <w:t>, and</w:t>
      </w:r>
      <w:r w:rsidR="538BC7CD" w:rsidRPr="00496006">
        <w:rPr>
          <w:sz w:val="24"/>
          <w:szCs w:val="24"/>
        </w:rPr>
        <w:t xml:space="preserve"> concentrations </w:t>
      </w:r>
      <w:r w:rsidR="0650FAAB" w:rsidRPr="00496006">
        <w:rPr>
          <w:sz w:val="24"/>
          <w:szCs w:val="24"/>
        </w:rPr>
        <w:t>of</w:t>
      </w:r>
      <w:r w:rsidR="538BC7CD" w:rsidRPr="00496006">
        <w:rPr>
          <w:sz w:val="24"/>
          <w:szCs w:val="24"/>
        </w:rPr>
        <w:t xml:space="preserve"> </w:t>
      </w:r>
      <w:r w:rsidR="5F46635C" w:rsidRPr="00496006">
        <w:rPr>
          <w:sz w:val="24"/>
          <w:szCs w:val="24"/>
        </w:rPr>
        <w:t>1</w:t>
      </w:r>
      <w:r w:rsidR="6CC26959" w:rsidRPr="00496006">
        <w:rPr>
          <w:sz w:val="24"/>
          <w:szCs w:val="24"/>
        </w:rPr>
        <w:t>1</w:t>
      </w:r>
      <w:r w:rsidR="538BC7CD" w:rsidRPr="00496006">
        <w:rPr>
          <w:sz w:val="24"/>
          <w:szCs w:val="24"/>
        </w:rPr>
        <w:t xml:space="preserve"> </w:t>
      </w:r>
      <w:r w:rsidR="38539110" w:rsidRPr="00496006">
        <w:rPr>
          <w:sz w:val="24"/>
          <w:szCs w:val="24"/>
        </w:rPr>
        <w:t xml:space="preserve">chemicals were greater than </w:t>
      </w:r>
      <w:r w:rsidR="2982954D" w:rsidRPr="00496006">
        <w:rPr>
          <w:sz w:val="24"/>
          <w:szCs w:val="24"/>
        </w:rPr>
        <w:t xml:space="preserve">MassDEP’s </w:t>
      </w:r>
      <w:r w:rsidR="3B589456" w:rsidRPr="00496006">
        <w:rPr>
          <w:sz w:val="24"/>
          <w:szCs w:val="24"/>
        </w:rPr>
        <w:t>standard</w:t>
      </w:r>
      <w:r w:rsidR="2947058A" w:rsidRPr="00496006">
        <w:rPr>
          <w:sz w:val="24"/>
          <w:szCs w:val="24"/>
        </w:rPr>
        <w:t xml:space="preserve"> f</w:t>
      </w:r>
      <w:r w:rsidR="38539110" w:rsidRPr="00496006">
        <w:rPr>
          <w:sz w:val="24"/>
          <w:szCs w:val="24"/>
        </w:rPr>
        <w:t xml:space="preserve">or </w:t>
      </w:r>
      <w:r w:rsidR="7FCE70EB" w:rsidRPr="00496006">
        <w:rPr>
          <w:sz w:val="24"/>
          <w:szCs w:val="24"/>
        </w:rPr>
        <w:t xml:space="preserve">screening </w:t>
      </w:r>
      <w:r w:rsidR="2B130AD9" w:rsidRPr="00496006">
        <w:rPr>
          <w:sz w:val="24"/>
          <w:szCs w:val="24"/>
        </w:rPr>
        <w:t xml:space="preserve">groundwater </w:t>
      </w:r>
      <w:r w:rsidR="3A967DC8" w:rsidRPr="00496006">
        <w:rPr>
          <w:sz w:val="24"/>
          <w:szCs w:val="24"/>
        </w:rPr>
        <w:t>that</w:t>
      </w:r>
      <w:r w:rsidR="08BE2547">
        <w:rPr>
          <w:sz w:val="24"/>
          <w:szCs w:val="24"/>
        </w:rPr>
        <w:t xml:space="preserve"> i</w:t>
      </w:r>
      <w:r w:rsidR="3A967DC8" w:rsidRPr="00496006">
        <w:rPr>
          <w:sz w:val="24"/>
          <w:szCs w:val="24"/>
        </w:rPr>
        <w:t xml:space="preserve">s </w:t>
      </w:r>
      <w:r w:rsidR="2B130AD9" w:rsidRPr="00496006">
        <w:rPr>
          <w:sz w:val="24"/>
          <w:szCs w:val="24"/>
        </w:rPr>
        <w:t>used as</w:t>
      </w:r>
      <w:r w:rsidR="38539110" w:rsidRPr="00496006">
        <w:rPr>
          <w:sz w:val="24"/>
          <w:szCs w:val="24"/>
        </w:rPr>
        <w:t xml:space="preserve"> </w:t>
      </w:r>
      <w:r w:rsidR="3D13EB1B" w:rsidRPr="00496006">
        <w:rPr>
          <w:sz w:val="24"/>
          <w:szCs w:val="24"/>
        </w:rPr>
        <w:t xml:space="preserve">a </w:t>
      </w:r>
      <w:r w:rsidR="602FDED6" w:rsidRPr="00496006">
        <w:rPr>
          <w:sz w:val="24"/>
          <w:szCs w:val="24"/>
        </w:rPr>
        <w:t xml:space="preserve">source of </w:t>
      </w:r>
      <w:r w:rsidR="38539110" w:rsidRPr="00496006">
        <w:rPr>
          <w:sz w:val="24"/>
          <w:szCs w:val="24"/>
        </w:rPr>
        <w:t>drinking water</w:t>
      </w:r>
      <w:r w:rsidR="2B130AD9" w:rsidRPr="00496006">
        <w:rPr>
          <w:sz w:val="24"/>
          <w:szCs w:val="24"/>
        </w:rPr>
        <w:t>.</w:t>
      </w:r>
      <w:r w:rsidR="00396EF8">
        <w:rPr>
          <w:rStyle w:val="FootnoteReference"/>
          <w:sz w:val="24"/>
          <w:szCs w:val="24"/>
        </w:rPr>
        <w:footnoteReference w:id="9"/>
      </w:r>
      <w:r w:rsidR="2B130AD9" w:rsidRPr="00496006">
        <w:rPr>
          <w:sz w:val="24"/>
          <w:szCs w:val="24"/>
        </w:rPr>
        <w:t xml:space="preserve"> These standards</w:t>
      </w:r>
      <w:r w:rsidR="7216DF22" w:rsidRPr="00496006">
        <w:rPr>
          <w:sz w:val="24"/>
          <w:szCs w:val="24"/>
        </w:rPr>
        <w:t xml:space="preserve"> assume individuals ingest </w:t>
      </w:r>
      <w:r w:rsidR="66F716FF" w:rsidRPr="00496006">
        <w:rPr>
          <w:sz w:val="24"/>
          <w:szCs w:val="24"/>
        </w:rPr>
        <w:t>1-</w:t>
      </w:r>
      <w:r w:rsidR="7216DF22" w:rsidRPr="00496006">
        <w:rPr>
          <w:sz w:val="24"/>
          <w:szCs w:val="24"/>
        </w:rPr>
        <w:t>2 liters of water/day</w:t>
      </w:r>
      <w:r w:rsidR="00665DDC" w:rsidRPr="00496006">
        <w:rPr>
          <w:rStyle w:val="FootnoteReference"/>
          <w:sz w:val="24"/>
          <w:szCs w:val="24"/>
        </w:rPr>
        <w:footnoteReference w:id="10"/>
      </w:r>
      <w:r w:rsidR="247AE835" w:rsidRPr="00496006">
        <w:rPr>
          <w:sz w:val="24"/>
          <w:szCs w:val="24"/>
        </w:rPr>
        <w:t xml:space="preserve">, for </w:t>
      </w:r>
      <w:r w:rsidR="1D877C04" w:rsidRPr="00496006">
        <w:rPr>
          <w:sz w:val="24"/>
          <w:szCs w:val="24"/>
        </w:rPr>
        <w:t>365</w:t>
      </w:r>
      <w:r w:rsidR="247AE835" w:rsidRPr="00496006">
        <w:rPr>
          <w:sz w:val="24"/>
          <w:szCs w:val="24"/>
        </w:rPr>
        <w:t xml:space="preserve"> days/year</w:t>
      </w:r>
      <w:r w:rsidR="2B130AD9" w:rsidRPr="00496006">
        <w:rPr>
          <w:sz w:val="24"/>
          <w:szCs w:val="24"/>
        </w:rPr>
        <w:t xml:space="preserve"> (</w:t>
      </w:r>
      <w:r w:rsidR="5158DEAF" w:rsidRPr="00496006">
        <w:rPr>
          <w:sz w:val="24"/>
          <w:szCs w:val="24"/>
        </w:rPr>
        <w:t>MassDEP, 2017</w:t>
      </w:r>
      <w:r w:rsidR="2B130AD9" w:rsidRPr="00496006">
        <w:rPr>
          <w:sz w:val="24"/>
          <w:szCs w:val="24"/>
        </w:rPr>
        <w:t>)</w:t>
      </w:r>
      <w:r w:rsidR="7216DF22" w:rsidRPr="00496006">
        <w:rPr>
          <w:sz w:val="24"/>
          <w:szCs w:val="24"/>
        </w:rPr>
        <w:t xml:space="preserve">. </w:t>
      </w:r>
      <w:r w:rsidR="6FE435B5" w:rsidRPr="00496006">
        <w:rPr>
          <w:sz w:val="24"/>
          <w:szCs w:val="24"/>
        </w:rPr>
        <w:t>Considering that</w:t>
      </w:r>
      <w:r w:rsidR="3CFE306C" w:rsidRPr="00496006">
        <w:rPr>
          <w:sz w:val="24"/>
          <w:szCs w:val="24"/>
        </w:rPr>
        <w:t xml:space="preserve"> </w:t>
      </w:r>
      <w:r w:rsidR="29D95498" w:rsidRPr="00496006">
        <w:rPr>
          <w:sz w:val="24"/>
          <w:szCs w:val="24"/>
        </w:rPr>
        <w:t xml:space="preserve">1) </w:t>
      </w:r>
      <w:r w:rsidR="52FA8F1A" w:rsidRPr="00496006">
        <w:rPr>
          <w:sz w:val="24"/>
          <w:szCs w:val="24"/>
        </w:rPr>
        <w:t>the amount of water</w:t>
      </w:r>
      <w:r w:rsidR="3CFE306C" w:rsidRPr="00496006">
        <w:rPr>
          <w:sz w:val="24"/>
          <w:szCs w:val="24"/>
        </w:rPr>
        <w:t xml:space="preserve"> ingested while engaging in </w:t>
      </w:r>
      <w:r w:rsidR="29D95498" w:rsidRPr="00496006">
        <w:rPr>
          <w:sz w:val="24"/>
          <w:szCs w:val="24"/>
        </w:rPr>
        <w:t xml:space="preserve">recreational </w:t>
      </w:r>
      <w:r w:rsidR="3CFE306C" w:rsidRPr="00496006">
        <w:rPr>
          <w:sz w:val="24"/>
          <w:szCs w:val="24"/>
        </w:rPr>
        <w:t xml:space="preserve">activities </w:t>
      </w:r>
      <w:r w:rsidR="29D95498" w:rsidRPr="00496006">
        <w:rPr>
          <w:sz w:val="24"/>
          <w:szCs w:val="24"/>
        </w:rPr>
        <w:t>along</w:t>
      </w:r>
      <w:r w:rsidR="3CFE306C" w:rsidRPr="00496006">
        <w:rPr>
          <w:sz w:val="24"/>
          <w:szCs w:val="24"/>
        </w:rPr>
        <w:t xml:space="preserve"> the Fore River</w:t>
      </w:r>
      <w:r w:rsidR="52FA8F1A" w:rsidRPr="00496006">
        <w:rPr>
          <w:sz w:val="24"/>
          <w:szCs w:val="24"/>
        </w:rPr>
        <w:t xml:space="preserve"> </w:t>
      </w:r>
      <w:r w:rsidR="55C87B3D" w:rsidRPr="00496006">
        <w:rPr>
          <w:sz w:val="24"/>
          <w:szCs w:val="24"/>
        </w:rPr>
        <w:t>is expected to</w:t>
      </w:r>
      <w:r w:rsidR="52FA8F1A" w:rsidRPr="00496006">
        <w:rPr>
          <w:sz w:val="24"/>
          <w:szCs w:val="24"/>
        </w:rPr>
        <w:t xml:space="preserve"> be </w:t>
      </w:r>
      <w:r w:rsidR="12258A25" w:rsidRPr="00496006">
        <w:rPr>
          <w:sz w:val="24"/>
          <w:szCs w:val="24"/>
        </w:rPr>
        <w:t xml:space="preserve">much </w:t>
      </w:r>
      <w:r w:rsidR="52FA8F1A" w:rsidRPr="00496006">
        <w:rPr>
          <w:sz w:val="24"/>
          <w:szCs w:val="24"/>
        </w:rPr>
        <w:t>less than</w:t>
      </w:r>
      <w:r w:rsidR="5E2EDE00" w:rsidRPr="00496006">
        <w:rPr>
          <w:sz w:val="24"/>
          <w:szCs w:val="24"/>
        </w:rPr>
        <w:t xml:space="preserve"> </w:t>
      </w:r>
      <w:r w:rsidR="2D6D3F5C" w:rsidRPr="00496006">
        <w:rPr>
          <w:sz w:val="24"/>
          <w:szCs w:val="24"/>
        </w:rPr>
        <w:t>1-2 liters</w:t>
      </w:r>
      <w:r w:rsidR="45B7F251" w:rsidRPr="00496006">
        <w:rPr>
          <w:sz w:val="24"/>
          <w:szCs w:val="24"/>
        </w:rPr>
        <w:t>;</w:t>
      </w:r>
      <w:r w:rsidR="3CFE306C" w:rsidRPr="00496006">
        <w:rPr>
          <w:sz w:val="24"/>
          <w:szCs w:val="24"/>
        </w:rPr>
        <w:t xml:space="preserve"> </w:t>
      </w:r>
      <w:r w:rsidR="45B7F251" w:rsidRPr="00496006">
        <w:rPr>
          <w:sz w:val="24"/>
          <w:szCs w:val="24"/>
        </w:rPr>
        <w:t>2)</w:t>
      </w:r>
      <w:r w:rsidR="3CFE306C" w:rsidRPr="00496006">
        <w:rPr>
          <w:sz w:val="24"/>
          <w:szCs w:val="24"/>
        </w:rPr>
        <w:t xml:space="preserve"> exposure would</w:t>
      </w:r>
      <w:r w:rsidR="247AE835" w:rsidRPr="00496006">
        <w:rPr>
          <w:sz w:val="24"/>
          <w:szCs w:val="24"/>
        </w:rPr>
        <w:t xml:space="preserve"> likely occur less often than 3</w:t>
      </w:r>
      <w:r w:rsidR="1CFBEDC1" w:rsidRPr="00496006">
        <w:rPr>
          <w:sz w:val="24"/>
          <w:szCs w:val="24"/>
        </w:rPr>
        <w:t>65</w:t>
      </w:r>
      <w:r w:rsidR="247AE835" w:rsidRPr="00496006">
        <w:rPr>
          <w:sz w:val="24"/>
          <w:szCs w:val="24"/>
        </w:rPr>
        <w:t xml:space="preserve"> days/year</w:t>
      </w:r>
      <w:r w:rsidR="593229DB" w:rsidRPr="00496006">
        <w:rPr>
          <w:sz w:val="24"/>
          <w:szCs w:val="24"/>
        </w:rPr>
        <w:t xml:space="preserve">; </w:t>
      </w:r>
      <w:r w:rsidR="45B7F251" w:rsidRPr="00496006">
        <w:rPr>
          <w:sz w:val="24"/>
          <w:szCs w:val="24"/>
        </w:rPr>
        <w:t>and 3</w:t>
      </w:r>
      <w:r w:rsidR="593229DB" w:rsidRPr="00496006">
        <w:rPr>
          <w:sz w:val="24"/>
          <w:szCs w:val="24"/>
        </w:rPr>
        <w:t xml:space="preserve">) any firefighting water potentially released to the Fore River </w:t>
      </w:r>
      <w:r w:rsidR="29D95498" w:rsidRPr="00496006">
        <w:rPr>
          <w:sz w:val="24"/>
          <w:szCs w:val="24"/>
        </w:rPr>
        <w:t xml:space="preserve">would be diluted </w:t>
      </w:r>
      <w:r w:rsidR="6ED4EE12" w:rsidRPr="00496006">
        <w:rPr>
          <w:sz w:val="24"/>
          <w:szCs w:val="24"/>
        </w:rPr>
        <w:t>and eventually flushed out of the river</w:t>
      </w:r>
      <w:r w:rsidR="345A46AE" w:rsidRPr="00496006">
        <w:rPr>
          <w:sz w:val="24"/>
          <w:szCs w:val="24"/>
        </w:rPr>
        <w:t xml:space="preserve">; it is not likely that </w:t>
      </w:r>
      <w:r w:rsidR="5829575F" w:rsidRPr="00496006">
        <w:rPr>
          <w:sz w:val="24"/>
          <w:szCs w:val="24"/>
        </w:rPr>
        <w:t>the Clean Harbors fire resulted in contaminant concentrations in the Fore River that would be a health concern.</w:t>
      </w:r>
    </w:p>
    <w:p w14:paraId="2430A3F4" w14:textId="65038B3C" w:rsidR="00871CA2" w:rsidRDefault="008A2CED" w:rsidP="002A3D68">
      <w:pPr>
        <w:pStyle w:val="Heading3"/>
      </w:pPr>
      <w:r>
        <w:t>5.2.2</w:t>
      </w:r>
      <w:r>
        <w:tab/>
        <w:t>Drinking Water</w:t>
      </w:r>
    </w:p>
    <w:p w14:paraId="39DC1928" w14:textId="047CB758" w:rsidR="00871CA2" w:rsidRPr="006E0C03" w:rsidRDefault="0464C8BC" w:rsidP="00D37BD4">
      <w:pPr>
        <w:keepNext/>
        <w:spacing w:after="240" w:line="240" w:lineRule="auto"/>
        <w:jc w:val="both"/>
        <w:rPr>
          <w:sz w:val="24"/>
          <w:szCs w:val="24"/>
        </w:rPr>
      </w:pPr>
      <w:r w:rsidRPr="006E0C03">
        <w:rPr>
          <w:sz w:val="24"/>
          <w:szCs w:val="24"/>
        </w:rPr>
        <w:t xml:space="preserve">The Town of Braintree receives </w:t>
      </w:r>
      <w:r w:rsidR="2473E3CA" w:rsidRPr="006E0C03">
        <w:rPr>
          <w:sz w:val="24"/>
          <w:szCs w:val="24"/>
        </w:rPr>
        <w:t>their</w:t>
      </w:r>
      <w:r w:rsidRPr="006E0C03">
        <w:rPr>
          <w:sz w:val="24"/>
          <w:szCs w:val="24"/>
        </w:rPr>
        <w:t xml:space="preserve"> </w:t>
      </w:r>
      <w:r w:rsidR="2E351C8C" w:rsidRPr="006E0C03">
        <w:rPr>
          <w:sz w:val="24"/>
          <w:szCs w:val="24"/>
        </w:rPr>
        <w:t xml:space="preserve">drinking water from </w:t>
      </w:r>
      <w:r w:rsidR="7679CAF1" w:rsidRPr="006E0C03">
        <w:rPr>
          <w:sz w:val="24"/>
          <w:szCs w:val="24"/>
        </w:rPr>
        <w:t>the Great Pond R</w:t>
      </w:r>
      <w:r w:rsidR="1B3699DC" w:rsidRPr="006E0C03">
        <w:rPr>
          <w:sz w:val="24"/>
          <w:szCs w:val="24"/>
        </w:rPr>
        <w:t xml:space="preserve">eservoir </w:t>
      </w:r>
      <w:r w:rsidR="6A1DE406" w:rsidRPr="006E0C03">
        <w:rPr>
          <w:sz w:val="24"/>
          <w:szCs w:val="24"/>
        </w:rPr>
        <w:t>System (</w:t>
      </w:r>
      <w:r w:rsidR="4A30E3AA" w:rsidRPr="006E0C03">
        <w:rPr>
          <w:sz w:val="24"/>
          <w:szCs w:val="24"/>
        </w:rPr>
        <w:t>BWS</w:t>
      </w:r>
      <w:r w:rsidR="6EE4B135" w:rsidRPr="006E0C03">
        <w:rPr>
          <w:sz w:val="24"/>
          <w:szCs w:val="24"/>
        </w:rPr>
        <w:t>, 2022)</w:t>
      </w:r>
      <w:r w:rsidR="2E351C8C" w:rsidRPr="006E0C03">
        <w:rPr>
          <w:sz w:val="24"/>
          <w:szCs w:val="24"/>
        </w:rPr>
        <w:t xml:space="preserve"> that is approximately </w:t>
      </w:r>
      <w:r w:rsidR="53C7A6BF" w:rsidRPr="006E0C03">
        <w:rPr>
          <w:sz w:val="24"/>
          <w:szCs w:val="24"/>
        </w:rPr>
        <w:t>4.5</w:t>
      </w:r>
      <w:r w:rsidR="2E351C8C" w:rsidRPr="006E0C03">
        <w:rPr>
          <w:sz w:val="24"/>
          <w:szCs w:val="24"/>
        </w:rPr>
        <w:t xml:space="preserve"> miles from the </w:t>
      </w:r>
      <w:r w:rsidR="2600E8D0" w:rsidRPr="006E0C03">
        <w:rPr>
          <w:sz w:val="24"/>
          <w:szCs w:val="24"/>
        </w:rPr>
        <w:t>location of the fire at the Clean Harbors</w:t>
      </w:r>
      <w:r w:rsidR="2E351C8C" w:rsidRPr="006E0C03">
        <w:rPr>
          <w:sz w:val="24"/>
          <w:szCs w:val="24"/>
        </w:rPr>
        <w:t xml:space="preserve"> facility</w:t>
      </w:r>
      <w:r w:rsidR="2600E8D0" w:rsidRPr="006E0C03">
        <w:rPr>
          <w:sz w:val="24"/>
          <w:szCs w:val="24"/>
        </w:rPr>
        <w:t xml:space="preserve"> (Google Maps, 2023)</w:t>
      </w:r>
      <w:r w:rsidR="5F9EF5C9" w:rsidRPr="006E0C03">
        <w:rPr>
          <w:sz w:val="24"/>
          <w:szCs w:val="24"/>
        </w:rPr>
        <w:t>.</w:t>
      </w:r>
      <w:r w:rsidR="2E351C8C" w:rsidRPr="006E0C03">
        <w:rPr>
          <w:sz w:val="24"/>
          <w:szCs w:val="24"/>
        </w:rPr>
        <w:t xml:space="preserve"> </w:t>
      </w:r>
      <w:r w:rsidR="088870EF" w:rsidRPr="006E0C03">
        <w:rPr>
          <w:sz w:val="24"/>
          <w:szCs w:val="24"/>
        </w:rPr>
        <w:t>At this distance, it</w:t>
      </w:r>
      <w:r w:rsidR="647FC3EE">
        <w:rPr>
          <w:sz w:val="24"/>
          <w:szCs w:val="24"/>
        </w:rPr>
        <w:t xml:space="preserve"> i</w:t>
      </w:r>
      <w:r w:rsidR="088870EF" w:rsidRPr="006E0C03">
        <w:rPr>
          <w:sz w:val="24"/>
          <w:szCs w:val="24"/>
        </w:rPr>
        <w:t xml:space="preserve">s possible that </w:t>
      </w:r>
      <w:r w:rsidR="5B5FA5D2" w:rsidRPr="006E0C03">
        <w:rPr>
          <w:sz w:val="24"/>
          <w:szCs w:val="24"/>
        </w:rPr>
        <w:t xml:space="preserve">some </w:t>
      </w:r>
      <w:r w:rsidR="088870EF" w:rsidRPr="006E0C03">
        <w:rPr>
          <w:sz w:val="24"/>
          <w:szCs w:val="24"/>
        </w:rPr>
        <w:t>emissions from the fire may have reached the</w:t>
      </w:r>
      <w:r w:rsidR="4EB7DDE9" w:rsidRPr="006E0C03">
        <w:rPr>
          <w:sz w:val="24"/>
          <w:szCs w:val="24"/>
        </w:rPr>
        <w:t xml:space="preserve"> Great Pond Reservoir</w:t>
      </w:r>
      <w:r w:rsidR="68DC4E1F" w:rsidRPr="006E0C03">
        <w:rPr>
          <w:sz w:val="24"/>
          <w:szCs w:val="24"/>
        </w:rPr>
        <w:t xml:space="preserve"> System. </w:t>
      </w:r>
      <w:r w:rsidR="2D11BC76" w:rsidRPr="006E0C03">
        <w:rPr>
          <w:sz w:val="24"/>
          <w:szCs w:val="24"/>
        </w:rPr>
        <w:t>Because turbidity</w:t>
      </w:r>
      <w:r w:rsidR="00617330" w:rsidRPr="006E0C03">
        <w:rPr>
          <w:rStyle w:val="FootnoteReference"/>
          <w:sz w:val="24"/>
          <w:szCs w:val="24"/>
        </w:rPr>
        <w:footnoteReference w:id="11"/>
      </w:r>
      <w:r w:rsidR="2D11BC76" w:rsidRPr="006E0C03">
        <w:rPr>
          <w:sz w:val="24"/>
          <w:szCs w:val="24"/>
        </w:rPr>
        <w:t xml:space="preserve"> of public water systems is monitored daily (MassDEP, </w:t>
      </w:r>
      <w:r w:rsidR="0FBF9B27" w:rsidRPr="006E0C03">
        <w:rPr>
          <w:sz w:val="24"/>
          <w:szCs w:val="24"/>
        </w:rPr>
        <w:t>2019)</w:t>
      </w:r>
      <w:r w:rsidR="2128B1F6" w:rsidRPr="006E0C03">
        <w:rPr>
          <w:sz w:val="24"/>
          <w:szCs w:val="24"/>
        </w:rPr>
        <w:t xml:space="preserve">, </w:t>
      </w:r>
      <w:r w:rsidR="5B15D61B" w:rsidRPr="006E0C03">
        <w:rPr>
          <w:sz w:val="24"/>
          <w:szCs w:val="24"/>
        </w:rPr>
        <w:t xml:space="preserve">significant increases </w:t>
      </w:r>
      <w:r w:rsidR="046D3350" w:rsidRPr="006E0C03">
        <w:rPr>
          <w:sz w:val="24"/>
          <w:szCs w:val="24"/>
        </w:rPr>
        <w:t xml:space="preserve">in particulate matter </w:t>
      </w:r>
      <w:r w:rsidR="7E1FCFF3" w:rsidRPr="006E0C03">
        <w:rPr>
          <w:sz w:val="24"/>
          <w:szCs w:val="24"/>
        </w:rPr>
        <w:t>related to emissions from the fire would have been detected</w:t>
      </w:r>
      <w:r w:rsidR="1208642E" w:rsidRPr="006E0C03">
        <w:rPr>
          <w:sz w:val="24"/>
          <w:szCs w:val="24"/>
        </w:rPr>
        <w:t>.</w:t>
      </w:r>
      <w:r w:rsidR="4A8C8A70" w:rsidRPr="006E0C03">
        <w:rPr>
          <w:sz w:val="24"/>
          <w:szCs w:val="24"/>
        </w:rPr>
        <w:t xml:space="preserve"> As such, </w:t>
      </w:r>
      <w:r w:rsidR="286FCCD0" w:rsidRPr="006E0C03">
        <w:rPr>
          <w:sz w:val="24"/>
          <w:szCs w:val="24"/>
        </w:rPr>
        <w:t xml:space="preserve">customers would have been notified if </w:t>
      </w:r>
      <w:r w:rsidR="0FCE4E4C" w:rsidRPr="006E0C03">
        <w:rPr>
          <w:sz w:val="24"/>
          <w:szCs w:val="24"/>
        </w:rPr>
        <w:t>there were health concerns related to turbidity</w:t>
      </w:r>
      <w:r w:rsidR="1208642E" w:rsidRPr="006E0C03">
        <w:rPr>
          <w:sz w:val="24"/>
          <w:szCs w:val="24"/>
        </w:rPr>
        <w:t>.</w:t>
      </w:r>
    </w:p>
    <w:p w14:paraId="161787F1" w14:textId="35DAD0E9" w:rsidR="008A2CED" w:rsidRDefault="008A2CED" w:rsidP="002A3D68">
      <w:pPr>
        <w:pStyle w:val="Heading3"/>
      </w:pPr>
      <w:r>
        <w:t>5.2.3</w:t>
      </w:r>
      <w:r>
        <w:tab/>
        <w:t>Groundwater</w:t>
      </w:r>
    </w:p>
    <w:p w14:paraId="7A670201" w14:textId="309E0CB3" w:rsidR="00617DB5" w:rsidRPr="006E0C03" w:rsidRDefault="5958E4AE" w:rsidP="00D37BD4">
      <w:pPr>
        <w:keepNext/>
        <w:spacing w:after="240" w:line="240" w:lineRule="auto"/>
        <w:jc w:val="both"/>
        <w:rPr>
          <w:sz w:val="24"/>
          <w:szCs w:val="24"/>
        </w:rPr>
      </w:pPr>
      <w:r w:rsidRPr="006E0C03">
        <w:rPr>
          <w:sz w:val="24"/>
          <w:szCs w:val="24"/>
        </w:rPr>
        <w:t xml:space="preserve">The Clean Harbors site </w:t>
      </w:r>
      <w:r w:rsidR="14232766" w:rsidRPr="006E0C03">
        <w:rPr>
          <w:sz w:val="24"/>
          <w:szCs w:val="24"/>
        </w:rPr>
        <w:t xml:space="preserve">is unlikely to impact any groundwater.  For example, the site </w:t>
      </w:r>
      <w:r w:rsidRPr="006E0C03">
        <w:rPr>
          <w:sz w:val="24"/>
          <w:szCs w:val="24"/>
        </w:rPr>
        <w:t>falls under groundwater category GW-3: it is not located within a productive aquifer, Zone 2</w:t>
      </w:r>
      <w:r w:rsidR="00617DB5" w:rsidRPr="006E0C03">
        <w:rPr>
          <w:rStyle w:val="FootnoteReference"/>
          <w:sz w:val="24"/>
          <w:szCs w:val="24"/>
        </w:rPr>
        <w:footnoteReference w:id="12"/>
      </w:r>
      <w:r w:rsidRPr="006E0C03">
        <w:rPr>
          <w:sz w:val="24"/>
          <w:szCs w:val="24"/>
        </w:rPr>
        <w:t>, interim wellhead protection area, or other groundwater drinking resource areas. Moreover, as determined by soil investigations discussed in the IRAC report, contaminated firefighting water did not penetrate soil to a depth where it would impact groundwater (TTI, 2023).</w:t>
      </w:r>
    </w:p>
    <w:p w14:paraId="295446E9" w14:textId="0A46E089" w:rsidR="0065055D" w:rsidRDefault="0065055D" w:rsidP="00F3056A">
      <w:pPr>
        <w:keepNext/>
        <w:spacing w:after="0" w:line="240" w:lineRule="auto"/>
        <w:rPr>
          <w:b/>
          <w:bCs/>
        </w:rPr>
      </w:pPr>
    </w:p>
    <w:p w14:paraId="3EEA00E7" w14:textId="4F8644C6" w:rsidR="006E0C03" w:rsidRDefault="15FA1FDB" w:rsidP="006C429C">
      <w:pPr>
        <w:pStyle w:val="Heading1"/>
      </w:pPr>
      <w:r w:rsidRPr="006C429C">
        <w:t>Discussion</w:t>
      </w:r>
      <w:r>
        <w:t xml:space="preserve"> </w:t>
      </w:r>
    </w:p>
    <w:p w14:paraId="20108085" w14:textId="77777777" w:rsidR="007B798A" w:rsidRPr="007B798A" w:rsidRDefault="007B798A" w:rsidP="00D37BD4">
      <w:pPr>
        <w:spacing w:after="0" w:line="240" w:lineRule="auto"/>
      </w:pPr>
    </w:p>
    <w:p w14:paraId="105DEB56" w14:textId="1D8087EF" w:rsidR="00F4091B" w:rsidRPr="006E0C03" w:rsidRDefault="2D1DE439" w:rsidP="00D37BD4">
      <w:pPr>
        <w:keepNext/>
        <w:spacing w:after="240" w:line="240" w:lineRule="auto"/>
        <w:jc w:val="both"/>
        <w:rPr>
          <w:rFonts w:ascii="Calibri" w:eastAsia="Calibri" w:hAnsi="Calibri" w:cs="Calibri"/>
          <w:sz w:val="24"/>
          <w:szCs w:val="24"/>
        </w:rPr>
      </w:pPr>
      <w:r w:rsidRPr="431755CA">
        <w:rPr>
          <w:rFonts w:ascii="Calibri" w:eastAsia="Calibri" w:hAnsi="Calibri" w:cs="Calibri"/>
          <w:sz w:val="24"/>
          <w:szCs w:val="24"/>
        </w:rPr>
        <w:t xml:space="preserve">There is </w:t>
      </w:r>
      <w:r w:rsidR="744F4971" w:rsidRPr="431755CA">
        <w:rPr>
          <w:rFonts w:ascii="Calibri" w:eastAsia="Calibri" w:hAnsi="Calibri" w:cs="Calibri"/>
          <w:sz w:val="24"/>
          <w:szCs w:val="24"/>
        </w:rPr>
        <w:t xml:space="preserve">robust </w:t>
      </w:r>
      <w:r w:rsidRPr="431755CA">
        <w:rPr>
          <w:rFonts w:ascii="Calibri" w:eastAsia="Calibri" w:hAnsi="Calibri" w:cs="Calibri"/>
          <w:sz w:val="24"/>
          <w:szCs w:val="24"/>
        </w:rPr>
        <w:t xml:space="preserve">evidence </w:t>
      </w:r>
      <w:r w:rsidR="7BD6D71D" w:rsidRPr="431755CA">
        <w:rPr>
          <w:rFonts w:ascii="Calibri" w:eastAsia="Calibri" w:hAnsi="Calibri" w:cs="Calibri"/>
          <w:sz w:val="24"/>
          <w:szCs w:val="24"/>
        </w:rPr>
        <w:t>indicating that people</w:t>
      </w:r>
      <w:r w:rsidR="597A2D0C" w:rsidRPr="431755CA">
        <w:rPr>
          <w:rFonts w:ascii="Calibri" w:eastAsia="Calibri" w:hAnsi="Calibri" w:cs="Calibri"/>
          <w:sz w:val="24"/>
          <w:szCs w:val="24"/>
        </w:rPr>
        <w:t xml:space="preserve"> of color and low-income</w:t>
      </w:r>
      <w:r w:rsidR="3BAC4D3C" w:rsidRPr="431755CA">
        <w:rPr>
          <w:rFonts w:ascii="Calibri" w:eastAsia="Calibri" w:hAnsi="Calibri" w:cs="Calibri"/>
          <w:sz w:val="24"/>
          <w:szCs w:val="24"/>
        </w:rPr>
        <w:t xml:space="preserve"> </w:t>
      </w:r>
      <w:r w:rsidR="7BD6D71D" w:rsidRPr="431755CA">
        <w:rPr>
          <w:rFonts w:ascii="Calibri" w:eastAsia="Calibri" w:hAnsi="Calibri" w:cs="Calibri"/>
          <w:sz w:val="24"/>
          <w:szCs w:val="24"/>
        </w:rPr>
        <w:t>people have a greater risk of potential</w:t>
      </w:r>
      <w:r w:rsidR="319D09FE" w:rsidRPr="431755CA">
        <w:rPr>
          <w:rFonts w:ascii="Calibri" w:eastAsia="Calibri" w:hAnsi="Calibri" w:cs="Calibri"/>
          <w:sz w:val="24"/>
          <w:szCs w:val="24"/>
        </w:rPr>
        <w:t xml:space="preserve"> exposure to PM</w:t>
      </w:r>
      <w:r w:rsidR="1E0952AF" w:rsidRPr="431755CA">
        <w:rPr>
          <w:rFonts w:ascii="Calibri" w:eastAsia="Calibri" w:hAnsi="Calibri" w:cs="Calibri"/>
          <w:sz w:val="24"/>
          <w:szCs w:val="24"/>
          <w:vertAlign w:val="subscript"/>
        </w:rPr>
        <w:t>2.5</w:t>
      </w:r>
      <w:r w:rsidR="319D09FE" w:rsidRPr="431755CA">
        <w:rPr>
          <w:rFonts w:ascii="Calibri" w:eastAsia="Calibri" w:hAnsi="Calibri" w:cs="Calibri"/>
          <w:sz w:val="24"/>
          <w:szCs w:val="24"/>
        </w:rPr>
        <w:t xml:space="preserve">, </w:t>
      </w:r>
      <w:r w:rsidR="7BD6D71D" w:rsidRPr="431755CA">
        <w:rPr>
          <w:rFonts w:ascii="Calibri" w:eastAsia="Calibri" w:hAnsi="Calibri" w:cs="Calibri"/>
          <w:sz w:val="24"/>
          <w:szCs w:val="24"/>
        </w:rPr>
        <w:t>and a greater potential to</w:t>
      </w:r>
      <w:r w:rsidR="7C2F0C6A" w:rsidRPr="431755CA">
        <w:rPr>
          <w:rFonts w:ascii="Calibri" w:eastAsia="Calibri" w:hAnsi="Calibri" w:cs="Calibri"/>
          <w:sz w:val="24"/>
          <w:szCs w:val="24"/>
        </w:rPr>
        <w:t xml:space="preserve"> suffer from</w:t>
      </w:r>
      <w:r w:rsidR="3E063470" w:rsidRPr="431755CA">
        <w:rPr>
          <w:rFonts w:ascii="Calibri" w:eastAsia="Calibri" w:hAnsi="Calibri" w:cs="Calibri"/>
          <w:sz w:val="24"/>
          <w:szCs w:val="24"/>
        </w:rPr>
        <w:t xml:space="preserve"> adverse health effects from </w:t>
      </w:r>
      <w:r w:rsidR="7C2F0C6A" w:rsidRPr="431755CA">
        <w:rPr>
          <w:rFonts w:ascii="Calibri" w:eastAsia="Calibri" w:hAnsi="Calibri" w:cs="Calibri"/>
          <w:sz w:val="24"/>
          <w:szCs w:val="24"/>
        </w:rPr>
        <w:t xml:space="preserve">the </w:t>
      </w:r>
      <w:r w:rsidR="2CCDA1D5" w:rsidRPr="431755CA">
        <w:rPr>
          <w:rFonts w:ascii="Calibri" w:eastAsia="Calibri" w:hAnsi="Calibri" w:cs="Calibri"/>
          <w:sz w:val="24"/>
          <w:szCs w:val="24"/>
        </w:rPr>
        <w:t>exposure (</w:t>
      </w:r>
      <w:r w:rsidR="37CB3B2A" w:rsidRPr="431755CA">
        <w:rPr>
          <w:rFonts w:ascii="Calibri" w:eastAsia="Calibri" w:hAnsi="Calibri" w:cs="Calibri"/>
          <w:sz w:val="24"/>
          <w:szCs w:val="24"/>
        </w:rPr>
        <w:t xml:space="preserve">US </w:t>
      </w:r>
      <w:r w:rsidR="5CC3E051" w:rsidRPr="431755CA">
        <w:rPr>
          <w:rFonts w:ascii="Calibri" w:eastAsia="Calibri" w:hAnsi="Calibri" w:cs="Calibri"/>
          <w:sz w:val="24"/>
          <w:szCs w:val="24"/>
        </w:rPr>
        <w:t>EPA</w:t>
      </w:r>
      <w:r w:rsidR="06EEF419" w:rsidRPr="431755CA">
        <w:rPr>
          <w:rFonts w:ascii="Calibri" w:eastAsia="Calibri" w:hAnsi="Calibri" w:cs="Calibri"/>
          <w:sz w:val="24"/>
          <w:szCs w:val="24"/>
        </w:rPr>
        <w:t>,</w:t>
      </w:r>
      <w:r w:rsidR="5CC3E051" w:rsidRPr="431755CA">
        <w:rPr>
          <w:rFonts w:ascii="Calibri" w:eastAsia="Calibri" w:hAnsi="Calibri" w:cs="Calibri"/>
          <w:sz w:val="24"/>
          <w:szCs w:val="24"/>
        </w:rPr>
        <w:t xml:space="preserve"> 2019</w:t>
      </w:r>
      <w:r w:rsidR="6CD7F685" w:rsidRPr="431755CA">
        <w:rPr>
          <w:rFonts w:ascii="Calibri" w:eastAsia="Calibri" w:hAnsi="Calibri" w:cs="Calibri"/>
          <w:sz w:val="24"/>
          <w:szCs w:val="24"/>
        </w:rPr>
        <w:t>b</w:t>
      </w:r>
      <w:r w:rsidR="33559435" w:rsidRPr="431755CA">
        <w:rPr>
          <w:rFonts w:ascii="Calibri" w:eastAsia="Calibri" w:hAnsi="Calibri" w:cs="Calibri"/>
          <w:sz w:val="24"/>
          <w:szCs w:val="24"/>
        </w:rPr>
        <w:t>, 2022</w:t>
      </w:r>
      <w:r w:rsidR="0F78D804" w:rsidRPr="431755CA">
        <w:rPr>
          <w:rFonts w:ascii="Calibri" w:eastAsia="Calibri" w:hAnsi="Calibri" w:cs="Calibri"/>
          <w:sz w:val="24"/>
          <w:szCs w:val="24"/>
        </w:rPr>
        <w:t>c</w:t>
      </w:r>
      <w:r w:rsidR="3061B3A2" w:rsidRPr="431755CA">
        <w:rPr>
          <w:rFonts w:ascii="Calibri" w:eastAsia="Calibri" w:hAnsi="Calibri" w:cs="Calibri"/>
          <w:sz w:val="24"/>
          <w:szCs w:val="24"/>
        </w:rPr>
        <w:t>)</w:t>
      </w:r>
      <w:r w:rsidR="7C2F0C6A" w:rsidRPr="431755CA">
        <w:rPr>
          <w:rFonts w:ascii="Calibri" w:eastAsia="Calibri" w:hAnsi="Calibri" w:cs="Calibri"/>
          <w:sz w:val="24"/>
          <w:szCs w:val="24"/>
        </w:rPr>
        <w:t>. MDPH</w:t>
      </w:r>
      <w:r w:rsidR="3FD3FD80" w:rsidRPr="431755CA">
        <w:rPr>
          <w:rFonts w:ascii="Calibri" w:eastAsia="Calibri" w:hAnsi="Calibri" w:cs="Calibri"/>
          <w:sz w:val="24"/>
          <w:szCs w:val="24"/>
        </w:rPr>
        <w:t>/B</w:t>
      </w:r>
      <w:r w:rsidR="202946A7" w:rsidRPr="431755CA">
        <w:rPr>
          <w:rFonts w:ascii="Calibri" w:eastAsia="Calibri" w:hAnsi="Calibri" w:cs="Calibri"/>
          <w:sz w:val="24"/>
          <w:szCs w:val="24"/>
        </w:rPr>
        <w:t>C</w:t>
      </w:r>
      <w:r w:rsidR="3FD3FD80" w:rsidRPr="431755CA">
        <w:rPr>
          <w:rFonts w:ascii="Calibri" w:eastAsia="Calibri" w:hAnsi="Calibri" w:cs="Calibri"/>
          <w:sz w:val="24"/>
          <w:szCs w:val="24"/>
        </w:rPr>
        <w:t>EH</w:t>
      </w:r>
      <w:r w:rsidR="7C2F0C6A" w:rsidRPr="431755CA">
        <w:rPr>
          <w:rFonts w:ascii="Calibri" w:eastAsia="Calibri" w:hAnsi="Calibri" w:cs="Calibri"/>
          <w:sz w:val="24"/>
          <w:szCs w:val="24"/>
        </w:rPr>
        <w:t xml:space="preserve"> relied on the Massachusetts </w:t>
      </w:r>
      <w:r w:rsidR="6D4A9DAF" w:rsidRPr="431755CA">
        <w:rPr>
          <w:rFonts w:ascii="Calibri" w:eastAsia="Calibri" w:hAnsi="Calibri" w:cs="Calibri"/>
          <w:sz w:val="24"/>
          <w:szCs w:val="24"/>
        </w:rPr>
        <w:t xml:space="preserve">specific data </w:t>
      </w:r>
      <w:r w:rsidR="7C2F0C6A" w:rsidRPr="431755CA">
        <w:rPr>
          <w:rFonts w:ascii="Calibri" w:eastAsia="Calibri" w:hAnsi="Calibri" w:cs="Calibri"/>
          <w:sz w:val="24"/>
          <w:szCs w:val="24"/>
        </w:rPr>
        <w:t>to identify people that may be disproportionately burdened by poor air quality</w:t>
      </w:r>
      <w:r w:rsidR="461F9157" w:rsidRPr="431755CA">
        <w:rPr>
          <w:rFonts w:ascii="Calibri" w:eastAsia="Calibri" w:hAnsi="Calibri" w:cs="Calibri"/>
          <w:sz w:val="24"/>
          <w:szCs w:val="24"/>
        </w:rPr>
        <w:t xml:space="preserve"> (MEPHT, 2023)</w:t>
      </w:r>
      <w:r w:rsidR="7C2F0C6A" w:rsidRPr="431755CA">
        <w:rPr>
          <w:rFonts w:ascii="Calibri" w:eastAsia="Calibri" w:hAnsi="Calibri" w:cs="Calibri"/>
          <w:sz w:val="24"/>
          <w:szCs w:val="24"/>
        </w:rPr>
        <w:t>.</w:t>
      </w:r>
    </w:p>
    <w:p w14:paraId="5D87C52E" w14:textId="5D81DAFE" w:rsidR="61D75EF1" w:rsidRDefault="41CBEB42"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 xml:space="preserve">The Clean Harbors facility </w:t>
      </w:r>
      <w:r w:rsidR="005E1214" w:rsidRPr="23A4FC9A">
        <w:rPr>
          <w:rFonts w:ascii="Calibri" w:eastAsia="Calibri" w:hAnsi="Calibri" w:cs="Calibri"/>
          <w:sz w:val="24"/>
          <w:szCs w:val="24"/>
        </w:rPr>
        <w:t>is in</w:t>
      </w:r>
      <w:r w:rsidR="779D7CBC" w:rsidRPr="23A4FC9A">
        <w:rPr>
          <w:rFonts w:ascii="Calibri" w:eastAsia="Calibri" w:hAnsi="Calibri" w:cs="Calibri"/>
          <w:sz w:val="24"/>
          <w:szCs w:val="24"/>
        </w:rPr>
        <w:t xml:space="preserve"> an industrial area of Braintree</w:t>
      </w:r>
      <w:r w:rsidR="63382DE1" w:rsidRPr="23A4FC9A">
        <w:rPr>
          <w:rFonts w:ascii="Calibri" w:eastAsia="Calibri" w:hAnsi="Calibri" w:cs="Calibri"/>
          <w:sz w:val="24"/>
          <w:szCs w:val="24"/>
        </w:rPr>
        <w:t xml:space="preserve"> with residential communities</w:t>
      </w:r>
      <w:r w:rsidR="687A287C" w:rsidRPr="23A4FC9A">
        <w:rPr>
          <w:rFonts w:ascii="Calibri" w:eastAsia="Calibri" w:hAnsi="Calibri" w:cs="Calibri"/>
          <w:sz w:val="24"/>
          <w:szCs w:val="24"/>
        </w:rPr>
        <w:t xml:space="preserve"> to the south and </w:t>
      </w:r>
      <w:r w:rsidR="73B063A4" w:rsidRPr="23A4FC9A">
        <w:rPr>
          <w:rFonts w:ascii="Calibri" w:eastAsia="Calibri" w:hAnsi="Calibri" w:cs="Calibri"/>
          <w:sz w:val="24"/>
          <w:szCs w:val="24"/>
        </w:rPr>
        <w:t>west</w:t>
      </w:r>
      <w:r w:rsidR="2248A60F" w:rsidRPr="23A4FC9A">
        <w:rPr>
          <w:rFonts w:ascii="Calibri" w:eastAsia="Calibri" w:hAnsi="Calibri" w:cs="Calibri"/>
          <w:sz w:val="24"/>
          <w:szCs w:val="24"/>
        </w:rPr>
        <w:t xml:space="preserve"> of the facility</w:t>
      </w:r>
      <w:r w:rsidR="07830A7E" w:rsidRPr="23A4FC9A">
        <w:rPr>
          <w:rFonts w:ascii="Calibri" w:eastAsia="Calibri" w:hAnsi="Calibri" w:cs="Calibri"/>
          <w:sz w:val="24"/>
          <w:szCs w:val="24"/>
        </w:rPr>
        <w:t xml:space="preserve">. </w:t>
      </w:r>
      <w:r w:rsidR="5B45B955" w:rsidRPr="23A4FC9A">
        <w:rPr>
          <w:rFonts w:ascii="Calibri" w:eastAsia="Calibri" w:hAnsi="Calibri" w:cs="Calibri"/>
          <w:sz w:val="24"/>
          <w:szCs w:val="24"/>
        </w:rPr>
        <w:t xml:space="preserve"> </w:t>
      </w:r>
      <w:r w:rsidR="07830A7E" w:rsidRPr="23A4FC9A">
        <w:rPr>
          <w:rFonts w:ascii="Calibri" w:eastAsia="Calibri" w:hAnsi="Calibri" w:cs="Calibri"/>
          <w:sz w:val="24"/>
          <w:szCs w:val="24"/>
        </w:rPr>
        <w:t>Weymouth is</w:t>
      </w:r>
      <w:r w:rsidR="500556F8" w:rsidRPr="23A4FC9A">
        <w:rPr>
          <w:rFonts w:ascii="Calibri" w:eastAsia="Calibri" w:hAnsi="Calibri" w:cs="Calibri"/>
          <w:sz w:val="24"/>
          <w:szCs w:val="24"/>
        </w:rPr>
        <w:t xml:space="preserve"> across the </w:t>
      </w:r>
      <w:r w:rsidR="666939F5" w:rsidRPr="23A4FC9A">
        <w:rPr>
          <w:rFonts w:ascii="Calibri" w:eastAsia="Calibri" w:hAnsi="Calibri" w:cs="Calibri"/>
          <w:sz w:val="24"/>
          <w:szCs w:val="24"/>
        </w:rPr>
        <w:t>Fore River</w:t>
      </w:r>
      <w:r w:rsidR="0E80888F" w:rsidRPr="23A4FC9A">
        <w:rPr>
          <w:rFonts w:ascii="Calibri" w:eastAsia="Calibri" w:hAnsi="Calibri" w:cs="Calibri"/>
          <w:sz w:val="24"/>
          <w:szCs w:val="24"/>
        </w:rPr>
        <w:t xml:space="preserve"> to the northeast</w:t>
      </w:r>
      <w:r w:rsidR="461AFF9F" w:rsidRPr="23A4FC9A">
        <w:rPr>
          <w:rFonts w:ascii="Calibri" w:eastAsia="Calibri" w:hAnsi="Calibri" w:cs="Calibri"/>
          <w:sz w:val="24"/>
          <w:szCs w:val="24"/>
        </w:rPr>
        <w:t>,</w:t>
      </w:r>
      <w:r w:rsidR="0E80888F" w:rsidRPr="23A4FC9A">
        <w:rPr>
          <w:rFonts w:ascii="Calibri" w:eastAsia="Calibri" w:hAnsi="Calibri" w:cs="Calibri"/>
          <w:sz w:val="24"/>
          <w:szCs w:val="24"/>
        </w:rPr>
        <w:t xml:space="preserve"> </w:t>
      </w:r>
      <w:r w:rsidR="3AE1AA49" w:rsidRPr="23A4FC9A">
        <w:rPr>
          <w:rFonts w:ascii="Calibri" w:eastAsia="Calibri" w:hAnsi="Calibri" w:cs="Calibri"/>
          <w:sz w:val="24"/>
          <w:szCs w:val="24"/>
        </w:rPr>
        <w:t xml:space="preserve">and southeast </w:t>
      </w:r>
      <w:r w:rsidR="5C7A81DA" w:rsidRPr="23A4FC9A">
        <w:rPr>
          <w:rFonts w:ascii="Calibri" w:eastAsia="Calibri" w:hAnsi="Calibri" w:cs="Calibri"/>
          <w:sz w:val="24"/>
          <w:szCs w:val="24"/>
        </w:rPr>
        <w:t xml:space="preserve">and Quincy is located to the north of the facility. </w:t>
      </w:r>
      <w:r w:rsidR="5CDAE841" w:rsidRPr="23A4FC9A">
        <w:rPr>
          <w:rFonts w:ascii="Calibri" w:eastAsia="Calibri" w:hAnsi="Calibri" w:cs="Calibri"/>
          <w:sz w:val="24"/>
          <w:szCs w:val="24"/>
        </w:rPr>
        <w:t>Demographic data for Braintree</w:t>
      </w:r>
      <w:r w:rsidR="1B5BE06D" w:rsidRPr="23A4FC9A">
        <w:rPr>
          <w:rFonts w:ascii="Calibri" w:eastAsia="Calibri" w:hAnsi="Calibri" w:cs="Calibri"/>
          <w:sz w:val="24"/>
          <w:szCs w:val="24"/>
        </w:rPr>
        <w:t>, Quincy, and Weymouth</w:t>
      </w:r>
      <w:r w:rsidR="5CDAE841" w:rsidRPr="23A4FC9A">
        <w:rPr>
          <w:rFonts w:ascii="Calibri" w:eastAsia="Calibri" w:hAnsi="Calibri" w:cs="Calibri"/>
          <w:sz w:val="24"/>
          <w:szCs w:val="24"/>
        </w:rPr>
        <w:t xml:space="preserve"> </w:t>
      </w:r>
      <w:r w:rsidR="2173A3B4" w:rsidRPr="23A4FC9A">
        <w:rPr>
          <w:rFonts w:ascii="Calibri" w:eastAsia="Calibri" w:hAnsi="Calibri" w:cs="Calibri"/>
          <w:sz w:val="24"/>
          <w:szCs w:val="24"/>
        </w:rPr>
        <w:t>are</w:t>
      </w:r>
      <w:r w:rsidR="5CDAE841" w:rsidRPr="23A4FC9A">
        <w:rPr>
          <w:rFonts w:ascii="Calibri" w:eastAsia="Calibri" w:hAnsi="Calibri" w:cs="Calibri"/>
          <w:sz w:val="24"/>
          <w:szCs w:val="24"/>
        </w:rPr>
        <w:t xml:space="preserve"> described</w:t>
      </w:r>
      <w:r w:rsidR="6ABCB311" w:rsidRPr="23A4FC9A">
        <w:rPr>
          <w:rFonts w:ascii="Calibri" w:eastAsia="Calibri" w:hAnsi="Calibri" w:cs="Calibri"/>
          <w:sz w:val="24"/>
          <w:szCs w:val="24"/>
        </w:rPr>
        <w:t xml:space="preserve"> in </w:t>
      </w:r>
      <w:r w:rsidR="2173A3B4" w:rsidRPr="23A4FC9A">
        <w:rPr>
          <w:rFonts w:ascii="Calibri" w:eastAsia="Calibri" w:hAnsi="Calibri" w:cs="Calibri"/>
          <w:sz w:val="24"/>
          <w:szCs w:val="24"/>
        </w:rPr>
        <w:t>T</w:t>
      </w:r>
      <w:r w:rsidR="6ABCB311" w:rsidRPr="23A4FC9A">
        <w:rPr>
          <w:rFonts w:ascii="Calibri" w:eastAsia="Calibri" w:hAnsi="Calibri" w:cs="Calibri"/>
          <w:sz w:val="24"/>
          <w:szCs w:val="24"/>
        </w:rPr>
        <w:t>able</w:t>
      </w:r>
      <w:r w:rsidR="0D5C9F43" w:rsidRPr="23A4FC9A">
        <w:rPr>
          <w:rFonts w:ascii="Calibri" w:eastAsia="Calibri" w:hAnsi="Calibri" w:cs="Calibri"/>
          <w:sz w:val="24"/>
          <w:szCs w:val="24"/>
        </w:rPr>
        <w:t xml:space="preserve"> </w:t>
      </w:r>
      <w:r w:rsidR="5CDAE841" w:rsidRPr="23A4FC9A">
        <w:rPr>
          <w:rFonts w:ascii="Calibri" w:eastAsia="Calibri" w:hAnsi="Calibri" w:cs="Calibri"/>
          <w:sz w:val="24"/>
          <w:szCs w:val="24"/>
        </w:rPr>
        <w:t>6.</w:t>
      </w:r>
    </w:p>
    <w:p w14:paraId="5AFBAA8E" w14:textId="3D188C87" w:rsidR="003315D4" w:rsidRDefault="003315D4" w:rsidP="00990993">
      <w:pPr>
        <w:spacing w:line="254" w:lineRule="auto"/>
        <w:rPr>
          <w:rFonts w:ascii="Calibri" w:eastAsia="Calibri" w:hAnsi="Calibri" w:cs="Calibri"/>
          <w:sz w:val="24"/>
          <w:szCs w:val="24"/>
        </w:rPr>
      </w:pPr>
    </w:p>
    <w:p w14:paraId="73EA73A4" w14:textId="3D188C87" w:rsidR="003315D4" w:rsidRDefault="003315D4" w:rsidP="00990993">
      <w:pPr>
        <w:spacing w:line="254" w:lineRule="auto"/>
        <w:rPr>
          <w:rFonts w:ascii="Calibri" w:eastAsia="Calibri" w:hAnsi="Calibri" w:cs="Calibri"/>
          <w:sz w:val="24"/>
          <w:szCs w:val="24"/>
        </w:rPr>
      </w:pPr>
    </w:p>
    <w:tbl>
      <w:tblPr>
        <w:tblW w:w="9025" w:type="dxa"/>
        <w:tblCellMar>
          <w:left w:w="0" w:type="dxa"/>
          <w:right w:w="0" w:type="dxa"/>
        </w:tblCellMar>
        <w:tblLook w:val="04A0" w:firstRow="1" w:lastRow="0" w:firstColumn="1" w:lastColumn="0" w:noHBand="0" w:noVBand="1"/>
      </w:tblPr>
      <w:tblGrid>
        <w:gridCol w:w="5190"/>
        <w:gridCol w:w="1263"/>
        <w:gridCol w:w="1162"/>
        <w:gridCol w:w="1410"/>
      </w:tblGrid>
      <w:tr w:rsidR="00F97EF2" w:rsidRPr="00975001" w14:paraId="0B59AAE6" w14:textId="05CB3057" w:rsidTr="23A4FC9A">
        <w:trPr>
          <w:trHeight w:val="420"/>
        </w:trPr>
        <w:tc>
          <w:tcPr>
            <w:tcW w:w="9025"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0A376B" w14:textId="288635B4" w:rsidR="00F97EF2" w:rsidRPr="00975001" w:rsidRDefault="00F97EF2" w:rsidP="007A101C">
            <w:pPr>
              <w:keepNext/>
              <w:keepLines/>
              <w:spacing w:after="0" w:line="240" w:lineRule="auto"/>
              <w:rPr>
                <w:rFonts w:ascii="Calibri" w:hAnsi="Calibri" w:cs="Calibri"/>
                <w:b/>
                <w:bCs/>
                <w:color w:val="000000"/>
                <w:kern w:val="0"/>
                <w:sz w:val="24"/>
                <w:szCs w:val="24"/>
                <w14:ligatures w14:val="none"/>
              </w:rPr>
            </w:pPr>
            <w:r w:rsidRPr="00975001">
              <w:rPr>
                <w:rFonts w:ascii="Calibri" w:hAnsi="Calibri" w:cs="Calibri"/>
                <w:b/>
                <w:bCs/>
                <w:color w:val="000000"/>
                <w:kern w:val="0"/>
                <w:sz w:val="24"/>
                <w:szCs w:val="24"/>
                <w14:ligatures w14:val="none"/>
              </w:rPr>
              <w:t xml:space="preserve">Table 6: Demographic Data for Braintree, </w:t>
            </w:r>
            <w:r>
              <w:rPr>
                <w:rFonts w:ascii="Calibri" w:hAnsi="Calibri" w:cs="Calibri"/>
                <w:b/>
                <w:bCs/>
                <w:color w:val="000000"/>
                <w:kern w:val="0"/>
                <w:sz w:val="24"/>
                <w:szCs w:val="24"/>
                <w14:ligatures w14:val="none"/>
              </w:rPr>
              <w:t>Quincy and Weymouth</w:t>
            </w:r>
            <w:r w:rsidRPr="00E4120A">
              <w:rPr>
                <w:rFonts w:ascii="Calibri" w:hAnsi="Calibri" w:cs="Calibri"/>
                <w:b/>
                <w:bCs/>
                <w:color w:val="000000"/>
                <w:kern w:val="0"/>
                <w:sz w:val="24"/>
                <w:szCs w:val="24"/>
                <w:vertAlign w:val="superscript"/>
                <w14:ligatures w14:val="none"/>
              </w:rPr>
              <w:t>1</w:t>
            </w:r>
          </w:p>
        </w:tc>
      </w:tr>
      <w:tr w:rsidR="00D475B2" w:rsidRPr="00975001" w14:paraId="7EE8F964" w14:textId="100AC0FF"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tcPr>
          <w:p w14:paraId="6317DAF9"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tcPr>
          <w:p w14:paraId="253860DE" w14:textId="196C2F56" w:rsidR="00705306" w:rsidRPr="00F97EF2" w:rsidRDefault="00705306" w:rsidP="007A101C">
            <w:pPr>
              <w:keepNext/>
              <w:keepLines/>
              <w:spacing w:after="0" w:line="240" w:lineRule="auto"/>
              <w:jc w:val="center"/>
              <w:rPr>
                <w:rFonts w:ascii="Calibri" w:hAnsi="Calibri" w:cs="Calibri"/>
                <w:b/>
                <w:bCs/>
                <w:color w:val="000000"/>
                <w:kern w:val="0"/>
                <w:sz w:val="24"/>
                <w:szCs w:val="24"/>
                <w14:ligatures w14:val="none"/>
              </w:rPr>
            </w:pPr>
            <w:r w:rsidRPr="00F97EF2">
              <w:rPr>
                <w:rFonts w:ascii="Calibri" w:hAnsi="Calibri" w:cs="Calibri"/>
                <w:b/>
                <w:bCs/>
                <w:color w:val="000000"/>
                <w:kern w:val="0"/>
                <w:sz w:val="24"/>
                <w:szCs w:val="24"/>
                <w14:ligatures w14:val="none"/>
              </w:rPr>
              <w:t>Braintree</w:t>
            </w:r>
          </w:p>
        </w:tc>
        <w:tc>
          <w:tcPr>
            <w:tcW w:w="1162" w:type="dxa"/>
            <w:tcBorders>
              <w:top w:val="nil"/>
              <w:left w:val="nil"/>
              <w:bottom w:val="single" w:sz="8" w:space="0" w:color="auto"/>
              <w:right w:val="single" w:sz="8" w:space="0" w:color="auto"/>
            </w:tcBorders>
            <w:shd w:val="clear" w:color="auto" w:fill="DDEBF7"/>
          </w:tcPr>
          <w:p w14:paraId="0AFC94C1" w14:textId="3843DCA5" w:rsidR="00705306" w:rsidRPr="00F97EF2" w:rsidRDefault="00705306" w:rsidP="007A101C">
            <w:pPr>
              <w:keepNext/>
              <w:keepLines/>
              <w:spacing w:after="0" w:line="240" w:lineRule="auto"/>
              <w:jc w:val="center"/>
              <w:rPr>
                <w:rFonts w:ascii="Calibri" w:hAnsi="Calibri" w:cs="Calibri"/>
                <w:b/>
                <w:bCs/>
                <w:color w:val="000000"/>
                <w:kern w:val="0"/>
                <w:sz w:val="24"/>
                <w:szCs w:val="24"/>
                <w14:ligatures w14:val="none"/>
              </w:rPr>
            </w:pPr>
            <w:r w:rsidRPr="00F97EF2">
              <w:rPr>
                <w:rFonts w:ascii="Calibri" w:hAnsi="Calibri" w:cs="Calibri"/>
                <w:b/>
                <w:bCs/>
                <w:color w:val="000000"/>
                <w:kern w:val="0"/>
                <w:sz w:val="24"/>
                <w:szCs w:val="24"/>
                <w14:ligatures w14:val="none"/>
              </w:rPr>
              <w:t>Quincy</w:t>
            </w:r>
          </w:p>
        </w:tc>
        <w:tc>
          <w:tcPr>
            <w:tcW w:w="1410" w:type="dxa"/>
            <w:tcBorders>
              <w:top w:val="nil"/>
              <w:left w:val="nil"/>
              <w:bottom w:val="single" w:sz="8" w:space="0" w:color="auto"/>
              <w:right w:val="single" w:sz="8" w:space="0" w:color="auto"/>
            </w:tcBorders>
            <w:shd w:val="clear" w:color="auto" w:fill="DDEBF7"/>
          </w:tcPr>
          <w:p w14:paraId="079AA8EB" w14:textId="64755D51" w:rsidR="00705306" w:rsidRPr="00F97EF2" w:rsidRDefault="00D475B2" w:rsidP="007A101C">
            <w:pPr>
              <w:keepNext/>
              <w:keepLines/>
              <w:spacing w:after="0" w:line="240" w:lineRule="auto"/>
              <w:jc w:val="center"/>
              <w:rPr>
                <w:rFonts w:ascii="Calibri" w:hAnsi="Calibri" w:cs="Calibri"/>
                <w:b/>
                <w:bCs/>
                <w:color w:val="000000"/>
                <w:kern w:val="0"/>
                <w:sz w:val="24"/>
                <w:szCs w:val="24"/>
                <w14:ligatures w14:val="none"/>
              </w:rPr>
            </w:pPr>
            <w:r w:rsidRPr="00F97EF2">
              <w:rPr>
                <w:rFonts w:ascii="Calibri" w:hAnsi="Calibri" w:cs="Calibri"/>
                <w:b/>
                <w:bCs/>
                <w:color w:val="000000"/>
                <w:kern w:val="0"/>
                <w:sz w:val="24"/>
                <w:szCs w:val="24"/>
                <w14:ligatures w14:val="none"/>
              </w:rPr>
              <w:t>Weymouth</w:t>
            </w:r>
          </w:p>
        </w:tc>
      </w:tr>
      <w:tr w:rsidR="00D475B2" w:rsidRPr="00975001" w14:paraId="09CC33F5" w14:textId="2E3B32EC"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6FB99271"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Total Population</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3D33DDAE"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35,747</w:t>
            </w:r>
          </w:p>
        </w:tc>
        <w:tc>
          <w:tcPr>
            <w:tcW w:w="1162" w:type="dxa"/>
            <w:tcBorders>
              <w:top w:val="nil"/>
              <w:left w:val="nil"/>
              <w:bottom w:val="single" w:sz="8" w:space="0" w:color="auto"/>
              <w:right w:val="single" w:sz="8" w:space="0" w:color="auto"/>
            </w:tcBorders>
            <w:shd w:val="clear" w:color="auto" w:fill="DDEBF7"/>
          </w:tcPr>
          <w:p w14:paraId="1DD98E0D" w14:textId="1C878135" w:rsidR="00705306" w:rsidRPr="00975001" w:rsidRDefault="007B4440"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92,254</w:t>
            </w:r>
          </w:p>
        </w:tc>
        <w:tc>
          <w:tcPr>
            <w:tcW w:w="1410" w:type="dxa"/>
            <w:tcBorders>
              <w:top w:val="nil"/>
              <w:left w:val="nil"/>
              <w:bottom w:val="single" w:sz="8" w:space="0" w:color="auto"/>
              <w:right w:val="single" w:sz="8" w:space="0" w:color="auto"/>
            </w:tcBorders>
            <w:shd w:val="clear" w:color="auto" w:fill="DDEBF7"/>
          </w:tcPr>
          <w:p w14:paraId="301D6579" w14:textId="6EE7D60F" w:rsidR="00705306" w:rsidRPr="00975001" w:rsidRDefault="00AC1D7E"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53,749</w:t>
            </w:r>
          </w:p>
        </w:tc>
      </w:tr>
      <w:tr w:rsidR="00D475B2" w:rsidRPr="00975001" w14:paraId="5DC2AC40" w14:textId="36A44617" w:rsidTr="23A4FC9A">
        <w:trPr>
          <w:trHeight w:val="290"/>
        </w:trPr>
        <w:tc>
          <w:tcPr>
            <w:tcW w:w="519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9F1E603"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White</w:t>
            </w:r>
          </w:p>
        </w:tc>
        <w:tc>
          <w:tcPr>
            <w:tcW w:w="12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0120124"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81%</w:t>
            </w:r>
          </w:p>
        </w:tc>
        <w:tc>
          <w:tcPr>
            <w:tcW w:w="1162" w:type="dxa"/>
            <w:tcBorders>
              <w:top w:val="nil"/>
              <w:left w:val="nil"/>
              <w:bottom w:val="single" w:sz="8" w:space="0" w:color="auto"/>
              <w:right w:val="single" w:sz="8" w:space="0" w:color="auto"/>
            </w:tcBorders>
          </w:tcPr>
          <w:p w14:paraId="0ADB43D8" w14:textId="22E77862" w:rsidR="00705306" w:rsidRPr="00975001" w:rsidRDefault="00351F39"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61%</w:t>
            </w:r>
          </w:p>
        </w:tc>
        <w:tc>
          <w:tcPr>
            <w:tcW w:w="1410" w:type="dxa"/>
            <w:tcBorders>
              <w:top w:val="nil"/>
              <w:left w:val="nil"/>
              <w:bottom w:val="single" w:sz="8" w:space="0" w:color="auto"/>
              <w:right w:val="single" w:sz="8" w:space="0" w:color="auto"/>
            </w:tcBorders>
          </w:tcPr>
          <w:p w14:paraId="5721BBC4" w14:textId="032DDE70"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84%</w:t>
            </w:r>
          </w:p>
        </w:tc>
      </w:tr>
      <w:tr w:rsidR="00D475B2" w:rsidRPr="00975001" w14:paraId="0A772B66" w14:textId="77C582D5"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056FBDA"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Black or African American</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7408A38C"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3%</w:t>
            </w:r>
          </w:p>
        </w:tc>
        <w:tc>
          <w:tcPr>
            <w:tcW w:w="1162" w:type="dxa"/>
            <w:tcBorders>
              <w:top w:val="nil"/>
              <w:left w:val="nil"/>
              <w:bottom w:val="single" w:sz="8" w:space="0" w:color="auto"/>
              <w:right w:val="single" w:sz="8" w:space="0" w:color="auto"/>
            </w:tcBorders>
            <w:shd w:val="clear" w:color="auto" w:fill="DDEBF7"/>
          </w:tcPr>
          <w:p w14:paraId="408AA95C" w14:textId="329958DA" w:rsidR="00705306" w:rsidRPr="00975001" w:rsidRDefault="00F0730E"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5%</w:t>
            </w:r>
          </w:p>
        </w:tc>
        <w:tc>
          <w:tcPr>
            <w:tcW w:w="1410" w:type="dxa"/>
            <w:tcBorders>
              <w:top w:val="nil"/>
              <w:left w:val="nil"/>
              <w:bottom w:val="single" w:sz="8" w:space="0" w:color="auto"/>
              <w:right w:val="single" w:sz="8" w:space="0" w:color="auto"/>
            </w:tcBorders>
            <w:shd w:val="clear" w:color="auto" w:fill="DDEBF7"/>
          </w:tcPr>
          <w:p w14:paraId="6F391A44" w14:textId="7808D246"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6%</w:t>
            </w:r>
          </w:p>
        </w:tc>
      </w:tr>
      <w:tr w:rsidR="00D475B2" w:rsidRPr="00975001" w14:paraId="63D2A7A5" w14:textId="2B75F0D7" w:rsidTr="23A4FC9A">
        <w:trPr>
          <w:trHeight w:val="290"/>
        </w:trPr>
        <w:tc>
          <w:tcPr>
            <w:tcW w:w="519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8C88D26"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Asian</w:t>
            </w:r>
          </w:p>
        </w:tc>
        <w:tc>
          <w:tcPr>
            <w:tcW w:w="12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0DB9AE8"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14%</w:t>
            </w:r>
          </w:p>
        </w:tc>
        <w:tc>
          <w:tcPr>
            <w:tcW w:w="1162" w:type="dxa"/>
            <w:tcBorders>
              <w:top w:val="nil"/>
              <w:left w:val="nil"/>
              <w:bottom w:val="single" w:sz="8" w:space="0" w:color="auto"/>
              <w:right w:val="single" w:sz="8" w:space="0" w:color="auto"/>
            </w:tcBorders>
          </w:tcPr>
          <w:p w14:paraId="78BE34CC" w14:textId="5A30DC33" w:rsidR="00705306" w:rsidRPr="00975001" w:rsidRDefault="00B64A66"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30%</w:t>
            </w:r>
          </w:p>
        </w:tc>
        <w:tc>
          <w:tcPr>
            <w:tcW w:w="1410" w:type="dxa"/>
            <w:tcBorders>
              <w:top w:val="nil"/>
              <w:left w:val="nil"/>
              <w:bottom w:val="single" w:sz="8" w:space="0" w:color="auto"/>
              <w:right w:val="single" w:sz="8" w:space="0" w:color="auto"/>
            </w:tcBorders>
          </w:tcPr>
          <w:p w14:paraId="66A53162" w14:textId="269FDBE3"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7%</w:t>
            </w:r>
          </w:p>
        </w:tc>
      </w:tr>
      <w:tr w:rsidR="00D475B2" w:rsidRPr="00975001" w14:paraId="1309A3E1" w14:textId="4C815884"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23765E54"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Other</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0F0D79E3"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3%</w:t>
            </w:r>
          </w:p>
        </w:tc>
        <w:tc>
          <w:tcPr>
            <w:tcW w:w="1162" w:type="dxa"/>
            <w:tcBorders>
              <w:top w:val="nil"/>
              <w:left w:val="nil"/>
              <w:bottom w:val="single" w:sz="8" w:space="0" w:color="auto"/>
              <w:right w:val="single" w:sz="8" w:space="0" w:color="auto"/>
            </w:tcBorders>
            <w:shd w:val="clear" w:color="auto" w:fill="DDEBF7"/>
          </w:tcPr>
          <w:p w14:paraId="32A0ED05" w14:textId="024312BF" w:rsidR="00705306" w:rsidRPr="00975001" w:rsidRDefault="00B64A66"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w:t>
            </w:r>
          </w:p>
        </w:tc>
        <w:tc>
          <w:tcPr>
            <w:tcW w:w="1410" w:type="dxa"/>
            <w:tcBorders>
              <w:top w:val="nil"/>
              <w:left w:val="nil"/>
              <w:bottom w:val="single" w:sz="8" w:space="0" w:color="auto"/>
              <w:right w:val="single" w:sz="8" w:space="0" w:color="auto"/>
            </w:tcBorders>
            <w:shd w:val="clear" w:color="auto" w:fill="DDEBF7"/>
          </w:tcPr>
          <w:p w14:paraId="192D96B9" w14:textId="648E0445"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w:t>
            </w:r>
          </w:p>
        </w:tc>
      </w:tr>
      <w:tr w:rsidR="00D475B2" w:rsidRPr="00975001" w14:paraId="0C0AFBC7" w14:textId="334FFC41" w:rsidTr="23A4FC9A">
        <w:trPr>
          <w:trHeight w:val="290"/>
        </w:trPr>
        <w:tc>
          <w:tcPr>
            <w:tcW w:w="519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3E09ADE"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Hispanic or Latino (of Any Race)</w:t>
            </w:r>
          </w:p>
        </w:tc>
        <w:tc>
          <w:tcPr>
            <w:tcW w:w="12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AA23654"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2%</w:t>
            </w:r>
          </w:p>
        </w:tc>
        <w:tc>
          <w:tcPr>
            <w:tcW w:w="1162" w:type="dxa"/>
            <w:tcBorders>
              <w:top w:val="nil"/>
              <w:left w:val="nil"/>
              <w:bottom w:val="single" w:sz="8" w:space="0" w:color="auto"/>
              <w:right w:val="single" w:sz="8" w:space="0" w:color="auto"/>
            </w:tcBorders>
          </w:tcPr>
          <w:p w14:paraId="24B2883D" w14:textId="1D0AD395" w:rsidR="00705306" w:rsidRPr="00975001" w:rsidRDefault="00B0108E"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w:t>
            </w:r>
          </w:p>
        </w:tc>
        <w:tc>
          <w:tcPr>
            <w:tcW w:w="1410" w:type="dxa"/>
            <w:tcBorders>
              <w:top w:val="nil"/>
              <w:left w:val="nil"/>
              <w:bottom w:val="single" w:sz="8" w:space="0" w:color="auto"/>
              <w:right w:val="single" w:sz="8" w:space="0" w:color="auto"/>
            </w:tcBorders>
          </w:tcPr>
          <w:p w14:paraId="1E8D0C4D" w14:textId="59C65BD5"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4%</w:t>
            </w:r>
          </w:p>
        </w:tc>
      </w:tr>
      <w:tr w:rsidR="00D475B2" w:rsidRPr="00975001" w14:paraId="1CAEE918" w14:textId="6020BE36"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C69AACE"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Populations 65 Years and Older</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CCA6C71"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17%</w:t>
            </w:r>
          </w:p>
        </w:tc>
        <w:tc>
          <w:tcPr>
            <w:tcW w:w="1162" w:type="dxa"/>
            <w:tcBorders>
              <w:top w:val="nil"/>
              <w:left w:val="nil"/>
              <w:bottom w:val="single" w:sz="8" w:space="0" w:color="auto"/>
              <w:right w:val="single" w:sz="8" w:space="0" w:color="auto"/>
            </w:tcBorders>
            <w:shd w:val="clear" w:color="auto" w:fill="DDEBF7"/>
          </w:tcPr>
          <w:p w14:paraId="4FCCCC70" w14:textId="1518895D" w:rsidR="00705306" w:rsidRPr="00975001" w:rsidRDefault="007111DC"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17%</w:t>
            </w:r>
          </w:p>
        </w:tc>
        <w:tc>
          <w:tcPr>
            <w:tcW w:w="1410" w:type="dxa"/>
            <w:tcBorders>
              <w:top w:val="nil"/>
              <w:left w:val="nil"/>
              <w:bottom w:val="single" w:sz="8" w:space="0" w:color="auto"/>
              <w:right w:val="single" w:sz="8" w:space="0" w:color="auto"/>
            </w:tcBorders>
            <w:shd w:val="clear" w:color="auto" w:fill="DDEBF7"/>
          </w:tcPr>
          <w:p w14:paraId="632DF761" w14:textId="7B78C199" w:rsidR="00705306" w:rsidRPr="00975001" w:rsidRDefault="00812A73"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18%</w:t>
            </w:r>
          </w:p>
        </w:tc>
      </w:tr>
      <w:tr w:rsidR="00D475B2" w:rsidRPr="00975001" w14:paraId="11BE38FB" w14:textId="1D8928AF" w:rsidTr="23A4FC9A">
        <w:trPr>
          <w:trHeight w:val="290"/>
        </w:trPr>
        <w:tc>
          <w:tcPr>
            <w:tcW w:w="519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14:paraId="7D31007A"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Populations 19 Years or Younger</w:t>
            </w:r>
          </w:p>
        </w:tc>
        <w:tc>
          <w:tcPr>
            <w:tcW w:w="12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BEC4274"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24%</w:t>
            </w:r>
          </w:p>
        </w:tc>
        <w:tc>
          <w:tcPr>
            <w:tcW w:w="1162" w:type="dxa"/>
            <w:tcBorders>
              <w:top w:val="nil"/>
              <w:left w:val="nil"/>
              <w:bottom w:val="single" w:sz="8" w:space="0" w:color="auto"/>
              <w:right w:val="single" w:sz="8" w:space="0" w:color="auto"/>
            </w:tcBorders>
          </w:tcPr>
          <w:p w14:paraId="62253C33" w14:textId="28C053AF" w:rsidR="00705306" w:rsidRPr="00975001" w:rsidRDefault="007111DC"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16%</w:t>
            </w:r>
          </w:p>
        </w:tc>
        <w:tc>
          <w:tcPr>
            <w:tcW w:w="1410" w:type="dxa"/>
            <w:tcBorders>
              <w:top w:val="nil"/>
              <w:left w:val="nil"/>
              <w:bottom w:val="single" w:sz="8" w:space="0" w:color="auto"/>
              <w:right w:val="single" w:sz="8" w:space="0" w:color="auto"/>
            </w:tcBorders>
          </w:tcPr>
          <w:p w14:paraId="31EA90D9" w14:textId="2FAE8AB0" w:rsidR="00705306" w:rsidRPr="00975001" w:rsidRDefault="00812A73"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20%</w:t>
            </w:r>
          </w:p>
        </w:tc>
      </w:tr>
      <w:tr w:rsidR="00D475B2" w:rsidRPr="00975001" w14:paraId="0EDDE99E" w14:textId="5882E814"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499CAAAF"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Population with No High School Degree</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A4CC994"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6%</w:t>
            </w:r>
          </w:p>
        </w:tc>
        <w:tc>
          <w:tcPr>
            <w:tcW w:w="1162" w:type="dxa"/>
            <w:tcBorders>
              <w:top w:val="nil"/>
              <w:left w:val="nil"/>
              <w:bottom w:val="single" w:sz="8" w:space="0" w:color="auto"/>
              <w:right w:val="single" w:sz="8" w:space="0" w:color="auto"/>
            </w:tcBorders>
            <w:shd w:val="clear" w:color="auto" w:fill="DDEBF7"/>
          </w:tcPr>
          <w:p w14:paraId="08A50725" w14:textId="2F6CC347" w:rsidR="00705306" w:rsidRPr="00975001" w:rsidRDefault="00B0108E"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12%</w:t>
            </w:r>
          </w:p>
        </w:tc>
        <w:tc>
          <w:tcPr>
            <w:tcW w:w="1410" w:type="dxa"/>
            <w:tcBorders>
              <w:top w:val="nil"/>
              <w:left w:val="nil"/>
              <w:bottom w:val="single" w:sz="8" w:space="0" w:color="auto"/>
              <w:right w:val="single" w:sz="8" w:space="0" w:color="auto"/>
            </w:tcBorders>
            <w:shd w:val="clear" w:color="auto" w:fill="DDEBF7"/>
          </w:tcPr>
          <w:p w14:paraId="310E3736" w14:textId="35C3036D"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6%</w:t>
            </w:r>
          </w:p>
        </w:tc>
      </w:tr>
      <w:tr w:rsidR="00D475B2" w:rsidRPr="00975001" w14:paraId="3DE74416" w14:textId="2F8264F2" w:rsidTr="23A4FC9A">
        <w:trPr>
          <w:trHeight w:val="290"/>
        </w:trPr>
        <w:tc>
          <w:tcPr>
            <w:tcW w:w="519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258045F"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Households with Income Base Less than $60,000</w:t>
            </w:r>
          </w:p>
        </w:tc>
        <w:tc>
          <w:tcPr>
            <w:tcW w:w="12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5ACB6A2"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31%</w:t>
            </w:r>
          </w:p>
        </w:tc>
        <w:tc>
          <w:tcPr>
            <w:tcW w:w="1162" w:type="dxa"/>
            <w:tcBorders>
              <w:top w:val="nil"/>
              <w:left w:val="nil"/>
              <w:bottom w:val="single" w:sz="8" w:space="0" w:color="auto"/>
              <w:right w:val="single" w:sz="8" w:space="0" w:color="auto"/>
            </w:tcBorders>
          </w:tcPr>
          <w:p w14:paraId="46FBF445" w14:textId="7407E2FD" w:rsidR="00705306" w:rsidRPr="00975001" w:rsidRDefault="007111DC"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30</w:t>
            </w:r>
            <w:r w:rsidR="00B0108E">
              <w:rPr>
                <w:rFonts w:ascii="Calibri" w:hAnsi="Calibri" w:cs="Calibri"/>
                <w:color w:val="000000"/>
                <w:kern w:val="0"/>
                <w:sz w:val="24"/>
                <w:szCs w:val="24"/>
                <w14:ligatures w14:val="none"/>
              </w:rPr>
              <w:t>%</w:t>
            </w:r>
          </w:p>
        </w:tc>
        <w:tc>
          <w:tcPr>
            <w:tcW w:w="1410" w:type="dxa"/>
            <w:tcBorders>
              <w:top w:val="nil"/>
              <w:left w:val="nil"/>
              <w:bottom w:val="single" w:sz="8" w:space="0" w:color="auto"/>
              <w:right w:val="single" w:sz="8" w:space="0" w:color="auto"/>
            </w:tcBorders>
          </w:tcPr>
          <w:p w14:paraId="38676098" w14:textId="0BEC78D1"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34%</w:t>
            </w:r>
          </w:p>
        </w:tc>
      </w:tr>
      <w:tr w:rsidR="00D475B2" w:rsidRPr="00975001" w14:paraId="1A054BBC" w14:textId="1BE07DF0" w:rsidTr="23A4FC9A">
        <w:trPr>
          <w:trHeight w:val="290"/>
        </w:trPr>
        <w:tc>
          <w:tcPr>
            <w:tcW w:w="519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6C2BD4A9" w14:textId="77777777" w:rsidR="00705306" w:rsidRPr="00975001" w:rsidRDefault="00705306" w:rsidP="007A101C">
            <w:pPr>
              <w:keepNext/>
              <w:keepLines/>
              <w:spacing w:after="0" w:line="240" w:lineRule="auto"/>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Population Speaking English Not Well or Not at All</w:t>
            </w:r>
          </w:p>
        </w:tc>
        <w:tc>
          <w:tcPr>
            <w:tcW w:w="126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688A3AF9" w14:textId="77777777" w:rsidR="00705306" w:rsidRPr="00975001" w:rsidRDefault="00705306" w:rsidP="007A101C">
            <w:pPr>
              <w:keepNext/>
              <w:keepLines/>
              <w:spacing w:after="0" w:line="240" w:lineRule="auto"/>
              <w:jc w:val="center"/>
              <w:rPr>
                <w:rFonts w:ascii="Calibri" w:hAnsi="Calibri" w:cs="Calibri"/>
                <w:color w:val="000000"/>
                <w:kern w:val="0"/>
                <w:sz w:val="24"/>
                <w:szCs w:val="24"/>
                <w14:ligatures w14:val="none"/>
              </w:rPr>
            </w:pPr>
            <w:r w:rsidRPr="00975001">
              <w:rPr>
                <w:rFonts w:ascii="Calibri" w:hAnsi="Calibri" w:cs="Calibri"/>
                <w:color w:val="000000"/>
                <w:kern w:val="0"/>
                <w:sz w:val="24"/>
                <w:szCs w:val="24"/>
                <w14:ligatures w14:val="none"/>
              </w:rPr>
              <w:t>4%</w:t>
            </w:r>
          </w:p>
        </w:tc>
        <w:tc>
          <w:tcPr>
            <w:tcW w:w="1162" w:type="dxa"/>
            <w:tcBorders>
              <w:top w:val="nil"/>
              <w:left w:val="nil"/>
              <w:bottom w:val="single" w:sz="8" w:space="0" w:color="auto"/>
              <w:right w:val="single" w:sz="8" w:space="0" w:color="auto"/>
            </w:tcBorders>
            <w:shd w:val="clear" w:color="auto" w:fill="DDEBF7"/>
          </w:tcPr>
          <w:p w14:paraId="2234165D" w14:textId="5979F212" w:rsidR="00705306" w:rsidRPr="00975001" w:rsidRDefault="00C45BFE"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12%</w:t>
            </w:r>
          </w:p>
        </w:tc>
        <w:tc>
          <w:tcPr>
            <w:tcW w:w="1410" w:type="dxa"/>
            <w:tcBorders>
              <w:top w:val="nil"/>
              <w:left w:val="nil"/>
              <w:bottom w:val="single" w:sz="8" w:space="0" w:color="auto"/>
              <w:right w:val="single" w:sz="8" w:space="0" w:color="auto"/>
            </w:tcBorders>
            <w:shd w:val="clear" w:color="auto" w:fill="DDEBF7"/>
          </w:tcPr>
          <w:p w14:paraId="0E4C2CD8" w14:textId="41925E97" w:rsidR="00705306" w:rsidRPr="00975001" w:rsidRDefault="002001B1" w:rsidP="007A101C">
            <w:pPr>
              <w:keepNext/>
              <w:keepLines/>
              <w:spacing w:after="0" w:line="240" w:lineRule="auto"/>
              <w:jc w:val="center"/>
              <w:rPr>
                <w:rFonts w:ascii="Calibri" w:hAnsi="Calibri" w:cs="Calibri"/>
                <w:color w:val="000000"/>
                <w:kern w:val="0"/>
                <w:sz w:val="24"/>
                <w:szCs w:val="24"/>
                <w14:ligatures w14:val="none"/>
              </w:rPr>
            </w:pPr>
            <w:r>
              <w:rPr>
                <w:rFonts w:ascii="Calibri" w:hAnsi="Calibri" w:cs="Calibri"/>
                <w:color w:val="000000"/>
                <w:kern w:val="0"/>
                <w:sz w:val="24"/>
                <w:szCs w:val="24"/>
                <w14:ligatures w14:val="none"/>
              </w:rPr>
              <w:t>3%</w:t>
            </w:r>
          </w:p>
        </w:tc>
      </w:tr>
    </w:tbl>
    <w:p w14:paraId="69BA2992" w14:textId="04B80158" w:rsidR="00756927" w:rsidRPr="00E4120A" w:rsidRDefault="00142E6D" w:rsidP="00990993">
      <w:pPr>
        <w:spacing w:line="254" w:lineRule="auto"/>
        <w:rPr>
          <w:rFonts w:ascii="Calibri" w:eastAsia="Calibri" w:hAnsi="Calibri" w:cs="Calibri"/>
          <w:sz w:val="20"/>
          <w:szCs w:val="20"/>
        </w:rPr>
      </w:pPr>
      <w:r w:rsidRPr="00E4120A">
        <w:rPr>
          <w:rFonts w:ascii="Calibri" w:eastAsia="Calibri" w:hAnsi="Calibri" w:cs="Calibri"/>
          <w:sz w:val="20"/>
          <w:szCs w:val="20"/>
          <w:vertAlign w:val="superscript"/>
        </w:rPr>
        <w:t>1</w:t>
      </w:r>
      <w:r w:rsidRPr="00E4120A">
        <w:rPr>
          <w:rFonts w:ascii="Calibri" w:eastAsia="Calibri" w:hAnsi="Calibri" w:cs="Calibri"/>
          <w:sz w:val="20"/>
          <w:szCs w:val="20"/>
        </w:rPr>
        <w:t xml:space="preserve">Data from </w:t>
      </w:r>
      <w:r w:rsidR="00E4120A" w:rsidRPr="00E4120A">
        <w:rPr>
          <w:rFonts w:ascii="Calibri" w:eastAsia="Calibri" w:hAnsi="Calibri" w:cs="Calibri"/>
          <w:sz w:val="20"/>
          <w:szCs w:val="20"/>
        </w:rPr>
        <w:t>Massachusetts</w:t>
      </w:r>
      <w:r w:rsidR="00AA27A2" w:rsidRPr="00E4120A">
        <w:rPr>
          <w:rFonts w:ascii="Calibri" w:eastAsia="Calibri" w:hAnsi="Calibri" w:cs="Calibri"/>
          <w:sz w:val="20"/>
          <w:szCs w:val="20"/>
        </w:rPr>
        <w:t xml:space="preserve"> Environmental Public Health Tracking </w:t>
      </w:r>
      <w:r w:rsidR="00E4120A" w:rsidRPr="00E4120A">
        <w:rPr>
          <w:rFonts w:ascii="Calibri" w:eastAsia="Calibri" w:hAnsi="Calibri" w:cs="Calibri"/>
          <w:sz w:val="20"/>
          <w:szCs w:val="20"/>
        </w:rPr>
        <w:t>(MEPHT, 2023).</w:t>
      </w:r>
    </w:p>
    <w:p w14:paraId="1998CB5F" w14:textId="797D86B8" w:rsidR="61D75EF1" w:rsidRPr="006E0C03" w:rsidRDefault="33847A9D"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 xml:space="preserve">An </w:t>
      </w:r>
      <w:r w:rsidR="1F4B266E" w:rsidRPr="23A4FC9A">
        <w:rPr>
          <w:rFonts w:ascii="Calibri" w:eastAsia="Calibri" w:hAnsi="Calibri" w:cs="Calibri"/>
          <w:sz w:val="24"/>
          <w:szCs w:val="24"/>
        </w:rPr>
        <w:t xml:space="preserve">overview of </w:t>
      </w:r>
      <w:r w:rsidR="22834004" w:rsidRPr="23A4FC9A">
        <w:rPr>
          <w:rFonts w:ascii="Calibri" w:eastAsia="Calibri" w:hAnsi="Calibri" w:cs="Calibri"/>
          <w:sz w:val="24"/>
          <w:szCs w:val="24"/>
        </w:rPr>
        <w:t xml:space="preserve">the </w:t>
      </w:r>
      <w:r w:rsidR="1F4B266E" w:rsidRPr="23A4FC9A">
        <w:rPr>
          <w:rFonts w:ascii="Calibri" w:eastAsia="Calibri" w:hAnsi="Calibri" w:cs="Calibri"/>
          <w:sz w:val="24"/>
          <w:szCs w:val="24"/>
        </w:rPr>
        <w:t>baseline health conditions for these communities was summarized in a 2019 Health Impact Assessment (HIA) for a Proposed Natural Gas Compressor Station in the Fore River Basin area of Weymouth, MA, across the river to the northeast</w:t>
      </w:r>
      <w:r w:rsidR="73D27220" w:rsidRPr="23A4FC9A">
        <w:rPr>
          <w:rFonts w:ascii="Calibri" w:eastAsia="Calibri" w:hAnsi="Calibri" w:cs="Calibri"/>
          <w:sz w:val="24"/>
          <w:szCs w:val="24"/>
        </w:rPr>
        <w:t xml:space="preserve"> </w:t>
      </w:r>
      <w:r w:rsidR="32B357EA" w:rsidRPr="23A4FC9A">
        <w:rPr>
          <w:rFonts w:ascii="Calibri" w:eastAsia="Calibri" w:hAnsi="Calibri" w:cs="Calibri"/>
          <w:sz w:val="24"/>
          <w:szCs w:val="24"/>
        </w:rPr>
        <w:t xml:space="preserve">of the Clean Harbors </w:t>
      </w:r>
      <w:r w:rsidR="1F4B266E" w:rsidRPr="23A4FC9A">
        <w:rPr>
          <w:rFonts w:ascii="Calibri" w:eastAsia="Calibri" w:hAnsi="Calibri" w:cs="Calibri"/>
          <w:sz w:val="24"/>
          <w:szCs w:val="24"/>
        </w:rPr>
        <w:t xml:space="preserve">site. Findings of this report </w:t>
      </w:r>
      <w:r w:rsidR="3E48F3C9" w:rsidRPr="23A4FC9A">
        <w:rPr>
          <w:rFonts w:ascii="Calibri" w:eastAsia="Calibri" w:hAnsi="Calibri" w:cs="Calibri"/>
          <w:sz w:val="24"/>
          <w:szCs w:val="24"/>
        </w:rPr>
        <w:t>indicate</w:t>
      </w:r>
      <w:r w:rsidR="1F4B266E" w:rsidRPr="23A4FC9A">
        <w:rPr>
          <w:rFonts w:ascii="Calibri" w:eastAsia="Calibri" w:hAnsi="Calibri" w:cs="Calibri"/>
          <w:sz w:val="24"/>
          <w:szCs w:val="24"/>
        </w:rPr>
        <w:t xml:space="preserve"> elevated rates of hospitalizations for chronic obstructive pulmonary disease (COPD), cardiac conditions (heart attack hospitalizations), and certain types of cancer for Braintree, Quincy, and Weymouth</w:t>
      </w:r>
      <w:r w:rsidR="4ABAAB1A" w:rsidRPr="23A4FC9A">
        <w:rPr>
          <w:rFonts w:ascii="Calibri" w:eastAsia="Calibri" w:hAnsi="Calibri" w:cs="Calibri"/>
          <w:sz w:val="24"/>
          <w:szCs w:val="24"/>
        </w:rPr>
        <w:t xml:space="preserve"> when compared to Massachusetts state averages</w:t>
      </w:r>
      <w:r w:rsidR="1F4B266E" w:rsidRPr="23A4FC9A">
        <w:rPr>
          <w:rFonts w:ascii="Calibri" w:eastAsia="Calibri" w:hAnsi="Calibri" w:cs="Calibri"/>
          <w:sz w:val="24"/>
          <w:szCs w:val="24"/>
        </w:rPr>
        <w:t>. Weymouth also had elevated rates of pediatric asthma and asthma hospitalizations. (</w:t>
      </w:r>
      <w:r w:rsidR="54516F0D" w:rsidRPr="23A4FC9A">
        <w:rPr>
          <w:rFonts w:eastAsia="Times New Roman"/>
          <w:sz w:val="24"/>
          <w:szCs w:val="24"/>
        </w:rPr>
        <w:t>MDPH/MassDEP/MAPC</w:t>
      </w:r>
      <w:r w:rsidR="54516F0D" w:rsidRPr="23A4FC9A">
        <w:rPr>
          <w:rFonts w:ascii="Calibri" w:eastAsia="Calibri" w:hAnsi="Calibri" w:cs="Calibri"/>
          <w:sz w:val="24"/>
          <w:szCs w:val="24"/>
        </w:rPr>
        <w:t xml:space="preserve"> </w:t>
      </w:r>
      <w:r w:rsidR="1F4B266E" w:rsidRPr="23A4FC9A">
        <w:rPr>
          <w:rFonts w:ascii="Calibri" w:eastAsia="Calibri" w:hAnsi="Calibri" w:cs="Calibri"/>
          <w:sz w:val="24"/>
          <w:szCs w:val="24"/>
        </w:rPr>
        <w:t>2019).</w:t>
      </w:r>
    </w:p>
    <w:p w14:paraId="73117EB3" w14:textId="093A1D95" w:rsidR="61D75EF1" w:rsidRPr="006E0C03" w:rsidRDefault="1F1FE7DC" w:rsidP="00D37BD4">
      <w:pPr>
        <w:keepNext/>
        <w:spacing w:after="240" w:line="240" w:lineRule="auto"/>
        <w:jc w:val="both"/>
        <w:rPr>
          <w:rFonts w:ascii="Calibri" w:eastAsia="Calibri" w:hAnsi="Calibri" w:cs="Calibri"/>
          <w:sz w:val="24"/>
          <w:szCs w:val="24"/>
        </w:rPr>
      </w:pPr>
      <w:r w:rsidRPr="006E0C03">
        <w:rPr>
          <w:rFonts w:ascii="Calibri" w:eastAsia="Calibri" w:hAnsi="Calibri" w:cs="Calibri"/>
          <w:sz w:val="24"/>
          <w:szCs w:val="24"/>
        </w:rPr>
        <w:t>A</w:t>
      </w:r>
      <w:r w:rsidR="37639F1C" w:rsidRPr="006E0C03">
        <w:rPr>
          <w:rFonts w:ascii="Calibri" w:eastAsia="Calibri" w:hAnsi="Calibri" w:cs="Calibri"/>
          <w:sz w:val="24"/>
          <w:szCs w:val="24"/>
        </w:rPr>
        <w:t xml:space="preserve"> review of currently available data </w:t>
      </w:r>
      <w:r w:rsidR="4D424371" w:rsidRPr="006E0C03">
        <w:rPr>
          <w:rFonts w:ascii="Calibri" w:eastAsia="Calibri" w:hAnsi="Calibri" w:cs="Calibri"/>
          <w:sz w:val="24"/>
          <w:szCs w:val="24"/>
        </w:rPr>
        <w:t>for</w:t>
      </w:r>
      <w:r w:rsidR="2A4E18F7" w:rsidRPr="006E0C03">
        <w:rPr>
          <w:rFonts w:ascii="Calibri" w:eastAsia="Calibri" w:hAnsi="Calibri" w:cs="Calibri"/>
          <w:sz w:val="24"/>
          <w:szCs w:val="24"/>
        </w:rPr>
        <w:t xml:space="preserve"> communities</w:t>
      </w:r>
      <w:r w:rsidR="3318E6D0" w:rsidRPr="006E0C03">
        <w:rPr>
          <w:rFonts w:ascii="Calibri" w:eastAsia="Calibri" w:hAnsi="Calibri" w:cs="Calibri"/>
          <w:sz w:val="24"/>
          <w:szCs w:val="24"/>
        </w:rPr>
        <w:t xml:space="preserve"> near</w:t>
      </w:r>
      <w:r w:rsidR="5277317A" w:rsidRPr="006E0C03">
        <w:rPr>
          <w:rFonts w:ascii="Calibri" w:eastAsia="Calibri" w:hAnsi="Calibri" w:cs="Calibri"/>
          <w:sz w:val="24"/>
          <w:szCs w:val="24"/>
        </w:rPr>
        <w:t xml:space="preserve"> the Clean Harbors </w:t>
      </w:r>
      <w:r w:rsidR="418E27E2" w:rsidRPr="006E0C03">
        <w:rPr>
          <w:rFonts w:ascii="Calibri" w:eastAsia="Calibri" w:hAnsi="Calibri" w:cs="Calibri"/>
          <w:sz w:val="24"/>
          <w:szCs w:val="24"/>
        </w:rPr>
        <w:t xml:space="preserve">site </w:t>
      </w:r>
      <w:r w:rsidR="37639F1C" w:rsidRPr="006E0C03">
        <w:rPr>
          <w:rFonts w:ascii="Calibri" w:eastAsia="Calibri" w:hAnsi="Calibri" w:cs="Calibri"/>
          <w:sz w:val="24"/>
          <w:szCs w:val="24"/>
        </w:rPr>
        <w:t>shows Braintree, Quincy, and Weymouth each with neighborhoods</w:t>
      </w:r>
      <w:r w:rsidR="00DE61E6" w:rsidRPr="006E0C03">
        <w:rPr>
          <w:rStyle w:val="FootnoteReference"/>
          <w:rFonts w:ascii="Calibri" w:eastAsia="Calibri" w:hAnsi="Calibri" w:cs="Calibri"/>
          <w:sz w:val="24"/>
          <w:szCs w:val="24"/>
        </w:rPr>
        <w:footnoteReference w:id="13"/>
      </w:r>
      <w:r w:rsidR="0D4425CA" w:rsidRPr="006E0C03">
        <w:rPr>
          <w:rFonts w:ascii="Calibri" w:eastAsia="Calibri" w:hAnsi="Calibri" w:cs="Calibri"/>
          <w:sz w:val="24"/>
          <w:szCs w:val="24"/>
        </w:rPr>
        <w:t xml:space="preserve"> </w:t>
      </w:r>
      <w:r w:rsidR="00313B0C">
        <w:rPr>
          <w:rFonts w:ascii="Calibri" w:eastAsia="Calibri" w:hAnsi="Calibri" w:cs="Calibri"/>
          <w:sz w:val="24"/>
          <w:szCs w:val="24"/>
        </w:rPr>
        <w:t>meeting one or more of the EJ policy criteria for income,</w:t>
      </w:r>
      <w:r w:rsidR="002F2E5A">
        <w:rPr>
          <w:rFonts w:ascii="Calibri" w:eastAsia="Calibri" w:hAnsi="Calibri" w:cs="Calibri"/>
          <w:sz w:val="24"/>
          <w:szCs w:val="24"/>
        </w:rPr>
        <w:t xml:space="preserve"> </w:t>
      </w:r>
      <w:r w:rsidR="00313B0C">
        <w:rPr>
          <w:rFonts w:ascii="Calibri" w:eastAsia="Calibri" w:hAnsi="Calibri" w:cs="Calibri"/>
          <w:sz w:val="24"/>
          <w:szCs w:val="24"/>
        </w:rPr>
        <w:t>English isolation, and community of color.</w:t>
      </w:r>
      <w:r w:rsidR="37639F1C" w:rsidRPr="006E0C03">
        <w:rPr>
          <w:rFonts w:ascii="Calibri" w:eastAsia="Calibri" w:hAnsi="Calibri" w:cs="Calibri"/>
          <w:sz w:val="24"/>
          <w:szCs w:val="24"/>
        </w:rPr>
        <w:t xml:space="preserve"> This equates to 37% of the Braintree population, 82% of the Quincy population, and 32% of the Weymouth population</w:t>
      </w:r>
      <w:r w:rsidR="03608F3F" w:rsidRPr="006E0C03">
        <w:rPr>
          <w:rFonts w:ascii="Calibri" w:eastAsia="Calibri" w:hAnsi="Calibri" w:cs="Calibri"/>
          <w:sz w:val="24"/>
          <w:szCs w:val="24"/>
        </w:rPr>
        <w:t xml:space="preserve"> being defined as </w:t>
      </w:r>
      <w:r w:rsidR="37639F1C" w:rsidRPr="006E0C03">
        <w:rPr>
          <w:rFonts w:ascii="Calibri" w:eastAsia="Calibri" w:hAnsi="Calibri" w:cs="Calibri"/>
          <w:sz w:val="24"/>
          <w:szCs w:val="24"/>
        </w:rPr>
        <w:t xml:space="preserve">living in EJ neighborhoods. </w:t>
      </w:r>
      <w:r w:rsidR="22AAB3B8" w:rsidRPr="006E0C03">
        <w:rPr>
          <w:rFonts w:ascii="Calibri" w:eastAsia="Calibri" w:hAnsi="Calibri" w:cs="Calibri"/>
          <w:sz w:val="24"/>
          <w:szCs w:val="24"/>
        </w:rPr>
        <w:t xml:space="preserve"> The MDPH </w:t>
      </w:r>
      <w:r w:rsidR="6BEE9691" w:rsidRPr="000E2C2B">
        <w:rPr>
          <w:rFonts w:ascii="Calibri" w:eastAsia="Calibri" w:hAnsi="Calibri" w:cs="Calibri"/>
          <w:sz w:val="24"/>
          <w:szCs w:val="24"/>
        </w:rPr>
        <w:t>Community Profiles show that 4%, 12%, and 3% of the population in Braintree, Quincy, and Weymouth (respectively) do not speak English well or not at all</w:t>
      </w:r>
      <w:r w:rsidR="39DCD7E7" w:rsidRPr="000E2C2B">
        <w:rPr>
          <w:rFonts w:ascii="Calibri" w:eastAsia="Calibri" w:hAnsi="Calibri" w:cs="Calibri"/>
          <w:sz w:val="24"/>
          <w:szCs w:val="24"/>
        </w:rPr>
        <w:t xml:space="preserve">, and </w:t>
      </w:r>
      <w:r w:rsidR="005E1214" w:rsidRPr="000E2C2B">
        <w:rPr>
          <w:rFonts w:ascii="Calibri" w:eastAsia="Calibri" w:hAnsi="Calibri" w:cs="Calibri"/>
          <w:sz w:val="24"/>
          <w:szCs w:val="24"/>
        </w:rPr>
        <w:t>most of</w:t>
      </w:r>
      <w:r w:rsidR="6BEE9691" w:rsidRPr="000E2C2B">
        <w:rPr>
          <w:rFonts w:ascii="Calibri" w:eastAsia="Calibri" w:hAnsi="Calibri" w:cs="Calibri"/>
          <w:sz w:val="24"/>
          <w:szCs w:val="24"/>
        </w:rPr>
        <w:t xml:space="preserve"> the population in these municipalities are proficient in English (</w:t>
      </w:r>
      <w:r w:rsidR="26AF2ABF" w:rsidRPr="3ABFC02F">
        <w:rPr>
          <w:rFonts w:ascii="Calibri" w:eastAsia="Calibri" w:hAnsi="Calibri" w:cs="Calibri"/>
          <w:sz w:val="24"/>
          <w:szCs w:val="24"/>
        </w:rPr>
        <w:t>M</w:t>
      </w:r>
      <w:r w:rsidR="0F838A6D" w:rsidRPr="3ABFC02F">
        <w:rPr>
          <w:rFonts w:ascii="Calibri" w:eastAsia="Calibri" w:hAnsi="Calibri" w:cs="Calibri"/>
          <w:sz w:val="24"/>
          <w:szCs w:val="24"/>
        </w:rPr>
        <w:t>EPHT</w:t>
      </w:r>
      <w:r w:rsidR="23C7DEE2" w:rsidRPr="000E2C2B">
        <w:rPr>
          <w:rFonts w:ascii="Calibri" w:eastAsia="Calibri" w:hAnsi="Calibri" w:cs="Calibri"/>
          <w:sz w:val="24"/>
          <w:szCs w:val="24"/>
        </w:rPr>
        <w:t xml:space="preserve"> </w:t>
      </w:r>
      <w:r w:rsidR="6BEE9691" w:rsidRPr="000E2C2B">
        <w:rPr>
          <w:rFonts w:ascii="Calibri" w:eastAsia="Calibri" w:hAnsi="Calibri" w:cs="Calibri"/>
          <w:sz w:val="24"/>
          <w:szCs w:val="24"/>
        </w:rPr>
        <w:t>2023b).</w:t>
      </w:r>
      <w:r w:rsidR="0CB1D0A7" w:rsidRPr="3ABFC02F">
        <w:rPr>
          <w:rFonts w:ascii="Calibri" w:eastAsia="Calibri" w:hAnsi="Calibri" w:cs="Calibri"/>
          <w:sz w:val="24"/>
          <w:szCs w:val="24"/>
        </w:rPr>
        <w:t xml:space="preserve"> </w:t>
      </w:r>
    </w:p>
    <w:p w14:paraId="3B1D08F8" w14:textId="18373382" w:rsidR="335800BA" w:rsidRDefault="4C06CA00"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 xml:space="preserve">When evaluating EJ data more closely within these municipalities, </w:t>
      </w:r>
      <w:r w:rsidR="005E1214" w:rsidRPr="23A4FC9A">
        <w:rPr>
          <w:rFonts w:ascii="Calibri" w:eastAsia="Calibri" w:hAnsi="Calibri" w:cs="Calibri"/>
          <w:sz w:val="24"/>
          <w:szCs w:val="24"/>
        </w:rPr>
        <w:t>most</w:t>
      </w:r>
      <w:r w:rsidRPr="23A4FC9A">
        <w:rPr>
          <w:rFonts w:ascii="Calibri" w:eastAsia="Calibri" w:hAnsi="Calibri" w:cs="Calibri"/>
          <w:sz w:val="24"/>
          <w:szCs w:val="24"/>
        </w:rPr>
        <w:t xml:space="preserve"> neighborhoods (US Census block groups) near the site speak predominantly English</w:t>
      </w:r>
      <w:r w:rsidR="3E3E9262" w:rsidRPr="23A4FC9A">
        <w:rPr>
          <w:rFonts w:ascii="Calibri" w:eastAsia="Calibri" w:hAnsi="Calibri" w:cs="Calibri"/>
          <w:sz w:val="24"/>
          <w:szCs w:val="24"/>
        </w:rPr>
        <w:t>,</w:t>
      </w:r>
      <w:r w:rsidRPr="23A4FC9A">
        <w:rPr>
          <w:rFonts w:ascii="Calibri" w:eastAsia="Calibri" w:hAnsi="Calibri" w:cs="Calibri"/>
          <w:sz w:val="24"/>
          <w:szCs w:val="24"/>
        </w:rPr>
        <w:t xml:space="preserve"> consistent with what is seen at the community level. However, there are three neighborhoods within two miles of the site that meet English isolation EJ criteria. The Braintree neighborhood where the Clean Harbors site is located, meets </w:t>
      </w:r>
      <w:r w:rsidR="43898CC6" w:rsidRPr="23A4FC9A">
        <w:rPr>
          <w:rFonts w:ascii="Calibri" w:eastAsia="Calibri" w:hAnsi="Calibri" w:cs="Calibri"/>
          <w:sz w:val="24"/>
          <w:szCs w:val="24"/>
        </w:rPr>
        <w:t>two</w:t>
      </w:r>
      <w:r w:rsidRPr="23A4FC9A">
        <w:rPr>
          <w:rFonts w:ascii="Calibri" w:eastAsia="Calibri" w:hAnsi="Calibri" w:cs="Calibri"/>
          <w:sz w:val="24"/>
          <w:szCs w:val="24"/>
        </w:rPr>
        <w:t xml:space="preserve"> EJ criteria</w:t>
      </w:r>
      <w:r w:rsidR="1F470428" w:rsidRPr="23A4FC9A">
        <w:rPr>
          <w:rFonts w:ascii="Calibri" w:eastAsia="Calibri" w:hAnsi="Calibri" w:cs="Calibri"/>
          <w:sz w:val="24"/>
          <w:szCs w:val="24"/>
        </w:rPr>
        <w:t>,</w:t>
      </w:r>
      <w:r w:rsidRPr="23A4FC9A">
        <w:rPr>
          <w:rFonts w:ascii="Calibri" w:eastAsia="Calibri" w:hAnsi="Calibri" w:cs="Calibri"/>
          <w:sz w:val="24"/>
          <w:szCs w:val="24"/>
        </w:rPr>
        <w:t xml:space="preserve"> community of color </w:t>
      </w:r>
      <w:r w:rsidR="1A2BFCB6" w:rsidRPr="23A4FC9A">
        <w:rPr>
          <w:rFonts w:ascii="Calibri" w:eastAsia="Calibri" w:hAnsi="Calibri" w:cs="Calibri"/>
          <w:sz w:val="24"/>
          <w:szCs w:val="24"/>
        </w:rPr>
        <w:t>and English Isolation</w:t>
      </w:r>
      <w:r w:rsidR="0D012021" w:rsidRPr="23A4FC9A">
        <w:rPr>
          <w:rFonts w:ascii="Calibri" w:eastAsia="Calibri" w:hAnsi="Calibri" w:cs="Calibri"/>
          <w:sz w:val="24"/>
          <w:szCs w:val="24"/>
        </w:rPr>
        <w:t>,</w:t>
      </w:r>
      <w:r w:rsidR="1A2BFCB6" w:rsidRPr="23A4FC9A">
        <w:rPr>
          <w:rFonts w:ascii="Calibri" w:eastAsia="Calibri" w:hAnsi="Calibri" w:cs="Calibri"/>
          <w:sz w:val="24"/>
          <w:szCs w:val="24"/>
        </w:rPr>
        <w:t xml:space="preserve"> </w:t>
      </w:r>
      <w:r w:rsidRPr="23A4FC9A">
        <w:rPr>
          <w:rFonts w:ascii="Calibri" w:eastAsia="Calibri" w:hAnsi="Calibri" w:cs="Calibri"/>
          <w:sz w:val="24"/>
          <w:szCs w:val="24"/>
        </w:rPr>
        <w:t>with 25% of the residents not fluent in English. Two other neighborhoods further north and northwest of the site in Quincy, meet th</w:t>
      </w:r>
      <w:r w:rsidR="1DA5F61F" w:rsidRPr="23A4FC9A">
        <w:rPr>
          <w:rFonts w:ascii="Calibri" w:eastAsia="Calibri" w:hAnsi="Calibri" w:cs="Calibri"/>
          <w:sz w:val="24"/>
          <w:szCs w:val="24"/>
        </w:rPr>
        <w:t>re</w:t>
      </w:r>
      <w:r w:rsidRPr="23A4FC9A">
        <w:rPr>
          <w:rFonts w:ascii="Calibri" w:eastAsia="Calibri" w:hAnsi="Calibri" w:cs="Calibri"/>
          <w:sz w:val="24"/>
          <w:szCs w:val="24"/>
        </w:rPr>
        <w:t xml:space="preserve">e </w:t>
      </w:r>
      <w:r w:rsidR="3D603C13" w:rsidRPr="23A4FC9A">
        <w:rPr>
          <w:rFonts w:ascii="Calibri" w:eastAsia="Calibri" w:hAnsi="Calibri" w:cs="Calibri"/>
          <w:sz w:val="24"/>
          <w:szCs w:val="24"/>
        </w:rPr>
        <w:t xml:space="preserve">EJ </w:t>
      </w:r>
      <w:r w:rsidRPr="23A4FC9A">
        <w:rPr>
          <w:rFonts w:ascii="Calibri" w:eastAsia="Calibri" w:hAnsi="Calibri" w:cs="Calibri"/>
          <w:sz w:val="24"/>
          <w:szCs w:val="24"/>
        </w:rPr>
        <w:t>criteria</w:t>
      </w:r>
      <w:r w:rsidR="1CFB7B08" w:rsidRPr="23A4FC9A">
        <w:rPr>
          <w:rFonts w:ascii="Calibri" w:eastAsia="Calibri" w:hAnsi="Calibri" w:cs="Calibri"/>
          <w:sz w:val="24"/>
          <w:szCs w:val="24"/>
        </w:rPr>
        <w:t>,</w:t>
      </w:r>
      <w:r w:rsidRPr="23A4FC9A">
        <w:rPr>
          <w:rFonts w:ascii="Calibri" w:eastAsia="Calibri" w:hAnsi="Calibri" w:cs="Calibri"/>
          <w:sz w:val="24"/>
          <w:szCs w:val="24"/>
        </w:rPr>
        <w:t xml:space="preserve"> for communities of color, income, and English isolation (2</w:t>
      </w:r>
      <w:r w:rsidR="7FF7956B" w:rsidRPr="23A4FC9A">
        <w:rPr>
          <w:rFonts w:ascii="Calibri" w:eastAsia="Calibri" w:hAnsi="Calibri" w:cs="Calibri"/>
          <w:sz w:val="24"/>
          <w:szCs w:val="24"/>
        </w:rPr>
        <w:t>9</w:t>
      </w:r>
      <w:r w:rsidRPr="23A4FC9A">
        <w:rPr>
          <w:rFonts w:ascii="Calibri" w:eastAsia="Calibri" w:hAnsi="Calibri" w:cs="Calibri"/>
          <w:sz w:val="24"/>
          <w:szCs w:val="24"/>
        </w:rPr>
        <w:t>% and 33%, respectively).</w:t>
      </w:r>
    </w:p>
    <w:p w14:paraId="4933185E" w14:textId="72BAD9AB" w:rsidR="61D75EF1" w:rsidRPr="006E0C03" w:rsidRDefault="265413D6" w:rsidP="00D37BD4">
      <w:pPr>
        <w:keepNext/>
        <w:spacing w:after="240" w:line="240" w:lineRule="auto"/>
        <w:jc w:val="both"/>
        <w:rPr>
          <w:rFonts w:ascii="Calibri" w:eastAsia="Calibri" w:hAnsi="Calibri" w:cs="Calibri"/>
          <w:sz w:val="24"/>
          <w:szCs w:val="24"/>
        </w:rPr>
      </w:pPr>
      <w:r w:rsidRPr="006E0C03">
        <w:rPr>
          <w:rFonts w:ascii="Calibri" w:eastAsia="Calibri" w:hAnsi="Calibri" w:cs="Calibri"/>
          <w:sz w:val="24"/>
          <w:szCs w:val="24"/>
        </w:rPr>
        <w:t xml:space="preserve">In addition to EJ criteria, </w:t>
      </w:r>
      <w:r w:rsidR="1C2CB85E" w:rsidRPr="006E0C03">
        <w:rPr>
          <w:rFonts w:ascii="Calibri" w:eastAsia="Calibri" w:hAnsi="Calibri" w:cs="Calibri"/>
          <w:sz w:val="24"/>
          <w:szCs w:val="24"/>
        </w:rPr>
        <w:t>MDPH/B</w:t>
      </w:r>
      <w:r w:rsidR="42C6C50C" w:rsidRPr="006E0C03">
        <w:rPr>
          <w:rFonts w:ascii="Calibri" w:eastAsia="Calibri" w:hAnsi="Calibri" w:cs="Calibri"/>
          <w:sz w:val="24"/>
          <w:szCs w:val="24"/>
        </w:rPr>
        <w:t>C</w:t>
      </w:r>
      <w:r w:rsidR="1C2CB85E" w:rsidRPr="006E0C03">
        <w:rPr>
          <w:rFonts w:ascii="Calibri" w:eastAsia="Calibri" w:hAnsi="Calibri" w:cs="Calibri"/>
          <w:sz w:val="24"/>
          <w:szCs w:val="24"/>
        </w:rPr>
        <w:t>EH further evaluated these municipalities to understand the community’s general health vulnerability to environmental exposures. Braintree and Quincy do not meet any of the vulnerable health EJ criteria for heart attack hospitalization, childhood lead exposure, low birth weight, or childhood asthma emergency department visits</w:t>
      </w:r>
      <w:r w:rsidR="2BED4081" w:rsidRPr="006E0C03">
        <w:rPr>
          <w:rFonts w:ascii="Calibri" w:eastAsia="Calibri" w:hAnsi="Calibri" w:cs="Calibri"/>
          <w:sz w:val="24"/>
          <w:szCs w:val="24"/>
        </w:rPr>
        <w:t>,</w:t>
      </w:r>
      <w:r w:rsidR="1C2CB85E" w:rsidRPr="006E0C03">
        <w:rPr>
          <w:rFonts w:ascii="Calibri" w:eastAsia="Calibri" w:hAnsi="Calibri" w:cs="Calibri"/>
          <w:sz w:val="24"/>
          <w:szCs w:val="24"/>
        </w:rPr>
        <w:t xml:space="preserve"> while Weymouth meets the vulnerable health EJ criterion </w:t>
      </w:r>
      <w:r w:rsidR="72C6CD0B" w:rsidRPr="006E0C03">
        <w:rPr>
          <w:rFonts w:ascii="Calibri" w:eastAsia="Calibri" w:hAnsi="Calibri" w:cs="Calibri"/>
          <w:sz w:val="24"/>
          <w:szCs w:val="24"/>
        </w:rPr>
        <w:t>for</w:t>
      </w:r>
      <w:r w:rsidR="5A4F95BA" w:rsidRPr="006E0C03">
        <w:rPr>
          <w:rFonts w:ascii="Calibri" w:eastAsia="Calibri" w:hAnsi="Calibri" w:cs="Calibri"/>
          <w:sz w:val="24"/>
          <w:szCs w:val="24"/>
        </w:rPr>
        <w:t xml:space="preserve"> heart attack</w:t>
      </w:r>
      <w:r w:rsidR="694F28D9" w:rsidRPr="006E0C03">
        <w:rPr>
          <w:rStyle w:val="FootnoteReference"/>
          <w:rFonts w:ascii="Calibri" w:eastAsia="Calibri" w:hAnsi="Calibri" w:cs="Calibri"/>
          <w:sz w:val="24"/>
          <w:szCs w:val="24"/>
        </w:rPr>
        <w:footnoteReference w:id="14"/>
      </w:r>
      <w:r w:rsidR="0864F868" w:rsidRPr="006E0C03">
        <w:rPr>
          <w:rStyle w:val="FootnoteReference"/>
          <w:rFonts w:ascii="Calibri" w:eastAsia="Calibri" w:hAnsi="Calibri" w:cs="Calibri"/>
          <w:sz w:val="24"/>
          <w:szCs w:val="24"/>
        </w:rPr>
        <w:t xml:space="preserve">. </w:t>
      </w:r>
      <w:r w:rsidR="72C6CD0B" w:rsidRPr="006E0C03">
        <w:rPr>
          <w:rFonts w:ascii="Calibri" w:eastAsia="Calibri" w:hAnsi="Calibri" w:cs="Calibri"/>
          <w:sz w:val="24"/>
          <w:szCs w:val="24"/>
        </w:rPr>
        <w:t>Heart</w:t>
      </w:r>
      <w:r w:rsidR="1C2CB85E" w:rsidRPr="006E0C03">
        <w:rPr>
          <w:rFonts w:ascii="Calibri" w:eastAsia="Calibri" w:hAnsi="Calibri" w:cs="Calibri"/>
          <w:sz w:val="24"/>
          <w:szCs w:val="24"/>
        </w:rPr>
        <w:t xml:space="preserve"> attack hospitalization is a criterion used to identify vulnerable health EJ populations because exposure to air pollution can increase the risk for heart attack and other forms of heart disease (MEPHT, 2023).</w:t>
      </w:r>
    </w:p>
    <w:p w14:paraId="45C4B535" w14:textId="0D1DC968" w:rsidR="61D75EF1" w:rsidRDefault="1F4B266E"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 xml:space="preserve">This EJ Evaluation, along with the findings of the HIA, </w:t>
      </w:r>
      <w:r w:rsidR="2FF4A3B0" w:rsidRPr="23A4FC9A">
        <w:rPr>
          <w:rFonts w:ascii="Calibri" w:eastAsia="Calibri" w:hAnsi="Calibri" w:cs="Calibri"/>
          <w:sz w:val="24"/>
          <w:szCs w:val="24"/>
        </w:rPr>
        <w:t>characterize t</w:t>
      </w:r>
      <w:r w:rsidRPr="23A4FC9A">
        <w:rPr>
          <w:rFonts w:ascii="Calibri" w:eastAsia="Calibri" w:hAnsi="Calibri" w:cs="Calibri"/>
          <w:sz w:val="24"/>
          <w:szCs w:val="24"/>
        </w:rPr>
        <w:t>he vulnerabilit</w:t>
      </w:r>
      <w:r w:rsidR="2FF4A3B0" w:rsidRPr="23A4FC9A">
        <w:rPr>
          <w:rFonts w:ascii="Calibri" w:eastAsia="Calibri" w:hAnsi="Calibri" w:cs="Calibri"/>
          <w:sz w:val="24"/>
          <w:szCs w:val="24"/>
        </w:rPr>
        <w:t>y</w:t>
      </w:r>
      <w:r w:rsidRPr="23A4FC9A">
        <w:rPr>
          <w:rFonts w:ascii="Calibri" w:eastAsia="Calibri" w:hAnsi="Calibri" w:cs="Calibri"/>
          <w:sz w:val="24"/>
          <w:szCs w:val="24"/>
        </w:rPr>
        <w:t xml:space="preserve"> of the communities surrounding the </w:t>
      </w:r>
      <w:r w:rsidR="1F7F550D" w:rsidRPr="23A4FC9A">
        <w:rPr>
          <w:rFonts w:ascii="Calibri" w:eastAsia="Calibri" w:hAnsi="Calibri" w:cs="Calibri"/>
          <w:sz w:val="24"/>
          <w:szCs w:val="24"/>
        </w:rPr>
        <w:t>Fore River area</w:t>
      </w:r>
      <w:r w:rsidRPr="23A4FC9A">
        <w:rPr>
          <w:rFonts w:ascii="Calibri" w:eastAsia="Calibri" w:hAnsi="Calibri" w:cs="Calibri"/>
          <w:sz w:val="24"/>
          <w:szCs w:val="24"/>
        </w:rPr>
        <w:t>. Sensitive p</w:t>
      </w:r>
      <w:r w:rsidR="2FF4A3B0" w:rsidRPr="23A4FC9A">
        <w:rPr>
          <w:rFonts w:ascii="Calibri" w:eastAsia="Calibri" w:hAnsi="Calibri" w:cs="Calibri"/>
          <w:sz w:val="24"/>
          <w:szCs w:val="24"/>
        </w:rPr>
        <w:t>e</w:t>
      </w:r>
      <w:r w:rsidR="4E7F2F23" w:rsidRPr="23A4FC9A">
        <w:rPr>
          <w:rFonts w:ascii="Calibri" w:eastAsia="Calibri" w:hAnsi="Calibri" w:cs="Calibri"/>
          <w:sz w:val="24"/>
          <w:szCs w:val="24"/>
        </w:rPr>
        <w:t xml:space="preserve">ople from these vulnerable communities </w:t>
      </w:r>
      <w:r w:rsidRPr="23A4FC9A">
        <w:rPr>
          <w:rFonts w:ascii="Calibri" w:eastAsia="Calibri" w:hAnsi="Calibri" w:cs="Calibri"/>
          <w:sz w:val="24"/>
          <w:szCs w:val="24"/>
        </w:rPr>
        <w:t>are at increased risk of adverse health effects from exposure to air pollutants and other types of environmental contamination</w:t>
      </w:r>
      <w:r w:rsidR="5419E7DF" w:rsidRPr="23A4FC9A">
        <w:rPr>
          <w:rFonts w:ascii="Calibri" w:eastAsia="Calibri" w:hAnsi="Calibri" w:cs="Calibri"/>
          <w:sz w:val="24"/>
          <w:szCs w:val="24"/>
        </w:rPr>
        <w:t>,</w:t>
      </w:r>
      <w:r w:rsidR="1809D683" w:rsidRPr="23A4FC9A">
        <w:rPr>
          <w:rFonts w:ascii="Calibri" w:eastAsia="Calibri" w:hAnsi="Calibri" w:cs="Calibri"/>
          <w:sz w:val="24"/>
          <w:szCs w:val="24"/>
        </w:rPr>
        <w:t xml:space="preserve"> s</w:t>
      </w:r>
      <w:r w:rsidR="4F621A72" w:rsidRPr="23A4FC9A">
        <w:rPr>
          <w:rFonts w:ascii="Calibri" w:eastAsia="Calibri" w:hAnsi="Calibri" w:cs="Calibri"/>
          <w:sz w:val="24"/>
          <w:szCs w:val="24"/>
        </w:rPr>
        <w:t>uch a</w:t>
      </w:r>
      <w:r w:rsidR="6A8FFE4E" w:rsidRPr="23A4FC9A">
        <w:rPr>
          <w:rFonts w:ascii="Calibri" w:eastAsia="Calibri" w:hAnsi="Calibri" w:cs="Calibri"/>
          <w:sz w:val="24"/>
          <w:szCs w:val="24"/>
        </w:rPr>
        <w:t xml:space="preserve">s, an increased likelihood </w:t>
      </w:r>
      <w:r w:rsidR="0D569486" w:rsidRPr="23A4FC9A">
        <w:rPr>
          <w:rFonts w:ascii="Calibri" w:eastAsia="Calibri" w:hAnsi="Calibri" w:cs="Calibri"/>
          <w:sz w:val="24"/>
          <w:szCs w:val="24"/>
        </w:rPr>
        <w:t>of experienc</w:t>
      </w:r>
      <w:r w:rsidR="180458EB" w:rsidRPr="23A4FC9A">
        <w:rPr>
          <w:rFonts w:ascii="Calibri" w:eastAsia="Calibri" w:hAnsi="Calibri" w:cs="Calibri"/>
          <w:sz w:val="24"/>
          <w:szCs w:val="24"/>
        </w:rPr>
        <w:t xml:space="preserve">ing </w:t>
      </w:r>
      <w:r w:rsidR="28B57344" w:rsidRPr="23A4FC9A">
        <w:rPr>
          <w:rFonts w:ascii="Calibri" w:eastAsia="Calibri" w:hAnsi="Calibri" w:cs="Calibri"/>
          <w:sz w:val="24"/>
          <w:szCs w:val="24"/>
        </w:rPr>
        <w:t>PM</w:t>
      </w:r>
      <w:r w:rsidR="3698FE74" w:rsidRPr="23A4FC9A">
        <w:rPr>
          <w:rFonts w:ascii="Calibri" w:eastAsia="Calibri" w:hAnsi="Calibri" w:cs="Calibri"/>
          <w:sz w:val="24"/>
          <w:szCs w:val="24"/>
        </w:rPr>
        <w:t xml:space="preserve">2.5 related </w:t>
      </w:r>
      <w:r w:rsidR="74F4A375" w:rsidRPr="23A4FC9A">
        <w:rPr>
          <w:rFonts w:ascii="Calibri" w:eastAsia="Calibri" w:hAnsi="Calibri" w:cs="Calibri"/>
          <w:sz w:val="24"/>
          <w:szCs w:val="24"/>
        </w:rPr>
        <w:t>health effects</w:t>
      </w:r>
      <w:r w:rsidR="1777BC24" w:rsidRPr="23A4FC9A">
        <w:rPr>
          <w:rFonts w:ascii="Calibri" w:eastAsia="Calibri" w:hAnsi="Calibri" w:cs="Calibri"/>
          <w:sz w:val="24"/>
          <w:szCs w:val="24"/>
        </w:rPr>
        <w:t xml:space="preserve"> from</w:t>
      </w:r>
      <w:r w:rsidR="729E4132" w:rsidRPr="23A4FC9A">
        <w:rPr>
          <w:rFonts w:ascii="Calibri" w:eastAsia="Calibri" w:hAnsi="Calibri" w:cs="Calibri"/>
          <w:sz w:val="24"/>
          <w:szCs w:val="24"/>
        </w:rPr>
        <w:t xml:space="preserve"> short-term exposures </w:t>
      </w:r>
      <w:r w:rsidR="005E1214" w:rsidRPr="23A4FC9A">
        <w:rPr>
          <w:rFonts w:ascii="Calibri" w:eastAsia="Calibri" w:hAnsi="Calibri" w:cs="Calibri"/>
          <w:sz w:val="24"/>
          <w:szCs w:val="24"/>
        </w:rPr>
        <w:t>because of</w:t>
      </w:r>
      <w:r w:rsidR="729E4132" w:rsidRPr="23A4FC9A">
        <w:rPr>
          <w:rFonts w:ascii="Calibri" w:eastAsia="Calibri" w:hAnsi="Calibri" w:cs="Calibri"/>
          <w:sz w:val="24"/>
          <w:szCs w:val="24"/>
        </w:rPr>
        <w:t xml:space="preserve"> the fire.</w:t>
      </w:r>
      <w:r w:rsidR="21990912" w:rsidRPr="23A4FC9A">
        <w:rPr>
          <w:rFonts w:ascii="Calibri" w:eastAsia="Calibri" w:hAnsi="Calibri" w:cs="Calibri"/>
          <w:sz w:val="24"/>
          <w:szCs w:val="24"/>
        </w:rPr>
        <w:t xml:space="preserve"> </w:t>
      </w:r>
    </w:p>
    <w:p w14:paraId="486570AD" w14:textId="68120A9D" w:rsidR="00F616F4" w:rsidRPr="00F616F4" w:rsidRDefault="40436E4B"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Information from this EJ evaluation</w:t>
      </w:r>
      <w:r w:rsidR="3391809B" w:rsidRPr="23A4FC9A">
        <w:rPr>
          <w:rFonts w:ascii="Calibri" w:eastAsia="Calibri" w:hAnsi="Calibri" w:cs="Calibri"/>
          <w:sz w:val="24"/>
          <w:szCs w:val="24"/>
        </w:rPr>
        <w:t xml:space="preserve"> can be used to inform</w:t>
      </w:r>
      <w:r w:rsidR="7828BA92" w:rsidRPr="23A4FC9A">
        <w:rPr>
          <w:rFonts w:ascii="Calibri" w:eastAsia="Calibri" w:hAnsi="Calibri" w:cs="Calibri"/>
          <w:sz w:val="24"/>
          <w:szCs w:val="24"/>
        </w:rPr>
        <w:t xml:space="preserve"> outreach strategies</w:t>
      </w:r>
      <w:r w:rsidR="105E6E7E" w:rsidRPr="23A4FC9A">
        <w:rPr>
          <w:rFonts w:ascii="Calibri" w:eastAsia="Calibri" w:hAnsi="Calibri" w:cs="Calibri"/>
          <w:sz w:val="24"/>
          <w:szCs w:val="24"/>
        </w:rPr>
        <w:t xml:space="preserve"> for future planning and response </w:t>
      </w:r>
      <w:r w:rsidR="791677CF" w:rsidRPr="23A4FC9A">
        <w:rPr>
          <w:rFonts w:ascii="Calibri" w:eastAsia="Calibri" w:hAnsi="Calibri" w:cs="Calibri"/>
          <w:sz w:val="24"/>
          <w:szCs w:val="24"/>
        </w:rPr>
        <w:t xml:space="preserve">to environmental concerns. </w:t>
      </w:r>
      <w:r w:rsidR="2E180F63" w:rsidRPr="23A4FC9A">
        <w:rPr>
          <w:rFonts w:ascii="Calibri" w:eastAsia="Calibri" w:hAnsi="Calibri" w:cs="Calibri"/>
          <w:sz w:val="24"/>
          <w:szCs w:val="24"/>
        </w:rPr>
        <w:t xml:space="preserve"> L</w:t>
      </w:r>
      <w:r w:rsidRPr="23A4FC9A">
        <w:rPr>
          <w:rFonts w:ascii="Calibri" w:eastAsia="Calibri" w:hAnsi="Calibri" w:cs="Calibri"/>
          <w:sz w:val="24"/>
          <w:szCs w:val="24"/>
        </w:rPr>
        <w:t xml:space="preserve">anguage barriers </w:t>
      </w:r>
      <w:r w:rsidR="729F58D6" w:rsidRPr="23A4FC9A">
        <w:rPr>
          <w:rFonts w:ascii="Calibri" w:eastAsia="Calibri" w:hAnsi="Calibri" w:cs="Calibri"/>
          <w:sz w:val="24"/>
          <w:szCs w:val="24"/>
        </w:rPr>
        <w:t xml:space="preserve">may prevent residents </w:t>
      </w:r>
      <w:r w:rsidR="7E0C6909" w:rsidRPr="23A4FC9A">
        <w:rPr>
          <w:rFonts w:ascii="Calibri" w:eastAsia="Calibri" w:hAnsi="Calibri" w:cs="Calibri"/>
          <w:sz w:val="24"/>
          <w:szCs w:val="24"/>
        </w:rPr>
        <w:t xml:space="preserve">from </w:t>
      </w:r>
      <w:r w:rsidR="596472A7" w:rsidRPr="23A4FC9A">
        <w:rPr>
          <w:rFonts w:ascii="Calibri" w:eastAsia="Calibri" w:hAnsi="Calibri" w:cs="Calibri"/>
          <w:sz w:val="24"/>
          <w:szCs w:val="24"/>
        </w:rPr>
        <w:t>accessing</w:t>
      </w:r>
      <w:r w:rsidRPr="23A4FC9A">
        <w:rPr>
          <w:rFonts w:ascii="Calibri" w:eastAsia="Calibri" w:hAnsi="Calibri" w:cs="Calibri"/>
          <w:sz w:val="24"/>
          <w:szCs w:val="24"/>
        </w:rPr>
        <w:t xml:space="preserve"> information </w:t>
      </w:r>
      <w:r w:rsidR="005E1214" w:rsidRPr="23A4FC9A">
        <w:rPr>
          <w:rFonts w:ascii="Calibri" w:eastAsia="Calibri" w:hAnsi="Calibri" w:cs="Calibri"/>
          <w:sz w:val="24"/>
          <w:szCs w:val="24"/>
        </w:rPr>
        <w:t>quickly</w:t>
      </w:r>
      <w:r w:rsidR="51F1CB6F" w:rsidRPr="23A4FC9A">
        <w:rPr>
          <w:rFonts w:ascii="Calibri" w:eastAsia="Calibri" w:hAnsi="Calibri" w:cs="Calibri"/>
          <w:sz w:val="24"/>
          <w:szCs w:val="24"/>
        </w:rPr>
        <w:t xml:space="preserve">.  </w:t>
      </w:r>
      <w:r w:rsidR="3B37E05F" w:rsidRPr="23A4FC9A">
        <w:rPr>
          <w:rFonts w:ascii="Calibri" w:eastAsia="Calibri" w:hAnsi="Calibri" w:cs="Calibri"/>
          <w:sz w:val="24"/>
          <w:szCs w:val="24"/>
        </w:rPr>
        <w:t>Future</w:t>
      </w:r>
      <w:r w:rsidRPr="23A4FC9A">
        <w:rPr>
          <w:rFonts w:ascii="Calibri" w:eastAsia="Calibri" w:hAnsi="Calibri" w:cs="Calibri"/>
          <w:sz w:val="24"/>
          <w:szCs w:val="24"/>
        </w:rPr>
        <w:t xml:space="preserve"> efforts should </w:t>
      </w:r>
      <w:r w:rsidR="3B37E05F" w:rsidRPr="23A4FC9A">
        <w:rPr>
          <w:rFonts w:ascii="Calibri" w:eastAsia="Calibri" w:hAnsi="Calibri" w:cs="Calibri"/>
          <w:sz w:val="24"/>
          <w:szCs w:val="24"/>
        </w:rPr>
        <w:t xml:space="preserve">be mindful </w:t>
      </w:r>
      <w:r w:rsidR="57BF53A6" w:rsidRPr="23A4FC9A">
        <w:rPr>
          <w:rFonts w:ascii="Calibri" w:eastAsia="Calibri" w:hAnsi="Calibri" w:cs="Calibri"/>
          <w:sz w:val="24"/>
          <w:szCs w:val="24"/>
        </w:rPr>
        <w:t xml:space="preserve">to </w:t>
      </w:r>
      <w:r w:rsidR="7F821244" w:rsidRPr="23A4FC9A">
        <w:rPr>
          <w:rFonts w:ascii="Calibri" w:eastAsia="Calibri" w:hAnsi="Calibri" w:cs="Calibri"/>
          <w:sz w:val="24"/>
          <w:szCs w:val="24"/>
        </w:rPr>
        <w:t xml:space="preserve">communicate in multiple languages to </w:t>
      </w:r>
      <w:r w:rsidRPr="23A4FC9A">
        <w:rPr>
          <w:rFonts w:ascii="Calibri" w:eastAsia="Calibri" w:hAnsi="Calibri" w:cs="Calibri"/>
          <w:sz w:val="24"/>
          <w:szCs w:val="24"/>
        </w:rPr>
        <w:t xml:space="preserve">meet </w:t>
      </w:r>
      <w:r w:rsidR="7F821244" w:rsidRPr="23A4FC9A">
        <w:rPr>
          <w:rFonts w:ascii="Calibri" w:eastAsia="Calibri" w:hAnsi="Calibri" w:cs="Calibri"/>
          <w:sz w:val="24"/>
          <w:szCs w:val="24"/>
        </w:rPr>
        <w:t xml:space="preserve">the needs of the </w:t>
      </w:r>
      <w:r w:rsidRPr="23A4FC9A">
        <w:rPr>
          <w:rFonts w:ascii="Calibri" w:eastAsia="Calibri" w:hAnsi="Calibri" w:cs="Calibri"/>
          <w:sz w:val="24"/>
          <w:szCs w:val="24"/>
        </w:rPr>
        <w:t>community</w:t>
      </w:r>
      <w:r w:rsidR="31443E08" w:rsidRPr="23A4FC9A">
        <w:rPr>
          <w:rFonts w:ascii="Calibri" w:eastAsia="Calibri" w:hAnsi="Calibri" w:cs="Calibri"/>
          <w:sz w:val="24"/>
          <w:szCs w:val="24"/>
        </w:rPr>
        <w:t>.</w:t>
      </w:r>
      <w:r w:rsidRPr="23A4FC9A">
        <w:rPr>
          <w:rFonts w:ascii="Calibri" w:eastAsia="Calibri" w:hAnsi="Calibri" w:cs="Calibri"/>
          <w:sz w:val="24"/>
          <w:szCs w:val="24"/>
        </w:rPr>
        <w:t xml:space="preserve"> </w:t>
      </w:r>
    </w:p>
    <w:p w14:paraId="55B2A721" w14:textId="5DD85BCC" w:rsidR="00BA41E6" w:rsidRDefault="00BA41E6" w:rsidP="006C429C">
      <w:pPr>
        <w:pStyle w:val="Heading1"/>
      </w:pPr>
      <w:r w:rsidRPr="006C429C">
        <w:t>Conclusions</w:t>
      </w:r>
    </w:p>
    <w:p w14:paraId="043ED138" w14:textId="77777777" w:rsidR="006E0C03" w:rsidRDefault="006E0C03" w:rsidP="00D37BD4">
      <w:pPr>
        <w:spacing w:after="0" w:line="240" w:lineRule="auto"/>
      </w:pPr>
    </w:p>
    <w:p w14:paraId="2DE68F98" w14:textId="18426240" w:rsidR="00B36C6D" w:rsidRPr="006E0C03" w:rsidDel="00B36C6D" w:rsidRDefault="68076CC2" w:rsidP="00D37BD4">
      <w:pPr>
        <w:keepNext/>
        <w:spacing w:after="240" w:line="240" w:lineRule="auto"/>
        <w:jc w:val="both"/>
        <w:rPr>
          <w:sz w:val="24"/>
          <w:szCs w:val="24"/>
        </w:rPr>
      </w:pPr>
      <w:r w:rsidRPr="431755CA">
        <w:rPr>
          <w:sz w:val="24"/>
          <w:szCs w:val="24"/>
        </w:rPr>
        <w:t>Given that 24-hour and 1-hour average PM</w:t>
      </w:r>
      <w:r w:rsidRPr="431755CA">
        <w:rPr>
          <w:sz w:val="24"/>
          <w:szCs w:val="24"/>
          <w:vertAlign w:val="subscript"/>
        </w:rPr>
        <w:t xml:space="preserve">2.5 </w:t>
      </w:r>
      <w:r w:rsidRPr="431755CA">
        <w:rPr>
          <w:sz w:val="24"/>
          <w:szCs w:val="24"/>
        </w:rPr>
        <w:t xml:space="preserve">concentrations exceeded the WHO AQG, sensitive groups such as individuals with </w:t>
      </w:r>
      <w:r w:rsidR="186F99A6" w:rsidRPr="431755CA">
        <w:rPr>
          <w:sz w:val="24"/>
          <w:szCs w:val="24"/>
        </w:rPr>
        <w:t xml:space="preserve">cardiovascular </w:t>
      </w:r>
      <w:r w:rsidRPr="431755CA">
        <w:rPr>
          <w:sz w:val="24"/>
          <w:szCs w:val="24"/>
        </w:rPr>
        <w:t xml:space="preserve">or respiratory illnesses, children (under 18 years of age), older adults (over 65 years old), or those of lower socioeconomic status, may have experienced respiratory symptoms and an exacerbation of respiratory and </w:t>
      </w:r>
      <w:r w:rsidR="186F99A6" w:rsidRPr="431755CA">
        <w:rPr>
          <w:sz w:val="24"/>
          <w:szCs w:val="24"/>
        </w:rPr>
        <w:t xml:space="preserve">cardiovascular </w:t>
      </w:r>
      <w:r w:rsidRPr="431755CA">
        <w:rPr>
          <w:sz w:val="24"/>
          <w:szCs w:val="24"/>
        </w:rPr>
        <w:t xml:space="preserve">illnesses. </w:t>
      </w:r>
      <w:r w:rsidR="6CD2E820" w:rsidRPr="431755CA">
        <w:rPr>
          <w:sz w:val="24"/>
          <w:szCs w:val="24"/>
        </w:rPr>
        <w:t>MDPH/B</w:t>
      </w:r>
      <w:r w:rsidR="591B48CB" w:rsidRPr="431755CA">
        <w:rPr>
          <w:sz w:val="24"/>
          <w:szCs w:val="24"/>
        </w:rPr>
        <w:t>C</w:t>
      </w:r>
      <w:r w:rsidR="6CD2E820" w:rsidRPr="431755CA">
        <w:rPr>
          <w:sz w:val="24"/>
          <w:szCs w:val="24"/>
        </w:rPr>
        <w:t xml:space="preserve">EH expects that </w:t>
      </w:r>
      <w:r w:rsidR="408AC8E5" w:rsidRPr="431755CA">
        <w:rPr>
          <w:sz w:val="24"/>
          <w:szCs w:val="24"/>
        </w:rPr>
        <w:t>t</w:t>
      </w:r>
      <w:r w:rsidRPr="431755CA">
        <w:rPr>
          <w:sz w:val="24"/>
          <w:szCs w:val="24"/>
        </w:rPr>
        <w:t>his exacerbation would be temporarily experienced during elevated exposure to PM</w:t>
      </w:r>
      <w:r w:rsidRPr="431755CA">
        <w:rPr>
          <w:sz w:val="24"/>
          <w:szCs w:val="24"/>
          <w:vertAlign w:val="subscript"/>
        </w:rPr>
        <w:t>2.</w:t>
      </w:r>
      <w:r w:rsidR="005E1214" w:rsidRPr="431755CA">
        <w:rPr>
          <w:sz w:val="24"/>
          <w:szCs w:val="24"/>
          <w:vertAlign w:val="subscript"/>
        </w:rPr>
        <w:t xml:space="preserve">5 </w:t>
      </w:r>
      <w:r w:rsidR="005E1214" w:rsidRPr="431755CA">
        <w:rPr>
          <w:sz w:val="24"/>
          <w:szCs w:val="24"/>
        </w:rPr>
        <w:t>but</w:t>
      </w:r>
      <w:r w:rsidRPr="431755CA">
        <w:rPr>
          <w:sz w:val="24"/>
          <w:szCs w:val="24"/>
        </w:rPr>
        <w:t xml:space="preserve"> would subside once pollutant levels were no longer elevated.</w:t>
      </w:r>
      <w:r w:rsidR="55ABD185" w:rsidRPr="431755CA">
        <w:rPr>
          <w:sz w:val="24"/>
          <w:szCs w:val="24"/>
        </w:rPr>
        <w:t xml:space="preserve"> </w:t>
      </w:r>
      <w:r w:rsidR="3F009308" w:rsidRPr="431755CA">
        <w:rPr>
          <w:sz w:val="24"/>
          <w:szCs w:val="24"/>
        </w:rPr>
        <w:t xml:space="preserve"> </w:t>
      </w:r>
      <w:r w:rsidR="45A07B4C" w:rsidRPr="431755CA">
        <w:rPr>
          <w:sz w:val="24"/>
          <w:szCs w:val="24"/>
        </w:rPr>
        <w:t xml:space="preserve">Individuals who were indoors during the fire, with their windows closed, likely </w:t>
      </w:r>
      <w:r w:rsidR="5B0CB380" w:rsidRPr="431755CA">
        <w:rPr>
          <w:sz w:val="24"/>
          <w:szCs w:val="24"/>
        </w:rPr>
        <w:t xml:space="preserve">would </w:t>
      </w:r>
      <w:r w:rsidR="45A07B4C" w:rsidRPr="431755CA">
        <w:rPr>
          <w:sz w:val="24"/>
          <w:szCs w:val="24"/>
        </w:rPr>
        <w:t>have been exposed to lower pollutant</w:t>
      </w:r>
      <w:r w:rsidR="45A07B4C" w:rsidRPr="431755CA">
        <w:rPr>
          <w:sz w:val="24"/>
          <w:szCs w:val="24"/>
          <w:vertAlign w:val="subscript"/>
        </w:rPr>
        <w:t xml:space="preserve"> </w:t>
      </w:r>
      <w:r w:rsidR="45A07B4C" w:rsidRPr="431755CA">
        <w:rPr>
          <w:sz w:val="24"/>
          <w:szCs w:val="24"/>
        </w:rPr>
        <w:t>concentrations, which would have reduced their likelihood of experiencing short-term health effects associated with PM</w:t>
      </w:r>
      <w:r w:rsidR="45A07B4C" w:rsidRPr="431755CA">
        <w:rPr>
          <w:sz w:val="24"/>
          <w:szCs w:val="24"/>
          <w:vertAlign w:val="subscript"/>
        </w:rPr>
        <w:t>2.5</w:t>
      </w:r>
      <w:r w:rsidR="45A07B4C" w:rsidRPr="431755CA">
        <w:rPr>
          <w:sz w:val="24"/>
          <w:szCs w:val="24"/>
        </w:rPr>
        <w:t xml:space="preserve">. </w:t>
      </w:r>
    </w:p>
    <w:p w14:paraId="296116EA" w14:textId="31D2CB53" w:rsidR="5D481C22" w:rsidRPr="006E0C03" w:rsidRDefault="4A458D45"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B</w:t>
      </w:r>
      <w:r w:rsidR="12A81A90" w:rsidRPr="23A4FC9A">
        <w:rPr>
          <w:rFonts w:ascii="Calibri" w:eastAsia="Calibri" w:hAnsi="Calibri" w:cs="Calibri"/>
          <w:sz w:val="24"/>
          <w:szCs w:val="24"/>
        </w:rPr>
        <w:t>reathing PM</w:t>
      </w:r>
      <w:r w:rsidR="12A81A90" w:rsidRPr="23A4FC9A">
        <w:rPr>
          <w:rFonts w:ascii="Calibri" w:eastAsia="Calibri" w:hAnsi="Calibri" w:cs="Calibri"/>
          <w:sz w:val="24"/>
          <w:szCs w:val="24"/>
          <w:vertAlign w:val="subscript"/>
        </w:rPr>
        <w:t>2.5</w:t>
      </w:r>
      <w:r w:rsidR="12A81A90" w:rsidRPr="23A4FC9A">
        <w:rPr>
          <w:rFonts w:ascii="Calibri" w:eastAsia="Calibri" w:hAnsi="Calibri" w:cs="Calibri"/>
          <w:sz w:val="24"/>
          <w:szCs w:val="24"/>
        </w:rPr>
        <w:t>, VOCs, NO</w:t>
      </w:r>
      <w:r w:rsidR="12A81A90" w:rsidRPr="23A4FC9A">
        <w:rPr>
          <w:rFonts w:ascii="Calibri" w:eastAsia="Calibri" w:hAnsi="Calibri" w:cs="Calibri"/>
          <w:sz w:val="24"/>
          <w:szCs w:val="24"/>
          <w:vertAlign w:val="subscript"/>
        </w:rPr>
        <w:t xml:space="preserve">2 </w:t>
      </w:r>
      <w:r w:rsidR="12A81A90" w:rsidRPr="23A4FC9A">
        <w:rPr>
          <w:rFonts w:ascii="Calibri" w:eastAsia="Calibri" w:hAnsi="Calibri" w:cs="Calibri"/>
          <w:sz w:val="24"/>
          <w:szCs w:val="24"/>
        </w:rPr>
        <w:t xml:space="preserve">and ozone at </w:t>
      </w:r>
      <w:r w:rsidRPr="23A4FC9A">
        <w:rPr>
          <w:rFonts w:ascii="Calibri" w:eastAsia="Calibri" w:hAnsi="Calibri" w:cs="Calibri"/>
          <w:sz w:val="24"/>
          <w:szCs w:val="24"/>
        </w:rPr>
        <w:t xml:space="preserve">the </w:t>
      </w:r>
      <w:r w:rsidR="12A81A90" w:rsidRPr="23A4FC9A">
        <w:rPr>
          <w:rFonts w:ascii="Calibri" w:eastAsia="Calibri" w:hAnsi="Calibri" w:cs="Calibri"/>
          <w:sz w:val="24"/>
          <w:szCs w:val="24"/>
        </w:rPr>
        <w:t xml:space="preserve">levels detected in outdoor air near the Clean Harbors facility during the time of the fire are not expected to result in long-term harm to people’s health. </w:t>
      </w:r>
      <w:r w:rsidR="3E8521B6" w:rsidRPr="23A4FC9A">
        <w:rPr>
          <w:rFonts w:ascii="Calibri" w:eastAsia="Calibri" w:hAnsi="Calibri" w:cs="Calibri"/>
          <w:sz w:val="24"/>
          <w:szCs w:val="24"/>
        </w:rPr>
        <w:t>S</w:t>
      </w:r>
      <w:r w:rsidR="12A81A90" w:rsidRPr="23A4FC9A">
        <w:rPr>
          <w:rFonts w:ascii="Calibri" w:eastAsia="Calibri" w:hAnsi="Calibri" w:cs="Calibri"/>
          <w:sz w:val="24"/>
          <w:szCs w:val="24"/>
        </w:rPr>
        <w:t xml:space="preserve">ensitive populations may have had a slightly increased risk of exacerbation of respiratory and </w:t>
      </w:r>
      <w:r w:rsidR="186F99A6" w:rsidRPr="23A4FC9A">
        <w:rPr>
          <w:rFonts w:ascii="Calibri" w:eastAsia="Calibri" w:hAnsi="Calibri" w:cs="Calibri"/>
          <w:sz w:val="24"/>
          <w:szCs w:val="24"/>
        </w:rPr>
        <w:t xml:space="preserve">cardiovascular </w:t>
      </w:r>
      <w:r w:rsidR="12A81A90" w:rsidRPr="23A4FC9A">
        <w:rPr>
          <w:rFonts w:ascii="Calibri" w:eastAsia="Calibri" w:hAnsi="Calibri" w:cs="Calibri"/>
          <w:sz w:val="24"/>
          <w:szCs w:val="24"/>
        </w:rPr>
        <w:t xml:space="preserve">illnesses </w:t>
      </w:r>
      <w:r w:rsidR="5993FBED" w:rsidRPr="23A4FC9A">
        <w:rPr>
          <w:rFonts w:ascii="Calibri" w:eastAsia="Calibri" w:hAnsi="Calibri" w:cs="Calibri"/>
          <w:sz w:val="24"/>
          <w:szCs w:val="24"/>
        </w:rPr>
        <w:t>during the</w:t>
      </w:r>
      <w:r w:rsidR="12A81A90" w:rsidRPr="23A4FC9A">
        <w:rPr>
          <w:rFonts w:ascii="Calibri" w:eastAsia="Calibri" w:hAnsi="Calibri" w:cs="Calibri"/>
          <w:sz w:val="24"/>
          <w:szCs w:val="24"/>
        </w:rPr>
        <w:t xml:space="preserve"> acute exposure (&lt;24 hours) to elevated levels of PM</w:t>
      </w:r>
      <w:r w:rsidR="12A81A90" w:rsidRPr="23A4FC9A">
        <w:rPr>
          <w:rFonts w:ascii="Calibri" w:eastAsia="Calibri" w:hAnsi="Calibri" w:cs="Calibri"/>
          <w:sz w:val="24"/>
          <w:szCs w:val="24"/>
          <w:vertAlign w:val="subscript"/>
        </w:rPr>
        <w:t>2.5</w:t>
      </w:r>
      <w:r w:rsidR="1A08AE8A" w:rsidRPr="23A4FC9A">
        <w:rPr>
          <w:rFonts w:ascii="Calibri" w:eastAsia="Calibri" w:hAnsi="Calibri" w:cs="Calibri"/>
          <w:sz w:val="24"/>
          <w:szCs w:val="24"/>
        </w:rPr>
        <w:t>.</w:t>
      </w:r>
    </w:p>
    <w:p w14:paraId="56282DCF" w14:textId="4A3682AC" w:rsidR="00D670F6" w:rsidRPr="00D37BD4" w:rsidRDefault="00736AB8" w:rsidP="00D37BD4">
      <w:pPr>
        <w:keepNext/>
        <w:spacing w:after="240" w:line="240" w:lineRule="auto"/>
        <w:jc w:val="both"/>
        <w:rPr>
          <w:sz w:val="24"/>
          <w:szCs w:val="24"/>
        </w:rPr>
      </w:pPr>
      <w:r w:rsidRPr="006E0C03">
        <w:rPr>
          <w:sz w:val="24"/>
          <w:szCs w:val="24"/>
        </w:rPr>
        <w:t xml:space="preserve">Based on data for soil </w:t>
      </w:r>
      <w:r w:rsidR="0095243B" w:rsidRPr="006E0C03">
        <w:rPr>
          <w:sz w:val="24"/>
          <w:szCs w:val="24"/>
        </w:rPr>
        <w:t xml:space="preserve">collected at the Clean Harbors facility, </w:t>
      </w:r>
      <w:r w:rsidR="00E8128A" w:rsidRPr="006E0C03">
        <w:rPr>
          <w:sz w:val="24"/>
          <w:szCs w:val="24"/>
        </w:rPr>
        <w:t xml:space="preserve">it is not expected that </w:t>
      </w:r>
      <w:r w:rsidR="00744B8B" w:rsidRPr="006E0C03">
        <w:rPr>
          <w:sz w:val="24"/>
          <w:szCs w:val="24"/>
        </w:rPr>
        <w:t xml:space="preserve">the </w:t>
      </w:r>
      <w:r w:rsidR="00B16A09" w:rsidRPr="006E0C03">
        <w:rPr>
          <w:sz w:val="24"/>
          <w:szCs w:val="24"/>
        </w:rPr>
        <w:t xml:space="preserve">emissions from </w:t>
      </w:r>
      <w:r w:rsidR="002E6110" w:rsidRPr="006E0C03">
        <w:rPr>
          <w:sz w:val="24"/>
          <w:szCs w:val="24"/>
        </w:rPr>
        <w:t xml:space="preserve">the </w:t>
      </w:r>
      <w:r w:rsidR="00744B8B" w:rsidRPr="006E0C03">
        <w:rPr>
          <w:sz w:val="24"/>
          <w:szCs w:val="24"/>
        </w:rPr>
        <w:t xml:space="preserve">fire would have resulted </w:t>
      </w:r>
      <w:r w:rsidR="00F970EB" w:rsidRPr="006E0C03">
        <w:rPr>
          <w:sz w:val="24"/>
          <w:szCs w:val="24"/>
        </w:rPr>
        <w:t xml:space="preserve">in </w:t>
      </w:r>
      <w:r w:rsidR="00E8128A" w:rsidRPr="006E0C03">
        <w:rPr>
          <w:sz w:val="24"/>
          <w:szCs w:val="24"/>
        </w:rPr>
        <w:t xml:space="preserve">soil concentrations </w:t>
      </w:r>
      <w:r w:rsidR="002A6B8D" w:rsidRPr="006E0C03">
        <w:rPr>
          <w:sz w:val="24"/>
          <w:szCs w:val="24"/>
        </w:rPr>
        <w:t xml:space="preserve">in residential yards that </w:t>
      </w:r>
      <w:r w:rsidR="00132B1F" w:rsidRPr="006E0C03">
        <w:rPr>
          <w:sz w:val="24"/>
          <w:szCs w:val="24"/>
        </w:rPr>
        <w:t>would be a health concern</w:t>
      </w:r>
      <w:r w:rsidR="00E8128A" w:rsidRPr="006E0C03">
        <w:rPr>
          <w:sz w:val="24"/>
          <w:szCs w:val="24"/>
        </w:rPr>
        <w:t>. Based on surface water data collected at the Clean Harbors facility, it is not expected that</w:t>
      </w:r>
      <w:r w:rsidR="00C83888" w:rsidRPr="006E0C03">
        <w:rPr>
          <w:sz w:val="24"/>
          <w:szCs w:val="24"/>
        </w:rPr>
        <w:t xml:space="preserve"> </w:t>
      </w:r>
      <w:r w:rsidR="000E6678" w:rsidRPr="006E0C03">
        <w:rPr>
          <w:sz w:val="24"/>
          <w:szCs w:val="24"/>
        </w:rPr>
        <w:t xml:space="preserve">the </w:t>
      </w:r>
      <w:r w:rsidR="00A956F6" w:rsidRPr="006E0C03">
        <w:rPr>
          <w:sz w:val="24"/>
          <w:szCs w:val="24"/>
        </w:rPr>
        <w:t xml:space="preserve">fire </w:t>
      </w:r>
      <w:r w:rsidR="000E6678" w:rsidRPr="006E0C03">
        <w:rPr>
          <w:sz w:val="24"/>
          <w:szCs w:val="24"/>
        </w:rPr>
        <w:t xml:space="preserve">would have </w:t>
      </w:r>
      <w:r w:rsidR="00A956F6" w:rsidRPr="006E0C03">
        <w:rPr>
          <w:sz w:val="24"/>
          <w:szCs w:val="24"/>
        </w:rPr>
        <w:t>resulted in contaminant concentrations in the Fore River that would be a health concern</w:t>
      </w:r>
      <w:r w:rsidR="002355EE" w:rsidRPr="006E0C03">
        <w:rPr>
          <w:sz w:val="24"/>
          <w:szCs w:val="24"/>
        </w:rPr>
        <w:t xml:space="preserve"> </w:t>
      </w:r>
      <w:r w:rsidR="00631E4D" w:rsidRPr="006E0C03">
        <w:rPr>
          <w:sz w:val="24"/>
          <w:szCs w:val="24"/>
        </w:rPr>
        <w:t xml:space="preserve">for individuals </w:t>
      </w:r>
      <w:r w:rsidR="00D443B7" w:rsidRPr="006E0C03">
        <w:rPr>
          <w:sz w:val="24"/>
          <w:szCs w:val="24"/>
        </w:rPr>
        <w:t>engaged in recreational activities</w:t>
      </w:r>
      <w:r w:rsidR="00A956F6" w:rsidRPr="006E0C03">
        <w:rPr>
          <w:sz w:val="24"/>
          <w:szCs w:val="24"/>
        </w:rPr>
        <w:t>.</w:t>
      </w:r>
    </w:p>
    <w:p w14:paraId="4DDD07B3" w14:textId="6F6A255C" w:rsidR="00BA41E6" w:rsidRDefault="00BA41E6" w:rsidP="006C429C">
      <w:pPr>
        <w:pStyle w:val="Heading1"/>
      </w:pPr>
      <w:r w:rsidRPr="00D670F6">
        <w:t>Recommendations</w:t>
      </w:r>
    </w:p>
    <w:p w14:paraId="3262DD03" w14:textId="77777777" w:rsidR="00004B5D" w:rsidRDefault="00004B5D" w:rsidP="00D37BD4">
      <w:pPr>
        <w:spacing w:after="0" w:line="240" w:lineRule="auto"/>
      </w:pPr>
    </w:p>
    <w:p w14:paraId="4AB77AB2" w14:textId="5815C5F4" w:rsidR="00610DFF" w:rsidRDefault="45B00127" w:rsidP="00D37BD4">
      <w:pPr>
        <w:keepNext/>
        <w:spacing w:after="240" w:line="240" w:lineRule="auto"/>
        <w:jc w:val="both"/>
        <w:rPr>
          <w:kern w:val="0"/>
          <w:sz w:val="24"/>
          <w:szCs w:val="24"/>
          <w14:ligatures w14:val="none"/>
        </w:rPr>
      </w:pPr>
      <w:r w:rsidRPr="006E0C03">
        <w:rPr>
          <w:color w:val="000000"/>
          <w:kern w:val="0"/>
          <w:sz w:val="24"/>
          <w:szCs w:val="24"/>
          <w14:ligatures w14:val="none"/>
        </w:rPr>
        <w:t>T</w:t>
      </w:r>
      <w:r w:rsidR="4214CF15" w:rsidRPr="006E0C03">
        <w:rPr>
          <w:color w:val="000000"/>
          <w:kern w:val="0"/>
          <w:sz w:val="24"/>
          <w:szCs w:val="24"/>
          <w14:ligatures w14:val="none"/>
        </w:rPr>
        <w:t>he data we reviewed</w:t>
      </w:r>
      <w:r w:rsidR="395B99EA" w:rsidRPr="23A4FC9A">
        <w:rPr>
          <w:color w:val="000000" w:themeColor="text1"/>
          <w:sz w:val="24"/>
          <w:szCs w:val="24"/>
        </w:rPr>
        <w:t xml:space="preserve"> indicates </w:t>
      </w:r>
      <w:r w:rsidR="527169C6" w:rsidRPr="23A4FC9A">
        <w:rPr>
          <w:color w:val="000000" w:themeColor="text1"/>
          <w:sz w:val="24"/>
          <w:szCs w:val="24"/>
        </w:rPr>
        <w:t xml:space="preserve">that </w:t>
      </w:r>
      <w:r w:rsidR="395B99EA" w:rsidRPr="4C7195EB">
        <w:rPr>
          <w:color w:val="000000" w:themeColor="text1"/>
          <w:sz w:val="24"/>
          <w:szCs w:val="24"/>
        </w:rPr>
        <w:t xml:space="preserve">there are </w:t>
      </w:r>
      <w:r w:rsidR="2C5B3C3D" w:rsidRPr="4C7195EB">
        <w:rPr>
          <w:color w:val="000000" w:themeColor="text1"/>
          <w:sz w:val="24"/>
          <w:szCs w:val="24"/>
        </w:rPr>
        <w:t>no</w:t>
      </w:r>
      <w:r w:rsidR="55085804" w:rsidRPr="4C7195EB">
        <w:rPr>
          <w:color w:val="000000" w:themeColor="text1"/>
          <w:sz w:val="24"/>
          <w:szCs w:val="24"/>
        </w:rPr>
        <w:t xml:space="preserve"> </w:t>
      </w:r>
      <w:r w:rsidR="7027C043" w:rsidRPr="4C7195EB">
        <w:rPr>
          <w:color w:val="000000" w:themeColor="text1"/>
          <w:sz w:val="24"/>
          <w:szCs w:val="24"/>
        </w:rPr>
        <w:t>on</w:t>
      </w:r>
      <w:r w:rsidR="2B5FA54E" w:rsidRPr="23A4FC9A">
        <w:rPr>
          <w:color w:val="000000" w:themeColor="text1"/>
          <w:sz w:val="24"/>
          <w:szCs w:val="24"/>
        </w:rPr>
        <w:t>-going health concerns related to emissions from the Clean Harbors Fire</w:t>
      </w:r>
      <w:r w:rsidR="56D09BDE" w:rsidRPr="4C7195EB">
        <w:rPr>
          <w:color w:val="000000" w:themeColor="text1"/>
          <w:sz w:val="24"/>
          <w:szCs w:val="24"/>
        </w:rPr>
        <w:t>.  N</w:t>
      </w:r>
      <w:r w:rsidR="67238BCF" w:rsidRPr="006E0C03">
        <w:rPr>
          <w:color w:val="000000"/>
          <w:kern w:val="0"/>
          <w:sz w:val="24"/>
          <w:szCs w:val="24"/>
          <w14:ligatures w14:val="none"/>
        </w:rPr>
        <w:t>o further public health action</w:t>
      </w:r>
      <w:r w:rsidR="321891BB" w:rsidRPr="4C7195EB">
        <w:rPr>
          <w:color w:val="000000" w:themeColor="text1"/>
          <w:sz w:val="24"/>
          <w:szCs w:val="24"/>
        </w:rPr>
        <w:t>s</w:t>
      </w:r>
      <w:r w:rsidR="67238BCF" w:rsidRPr="006E0C03">
        <w:rPr>
          <w:color w:val="000000"/>
          <w:kern w:val="0"/>
          <w:sz w:val="24"/>
          <w:szCs w:val="24"/>
          <w14:ligatures w14:val="none"/>
        </w:rPr>
        <w:t xml:space="preserve"> </w:t>
      </w:r>
      <w:r w:rsidR="7CE4A129" w:rsidRPr="4C7195EB">
        <w:rPr>
          <w:color w:val="000000" w:themeColor="text1"/>
          <w:sz w:val="24"/>
          <w:szCs w:val="24"/>
        </w:rPr>
        <w:t>are</w:t>
      </w:r>
      <w:r w:rsidR="67238BCF" w:rsidRPr="006E0C03">
        <w:rPr>
          <w:color w:val="000000"/>
          <w:kern w:val="0"/>
          <w:sz w:val="24"/>
          <w:szCs w:val="24"/>
          <w14:ligatures w14:val="none"/>
        </w:rPr>
        <w:t xml:space="preserve"> required</w:t>
      </w:r>
      <w:r w:rsidR="1A015562" w:rsidRPr="4C7195EB">
        <w:rPr>
          <w:color w:val="000000" w:themeColor="text1"/>
          <w:sz w:val="24"/>
          <w:szCs w:val="24"/>
        </w:rPr>
        <w:t xml:space="preserve"> to reduce or avoid exposure</w:t>
      </w:r>
      <w:r w:rsidR="67238BCF" w:rsidRPr="006E0C03">
        <w:rPr>
          <w:color w:val="000000"/>
          <w:kern w:val="0"/>
          <w:sz w:val="24"/>
          <w:szCs w:val="24"/>
          <w14:ligatures w14:val="none"/>
        </w:rPr>
        <w:t>.</w:t>
      </w:r>
      <w:r w:rsidR="67238BCF" w:rsidRPr="006E0C03">
        <w:rPr>
          <w:kern w:val="0"/>
          <w:sz w:val="24"/>
          <w:szCs w:val="24"/>
          <w14:ligatures w14:val="none"/>
        </w:rPr>
        <w:t xml:space="preserve"> Residents </w:t>
      </w:r>
      <w:r w:rsidR="13A13669" w:rsidRPr="4C7195EB">
        <w:rPr>
          <w:sz w:val="24"/>
          <w:szCs w:val="24"/>
        </w:rPr>
        <w:t xml:space="preserve">in the communities surrounding the Clean Harbors Facility </w:t>
      </w:r>
      <w:r w:rsidR="67238BCF" w:rsidRPr="006E0C03">
        <w:rPr>
          <w:kern w:val="0"/>
          <w:sz w:val="24"/>
          <w:szCs w:val="24"/>
          <w14:ligatures w14:val="none"/>
        </w:rPr>
        <w:t>do not need to take additional precautions in everyday activities.</w:t>
      </w:r>
    </w:p>
    <w:p w14:paraId="2FEA708C" w14:textId="5E3DBFDD" w:rsidR="7CBE70F3" w:rsidRDefault="32B95184" w:rsidP="00D37BD4">
      <w:pPr>
        <w:keepNext/>
        <w:spacing w:after="240" w:line="240" w:lineRule="auto"/>
        <w:jc w:val="both"/>
        <w:rPr>
          <w:rFonts w:ascii="Calibri" w:eastAsia="Calibri" w:hAnsi="Calibri" w:cs="Calibri"/>
          <w:sz w:val="24"/>
          <w:szCs w:val="24"/>
        </w:rPr>
      </w:pPr>
      <w:r w:rsidRPr="23A4FC9A">
        <w:rPr>
          <w:rFonts w:ascii="Calibri" w:eastAsia="Calibri" w:hAnsi="Calibri" w:cs="Calibri"/>
          <w:sz w:val="24"/>
          <w:szCs w:val="24"/>
        </w:rPr>
        <w:t>For future incidents where residents may be exposed to environmental contaminants</w:t>
      </w:r>
      <w:r w:rsidR="4E8F98A0" w:rsidRPr="23A4FC9A">
        <w:rPr>
          <w:rFonts w:ascii="Calibri" w:eastAsia="Calibri" w:hAnsi="Calibri" w:cs="Calibri"/>
          <w:sz w:val="24"/>
          <w:szCs w:val="24"/>
        </w:rPr>
        <w:t xml:space="preserve">, </w:t>
      </w:r>
      <w:r w:rsidR="34845126" w:rsidRPr="23A4FC9A">
        <w:rPr>
          <w:rFonts w:ascii="Calibri" w:eastAsia="Calibri" w:hAnsi="Calibri" w:cs="Calibri"/>
          <w:sz w:val="24"/>
          <w:szCs w:val="24"/>
        </w:rPr>
        <w:t>t</w:t>
      </w:r>
      <w:r w:rsidR="7C42F20B" w:rsidRPr="23A4FC9A">
        <w:rPr>
          <w:rFonts w:ascii="Calibri" w:eastAsia="Calibri" w:hAnsi="Calibri" w:cs="Calibri"/>
          <w:sz w:val="24"/>
          <w:szCs w:val="24"/>
        </w:rPr>
        <w:t xml:space="preserve">he town of Braintree should ensure </w:t>
      </w:r>
      <w:r w:rsidR="1EE96379" w:rsidRPr="23A4FC9A">
        <w:rPr>
          <w:rFonts w:ascii="Calibri" w:eastAsia="Calibri" w:hAnsi="Calibri" w:cs="Calibri"/>
          <w:sz w:val="24"/>
          <w:szCs w:val="24"/>
        </w:rPr>
        <w:t>outreach activities</w:t>
      </w:r>
      <w:r w:rsidR="7C42F20B" w:rsidRPr="23A4FC9A">
        <w:rPr>
          <w:rFonts w:ascii="Calibri" w:eastAsia="Calibri" w:hAnsi="Calibri" w:cs="Calibri"/>
          <w:sz w:val="24"/>
          <w:szCs w:val="24"/>
        </w:rPr>
        <w:t xml:space="preserve"> meet </w:t>
      </w:r>
      <w:r w:rsidR="60369DAB" w:rsidRPr="23A4FC9A">
        <w:rPr>
          <w:rFonts w:ascii="Calibri" w:eastAsia="Calibri" w:hAnsi="Calibri" w:cs="Calibri"/>
          <w:sz w:val="24"/>
          <w:szCs w:val="24"/>
        </w:rPr>
        <w:t xml:space="preserve">the </w:t>
      </w:r>
      <w:r w:rsidR="42B13AFD" w:rsidRPr="23A4FC9A">
        <w:rPr>
          <w:rFonts w:ascii="Calibri" w:eastAsia="Calibri" w:hAnsi="Calibri" w:cs="Calibri"/>
          <w:sz w:val="24"/>
          <w:szCs w:val="24"/>
        </w:rPr>
        <w:t>language</w:t>
      </w:r>
      <w:r w:rsidR="7C42F20B" w:rsidRPr="23A4FC9A">
        <w:rPr>
          <w:rFonts w:ascii="Calibri" w:eastAsia="Calibri" w:hAnsi="Calibri" w:cs="Calibri"/>
          <w:sz w:val="24"/>
          <w:szCs w:val="24"/>
        </w:rPr>
        <w:t xml:space="preserve"> needs of the community.</w:t>
      </w:r>
    </w:p>
    <w:p w14:paraId="3705FB87" w14:textId="7B1F382B" w:rsidR="00117331" w:rsidRPr="006E0C03" w:rsidRDefault="00117331" w:rsidP="00D37BD4">
      <w:pPr>
        <w:keepNext/>
        <w:spacing w:after="240" w:line="240" w:lineRule="auto"/>
        <w:jc w:val="both"/>
        <w:rPr>
          <w:rFonts w:ascii="Times New Roman" w:hAnsi="Times New Roman" w:cs="Times New Roman"/>
          <w:kern w:val="0"/>
          <w:sz w:val="28"/>
          <w:szCs w:val="28"/>
          <w14:ligatures w14:val="none"/>
        </w:rPr>
      </w:pPr>
      <w:r w:rsidRPr="006E0C03">
        <w:rPr>
          <w:color w:val="000000"/>
          <w:kern w:val="0"/>
          <w:sz w:val="24"/>
          <w:szCs w:val="24"/>
          <w14:ligatures w14:val="none"/>
        </w:rPr>
        <w:t>Individuals with additional information or questions regarding this health consultation should contact the MDPH/B</w:t>
      </w:r>
      <w:r w:rsidR="0622FC9D" w:rsidRPr="006E0C03">
        <w:rPr>
          <w:color w:val="000000"/>
          <w:kern w:val="0"/>
          <w:sz w:val="24"/>
          <w:szCs w:val="24"/>
          <w14:ligatures w14:val="none"/>
        </w:rPr>
        <w:t>C</w:t>
      </w:r>
      <w:r w:rsidRPr="006E0C03">
        <w:rPr>
          <w:color w:val="000000"/>
          <w:kern w:val="0"/>
          <w:sz w:val="24"/>
          <w:szCs w:val="24"/>
          <w14:ligatures w14:val="none"/>
        </w:rPr>
        <w:t>EH, Environmental Toxicology Program, at 617-624-5757.</w:t>
      </w:r>
      <w:r w:rsidRPr="006E0C03">
        <w:rPr>
          <w:rFonts w:ascii="Times New Roman" w:hAnsi="Times New Roman" w:cs="Times New Roman"/>
          <w:kern w:val="0"/>
          <w:sz w:val="28"/>
          <w:szCs w:val="28"/>
          <w14:ligatures w14:val="none"/>
        </w:rPr>
        <w:t xml:space="preserve"> </w:t>
      </w:r>
    </w:p>
    <w:p w14:paraId="624A6348" w14:textId="5281B167" w:rsidR="00BA41E6" w:rsidRPr="00D670F6" w:rsidRDefault="00BA41E6" w:rsidP="00F3056A">
      <w:pPr>
        <w:spacing w:after="0" w:line="240" w:lineRule="auto"/>
        <w:rPr>
          <w:rFonts w:ascii="Times New Roman" w:hAnsi="Times New Roman" w:cs="Times New Roman"/>
          <w:kern w:val="0"/>
          <w:sz w:val="24"/>
          <w:szCs w:val="24"/>
          <w14:ligatures w14:val="none"/>
        </w:rPr>
      </w:pPr>
    </w:p>
    <w:p w14:paraId="21010DC3" w14:textId="77777777" w:rsidR="006E0C03" w:rsidRDefault="006E0C03">
      <w:pPr>
        <w:spacing w:line="259" w:lineRule="auto"/>
        <w:rPr>
          <w:caps/>
          <w:color w:val="2F5496" w:themeColor="accent1" w:themeShade="BF"/>
          <w:sz w:val="28"/>
          <w:szCs w:val="28"/>
        </w:rPr>
      </w:pPr>
      <w:r>
        <w:br w:type="page"/>
      </w:r>
    </w:p>
    <w:p w14:paraId="7F90EBC4" w14:textId="13723FAA" w:rsidR="00CA27E9" w:rsidRPr="006446A4" w:rsidRDefault="3C885B63" w:rsidP="006C429C">
      <w:pPr>
        <w:pStyle w:val="Heading1"/>
      </w:pPr>
      <w:r>
        <w:t>References</w:t>
      </w:r>
    </w:p>
    <w:p w14:paraId="11EA067B" w14:textId="77777777" w:rsidR="006446A4" w:rsidRPr="006446A4" w:rsidRDefault="006446A4" w:rsidP="006446A4">
      <w:pPr>
        <w:spacing w:after="0" w:line="240" w:lineRule="auto"/>
        <w:rPr>
          <w:rFonts w:eastAsia="Times New Roman" w:cstheme="minorHAnsi"/>
          <w:kern w:val="0"/>
          <w14:ligatures w14:val="none"/>
        </w:rPr>
      </w:pPr>
    </w:p>
    <w:p w14:paraId="2E3FDA48" w14:textId="153966AA" w:rsidR="006446A4" w:rsidRPr="006E0C03" w:rsidRDefault="5C458FC7" w:rsidP="487B773E">
      <w:pPr>
        <w:spacing w:after="0" w:line="240" w:lineRule="auto"/>
        <w:rPr>
          <w:rFonts w:eastAsia="Times New Roman"/>
          <w:sz w:val="24"/>
          <w:szCs w:val="24"/>
        </w:rPr>
      </w:pPr>
      <w:r w:rsidRPr="23A4FC9A">
        <w:rPr>
          <w:rFonts w:eastAsia="Times New Roman"/>
          <w:sz w:val="24"/>
          <w:szCs w:val="24"/>
        </w:rPr>
        <w:t xml:space="preserve">Agency for Toxic Substances and Disease Registry (ATSDR). (2022a). </w:t>
      </w:r>
      <w:r w:rsidRPr="23A4FC9A">
        <w:rPr>
          <w:rFonts w:eastAsia="Times New Roman"/>
          <w:i/>
          <w:iCs/>
          <w:sz w:val="24"/>
          <w:szCs w:val="24"/>
        </w:rPr>
        <w:t>Guidance for Inhalation Exposures to Particulate Matter</w:t>
      </w:r>
      <w:r w:rsidRPr="23A4FC9A">
        <w:rPr>
          <w:rFonts w:eastAsia="Times New Roman"/>
          <w:sz w:val="24"/>
          <w:szCs w:val="24"/>
        </w:rPr>
        <w:t xml:space="preserve">. </w:t>
      </w:r>
      <w:hyperlink r:id="rId11" w:history="1">
        <w:r w:rsidRPr="23A4FC9A">
          <w:rPr>
            <w:rFonts w:eastAsia="Times New Roman"/>
            <w:sz w:val="24"/>
            <w:szCs w:val="24"/>
          </w:rPr>
          <w:t>https://www.atsdr.cdc.gov/pha-guidance/resources/ATSDR-Particulate-Matter-Guidance-508.pdf</w:t>
        </w:r>
      </w:hyperlink>
      <w:r w:rsidRPr="23A4FC9A">
        <w:rPr>
          <w:rFonts w:eastAsia="Times New Roman"/>
          <w:sz w:val="24"/>
          <w:szCs w:val="24"/>
        </w:rPr>
        <w:t xml:space="preserve"> </w:t>
      </w:r>
    </w:p>
    <w:p w14:paraId="3415F36B" w14:textId="77777777" w:rsidR="006446A4" w:rsidRPr="006E0C03" w:rsidRDefault="006446A4" w:rsidP="487B773E">
      <w:pPr>
        <w:spacing w:after="0" w:line="240" w:lineRule="auto"/>
        <w:rPr>
          <w:rFonts w:eastAsia="Times New Roman"/>
          <w:sz w:val="24"/>
          <w:szCs w:val="24"/>
        </w:rPr>
      </w:pPr>
    </w:p>
    <w:p w14:paraId="490A338C" w14:textId="5E0044DB" w:rsidR="006446A4" w:rsidRDefault="5C458FC7" w:rsidP="487B773E">
      <w:pPr>
        <w:spacing w:after="0" w:line="240" w:lineRule="auto"/>
        <w:rPr>
          <w:rFonts w:eastAsia="Times New Roman"/>
          <w:sz w:val="24"/>
          <w:szCs w:val="24"/>
        </w:rPr>
      </w:pPr>
      <w:r w:rsidRPr="23A4FC9A">
        <w:rPr>
          <w:rFonts w:eastAsia="Times New Roman"/>
          <w:sz w:val="24"/>
          <w:szCs w:val="24"/>
        </w:rPr>
        <w:t xml:space="preserve">Agency for Toxic Substances and Disease Registry (ATSDR). (2022b). Screening Levels Used by ATSDR | PHA Guidance Manual. September 18. </w:t>
      </w:r>
      <w:hyperlink r:id="rId12" w:history="1">
        <w:r w:rsidRPr="23A4FC9A">
          <w:rPr>
            <w:rFonts w:eastAsia="Times New Roman"/>
            <w:sz w:val="24"/>
            <w:szCs w:val="24"/>
          </w:rPr>
          <w:t>https://www.atsdr.cdc.gov/pha-guidance/conducting_scientific_evaluations/screening_analysis/screening_levels_used_by_ATSDR.html</w:t>
        </w:r>
      </w:hyperlink>
      <w:r w:rsidRPr="23A4FC9A">
        <w:rPr>
          <w:rFonts w:eastAsia="Times New Roman"/>
          <w:sz w:val="24"/>
          <w:szCs w:val="24"/>
        </w:rPr>
        <w:t xml:space="preserve"> </w:t>
      </w:r>
    </w:p>
    <w:p w14:paraId="7CD4E191" w14:textId="77777777" w:rsidR="0019759A" w:rsidRPr="006E0C03" w:rsidRDefault="0019759A" w:rsidP="487B773E">
      <w:pPr>
        <w:spacing w:after="0" w:line="240" w:lineRule="auto"/>
        <w:rPr>
          <w:rFonts w:eastAsia="Times New Roman"/>
          <w:sz w:val="24"/>
          <w:szCs w:val="24"/>
        </w:rPr>
      </w:pPr>
    </w:p>
    <w:p w14:paraId="761E8B08" w14:textId="55FF0E9B" w:rsidR="006446A4" w:rsidRPr="006E0C03" w:rsidRDefault="33E8F1A7" w:rsidP="23A4FC9A">
      <w:pPr>
        <w:spacing w:after="0" w:line="240" w:lineRule="auto"/>
        <w:rPr>
          <w:rFonts w:eastAsiaTheme="minorEastAsia"/>
          <w:color w:val="000000" w:themeColor="text1"/>
          <w:sz w:val="24"/>
          <w:szCs w:val="24"/>
        </w:rPr>
      </w:pPr>
      <w:r w:rsidRPr="23A4FC9A">
        <w:rPr>
          <w:rFonts w:eastAsiaTheme="minorEastAsia"/>
          <w:color w:val="000000" w:themeColor="text1"/>
          <w:sz w:val="24"/>
          <w:szCs w:val="24"/>
        </w:rPr>
        <w:t xml:space="preserve">Agency for Toxic Substances and Disease Registry (ATSDR). </w:t>
      </w:r>
      <w:r w:rsidR="5CFE29C5" w:rsidRPr="23A4FC9A">
        <w:rPr>
          <w:rFonts w:eastAsiaTheme="minorEastAsia"/>
          <w:color w:val="000000" w:themeColor="text1"/>
          <w:sz w:val="24"/>
          <w:szCs w:val="24"/>
        </w:rPr>
        <w:t>(</w:t>
      </w:r>
      <w:r w:rsidRPr="23A4FC9A">
        <w:rPr>
          <w:rFonts w:eastAsiaTheme="minorEastAsia"/>
          <w:color w:val="000000" w:themeColor="text1"/>
          <w:sz w:val="24"/>
          <w:szCs w:val="24"/>
        </w:rPr>
        <w:t>2023a</w:t>
      </w:r>
      <w:r w:rsidR="7E01161D" w:rsidRPr="23A4FC9A">
        <w:rPr>
          <w:rFonts w:eastAsiaTheme="minorEastAsia"/>
          <w:color w:val="000000" w:themeColor="text1"/>
          <w:sz w:val="24"/>
          <w:szCs w:val="24"/>
        </w:rPr>
        <w:t>)</w:t>
      </w:r>
      <w:r w:rsidRPr="23A4FC9A">
        <w:rPr>
          <w:rFonts w:eastAsiaTheme="minorEastAsia"/>
          <w:color w:val="000000" w:themeColor="text1"/>
          <w:sz w:val="24"/>
          <w:szCs w:val="24"/>
        </w:rPr>
        <w:t xml:space="preserve">. Public health assessment guidance manual. Atlanta: US Department of Health and Human Services. Available from: </w:t>
      </w:r>
      <w:r w:rsidRPr="23A4FC9A">
        <w:rPr>
          <w:rFonts w:eastAsiaTheme="minorEastAsia"/>
          <w:color w:val="075290"/>
          <w:sz w:val="24"/>
          <w:szCs w:val="24"/>
          <w:u w:val="single"/>
        </w:rPr>
        <w:t>https://www.atsdr.cdc.gov/pha-guidance/index.html</w:t>
      </w:r>
      <w:r w:rsidRPr="23A4FC9A">
        <w:rPr>
          <w:rFonts w:eastAsiaTheme="minorEastAsia"/>
          <w:color w:val="000000" w:themeColor="text1"/>
          <w:sz w:val="24"/>
          <w:szCs w:val="24"/>
        </w:rPr>
        <w:t>.</w:t>
      </w:r>
      <w:r w:rsidRPr="23A4FC9A">
        <w:rPr>
          <w:rFonts w:eastAsia="Times New Roman"/>
          <w:sz w:val="24"/>
          <w:szCs w:val="24"/>
        </w:rPr>
        <w:t xml:space="preserve"> </w:t>
      </w:r>
    </w:p>
    <w:p w14:paraId="24CC5644" w14:textId="50890301" w:rsidR="006446A4" w:rsidRPr="006E0C03" w:rsidRDefault="006446A4" w:rsidP="487B773E">
      <w:pPr>
        <w:spacing w:after="0" w:line="240" w:lineRule="auto"/>
        <w:rPr>
          <w:rFonts w:eastAsia="Times New Roman"/>
          <w:sz w:val="24"/>
          <w:szCs w:val="24"/>
        </w:rPr>
      </w:pPr>
    </w:p>
    <w:p w14:paraId="75B1C2C0" w14:textId="6E3E6A31" w:rsidR="00CA27E9" w:rsidRPr="006E0C03" w:rsidRDefault="1C285CAA" w:rsidP="23A4FC9A">
      <w:pPr>
        <w:spacing w:after="0" w:line="240" w:lineRule="auto"/>
        <w:rPr>
          <w:rFonts w:eastAsia="Times New Roman"/>
          <w:kern w:val="0"/>
          <w:sz w:val="24"/>
          <w:szCs w:val="24"/>
          <w14:ligatures w14:val="none"/>
        </w:rPr>
      </w:pPr>
      <w:r w:rsidRPr="487B773E">
        <w:rPr>
          <w:rFonts w:eastAsia="Times New Roman"/>
          <w:kern w:val="0"/>
          <w:sz w:val="24"/>
          <w:szCs w:val="24"/>
          <w14:ligatures w14:val="none"/>
        </w:rPr>
        <w:t>Agency for Toxic Substances and Disease Registry (ATSDR). (202</w:t>
      </w:r>
      <w:r w:rsidR="6F4FE447" w:rsidRPr="487B773E">
        <w:rPr>
          <w:rFonts w:eastAsia="Times New Roman"/>
          <w:kern w:val="0"/>
          <w:sz w:val="24"/>
          <w:szCs w:val="24"/>
          <w14:ligatures w14:val="none"/>
        </w:rPr>
        <w:t>3</w:t>
      </w:r>
      <w:r w:rsidR="4875EB03" w:rsidRPr="487B773E">
        <w:rPr>
          <w:rFonts w:eastAsia="Times New Roman"/>
          <w:kern w:val="0"/>
          <w:sz w:val="24"/>
          <w:szCs w:val="24"/>
          <w14:ligatures w14:val="none"/>
        </w:rPr>
        <w:t>b</w:t>
      </w:r>
      <w:r w:rsidRPr="487B773E">
        <w:rPr>
          <w:rFonts w:eastAsia="Times New Roman"/>
          <w:kern w:val="0"/>
          <w:sz w:val="24"/>
          <w:szCs w:val="24"/>
          <w14:ligatures w14:val="none"/>
        </w:rPr>
        <w:t xml:space="preserve">). </w:t>
      </w:r>
      <w:r w:rsidR="1CB5EC16" w:rsidRPr="487B773E">
        <w:rPr>
          <w:rFonts w:eastAsia="Times New Roman"/>
          <w:kern w:val="0"/>
          <w:sz w:val="24"/>
          <w:szCs w:val="24"/>
          <w14:ligatures w14:val="none"/>
        </w:rPr>
        <w:t>Environmental Justice Index Factsheet</w:t>
      </w:r>
      <w:r w:rsidRPr="487B773E">
        <w:rPr>
          <w:rFonts w:eastAsia="Times New Roman"/>
          <w:kern w:val="0"/>
          <w:sz w:val="24"/>
          <w:szCs w:val="24"/>
          <w14:ligatures w14:val="none"/>
        </w:rPr>
        <w:t xml:space="preserve">. In </w:t>
      </w:r>
      <w:r w:rsidR="69B6664D" w:rsidRPr="487B773E">
        <w:rPr>
          <w:rFonts w:eastAsia="Times New Roman"/>
          <w:sz w:val="24"/>
          <w:szCs w:val="24"/>
        </w:rPr>
        <w:t xml:space="preserve"> </w:t>
      </w:r>
      <w:r w:rsidR="7FE62AD8" w:rsidRPr="487B773E">
        <w:rPr>
          <w:rFonts w:eastAsia="Times New Roman"/>
          <w:sz w:val="24"/>
          <w:szCs w:val="24"/>
        </w:rPr>
        <w:t xml:space="preserve"> https://www.atsdr.cdc.gov/placeandhealth/eji/fact_sheet.html</w:t>
      </w:r>
      <w:r w:rsidR="69B6664D" w:rsidRPr="487B773E">
        <w:rPr>
          <w:rFonts w:eastAsia="Times New Roman"/>
          <w:sz w:val="24"/>
          <w:szCs w:val="24"/>
        </w:rPr>
        <w:t>.</w:t>
      </w:r>
      <w:r w:rsidR="62A2A44D" w:rsidRPr="487B773E">
        <w:rPr>
          <w:rFonts w:eastAsia="Times New Roman"/>
          <w:kern w:val="0"/>
          <w:sz w:val="24"/>
          <w:szCs w:val="24"/>
          <w14:ligatures w14:val="none"/>
        </w:rPr>
        <w:t xml:space="preserve"> </w:t>
      </w:r>
      <w:r w:rsidRPr="487B773E">
        <w:rPr>
          <w:rFonts w:eastAsia="Times New Roman"/>
          <w:sz w:val="24"/>
          <w:szCs w:val="24"/>
        </w:rPr>
        <w:t xml:space="preserve">Department of </w:t>
      </w:r>
      <w:r w:rsidR="093069E4" w:rsidRPr="23A4FC9A">
        <w:rPr>
          <w:rFonts w:eastAsia="Times New Roman"/>
          <w:kern w:val="0"/>
          <w:sz w:val="24"/>
          <w:szCs w:val="24"/>
          <w14:ligatures w14:val="none"/>
        </w:rPr>
        <w:t>Health and Human Services, Public Health Service.</w:t>
      </w:r>
    </w:p>
    <w:p w14:paraId="124493BC" w14:textId="77777777" w:rsidR="006446A4" w:rsidRPr="006E0C03" w:rsidRDefault="006446A4" w:rsidP="006E0C03">
      <w:pPr>
        <w:spacing w:after="0" w:line="240" w:lineRule="auto"/>
        <w:rPr>
          <w:rFonts w:eastAsia="Times New Roman" w:cstheme="minorHAnsi"/>
          <w:kern w:val="0"/>
          <w:sz w:val="24"/>
          <w:szCs w:val="24"/>
          <w14:ligatures w14:val="none"/>
        </w:rPr>
      </w:pPr>
    </w:p>
    <w:p w14:paraId="7CB2A926" w14:textId="11844E14" w:rsidR="00CA27E9" w:rsidRPr="006E0C03" w:rsidRDefault="093069E4" w:rsidP="23A4FC9A">
      <w:pPr>
        <w:spacing w:after="0" w:line="240" w:lineRule="auto"/>
        <w:rPr>
          <w:rFonts w:eastAsia="Times New Roman"/>
          <w:kern w:val="0"/>
          <w:sz w:val="24"/>
          <w:szCs w:val="24"/>
          <w14:ligatures w14:val="none"/>
        </w:rPr>
      </w:pPr>
      <w:r w:rsidRPr="23A4FC9A">
        <w:rPr>
          <w:rFonts w:eastAsia="Times New Roman"/>
          <w:kern w:val="0"/>
          <w:sz w:val="24"/>
          <w:szCs w:val="24"/>
          <w14:ligatures w14:val="none"/>
        </w:rPr>
        <w:t>Air Quality Sensor Performance Evaluation Center (AQSPEC</w:t>
      </w:r>
      <w:r w:rsidR="005E1214" w:rsidRPr="23A4FC9A">
        <w:rPr>
          <w:rFonts w:eastAsia="Times New Roman"/>
          <w:kern w:val="0"/>
          <w:sz w:val="24"/>
          <w:szCs w:val="24"/>
          <w14:ligatures w14:val="none"/>
        </w:rPr>
        <w:t>).</w:t>
      </w:r>
      <w:r w:rsidRPr="23A4FC9A">
        <w:rPr>
          <w:rFonts w:eastAsia="Times New Roman"/>
          <w:kern w:val="0"/>
          <w:sz w:val="24"/>
          <w:szCs w:val="24"/>
          <w14:ligatures w14:val="none"/>
        </w:rPr>
        <w:t xml:space="preserve"> Performance Evaluation by the South Coast Air Quality Management District, Air Quality Sensor Performance Evaluation Center. </w:t>
      </w:r>
      <w:hyperlink r:id="rId13" w:history="1">
        <w:r w:rsidR="4D5F328C" w:rsidRPr="23A4FC9A">
          <w:rPr>
            <w:rStyle w:val="Hyperlink"/>
            <w:rFonts w:eastAsia="Times New Roman"/>
            <w:kern w:val="0"/>
            <w:sz w:val="24"/>
            <w:szCs w:val="24"/>
            <w14:ligatures w14:val="none"/>
          </w:rPr>
          <w:t>http://www.aqmd.gov/docs/default-source/aq-spec/summary/purpleair-pa-ii---summary-report.pdf?sfvrsn=16</w:t>
        </w:r>
      </w:hyperlink>
      <w:r w:rsidR="7B2B94D0" w:rsidRPr="23A4FC9A">
        <w:rPr>
          <w:rFonts w:eastAsia="Times New Roman"/>
          <w:kern w:val="0"/>
          <w:sz w:val="24"/>
          <w:szCs w:val="24"/>
          <w14:ligatures w14:val="none"/>
        </w:rPr>
        <w:t>. Accessed 5/18/23</w:t>
      </w:r>
      <w:r w:rsidR="35946C4B" w:rsidRPr="23A4FC9A">
        <w:rPr>
          <w:rFonts w:eastAsia="Times New Roman"/>
          <w:kern w:val="0"/>
          <w:sz w:val="24"/>
          <w:szCs w:val="24"/>
          <w14:ligatures w14:val="none"/>
        </w:rPr>
        <w:t>.</w:t>
      </w:r>
      <w:r w:rsidR="4D5F328C" w:rsidRPr="23A4FC9A">
        <w:rPr>
          <w:rFonts w:eastAsia="Times New Roman"/>
          <w:kern w:val="0"/>
          <w:sz w:val="24"/>
          <w:szCs w:val="24"/>
          <w14:ligatures w14:val="none"/>
        </w:rPr>
        <w:t xml:space="preserve"> </w:t>
      </w:r>
    </w:p>
    <w:p w14:paraId="44A9722A" w14:textId="77777777" w:rsidR="006446A4" w:rsidRPr="006E0C03" w:rsidRDefault="006446A4" w:rsidP="006E0C03">
      <w:pPr>
        <w:spacing w:after="0" w:line="240" w:lineRule="auto"/>
        <w:rPr>
          <w:rFonts w:eastAsia="Times New Roman" w:cstheme="minorHAnsi"/>
          <w:kern w:val="0"/>
          <w:sz w:val="24"/>
          <w:szCs w:val="24"/>
          <w14:ligatures w14:val="none"/>
        </w:rPr>
      </w:pPr>
    </w:p>
    <w:p w14:paraId="0682C197" w14:textId="64350B11" w:rsidR="005D1B78" w:rsidRDefault="108A839E" w:rsidP="23A4FC9A">
      <w:pPr>
        <w:spacing w:after="0" w:line="240" w:lineRule="auto"/>
        <w:rPr>
          <w:rFonts w:eastAsia="Times New Roman"/>
          <w:kern w:val="0"/>
          <w:sz w:val="24"/>
          <w:szCs w:val="24"/>
          <w14:ligatures w14:val="none"/>
        </w:rPr>
      </w:pPr>
      <w:r w:rsidRPr="23A4FC9A">
        <w:rPr>
          <w:rFonts w:eastAsia="Times New Roman"/>
          <w:kern w:val="0"/>
          <w:sz w:val="24"/>
          <w:szCs w:val="24"/>
          <w14:ligatures w14:val="none"/>
        </w:rPr>
        <w:t>American Lung Association (ALA). 2023. Dispari</w:t>
      </w:r>
      <w:r w:rsidR="67B5898D" w:rsidRPr="23A4FC9A">
        <w:rPr>
          <w:rFonts w:eastAsia="Times New Roman"/>
          <w:kern w:val="0"/>
          <w:sz w:val="24"/>
          <w:szCs w:val="24"/>
          <w14:ligatures w14:val="none"/>
        </w:rPr>
        <w:t>ties in the Impact of Air Pollution.</w:t>
      </w:r>
      <w:r w:rsidR="66853523" w:rsidRPr="23A4FC9A">
        <w:rPr>
          <w:rFonts w:eastAsia="Times New Roman"/>
          <w:kern w:val="0"/>
          <w:sz w:val="24"/>
          <w:szCs w:val="24"/>
          <w14:ligatures w14:val="none"/>
        </w:rPr>
        <w:t xml:space="preserve"> April 17. https://www.lung.org/clean-air/outdoors/who-is-at-risk/disparities </w:t>
      </w:r>
    </w:p>
    <w:p w14:paraId="7850541D" w14:textId="77777777" w:rsidR="00AB5F42" w:rsidRDefault="00AB5F42" w:rsidP="23A4FC9A">
      <w:pPr>
        <w:spacing w:after="0" w:line="240" w:lineRule="auto"/>
        <w:rPr>
          <w:rFonts w:eastAsia="Times New Roman"/>
          <w:kern w:val="0"/>
          <w:sz w:val="24"/>
          <w:szCs w:val="24"/>
          <w14:ligatures w14:val="none"/>
        </w:rPr>
      </w:pPr>
    </w:p>
    <w:p w14:paraId="6D101F19" w14:textId="74E81536" w:rsidR="00CA27E9" w:rsidRPr="006E0C03" w:rsidRDefault="00CA27E9" w:rsidP="006E0C03">
      <w:pPr>
        <w:spacing w:after="0" w:line="240" w:lineRule="auto"/>
        <w:rPr>
          <w:rFonts w:eastAsia="Times New Roman" w:cstheme="minorHAnsi"/>
          <w:kern w:val="0"/>
          <w:sz w:val="24"/>
          <w:szCs w:val="24"/>
          <w14:ligatures w14:val="none"/>
        </w:rPr>
      </w:pPr>
      <w:proofErr w:type="spellStart"/>
      <w:r w:rsidRPr="5974245D">
        <w:rPr>
          <w:rFonts w:eastAsia="Times New Roman"/>
          <w:kern w:val="0"/>
          <w:sz w:val="24"/>
          <w:szCs w:val="24"/>
          <w14:ligatures w14:val="none"/>
        </w:rPr>
        <w:t>Barkjohn</w:t>
      </w:r>
      <w:proofErr w:type="spellEnd"/>
      <w:r w:rsidRPr="5974245D">
        <w:rPr>
          <w:rFonts w:eastAsia="Times New Roman"/>
          <w:kern w:val="0"/>
          <w:sz w:val="24"/>
          <w:szCs w:val="24"/>
          <w14:ligatures w14:val="none"/>
        </w:rPr>
        <w:t xml:space="preserve">, K. K., Holder, A. L., Frederick, S. G., &amp; Clements, A. L. 2022. Correction and Accuracy of </w:t>
      </w:r>
      <w:proofErr w:type="spellStart"/>
      <w:r w:rsidRPr="5974245D">
        <w:rPr>
          <w:rFonts w:eastAsia="Times New Roman"/>
          <w:kern w:val="0"/>
          <w:sz w:val="24"/>
          <w:szCs w:val="24"/>
          <w14:ligatures w14:val="none"/>
        </w:rPr>
        <w:t>PurpleAir</w:t>
      </w:r>
      <w:proofErr w:type="spellEnd"/>
      <w:r w:rsidRPr="5974245D">
        <w:rPr>
          <w:rFonts w:eastAsia="Times New Roman"/>
          <w:kern w:val="0"/>
          <w:sz w:val="24"/>
          <w:szCs w:val="24"/>
          <w14:ligatures w14:val="none"/>
        </w:rPr>
        <w:t xml:space="preserve"> PM2.5 Measurements for Extreme Wildfire Smoke. </w:t>
      </w:r>
      <w:r w:rsidRPr="5974245D">
        <w:rPr>
          <w:rFonts w:eastAsia="Times New Roman"/>
          <w:i/>
          <w:kern w:val="0"/>
          <w:sz w:val="24"/>
          <w:szCs w:val="24"/>
          <w14:ligatures w14:val="none"/>
        </w:rPr>
        <w:t>Sensors</w:t>
      </w:r>
      <w:r w:rsidRPr="5974245D">
        <w:rPr>
          <w:rFonts w:eastAsia="Times New Roman"/>
          <w:kern w:val="0"/>
          <w:sz w:val="24"/>
          <w:szCs w:val="24"/>
          <w14:ligatures w14:val="none"/>
        </w:rPr>
        <w:t xml:space="preserve">, </w:t>
      </w:r>
      <w:r w:rsidRPr="5974245D">
        <w:rPr>
          <w:rFonts w:eastAsia="Times New Roman"/>
          <w:i/>
          <w:kern w:val="0"/>
          <w:sz w:val="24"/>
          <w:szCs w:val="24"/>
          <w14:ligatures w14:val="none"/>
        </w:rPr>
        <w:t>22</w:t>
      </w:r>
      <w:r w:rsidRPr="5974245D">
        <w:rPr>
          <w:rFonts w:eastAsia="Times New Roman"/>
          <w:kern w:val="0"/>
          <w:sz w:val="24"/>
          <w:szCs w:val="24"/>
          <w14:ligatures w14:val="none"/>
        </w:rPr>
        <w:t>(24), 9669.</w:t>
      </w:r>
    </w:p>
    <w:p w14:paraId="6A654282" w14:textId="6E1CEDA2" w:rsidR="006446A4" w:rsidRPr="006E0C03" w:rsidRDefault="006446A4" w:rsidP="574F950E">
      <w:pPr>
        <w:spacing w:after="0" w:line="240" w:lineRule="auto"/>
        <w:rPr>
          <w:rFonts w:eastAsia="Times New Roman"/>
          <w:sz w:val="24"/>
          <w:szCs w:val="24"/>
        </w:rPr>
      </w:pPr>
    </w:p>
    <w:p w14:paraId="7C254964" w14:textId="08305790" w:rsidR="006446A4" w:rsidRPr="006E0C03" w:rsidRDefault="424DED43" w:rsidP="676B15AD">
      <w:pPr>
        <w:spacing w:after="0" w:line="240" w:lineRule="auto"/>
        <w:rPr>
          <w:rFonts w:eastAsia="Times New Roman"/>
          <w:sz w:val="24"/>
          <w:szCs w:val="24"/>
        </w:rPr>
      </w:pPr>
      <w:r w:rsidRPr="23A4FC9A">
        <w:rPr>
          <w:rFonts w:eastAsia="Times New Roman"/>
          <w:sz w:val="24"/>
          <w:szCs w:val="24"/>
        </w:rPr>
        <w:t xml:space="preserve">Clean Harbors (CH). 2023. </w:t>
      </w:r>
      <w:r w:rsidR="759002C8" w:rsidRPr="23A4FC9A">
        <w:rPr>
          <w:rFonts w:eastAsia="Times New Roman"/>
          <w:sz w:val="24"/>
          <w:szCs w:val="24"/>
        </w:rPr>
        <w:t>Braintree Facility</w:t>
      </w:r>
      <w:r w:rsidRPr="23A4FC9A">
        <w:rPr>
          <w:rFonts w:eastAsia="Times New Roman"/>
          <w:sz w:val="24"/>
          <w:szCs w:val="24"/>
        </w:rPr>
        <w:t xml:space="preserve">  </w:t>
      </w:r>
      <w:hyperlink r:id="rId14" w:history="1">
        <w:r w:rsidRPr="23A4FC9A">
          <w:rPr>
            <w:rStyle w:val="Hyperlink"/>
            <w:rFonts w:eastAsia="Times New Roman"/>
            <w:sz w:val="24"/>
            <w:szCs w:val="24"/>
          </w:rPr>
          <w:t>https://www.cleanharbors.com/location/braintree-facility</w:t>
        </w:r>
      </w:hyperlink>
    </w:p>
    <w:p w14:paraId="59867A71" w14:textId="461FB33B" w:rsidR="006446A4" w:rsidRPr="006E0C03" w:rsidRDefault="006446A4" w:rsidP="006E0C03">
      <w:pPr>
        <w:spacing w:after="0" w:line="240" w:lineRule="auto"/>
        <w:rPr>
          <w:rFonts w:eastAsia="Times New Roman"/>
          <w:kern w:val="0"/>
          <w:sz w:val="24"/>
          <w:szCs w:val="24"/>
          <w14:ligatures w14:val="none"/>
        </w:rPr>
      </w:pPr>
    </w:p>
    <w:p w14:paraId="1E85EB82" w14:textId="45606965"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Braintree Town Council (BTC). 2023. Clean Harbors Fire Public Inquiry Preliminary Report.  </w:t>
      </w:r>
      <w:hyperlink r:id="rId15" w:history="1">
        <w:r w:rsidR="002676B8" w:rsidRPr="006E0C03">
          <w:rPr>
            <w:rStyle w:val="Hyperlink"/>
            <w:rFonts w:eastAsia="Times New Roman" w:cstheme="minorHAnsi"/>
            <w:kern w:val="0"/>
            <w:sz w:val="24"/>
            <w:szCs w:val="24"/>
            <w14:ligatures w14:val="none"/>
          </w:rPr>
          <w:t>https://braintreema.gov/DocumentCenter/View/10802/Clean_Harbors_Preliminary-Public_Inquiry_Report_03-08-2023</w:t>
        </w:r>
      </w:hyperlink>
      <w:r w:rsidRPr="006E0C03">
        <w:rPr>
          <w:rFonts w:eastAsia="Times New Roman" w:cstheme="minorHAnsi"/>
          <w:kern w:val="0"/>
          <w:sz w:val="24"/>
          <w:szCs w:val="24"/>
          <w14:ligatures w14:val="none"/>
        </w:rPr>
        <w:t>.</w:t>
      </w:r>
    </w:p>
    <w:p w14:paraId="05409C7E" w14:textId="0D3568B5" w:rsidR="006446A4" w:rsidRPr="006E0C03" w:rsidRDefault="006446A4" w:rsidP="006E0C03">
      <w:pPr>
        <w:spacing w:after="0" w:line="240" w:lineRule="auto"/>
        <w:rPr>
          <w:rFonts w:eastAsia="Times New Roman" w:cstheme="minorHAnsi"/>
          <w:kern w:val="0"/>
          <w:sz w:val="24"/>
          <w:szCs w:val="24"/>
          <w14:ligatures w14:val="none"/>
        </w:rPr>
      </w:pPr>
    </w:p>
    <w:p w14:paraId="1D84ABA3" w14:textId="239BFD20" w:rsidR="570134EC" w:rsidRPr="006E0C03" w:rsidRDefault="6DDF80ED" w:rsidP="23A4FC9A">
      <w:pPr>
        <w:spacing w:after="0" w:line="240" w:lineRule="auto"/>
        <w:rPr>
          <w:sz w:val="24"/>
          <w:szCs w:val="24"/>
        </w:rPr>
      </w:pPr>
      <w:r w:rsidRPr="23A4FC9A">
        <w:rPr>
          <w:sz w:val="24"/>
          <w:szCs w:val="24"/>
        </w:rPr>
        <w:t>Braintree Water &amp; Sewer (BWS). 2022. 2021 Water Quality Report.</w:t>
      </w:r>
      <w:r w:rsidR="0754F02E" w:rsidRPr="23A4FC9A">
        <w:rPr>
          <w:sz w:val="24"/>
          <w:szCs w:val="24"/>
        </w:rPr>
        <w:t xml:space="preserve"> July. </w:t>
      </w:r>
      <w:hyperlink r:id="rId16" w:history="1">
        <w:r w:rsidR="536EA302" w:rsidRPr="23A4FC9A">
          <w:rPr>
            <w:rStyle w:val="Hyperlink"/>
            <w:sz w:val="24"/>
            <w:szCs w:val="24"/>
          </w:rPr>
          <w:t>https://braintreema.gov/DocumentCenter/View/9775/2021-Water-Quality-Report</w:t>
        </w:r>
      </w:hyperlink>
      <w:r w:rsidR="536EA302" w:rsidRPr="23A4FC9A">
        <w:rPr>
          <w:sz w:val="24"/>
          <w:szCs w:val="24"/>
        </w:rPr>
        <w:t xml:space="preserve"> </w:t>
      </w:r>
    </w:p>
    <w:p w14:paraId="7B8668A7" w14:textId="6AFC851F" w:rsidR="5D4B8CFC" w:rsidRPr="006E0C03" w:rsidRDefault="5D4B8CFC" w:rsidP="006E0C03">
      <w:pPr>
        <w:spacing w:after="0" w:line="240" w:lineRule="auto"/>
        <w:rPr>
          <w:rFonts w:cstheme="minorHAnsi"/>
          <w:sz w:val="24"/>
          <w:szCs w:val="24"/>
        </w:rPr>
      </w:pPr>
    </w:p>
    <w:p w14:paraId="4DDDFDDA" w14:textId="12832901" w:rsidR="002676B8" w:rsidRPr="006E0C03" w:rsidRDefault="002676B8" w:rsidP="006E0C03">
      <w:pPr>
        <w:spacing w:after="0" w:line="240" w:lineRule="auto"/>
        <w:rPr>
          <w:rFonts w:eastAsia="Times New Roman" w:cstheme="minorHAnsi"/>
          <w:kern w:val="0"/>
          <w:sz w:val="24"/>
          <w:szCs w:val="24"/>
          <w14:ligatures w14:val="none"/>
        </w:rPr>
      </w:pPr>
      <w:r w:rsidRPr="006E0C03">
        <w:rPr>
          <w:rFonts w:cstheme="minorHAnsi"/>
          <w:sz w:val="24"/>
          <w:szCs w:val="24"/>
        </w:rPr>
        <w:t xml:space="preserve">California Environmental Protection Agency (CalEPA). 2008. Technical Support Document </w:t>
      </w:r>
      <w:r w:rsidR="005E1214" w:rsidRPr="006E0C03">
        <w:rPr>
          <w:rFonts w:cstheme="minorHAnsi"/>
          <w:sz w:val="24"/>
          <w:szCs w:val="24"/>
        </w:rPr>
        <w:t>for</w:t>
      </w:r>
      <w:r w:rsidRPr="006E0C03">
        <w:rPr>
          <w:rFonts w:cstheme="minorHAnsi"/>
          <w:sz w:val="24"/>
          <w:szCs w:val="24"/>
        </w:rPr>
        <w:t xml:space="preserve"> the Derivation of Noncancer Reference Exposure Levels. Office of Environmental Health Hazard Assessment. </w:t>
      </w:r>
      <w:hyperlink r:id="rId17" w:history="1">
        <w:r w:rsidRPr="006E0C03">
          <w:rPr>
            <w:rStyle w:val="Hyperlink"/>
            <w:rFonts w:cstheme="minorHAnsi"/>
            <w:sz w:val="24"/>
            <w:szCs w:val="24"/>
          </w:rPr>
          <w:t>https://oehha.ca.gov/media/downloads/crnr/noncancertsdfinal.pdf</w:t>
        </w:r>
      </w:hyperlink>
      <w:r w:rsidR="002D4854" w:rsidRPr="006E0C03">
        <w:rPr>
          <w:rFonts w:cstheme="minorHAnsi"/>
          <w:sz w:val="24"/>
          <w:szCs w:val="24"/>
        </w:rPr>
        <w:t>.</w:t>
      </w:r>
    </w:p>
    <w:p w14:paraId="5D7C6562" w14:textId="77777777" w:rsidR="002676B8" w:rsidRPr="006E0C03" w:rsidRDefault="002676B8" w:rsidP="006E0C03">
      <w:pPr>
        <w:spacing w:after="0" w:line="240" w:lineRule="auto"/>
        <w:rPr>
          <w:rFonts w:eastAsia="Times New Roman" w:cstheme="minorHAnsi"/>
          <w:kern w:val="0"/>
          <w:sz w:val="24"/>
          <w:szCs w:val="24"/>
          <w14:ligatures w14:val="none"/>
        </w:rPr>
      </w:pPr>
    </w:p>
    <w:p w14:paraId="12A8A396" w14:textId="6D8EDE81"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Department of Fire Services State HazMat team</w:t>
      </w:r>
      <w:r w:rsidR="002D4854" w:rsidRPr="006E0C03">
        <w:rPr>
          <w:rFonts w:eastAsia="Times New Roman" w:cstheme="minorHAnsi"/>
          <w:kern w:val="0"/>
          <w:sz w:val="24"/>
          <w:szCs w:val="24"/>
          <w14:ligatures w14:val="none"/>
        </w:rPr>
        <w:t xml:space="preserve"> (DFS)</w:t>
      </w:r>
      <w:r w:rsidRPr="006E0C03">
        <w:rPr>
          <w:rFonts w:eastAsia="Times New Roman" w:cstheme="minorHAnsi"/>
          <w:kern w:val="0"/>
          <w:sz w:val="24"/>
          <w:szCs w:val="24"/>
          <w14:ligatures w14:val="none"/>
        </w:rPr>
        <w:t xml:space="preserve">. 2023. </w:t>
      </w:r>
      <w:proofErr w:type="spellStart"/>
      <w:r w:rsidRPr="006E0C03">
        <w:rPr>
          <w:rFonts w:eastAsia="Times New Roman" w:cstheme="minorHAnsi"/>
          <w:kern w:val="0"/>
          <w:sz w:val="24"/>
          <w:szCs w:val="24"/>
          <w14:ligatures w14:val="none"/>
        </w:rPr>
        <w:t>HAZMat</w:t>
      </w:r>
      <w:proofErr w:type="spellEnd"/>
      <w:r w:rsidRPr="006E0C03">
        <w:rPr>
          <w:rFonts w:eastAsia="Times New Roman" w:cstheme="minorHAnsi"/>
          <w:kern w:val="0"/>
          <w:sz w:val="24"/>
          <w:szCs w:val="24"/>
          <w14:ligatures w14:val="none"/>
        </w:rPr>
        <w:t xml:space="preserve"> Fire Incident Report.</w:t>
      </w:r>
    </w:p>
    <w:p w14:paraId="0885435D" w14:textId="025C2AF5" w:rsidR="003748C6" w:rsidRPr="006E0C03" w:rsidRDefault="003748C6" w:rsidP="006E0C03">
      <w:pPr>
        <w:spacing w:after="0" w:line="240" w:lineRule="auto"/>
        <w:rPr>
          <w:rFonts w:eastAsia="Times New Roman" w:cstheme="minorHAnsi"/>
          <w:kern w:val="0"/>
          <w:sz w:val="24"/>
          <w:szCs w:val="24"/>
          <w14:ligatures w14:val="none"/>
        </w:rPr>
      </w:pPr>
    </w:p>
    <w:p w14:paraId="16E6D296" w14:textId="025C2AF5" w:rsidR="4C239F67" w:rsidRPr="006E0C03" w:rsidRDefault="4C239F67" w:rsidP="006E0C03">
      <w:pPr>
        <w:spacing w:after="0" w:line="240" w:lineRule="auto"/>
        <w:rPr>
          <w:rFonts w:eastAsia="Calibri" w:cstheme="minorHAnsi"/>
          <w:sz w:val="24"/>
          <w:szCs w:val="24"/>
        </w:rPr>
      </w:pPr>
      <w:r w:rsidRPr="006E0C03">
        <w:rPr>
          <w:rFonts w:eastAsia="Calibri" w:cstheme="minorHAnsi"/>
          <w:sz w:val="24"/>
          <w:szCs w:val="24"/>
        </w:rPr>
        <w:t xml:space="preserve">Environmental Justice Policy of the Massachusetts Executive Office of Energy and Environmental Affairs (EEA). June 2021. Available here: </w:t>
      </w:r>
      <w:hyperlink r:id="rId18" w:history="1">
        <w:r w:rsidRPr="006E0C03">
          <w:rPr>
            <w:rStyle w:val="Hyperlink"/>
            <w:rFonts w:eastAsia="Calibri" w:cstheme="minorHAnsi"/>
            <w:sz w:val="24"/>
            <w:szCs w:val="24"/>
          </w:rPr>
          <w:t>https://www.mass.gov/service-details/environmental-justice-policy</w:t>
        </w:r>
      </w:hyperlink>
    </w:p>
    <w:p w14:paraId="7CC3E4A4" w14:textId="2537C187" w:rsidR="793DD4CB" w:rsidRPr="006E0C03" w:rsidRDefault="793DD4CB" w:rsidP="006E0C03">
      <w:pPr>
        <w:spacing w:after="0" w:line="240" w:lineRule="auto"/>
        <w:rPr>
          <w:rFonts w:eastAsia="Times New Roman" w:cstheme="minorHAnsi"/>
          <w:sz w:val="24"/>
          <w:szCs w:val="24"/>
        </w:rPr>
      </w:pPr>
    </w:p>
    <w:p w14:paraId="6A985E4C" w14:textId="5B7A1EC4" w:rsidR="00CA27E9" w:rsidRDefault="093069E4" w:rsidP="23A4FC9A">
      <w:pPr>
        <w:spacing w:after="0" w:line="240" w:lineRule="auto"/>
        <w:rPr>
          <w:rFonts w:eastAsia="Times New Roman"/>
          <w:kern w:val="0"/>
          <w:sz w:val="24"/>
          <w:szCs w:val="24"/>
          <w14:ligatures w14:val="none"/>
        </w:rPr>
      </w:pPr>
      <w:r w:rsidRPr="23A4FC9A">
        <w:rPr>
          <w:rFonts w:eastAsia="Times New Roman"/>
          <w:kern w:val="0"/>
          <w:sz w:val="24"/>
          <w:szCs w:val="24"/>
          <w14:ligatures w14:val="none"/>
        </w:rPr>
        <w:t xml:space="preserve">GHD. (2023). </w:t>
      </w:r>
      <w:r w:rsidRPr="23A4FC9A">
        <w:rPr>
          <w:rFonts w:eastAsia="Times New Roman"/>
          <w:i/>
          <w:iCs/>
          <w:kern w:val="0"/>
          <w:sz w:val="24"/>
          <w:szCs w:val="24"/>
          <w14:ligatures w14:val="none"/>
        </w:rPr>
        <w:t xml:space="preserve">Air Modeling Report: </w:t>
      </w:r>
      <w:r w:rsidRPr="23A4FC9A">
        <w:rPr>
          <w:rFonts w:eastAsia="Times New Roman"/>
          <w:kern w:val="0"/>
          <w:sz w:val="24"/>
          <w:szCs w:val="24"/>
          <w14:ligatures w14:val="none"/>
        </w:rPr>
        <w:t xml:space="preserve">Clean Harbors Braintree Dispersion Modeling. </w:t>
      </w:r>
      <w:hyperlink r:id="rId19" w:history="1">
        <w:r w:rsidR="5B347D81" w:rsidRPr="23A4FC9A">
          <w:rPr>
            <w:rStyle w:val="Hyperlink"/>
            <w:rFonts w:eastAsia="Times New Roman"/>
            <w:kern w:val="0"/>
            <w:sz w:val="24"/>
            <w:szCs w:val="24"/>
            <w14:ligatures w14:val="none"/>
          </w:rPr>
          <w:t>https://eeaonline.eea.state.ma.us/EEA/fileviewer/Default.aspx?formdataid=0&amp;documentid=756758</w:t>
        </w:r>
      </w:hyperlink>
      <w:r w:rsidR="5B347D81" w:rsidRPr="23A4FC9A">
        <w:rPr>
          <w:rFonts w:eastAsia="Times New Roman"/>
          <w:kern w:val="0"/>
          <w:sz w:val="24"/>
          <w:szCs w:val="24"/>
          <w14:ligatures w14:val="none"/>
        </w:rPr>
        <w:t>.</w:t>
      </w:r>
    </w:p>
    <w:p w14:paraId="625D2A60" w14:textId="77777777" w:rsidR="00A36F97" w:rsidRDefault="00A36F97" w:rsidP="23A4FC9A">
      <w:pPr>
        <w:spacing w:after="0" w:line="240" w:lineRule="auto"/>
        <w:rPr>
          <w:rFonts w:eastAsia="Times New Roman"/>
          <w:kern w:val="0"/>
          <w:sz w:val="24"/>
          <w:szCs w:val="24"/>
          <w14:ligatures w14:val="none"/>
        </w:rPr>
      </w:pPr>
    </w:p>
    <w:p w14:paraId="24AF222D" w14:textId="5BE06C6F" w:rsidR="008E2C29" w:rsidRPr="006E0C03" w:rsidRDefault="358D847C" w:rsidP="010A0BC5">
      <w:pPr>
        <w:spacing w:after="0" w:line="240" w:lineRule="auto"/>
        <w:rPr>
          <w:rFonts w:eastAsia="Times New Roman"/>
          <w:kern w:val="0"/>
          <w:sz w:val="24"/>
          <w:szCs w:val="24"/>
          <w14:ligatures w14:val="none"/>
        </w:rPr>
      </w:pPr>
      <w:r w:rsidRPr="23A4FC9A">
        <w:rPr>
          <w:rFonts w:eastAsia="Times New Roman"/>
          <w:sz w:val="24"/>
          <w:szCs w:val="24"/>
        </w:rPr>
        <w:t>Goo</w:t>
      </w:r>
      <w:r w:rsidR="6DC45482" w:rsidRPr="23A4FC9A">
        <w:rPr>
          <w:rFonts w:eastAsia="Times New Roman"/>
          <w:sz w:val="24"/>
          <w:szCs w:val="24"/>
        </w:rPr>
        <w:t>g</w:t>
      </w:r>
      <w:r w:rsidRPr="23A4FC9A">
        <w:rPr>
          <w:rFonts w:eastAsia="Times New Roman"/>
          <w:sz w:val="24"/>
          <w:szCs w:val="24"/>
        </w:rPr>
        <w:t>le Maps</w:t>
      </w:r>
      <w:r w:rsidR="52A5CDEB" w:rsidRPr="23A4FC9A">
        <w:rPr>
          <w:rFonts w:eastAsia="Times New Roman"/>
          <w:sz w:val="24"/>
          <w:szCs w:val="24"/>
        </w:rPr>
        <w:t>. 2023</w:t>
      </w:r>
      <w:r w:rsidR="3C34C89B" w:rsidRPr="23A4FC9A">
        <w:rPr>
          <w:rFonts w:eastAsia="Times New Roman"/>
          <w:sz w:val="24"/>
          <w:szCs w:val="24"/>
        </w:rPr>
        <w:t>. Distance from Clean Harbors Facility to Great Pond Reservoir System</w:t>
      </w:r>
      <w:r w:rsidR="61650B0F" w:rsidRPr="23A4FC9A">
        <w:rPr>
          <w:rFonts w:eastAsia="Times New Roman"/>
          <w:sz w:val="24"/>
          <w:szCs w:val="24"/>
        </w:rPr>
        <w:t>.</w:t>
      </w:r>
      <w:r w:rsidR="3C34C89B" w:rsidRPr="23A4FC9A">
        <w:rPr>
          <w:rFonts w:eastAsia="Times New Roman"/>
          <w:sz w:val="24"/>
          <w:szCs w:val="24"/>
        </w:rPr>
        <w:t xml:space="preserve"> </w:t>
      </w:r>
      <w:r w:rsidR="6AFB03E6" w:rsidRPr="23A4FC9A">
        <w:rPr>
          <w:rFonts w:eastAsia="Times New Roman"/>
          <w:sz w:val="24"/>
          <w:szCs w:val="24"/>
        </w:rPr>
        <w:t>June 22.</w:t>
      </w:r>
      <w:r w:rsidR="3C34C89B" w:rsidRPr="23A4FC9A">
        <w:rPr>
          <w:rFonts w:eastAsia="Times New Roman"/>
          <w:sz w:val="24"/>
          <w:szCs w:val="24"/>
        </w:rPr>
        <w:t xml:space="preserve"> </w:t>
      </w:r>
      <w:hyperlink r:id="rId20" w:history="1">
        <w:r w:rsidR="3C34C89B" w:rsidRPr="23A4FC9A">
          <w:rPr>
            <w:rFonts w:eastAsia="Times New Roman"/>
            <w:sz w:val="24"/>
            <w:szCs w:val="24"/>
          </w:rPr>
          <w:t>https://www.google</w:t>
        </w:r>
        <w:r w:rsidR="3C34C89B" w:rsidRPr="23A4FC9A">
          <w:rPr>
            <w:rStyle w:val="Hyperlink"/>
            <w:rFonts w:eastAsia="Times New Roman"/>
            <w:sz w:val="24"/>
            <w:szCs w:val="24"/>
          </w:rPr>
          <w:t>.com/maps/@42.2185289,-71.0111847,12.81z?entry=ttu</w:t>
        </w:r>
      </w:hyperlink>
      <w:r w:rsidR="523C3D17" w:rsidRPr="23A4FC9A">
        <w:rPr>
          <w:rFonts w:eastAsia="Times New Roman"/>
          <w:sz w:val="24"/>
          <w:szCs w:val="24"/>
        </w:rPr>
        <w:t xml:space="preserve"> </w:t>
      </w:r>
    </w:p>
    <w:p w14:paraId="5BE4ADCF" w14:textId="77777777" w:rsidR="006446A4" w:rsidRPr="006E0C03" w:rsidRDefault="006446A4" w:rsidP="006E0C03">
      <w:pPr>
        <w:spacing w:after="0" w:line="240" w:lineRule="auto"/>
        <w:rPr>
          <w:rFonts w:eastAsia="Times New Roman" w:cstheme="minorHAnsi"/>
          <w:kern w:val="0"/>
          <w:sz w:val="24"/>
          <w:szCs w:val="24"/>
          <w14:ligatures w14:val="none"/>
        </w:rPr>
      </w:pPr>
    </w:p>
    <w:p w14:paraId="3D61DE2D" w14:textId="5FD7332A" w:rsidR="002D4331" w:rsidRPr="006E0C03" w:rsidRDefault="002D4331" w:rsidP="006E0C03">
      <w:pPr>
        <w:spacing w:after="0" w:line="240" w:lineRule="auto"/>
        <w:rPr>
          <w:rFonts w:eastAsia="Times New Roman" w:cstheme="minorHAnsi"/>
          <w:kern w:val="0"/>
          <w:sz w:val="24"/>
          <w:szCs w:val="24"/>
          <w14:ligatures w14:val="none"/>
        </w:rPr>
      </w:pPr>
      <w:proofErr w:type="spellStart"/>
      <w:r w:rsidRPr="006E0C03">
        <w:rPr>
          <w:rFonts w:eastAsia="Times New Roman" w:cstheme="minorHAnsi"/>
          <w:kern w:val="0"/>
          <w:sz w:val="24"/>
          <w:szCs w:val="24"/>
          <w14:ligatures w14:val="none"/>
        </w:rPr>
        <w:t>GreenFacts</w:t>
      </w:r>
      <w:proofErr w:type="spellEnd"/>
      <w:r w:rsidRPr="006E0C03">
        <w:rPr>
          <w:rFonts w:eastAsia="Times New Roman" w:cstheme="minorHAnsi"/>
          <w:kern w:val="0"/>
          <w:sz w:val="24"/>
          <w:szCs w:val="24"/>
          <w14:ligatures w14:val="none"/>
        </w:rPr>
        <w:t xml:space="preserve"> (2022). Aerodynamic diameter. </w:t>
      </w:r>
      <w:hyperlink r:id="rId21" w:history="1">
        <w:r w:rsidR="00BC2B1C" w:rsidRPr="006E0C03">
          <w:rPr>
            <w:rStyle w:val="Hyperlink"/>
            <w:rFonts w:eastAsia="Times New Roman" w:cstheme="minorHAnsi"/>
            <w:kern w:val="0"/>
            <w:sz w:val="24"/>
            <w:szCs w:val="24"/>
            <w14:ligatures w14:val="none"/>
          </w:rPr>
          <w:t>https://www.greenfacts.org/glossary/abc/aerodynamic-diameter.htm</w:t>
        </w:r>
      </w:hyperlink>
      <w:r w:rsidR="00BC2B1C" w:rsidRPr="006E0C03">
        <w:rPr>
          <w:rFonts w:eastAsia="Times New Roman" w:cstheme="minorHAnsi"/>
          <w:kern w:val="0"/>
          <w:sz w:val="24"/>
          <w:szCs w:val="24"/>
          <w14:ligatures w14:val="none"/>
        </w:rPr>
        <w:t xml:space="preserve"> </w:t>
      </w:r>
    </w:p>
    <w:p w14:paraId="3C950EC1" w14:textId="1074613D" w:rsidR="002D4331" w:rsidRPr="006E0C03" w:rsidRDefault="002D4331" w:rsidP="006E0C03">
      <w:pPr>
        <w:spacing w:after="0" w:line="240" w:lineRule="auto"/>
        <w:rPr>
          <w:rFonts w:eastAsia="Times New Roman" w:cstheme="minorHAnsi"/>
          <w:kern w:val="0"/>
          <w:sz w:val="24"/>
          <w:szCs w:val="24"/>
          <w14:ligatures w14:val="none"/>
        </w:rPr>
      </w:pPr>
    </w:p>
    <w:p w14:paraId="5BC31CA7" w14:textId="2610861E" w:rsidR="00CF70F6"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Massachusetts Department of Environmental Protection (MassDEP). 1995. </w:t>
      </w:r>
      <w:r w:rsidR="00AC0A15" w:rsidRPr="006E0C03">
        <w:rPr>
          <w:rFonts w:cstheme="minorHAnsi"/>
          <w:sz w:val="24"/>
          <w:szCs w:val="24"/>
        </w:rPr>
        <w:t xml:space="preserve">Guidance for Disposal Site Risk Characterization. WSC/ORS 95-141. July 28. Available online at: </w:t>
      </w:r>
      <w:hyperlink r:id="rId22" w:history="1">
        <w:r w:rsidR="00AC0A15" w:rsidRPr="006E0C03">
          <w:rPr>
            <w:rStyle w:val="Hyperlink"/>
            <w:rFonts w:cstheme="minorHAnsi"/>
            <w:sz w:val="24"/>
            <w:szCs w:val="24"/>
          </w:rPr>
          <w:t>https://www.mass.gov/doc/wscors-95-141-guidance-for-disposal-site-risk-characterization-chapter-7-0/download</w:t>
        </w:r>
      </w:hyperlink>
    </w:p>
    <w:p w14:paraId="7B3599E2" w14:textId="77777777" w:rsidR="00CF70F6" w:rsidRPr="006E0C03" w:rsidRDefault="00CF70F6" w:rsidP="006E0C03">
      <w:pPr>
        <w:spacing w:after="0" w:line="240" w:lineRule="auto"/>
        <w:rPr>
          <w:rFonts w:eastAsia="Times New Roman" w:cstheme="minorHAnsi"/>
          <w:kern w:val="0"/>
          <w:sz w:val="24"/>
          <w:szCs w:val="24"/>
          <w14:ligatures w14:val="none"/>
        </w:rPr>
      </w:pPr>
    </w:p>
    <w:p w14:paraId="2A3CFB4A" w14:textId="447C7D09" w:rsidR="00105050" w:rsidRDefault="35308466" w:rsidP="23A4FC9A">
      <w:pPr>
        <w:spacing w:after="0" w:line="240" w:lineRule="auto"/>
        <w:rPr>
          <w:rFonts w:eastAsia="Times New Roman"/>
          <w:kern w:val="0"/>
          <w:sz w:val="24"/>
          <w:szCs w:val="24"/>
          <w14:ligatures w14:val="none"/>
        </w:rPr>
      </w:pPr>
      <w:bookmarkStart w:id="3" w:name="_Hlk138279411"/>
      <w:r w:rsidRPr="23A4FC9A">
        <w:rPr>
          <w:rFonts w:eastAsia="Times New Roman"/>
          <w:kern w:val="0"/>
          <w:sz w:val="24"/>
          <w:szCs w:val="24"/>
          <w14:ligatures w14:val="none"/>
        </w:rPr>
        <w:t xml:space="preserve">Massachusetts Department of Environmental Protection (MassDEP). 2017. </w:t>
      </w:r>
      <w:r w:rsidR="37D338D7" w:rsidRPr="23A4FC9A">
        <w:rPr>
          <w:rFonts w:eastAsia="Times New Roman"/>
          <w:kern w:val="0"/>
          <w:sz w:val="24"/>
          <w:szCs w:val="24"/>
          <w14:ligatures w14:val="none"/>
        </w:rPr>
        <w:t>MCP Numerical Standards</w:t>
      </w:r>
      <w:r w:rsidRPr="23A4FC9A">
        <w:rPr>
          <w:rFonts w:eastAsia="Times New Roman"/>
          <w:kern w:val="0"/>
          <w:sz w:val="24"/>
          <w:szCs w:val="24"/>
          <w14:ligatures w14:val="none"/>
        </w:rPr>
        <w:t xml:space="preserve">. </w:t>
      </w:r>
      <w:r w:rsidR="37D338D7" w:rsidRPr="23A4FC9A">
        <w:rPr>
          <w:rFonts w:eastAsia="Times New Roman"/>
          <w:kern w:val="0"/>
          <w:sz w:val="24"/>
          <w:szCs w:val="24"/>
          <w14:ligatures w14:val="none"/>
        </w:rPr>
        <w:t>December</w:t>
      </w:r>
      <w:r w:rsidRPr="23A4FC9A">
        <w:rPr>
          <w:rFonts w:eastAsia="Times New Roman"/>
          <w:kern w:val="0"/>
          <w:sz w:val="24"/>
          <w:szCs w:val="24"/>
          <w14:ligatures w14:val="none"/>
        </w:rPr>
        <w:t xml:space="preserve">. </w:t>
      </w:r>
    </w:p>
    <w:bookmarkEnd w:id="3"/>
    <w:p w14:paraId="06B473A2" w14:textId="77777777" w:rsidR="00A36F97" w:rsidRDefault="00A36F97" w:rsidP="23A4FC9A">
      <w:pPr>
        <w:spacing w:after="0" w:line="240" w:lineRule="auto"/>
        <w:rPr>
          <w:rFonts w:eastAsia="Times New Roman"/>
          <w:kern w:val="0"/>
          <w:sz w:val="24"/>
          <w:szCs w:val="24"/>
          <w14:ligatures w14:val="none"/>
        </w:rPr>
      </w:pPr>
    </w:p>
    <w:p w14:paraId="02772D5D" w14:textId="6268406A" w:rsidR="00105050" w:rsidRDefault="00A36F97" w:rsidP="006E0C03">
      <w:pPr>
        <w:spacing w:after="0" w:line="240" w:lineRule="auto"/>
        <w:rPr>
          <w:rFonts w:eastAsia="Times New Roman"/>
          <w:kern w:val="0"/>
          <w:sz w:val="24"/>
          <w:szCs w:val="24"/>
          <w14:ligatures w14:val="none"/>
        </w:rPr>
      </w:pPr>
      <w:r w:rsidRPr="010A0BC5">
        <w:rPr>
          <w:rFonts w:eastAsia="Times New Roman"/>
          <w:kern w:val="0"/>
          <w:sz w:val="24"/>
          <w:szCs w:val="24"/>
          <w14:ligatures w14:val="none"/>
        </w:rPr>
        <w:t>Massachusetts Department of Environmental Protection (MassDEP). 2019</w:t>
      </w:r>
      <w:r w:rsidRPr="010A0BC5">
        <w:rPr>
          <w:rFonts w:eastAsia="Times New Roman"/>
          <w:sz w:val="24"/>
          <w:szCs w:val="24"/>
        </w:rPr>
        <w:t xml:space="preserve">. </w:t>
      </w:r>
      <w:r w:rsidR="6CC6B52E" w:rsidRPr="010A0BC5">
        <w:rPr>
          <w:rFonts w:eastAsia="Times New Roman"/>
          <w:sz w:val="24"/>
          <w:szCs w:val="24"/>
        </w:rPr>
        <w:t>Summary of Massachusetts Drinking Water Testing Requirements for Public Water Systems. October</w:t>
      </w:r>
      <w:r w:rsidR="04622B51" w:rsidRPr="010A0BC5">
        <w:rPr>
          <w:rFonts w:eastAsia="Times New Roman"/>
          <w:kern w:val="0"/>
          <w:sz w:val="24"/>
          <w:szCs w:val="24"/>
          <w14:ligatures w14:val="none"/>
        </w:rPr>
        <w:t xml:space="preserve">. </w:t>
      </w:r>
      <w:r w:rsidR="0532367F">
        <w:t xml:space="preserve"> </w:t>
      </w:r>
      <w:hyperlink r:id="rId23" w:history="1">
        <w:r w:rsidR="000A68C9">
          <w:rPr>
            <w:rStyle w:val="Hyperlink"/>
            <w:rFonts w:ascii="Calibri" w:eastAsia="Calibri" w:hAnsi="Calibri" w:cs="Calibri"/>
          </w:rPr>
          <w:t>https://www.mass.gov/doc/testing-requirements-for-public-water-systems-summary-0/download</w:t>
        </w:r>
      </w:hyperlink>
    </w:p>
    <w:p w14:paraId="58611F5E" w14:textId="77777777" w:rsidR="000A68C9" w:rsidRPr="006E0C03" w:rsidRDefault="000A68C9" w:rsidP="010A0BC5">
      <w:pPr>
        <w:spacing w:after="0" w:line="240" w:lineRule="auto"/>
        <w:rPr>
          <w:rFonts w:eastAsia="Times New Roman"/>
          <w:kern w:val="0"/>
          <w:sz w:val="24"/>
          <w:szCs w:val="24"/>
          <w14:ligatures w14:val="none"/>
        </w:rPr>
      </w:pPr>
    </w:p>
    <w:p w14:paraId="4BC3E739" w14:textId="6434AC2E" w:rsidR="004E2B3D" w:rsidRDefault="0CB0DF75" w:rsidP="23A4FC9A">
      <w:pPr>
        <w:spacing w:after="0" w:line="240" w:lineRule="auto"/>
        <w:rPr>
          <w:rFonts w:eastAsia="Times New Roman"/>
          <w:kern w:val="0"/>
          <w:sz w:val="24"/>
          <w:szCs w:val="24"/>
          <w14:ligatures w14:val="none"/>
        </w:rPr>
      </w:pPr>
      <w:r w:rsidRPr="23A4FC9A">
        <w:rPr>
          <w:rFonts w:eastAsia="Times New Roman"/>
          <w:kern w:val="0"/>
          <w:sz w:val="24"/>
          <w:szCs w:val="24"/>
          <w14:ligatures w14:val="none"/>
        </w:rPr>
        <w:t>Massachusetts Department of Environmental Protection (MassDEP). 2020.</w:t>
      </w:r>
      <w:r w:rsidR="0E4A6E87" w:rsidRPr="23A4FC9A">
        <w:rPr>
          <w:rFonts w:eastAsia="Times New Roman"/>
          <w:kern w:val="0"/>
          <w:sz w:val="24"/>
          <w:szCs w:val="24"/>
          <w14:ligatures w14:val="none"/>
        </w:rPr>
        <w:t xml:space="preserve"> 310 CMR 40: Massachusetts Contingency Plan. March. </w:t>
      </w:r>
      <w:r w:rsidR="596DA2DE" w:rsidRPr="23A4FC9A">
        <w:rPr>
          <w:rFonts w:eastAsia="Times New Roman"/>
          <w:kern w:val="0"/>
          <w:sz w:val="24"/>
          <w:szCs w:val="24"/>
          <w14:ligatures w14:val="none"/>
        </w:rPr>
        <w:t>https://www.mass.gov/doc/310-cmr-40-massachusetts-contingency-plan/download</w:t>
      </w:r>
    </w:p>
    <w:p w14:paraId="4EF111BB" w14:textId="77777777" w:rsidR="004E2B3D" w:rsidRDefault="004E2B3D" w:rsidP="23A4FC9A">
      <w:pPr>
        <w:spacing w:after="0" w:line="240" w:lineRule="auto"/>
        <w:rPr>
          <w:rFonts w:eastAsia="Times New Roman"/>
          <w:kern w:val="0"/>
          <w:sz w:val="24"/>
          <w:szCs w:val="24"/>
          <w14:ligatures w14:val="none"/>
        </w:rPr>
      </w:pPr>
    </w:p>
    <w:p w14:paraId="67250F07" w14:textId="27F72271" w:rsidR="00116696" w:rsidRPr="006E0C03" w:rsidRDefault="0011669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Massachusetts Department of Environmental Protection (MassDEP). 2022. Massachusetts 2022 Air Monitoring Network Plan. October 27. Bureau of Air and Waste. </w:t>
      </w:r>
      <w:hyperlink r:id="rId24" w:history="1">
        <w:r w:rsidRPr="006E0C03">
          <w:rPr>
            <w:rStyle w:val="Hyperlink"/>
            <w:rFonts w:cstheme="minorHAnsi"/>
            <w:sz w:val="24"/>
            <w:szCs w:val="24"/>
          </w:rPr>
          <w:t>https://www.mass.gov/doc/2022-annual-ambient-air-quality-monitoring-network-plan/download</w:t>
        </w:r>
      </w:hyperlink>
      <w:r w:rsidRPr="006E0C03">
        <w:rPr>
          <w:rFonts w:cstheme="minorHAnsi"/>
          <w:sz w:val="24"/>
          <w:szCs w:val="24"/>
        </w:rPr>
        <w:t>.</w:t>
      </w:r>
    </w:p>
    <w:p w14:paraId="5501494D" w14:textId="77777777" w:rsidR="00116696" w:rsidRPr="006E0C03" w:rsidRDefault="00116696" w:rsidP="006E0C03">
      <w:pPr>
        <w:spacing w:after="0" w:line="240" w:lineRule="auto"/>
        <w:rPr>
          <w:rFonts w:eastAsia="Times New Roman" w:cstheme="minorHAnsi"/>
          <w:kern w:val="0"/>
          <w:sz w:val="24"/>
          <w:szCs w:val="24"/>
          <w14:ligatures w14:val="none"/>
        </w:rPr>
      </w:pPr>
    </w:p>
    <w:p w14:paraId="72667B46" w14:textId="45AF874A"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Massachusetts Department of Environmental Protection (M</w:t>
      </w:r>
      <w:r w:rsidR="006114C0" w:rsidRPr="006E0C03">
        <w:rPr>
          <w:rFonts w:eastAsia="Times New Roman" w:cstheme="minorHAnsi"/>
          <w:kern w:val="0"/>
          <w:sz w:val="24"/>
          <w:szCs w:val="24"/>
          <w14:ligatures w14:val="none"/>
        </w:rPr>
        <w:t>ass</w:t>
      </w:r>
      <w:r w:rsidRPr="006E0C03">
        <w:rPr>
          <w:rFonts w:eastAsia="Times New Roman" w:cstheme="minorHAnsi"/>
          <w:kern w:val="0"/>
          <w:sz w:val="24"/>
          <w:szCs w:val="24"/>
          <w14:ligatures w14:val="none"/>
        </w:rPr>
        <w:t xml:space="preserve">DEP). 2023a. Clean Harbors Fire in Braintree, MA. </w:t>
      </w:r>
      <w:hyperlink r:id="rId25" w:history="1">
        <w:r w:rsidR="006114C0" w:rsidRPr="006E0C03">
          <w:rPr>
            <w:rStyle w:val="Hyperlink"/>
            <w:rFonts w:eastAsia="Times New Roman" w:cstheme="minorHAnsi"/>
            <w:kern w:val="0"/>
            <w:sz w:val="24"/>
            <w:szCs w:val="24"/>
            <w14:ligatures w14:val="none"/>
          </w:rPr>
          <w:t>https://www.mass.gov/service-details/clean-harbors-fire-in-braintree-ma</w:t>
        </w:r>
      </w:hyperlink>
      <w:r w:rsidR="006114C0" w:rsidRPr="006E0C03">
        <w:rPr>
          <w:rFonts w:eastAsia="Times New Roman" w:cstheme="minorHAnsi"/>
          <w:kern w:val="0"/>
          <w:sz w:val="24"/>
          <w:szCs w:val="24"/>
          <w14:ligatures w14:val="none"/>
        </w:rPr>
        <w:t xml:space="preserve"> </w:t>
      </w:r>
    </w:p>
    <w:p w14:paraId="0D79657C" w14:textId="77777777" w:rsidR="006446A4" w:rsidRPr="006E0C03" w:rsidRDefault="006446A4" w:rsidP="006E0C03">
      <w:pPr>
        <w:spacing w:after="0" w:line="240" w:lineRule="auto"/>
        <w:rPr>
          <w:rFonts w:eastAsia="Times New Roman" w:cstheme="minorHAnsi"/>
          <w:kern w:val="0"/>
          <w:sz w:val="24"/>
          <w:szCs w:val="24"/>
          <w14:ligatures w14:val="none"/>
        </w:rPr>
      </w:pPr>
    </w:p>
    <w:p w14:paraId="60941B52" w14:textId="79E5F0EE"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Massachusetts Department of Environmental Protection (M</w:t>
      </w:r>
      <w:r w:rsidR="006114C0" w:rsidRPr="006E0C03">
        <w:rPr>
          <w:rFonts w:eastAsia="Times New Roman" w:cstheme="minorHAnsi"/>
          <w:kern w:val="0"/>
          <w:sz w:val="24"/>
          <w:szCs w:val="24"/>
          <w14:ligatures w14:val="none"/>
        </w:rPr>
        <w:t>ass</w:t>
      </w:r>
      <w:r w:rsidRPr="006E0C03">
        <w:rPr>
          <w:rFonts w:eastAsia="Times New Roman" w:cstheme="minorHAnsi"/>
          <w:kern w:val="0"/>
          <w:sz w:val="24"/>
          <w:szCs w:val="24"/>
          <w14:ligatures w14:val="none"/>
        </w:rPr>
        <w:t xml:space="preserve">DEP). 2023b. </w:t>
      </w:r>
      <w:proofErr w:type="spellStart"/>
      <w:r w:rsidRPr="006E0C03">
        <w:rPr>
          <w:rFonts w:eastAsia="Times New Roman" w:cstheme="minorHAnsi"/>
          <w:kern w:val="0"/>
          <w:sz w:val="24"/>
          <w:szCs w:val="24"/>
          <w14:ligatures w14:val="none"/>
        </w:rPr>
        <w:t>MassGIS</w:t>
      </w:r>
      <w:proofErr w:type="spellEnd"/>
      <w:r w:rsidRPr="006E0C03">
        <w:rPr>
          <w:rFonts w:eastAsia="Times New Roman" w:cstheme="minorHAnsi"/>
          <w:kern w:val="0"/>
          <w:sz w:val="24"/>
          <w:szCs w:val="24"/>
          <w14:ligatures w14:val="none"/>
        </w:rPr>
        <w:t xml:space="preserve"> Data: MassDEP Wellhead Protection Areas (Zone II, Zone I, IWPA) | Mass.gov. </w:t>
      </w:r>
      <w:r w:rsidR="00AC0A15" w:rsidRPr="006E0C03">
        <w:rPr>
          <w:rFonts w:eastAsia="Times New Roman" w:cstheme="minorHAnsi"/>
          <w:kern w:val="0"/>
          <w:sz w:val="24"/>
          <w:szCs w:val="24"/>
          <w14:ligatures w14:val="none"/>
        </w:rPr>
        <w:t xml:space="preserve">February. </w:t>
      </w:r>
      <w:hyperlink r:id="rId26" w:anchor="Approved-Wellhead-Protection-Areas-(Zone-Ii)-" w:history="1">
        <w:r w:rsidR="00AC0A15" w:rsidRPr="006E0C03">
          <w:rPr>
            <w:rStyle w:val="Hyperlink"/>
            <w:rFonts w:eastAsia="Times New Roman" w:cstheme="minorHAnsi"/>
            <w:kern w:val="0"/>
            <w:sz w:val="24"/>
            <w:szCs w:val="24"/>
            <w14:ligatures w14:val="none"/>
          </w:rPr>
          <w:t>https://Www.mass.gov/Info-Details/Massgis-Data-Massdep-Wellhead-Protection-Areas-Zone-Ii-Zone-i-Iwpa#Approved-Wellhead-Protection-Areas-(Zone-Ii)-</w:t>
        </w:r>
      </w:hyperlink>
      <w:r w:rsidR="003748C6" w:rsidRPr="006E0C03">
        <w:rPr>
          <w:rFonts w:eastAsia="Times New Roman" w:cstheme="minorHAnsi"/>
          <w:kern w:val="0"/>
          <w:sz w:val="24"/>
          <w:szCs w:val="24"/>
          <w14:ligatures w14:val="none"/>
        </w:rPr>
        <w:t xml:space="preserve">; </w:t>
      </w:r>
      <w:hyperlink r:id="rId27" w:anchor="approved-wellhead-protection-areas-(zone-ii)-" w:history="1">
        <w:r w:rsidR="003748C6" w:rsidRPr="006E0C03">
          <w:rPr>
            <w:rStyle w:val="Hyperlink"/>
            <w:rFonts w:eastAsia="Times New Roman" w:cstheme="minorHAnsi"/>
            <w:kern w:val="0"/>
            <w:sz w:val="24"/>
            <w:szCs w:val="24"/>
            <w14:ligatures w14:val="none"/>
          </w:rPr>
          <w:t>https://www.mass.gov/info-details/massgis-data-massdep-wellhead-protection-areas-zone-ii-zone-i-iwpa#approved-wellhead-protection-areas-(zone-ii)-</w:t>
        </w:r>
      </w:hyperlink>
      <w:r w:rsidR="003748C6" w:rsidRPr="006E0C03">
        <w:rPr>
          <w:rFonts w:eastAsia="Times New Roman" w:cstheme="minorHAnsi"/>
          <w:kern w:val="0"/>
          <w:sz w:val="24"/>
          <w:szCs w:val="24"/>
          <w14:ligatures w14:val="none"/>
        </w:rPr>
        <w:t>.</w:t>
      </w:r>
    </w:p>
    <w:p w14:paraId="59B64E45" w14:textId="77777777" w:rsidR="00904A4B" w:rsidRPr="006E0C03" w:rsidRDefault="00904A4B" w:rsidP="006E0C03">
      <w:pPr>
        <w:spacing w:after="0" w:line="240" w:lineRule="auto"/>
        <w:rPr>
          <w:rFonts w:eastAsia="Times New Roman" w:cstheme="minorHAnsi"/>
          <w:kern w:val="0"/>
          <w:sz w:val="24"/>
          <w:szCs w:val="24"/>
          <w14:ligatures w14:val="none"/>
        </w:rPr>
      </w:pPr>
    </w:p>
    <w:p w14:paraId="2CE91266" w14:textId="0558CC81"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Massachusetts Department of Environmental Protection (M</w:t>
      </w:r>
      <w:r w:rsidR="006114C0" w:rsidRPr="006E0C03">
        <w:rPr>
          <w:rFonts w:eastAsia="Times New Roman" w:cstheme="minorHAnsi"/>
          <w:kern w:val="0"/>
          <w:sz w:val="24"/>
          <w:szCs w:val="24"/>
          <w14:ligatures w14:val="none"/>
        </w:rPr>
        <w:t>ass</w:t>
      </w:r>
      <w:r w:rsidRPr="006E0C03">
        <w:rPr>
          <w:rFonts w:eastAsia="Times New Roman" w:cstheme="minorHAnsi"/>
          <w:kern w:val="0"/>
          <w:sz w:val="24"/>
          <w:szCs w:val="24"/>
          <w14:ligatures w14:val="none"/>
        </w:rPr>
        <w:t xml:space="preserve">DEP). 2023c. Fore River Basin Ambient Air Monitoring Data Summary Related to Clean Harbors Fire. </w:t>
      </w:r>
      <w:hyperlink r:id="rId28" w:history="1">
        <w:r w:rsidR="002D4854" w:rsidRPr="006E0C03">
          <w:rPr>
            <w:rStyle w:val="Hyperlink"/>
            <w:rFonts w:eastAsia="Times New Roman" w:cstheme="minorHAnsi"/>
            <w:kern w:val="0"/>
            <w:sz w:val="24"/>
            <w:szCs w:val="24"/>
            <w14:ligatures w14:val="none"/>
          </w:rPr>
          <w:t>https://www.mass.gov/doc/air-monitoring-data-summary/download</w:t>
        </w:r>
      </w:hyperlink>
      <w:r w:rsidRPr="006E0C03">
        <w:rPr>
          <w:rFonts w:eastAsia="Times New Roman" w:cstheme="minorHAnsi"/>
          <w:kern w:val="0"/>
          <w:sz w:val="24"/>
          <w:szCs w:val="24"/>
          <w14:ligatures w14:val="none"/>
        </w:rPr>
        <w:t>.</w:t>
      </w:r>
      <w:r w:rsidR="005C74DE" w:rsidRPr="006E0C03">
        <w:rPr>
          <w:rFonts w:eastAsia="Times New Roman" w:cstheme="minorHAnsi"/>
          <w:kern w:val="0"/>
          <w:sz w:val="24"/>
          <w:szCs w:val="24"/>
          <w14:ligatures w14:val="none"/>
        </w:rPr>
        <w:t xml:space="preserve"> </w:t>
      </w:r>
    </w:p>
    <w:p w14:paraId="21ED507C" w14:textId="77777777" w:rsidR="00904A4B" w:rsidRPr="006E0C03" w:rsidRDefault="00904A4B" w:rsidP="006E0C03">
      <w:pPr>
        <w:spacing w:after="0" w:line="240" w:lineRule="auto"/>
        <w:rPr>
          <w:rFonts w:eastAsia="Times New Roman" w:cstheme="minorHAnsi"/>
          <w:kern w:val="0"/>
          <w:sz w:val="24"/>
          <w:szCs w:val="24"/>
          <w14:ligatures w14:val="none"/>
        </w:rPr>
      </w:pPr>
    </w:p>
    <w:p w14:paraId="0473A554" w14:textId="69D7F19E"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Massachusetts Department of Public Health, Massachusetts Department of Environmental Protection, &amp; Metropolitan Area Planning Council</w:t>
      </w:r>
      <w:r w:rsidR="00D82DD1" w:rsidRPr="006E0C03">
        <w:rPr>
          <w:rFonts w:eastAsia="Times New Roman" w:cstheme="minorHAnsi"/>
          <w:kern w:val="0"/>
          <w:sz w:val="24"/>
          <w:szCs w:val="24"/>
          <w14:ligatures w14:val="none"/>
        </w:rPr>
        <w:t xml:space="preserve"> (MDPH/MassDEP/MAPC)</w:t>
      </w:r>
      <w:r w:rsidRPr="006E0C03">
        <w:rPr>
          <w:rFonts w:eastAsia="Times New Roman" w:cstheme="minorHAnsi"/>
          <w:kern w:val="0"/>
          <w:sz w:val="24"/>
          <w:szCs w:val="24"/>
          <w14:ligatures w14:val="none"/>
        </w:rPr>
        <w:t xml:space="preserve">. 2019. Health Impact Assessment of a Proposed Natural Gas Compressor Station in Weymouth, MA. </w:t>
      </w:r>
      <w:hyperlink r:id="rId29" w:history="1">
        <w:r w:rsidR="00D82DD1" w:rsidRPr="006E0C03">
          <w:rPr>
            <w:rStyle w:val="Hyperlink"/>
            <w:rFonts w:eastAsia="Times New Roman" w:cstheme="minorHAnsi"/>
            <w:kern w:val="0"/>
            <w:sz w:val="24"/>
            <w:szCs w:val="24"/>
            <w14:ligatures w14:val="none"/>
          </w:rPr>
          <w:t>https://www.mass.gov/doc/health-impact-assessment-weymouth-proposed-natural-gas-compressor-station-final-report/download</w:t>
        </w:r>
      </w:hyperlink>
      <w:r w:rsidR="00D82DD1" w:rsidRPr="006E0C03">
        <w:rPr>
          <w:rFonts w:eastAsia="Times New Roman" w:cstheme="minorHAnsi"/>
          <w:kern w:val="0"/>
          <w:sz w:val="24"/>
          <w:szCs w:val="24"/>
          <w14:ligatures w14:val="none"/>
        </w:rPr>
        <w:t>.</w:t>
      </w:r>
    </w:p>
    <w:p w14:paraId="22EACED6" w14:textId="48A2FE08" w:rsidR="00904A4B" w:rsidRPr="006E0C03" w:rsidRDefault="00904A4B" w:rsidP="006E0C03">
      <w:pPr>
        <w:spacing w:after="0" w:line="240" w:lineRule="auto"/>
        <w:rPr>
          <w:rFonts w:eastAsia="Times New Roman" w:cstheme="minorHAnsi"/>
          <w:kern w:val="0"/>
          <w:sz w:val="24"/>
          <w:szCs w:val="24"/>
          <w14:ligatures w14:val="none"/>
        </w:rPr>
      </w:pPr>
    </w:p>
    <w:p w14:paraId="234194AE" w14:textId="21E6BDB4" w:rsidR="7B2F0B49" w:rsidRPr="006E0C03" w:rsidRDefault="3B062F25" w:rsidP="487B773E">
      <w:pPr>
        <w:spacing w:after="0" w:line="240" w:lineRule="auto"/>
        <w:rPr>
          <w:rFonts w:eastAsia="Times New Roman"/>
          <w:sz w:val="24"/>
          <w:szCs w:val="24"/>
        </w:rPr>
      </w:pPr>
      <w:r w:rsidRPr="23A4FC9A">
        <w:rPr>
          <w:rFonts w:eastAsia="Times New Roman"/>
          <w:sz w:val="24"/>
          <w:szCs w:val="24"/>
        </w:rPr>
        <w:t>Massachusetts Environmental Public Health Tracking (</w:t>
      </w:r>
      <w:r w:rsidR="2AB45D26" w:rsidRPr="23A4FC9A">
        <w:rPr>
          <w:rFonts w:eastAsia="Times New Roman"/>
          <w:sz w:val="24"/>
          <w:szCs w:val="24"/>
        </w:rPr>
        <w:t>M</w:t>
      </w:r>
      <w:r w:rsidRPr="23A4FC9A">
        <w:rPr>
          <w:rFonts w:eastAsia="Times New Roman"/>
          <w:sz w:val="24"/>
          <w:szCs w:val="24"/>
        </w:rPr>
        <w:t xml:space="preserve">EPHT). 2023. </w:t>
      </w:r>
      <w:r w:rsidR="1A70A1CA" w:rsidRPr="23A4FC9A">
        <w:rPr>
          <w:rFonts w:eastAsia="Times New Roman"/>
          <w:sz w:val="24"/>
          <w:szCs w:val="24"/>
        </w:rPr>
        <w:t>M</w:t>
      </w:r>
      <w:r w:rsidR="05A4BF2E" w:rsidRPr="23A4FC9A">
        <w:rPr>
          <w:rFonts w:eastAsia="Times New Roman"/>
          <w:sz w:val="24"/>
          <w:szCs w:val="24"/>
        </w:rPr>
        <w:t>A DPH EJ</w:t>
      </w:r>
      <w:r w:rsidR="4F01D120" w:rsidRPr="23A4FC9A">
        <w:rPr>
          <w:rFonts w:eastAsia="Times New Roman"/>
          <w:sz w:val="24"/>
          <w:szCs w:val="24"/>
        </w:rPr>
        <w:t xml:space="preserve"> </w:t>
      </w:r>
      <w:r w:rsidR="55E8551C" w:rsidRPr="23A4FC9A">
        <w:rPr>
          <w:rFonts w:eastAsia="Times New Roman"/>
          <w:sz w:val="24"/>
          <w:szCs w:val="24"/>
        </w:rPr>
        <w:t>Tool</w:t>
      </w:r>
      <w:r w:rsidR="37E2A2C4" w:rsidRPr="23A4FC9A">
        <w:rPr>
          <w:rFonts w:eastAsia="Times New Roman"/>
          <w:sz w:val="24"/>
          <w:szCs w:val="24"/>
        </w:rPr>
        <w:t xml:space="preserve"> (Introduction). </w:t>
      </w:r>
      <w:r w:rsidR="4A5F626C" w:rsidRPr="23A4FC9A">
        <w:rPr>
          <w:rFonts w:eastAsia="Times New Roman"/>
          <w:sz w:val="24"/>
          <w:szCs w:val="24"/>
        </w:rPr>
        <w:t>Accessed on June 13, 2023.</w:t>
      </w:r>
    </w:p>
    <w:p w14:paraId="25AD8DB7" w14:textId="0E17132F" w:rsidR="487B773E" w:rsidRDefault="487B773E" w:rsidP="487B773E">
      <w:pPr>
        <w:spacing w:after="0" w:line="240" w:lineRule="auto"/>
        <w:rPr>
          <w:rFonts w:eastAsia="Times New Roman"/>
          <w:sz w:val="24"/>
          <w:szCs w:val="24"/>
        </w:rPr>
      </w:pPr>
    </w:p>
    <w:p w14:paraId="07741725" w14:textId="1E36A776" w:rsidR="2AFE9043" w:rsidRDefault="30057642" w:rsidP="487B773E">
      <w:pPr>
        <w:spacing w:after="0" w:line="240" w:lineRule="auto"/>
        <w:rPr>
          <w:rFonts w:eastAsia="Times New Roman"/>
          <w:sz w:val="24"/>
          <w:szCs w:val="24"/>
        </w:rPr>
      </w:pPr>
      <w:r w:rsidRPr="23A4FC9A">
        <w:rPr>
          <w:rFonts w:eastAsia="Times New Roman"/>
          <w:sz w:val="24"/>
          <w:szCs w:val="24"/>
        </w:rPr>
        <w:t>Massachusetts Environmental Public Health Tracking (</w:t>
      </w:r>
      <w:r w:rsidR="3554B7D2" w:rsidRPr="23A4FC9A">
        <w:rPr>
          <w:rFonts w:eastAsia="Times New Roman"/>
          <w:sz w:val="24"/>
          <w:szCs w:val="24"/>
        </w:rPr>
        <w:t>M</w:t>
      </w:r>
      <w:r w:rsidRPr="23A4FC9A">
        <w:rPr>
          <w:rFonts w:eastAsia="Times New Roman"/>
          <w:sz w:val="24"/>
          <w:szCs w:val="24"/>
        </w:rPr>
        <w:t>EPHT). 2023b. MA DPH Community Profiles for Braintree, Quincy, and Weymout</w:t>
      </w:r>
      <w:r w:rsidR="0C34C961" w:rsidRPr="23A4FC9A">
        <w:rPr>
          <w:rFonts w:eastAsia="Times New Roman"/>
          <w:sz w:val="24"/>
          <w:szCs w:val="24"/>
        </w:rPr>
        <w:t>h</w:t>
      </w:r>
      <w:r w:rsidRPr="23A4FC9A">
        <w:rPr>
          <w:rFonts w:eastAsia="Times New Roman"/>
          <w:sz w:val="24"/>
          <w:szCs w:val="24"/>
        </w:rPr>
        <w:t>. Accessed on June 1</w:t>
      </w:r>
      <w:r w:rsidR="1EDD19B9" w:rsidRPr="23A4FC9A">
        <w:rPr>
          <w:rFonts w:eastAsia="Times New Roman"/>
          <w:sz w:val="24"/>
          <w:szCs w:val="24"/>
        </w:rPr>
        <w:t>6</w:t>
      </w:r>
      <w:r w:rsidRPr="23A4FC9A">
        <w:rPr>
          <w:rFonts w:eastAsia="Times New Roman"/>
          <w:sz w:val="24"/>
          <w:szCs w:val="24"/>
        </w:rPr>
        <w:t>, 2023.</w:t>
      </w:r>
    </w:p>
    <w:p w14:paraId="3A1C6D85" w14:textId="4FD6E044" w:rsidR="006D63EC" w:rsidRPr="006E0C03" w:rsidRDefault="006D63EC" w:rsidP="006E0C03">
      <w:pPr>
        <w:spacing w:after="0" w:line="240" w:lineRule="auto"/>
        <w:rPr>
          <w:rFonts w:eastAsia="Times New Roman" w:cstheme="minorHAnsi"/>
          <w:sz w:val="24"/>
          <w:szCs w:val="24"/>
        </w:rPr>
      </w:pPr>
    </w:p>
    <w:p w14:paraId="6A7D0358" w14:textId="4FA89546" w:rsidR="00C851AF" w:rsidRPr="006E0C03" w:rsidRDefault="00C851AF"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Minnesota Pollution Control Agency (MPCA). 2008. Turbidity: Description, Impact on Water Quality, Sources, Measures – A General Overview. March. </w:t>
      </w:r>
      <w:hyperlink r:id="rId30" w:history="1">
        <w:r w:rsidR="003454CC" w:rsidRPr="006E0C03">
          <w:rPr>
            <w:rStyle w:val="Hyperlink"/>
            <w:rFonts w:eastAsia="Times New Roman" w:cstheme="minorHAnsi"/>
            <w:kern w:val="0"/>
            <w:sz w:val="24"/>
            <w:szCs w:val="24"/>
            <w14:ligatures w14:val="none"/>
          </w:rPr>
          <w:t>https://www.pca.state.mn.us/sites/default/files/wq-iw3-21.pdf</w:t>
        </w:r>
      </w:hyperlink>
      <w:r w:rsidR="003454CC" w:rsidRPr="006E0C03">
        <w:rPr>
          <w:rFonts w:eastAsia="Times New Roman" w:cstheme="minorHAnsi"/>
          <w:kern w:val="0"/>
          <w:sz w:val="24"/>
          <w:szCs w:val="24"/>
          <w14:ligatures w14:val="none"/>
        </w:rPr>
        <w:t xml:space="preserve">. </w:t>
      </w:r>
    </w:p>
    <w:p w14:paraId="29075E56" w14:textId="77777777" w:rsidR="00C851AF" w:rsidRPr="006E0C03" w:rsidRDefault="00C851AF" w:rsidP="006E0C03">
      <w:pPr>
        <w:spacing w:after="0" w:line="240" w:lineRule="auto"/>
        <w:rPr>
          <w:rFonts w:eastAsia="Times New Roman" w:cstheme="minorHAnsi"/>
          <w:kern w:val="0"/>
          <w:sz w:val="24"/>
          <w:szCs w:val="24"/>
          <w14:ligatures w14:val="none"/>
        </w:rPr>
      </w:pPr>
    </w:p>
    <w:p w14:paraId="3EA2E1B7" w14:textId="7C575BED" w:rsidR="002676B8" w:rsidRPr="006E0C03" w:rsidRDefault="004B22E5"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National Institute for Occupational Safety and Health (</w:t>
      </w:r>
      <w:r w:rsidR="007B0143" w:rsidRPr="006E0C03">
        <w:rPr>
          <w:rFonts w:eastAsia="Times New Roman" w:cstheme="minorHAnsi"/>
          <w:kern w:val="0"/>
          <w:sz w:val="24"/>
          <w:szCs w:val="24"/>
          <w14:ligatures w14:val="none"/>
        </w:rPr>
        <w:t>NIOSH</w:t>
      </w:r>
      <w:r w:rsidRPr="006E0C03">
        <w:rPr>
          <w:rFonts w:eastAsia="Times New Roman" w:cstheme="minorHAnsi"/>
          <w:kern w:val="0"/>
          <w:sz w:val="24"/>
          <w:szCs w:val="24"/>
          <w14:ligatures w14:val="none"/>
        </w:rPr>
        <w:t>)</w:t>
      </w:r>
      <w:r w:rsidR="007B0143" w:rsidRPr="006E0C03">
        <w:rPr>
          <w:rFonts w:eastAsia="Times New Roman" w:cstheme="minorHAnsi"/>
          <w:kern w:val="0"/>
          <w:sz w:val="24"/>
          <w:szCs w:val="24"/>
          <w14:ligatures w14:val="none"/>
        </w:rPr>
        <w:t>. 201</w:t>
      </w:r>
      <w:r w:rsidR="00523136" w:rsidRPr="006E0C03">
        <w:rPr>
          <w:rFonts w:eastAsia="Times New Roman" w:cstheme="minorHAnsi"/>
          <w:kern w:val="0"/>
          <w:sz w:val="24"/>
          <w:szCs w:val="24"/>
          <w14:ligatures w14:val="none"/>
        </w:rPr>
        <w:t>4.</w:t>
      </w:r>
      <w:r w:rsidR="00003E22" w:rsidRPr="006E0C03">
        <w:rPr>
          <w:rFonts w:eastAsia="Times New Roman" w:cstheme="minorHAnsi"/>
          <w:kern w:val="0"/>
          <w:sz w:val="24"/>
          <w:szCs w:val="24"/>
          <w14:ligatures w14:val="none"/>
        </w:rPr>
        <w:t xml:space="preserve"> NIOSH International Chemical Safety Card </w:t>
      </w:r>
      <w:r w:rsidR="006819C4" w:rsidRPr="006E0C03">
        <w:rPr>
          <w:rFonts w:eastAsia="Times New Roman" w:cstheme="minorHAnsi"/>
          <w:kern w:val="0"/>
          <w:sz w:val="24"/>
          <w:szCs w:val="24"/>
          <w14:ligatures w14:val="none"/>
        </w:rPr>
        <w:t xml:space="preserve">for </w:t>
      </w:r>
      <w:r w:rsidR="00003E22" w:rsidRPr="006E0C03">
        <w:rPr>
          <w:rFonts w:eastAsia="Times New Roman" w:cstheme="minorHAnsi"/>
          <w:kern w:val="0"/>
          <w:sz w:val="24"/>
          <w:szCs w:val="24"/>
          <w14:ligatures w14:val="none"/>
        </w:rPr>
        <w:t>2,2,4-</w:t>
      </w:r>
      <w:r w:rsidR="00337262" w:rsidRPr="006E0C03">
        <w:rPr>
          <w:rFonts w:eastAsia="Times New Roman" w:cstheme="minorHAnsi"/>
          <w:kern w:val="0"/>
          <w:sz w:val="24"/>
          <w:szCs w:val="24"/>
          <w14:ligatures w14:val="none"/>
        </w:rPr>
        <w:t xml:space="preserve">Trimethylpentane. July 1. </w:t>
      </w:r>
      <w:hyperlink r:id="rId31" w:history="1">
        <w:r w:rsidR="00D12EFC" w:rsidRPr="006E0C03">
          <w:rPr>
            <w:rStyle w:val="Hyperlink"/>
            <w:rFonts w:eastAsia="Times New Roman" w:cstheme="minorHAnsi"/>
            <w:kern w:val="0"/>
            <w:sz w:val="24"/>
            <w:szCs w:val="24"/>
            <w14:ligatures w14:val="none"/>
          </w:rPr>
          <w:t>http://medbox.iiab.me/modules/en-cdc/www.cdc.gov/niosh/ipcsneng/neng0496.html</w:t>
        </w:r>
      </w:hyperlink>
      <w:r w:rsidR="00D12EFC" w:rsidRPr="006E0C03">
        <w:rPr>
          <w:rFonts w:eastAsia="Times New Roman" w:cstheme="minorHAnsi"/>
          <w:kern w:val="0"/>
          <w:sz w:val="24"/>
          <w:szCs w:val="24"/>
          <w14:ligatures w14:val="none"/>
        </w:rPr>
        <w:t xml:space="preserve">. </w:t>
      </w:r>
    </w:p>
    <w:p w14:paraId="7B6D60F0" w14:textId="4274A29E" w:rsidR="007B0143" w:rsidRPr="006E0C03" w:rsidRDefault="007B0143" w:rsidP="006E0C03">
      <w:pPr>
        <w:spacing w:after="0" w:line="240" w:lineRule="auto"/>
        <w:rPr>
          <w:rFonts w:eastAsia="Times New Roman" w:cstheme="minorHAnsi"/>
          <w:kern w:val="0"/>
          <w:sz w:val="24"/>
          <w:szCs w:val="24"/>
          <w14:ligatures w14:val="none"/>
        </w:rPr>
      </w:pPr>
    </w:p>
    <w:p w14:paraId="0F8F6B35" w14:textId="1819B63F" w:rsidR="007B0143" w:rsidRPr="006E0C03" w:rsidRDefault="009C4D67"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New Jersey Department of Health (</w:t>
      </w:r>
      <w:r w:rsidR="007B0143" w:rsidRPr="006E0C03">
        <w:rPr>
          <w:rFonts w:eastAsia="Times New Roman" w:cstheme="minorHAnsi"/>
          <w:kern w:val="0"/>
          <w:sz w:val="24"/>
          <w:szCs w:val="24"/>
          <w14:ligatures w14:val="none"/>
        </w:rPr>
        <w:t>NJ Health</w:t>
      </w:r>
      <w:r w:rsidRPr="006E0C03">
        <w:rPr>
          <w:rFonts w:eastAsia="Times New Roman" w:cstheme="minorHAnsi"/>
          <w:kern w:val="0"/>
          <w:sz w:val="24"/>
          <w:szCs w:val="24"/>
          <w14:ligatures w14:val="none"/>
        </w:rPr>
        <w:t>)</w:t>
      </w:r>
      <w:r w:rsidR="007B0143" w:rsidRPr="006E0C03">
        <w:rPr>
          <w:rFonts w:eastAsia="Times New Roman" w:cstheme="minorHAnsi"/>
          <w:kern w:val="0"/>
          <w:sz w:val="24"/>
          <w:szCs w:val="24"/>
          <w14:ligatures w14:val="none"/>
        </w:rPr>
        <w:t>. 2008</w:t>
      </w:r>
      <w:r w:rsidR="006819C4" w:rsidRPr="006E0C03">
        <w:rPr>
          <w:rFonts w:eastAsia="Times New Roman" w:cstheme="minorHAnsi"/>
          <w:kern w:val="0"/>
          <w:sz w:val="24"/>
          <w:szCs w:val="24"/>
          <w14:ligatures w14:val="none"/>
        </w:rPr>
        <w:t>. Hazardous Substance Fact Sheet for Butane.</w:t>
      </w:r>
      <w:r w:rsidR="000B14B5" w:rsidRPr="006E0C03">
        <w:rPr>
          <w:rFonts w:eastAsia="Times New Roman" w:cstheme="minorHAnsi"/>
          <w:kern w:val="0"/>
          <w:sz w:val="24"/>
          <w:szCs w:val="24"/>
          <w14:ligatures w14:val="none"/>
        </w:rPr>
        <w:t xml:space="preserve"> February. </w:t>
      </w:r>
      <w:hyperlink r:id="rId32" w:history="1">
        <w:r w:rsidR="00CA4E17" w:rsidRPr="006E0C03">
          <w:rPr>
            <w:rStyle w:val="Hyperlink"/>
            <w:rFonts w:cstheme="minorHAnsi"/>
            <w:sz w:val="24"/>
            <w:szCs w:val="24"/>
          </w:rPr>
          <w:t>https://nj.gov/health/eoh/rtkweb/documents/fs/0273.pdf</w:t>
        </w:r>
      </w:hyperlink>
      <w:r w:rsidR="00CA4E17" w:rsidRPr="006E0C03">
        <w:rPr>
          <w:rFonts w:cstheme="minorHAnsi"/>
          <w:sz w:val="24"/>
          <w:szCs w:val="24"/>
        </w:rPr>
        <w:t>.</w:t>
      </w:r>
    </w:p>
    <w:p w14:paraId="6FF6CC32" w14:textId="4D25AD0D" w:rsidR="007B0143" w:rsidRPr="006E0C03" w:rsidRDefault="007B0143" w:rsidP="006E0C03">
      <w:pPr>
        <w:spacing w:after="0" w:line="240" w:lineRule="auto"/>
        <w:rPr>
          <w:rFonts w:eastAsia="Times New Roman" w:cstheme="minorHAnsi"/>
          <w:kern w:val="0"/>
          <w:sz w:val="24"/>
          <w:szCs w:val="24"/>
          <w14:ligatures w14:val="none"/>
        </w:rPr>
      </w:pPr>
    </w:p>
    <w:p w14:paraId="396CA124" w14:textId="0B5FDFA9" w:rsidR="007B0143" w:rsidRPr="006E0C03" w:rsidRDefault="00CA4E17"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New Jersey Department of Health (NJ Health)</w:t>
      </w:r>
      <w:r w:rsidR="007B0143" w:rsidRPr="006E0C03">
        <w:rPr>
          <w:rFonts w:eastAsia="Times New Roman" w:cstheme="minorHAnsi"/>
          <w:kern w:val="0"/>
          <w:sz w:val="24"/>
          <w:szCs w:val="24"/>
          <w14:ligatures w14:val="none"/>
        </w:rPr>
        <w:t>. 2017</w:t>
      </w:r>
      <w:r w:rsidR="004E180C" w:rsidRPr="006E0C03">
        <w:rPr>
          <w:rFonts w:eastAsia="Times New Roman" w:cstheme="minorHAnsi"/>
          <w:kern w:val="0"/>
          <w:sz w:val="24"/>
          <w:szCs w:val="24"/>
          <w14:ligatures w14:val="none"/>
        </w:rPr>
        <w:t xml:space="preserve">. Hazardous Substance Fact Sheet for </w:t>
      </w:r>
      <w:r w:rsidR="00346BF3" w:rsidRPr="006E0C03">
        <w:rPr>
          <w:rFonts w:eastAsia="Times New Roman" w:cstheme="minorHAnsi"/>
          <w:kern w:val="0"/>
          <w:sz w:val="24"/>
          <w:szCs w:val="24"/>
          <w14:ligatures w14:val="none"/>
        </w:rPr>
        <w:t xml:space="preserve">alpha-Pinene. </w:t>
      </w:r>
      <w:r w:rsidR="00047697" w:rsidRPr="006E0C03">
        <w:rPr>
          <w:rFonts w:eastAsia="Times New Roman" w:cstheme="minorHAnsi"/>
          <w:kern w:val="0"/>
          <w:sz w:val="24"/>
          <w:szCs w:val="24"/>
          <w14:ligatures w14:val="none"/>
        </w:rPr>
        <w:t xml:space="preserve">April. </w:t>
      </w:r>
      <w:hyperlink r:id="rId33" w:history="1">
        <w:r w:rsidR="009F5259" w:rsidRPr="006E0C03">
          <w:rPr>
            <w:rStyle w:val="Hyperlink"/>
            <w:rFonts w:cstheme="minorHAnsi"/>
            <w:sz w:val="24"/>
            <w:szCs w:val="24"/>
          </w:rPr>
          <w:t>https://nj.gov/health/eoh/rtkweb/documents/fs/0052.pdf</w:t>
        </w:r>
      </w:hyperlink>
      <w:r w:rsidR="009F5259" w:rsidRPr="006E0C03">
        <w:rPr>
          <w:rFonts w:cstheme="minorHAnsi"/>
          <w:sz w:val="24"/>
          <w:szCs w:val="24"/>
        </w:rPr>
        <w:t>.</w:t>
      </w:r>
    </w:p>
    <w:p w14:paraId="093B9354" w14:textId="32F486DB" w:rsidR="007B0143" w:rsidRPr="006E0C03" w:rsidRDefault="007B0143" w:rsidP="006E0C03">
      <w:pPr>
        <w:spacing w:after="0" w:line="240" w:lineRule="auto"/>
        <w:rPr>
          <w:rFonts w:eastAsia="Times New Roman" w:cstheme="minorHAnsi"/>
          <w:kern w:val="0"/>
          <w:sz w:val="24"/>
          <w:szCs w:val="24"/>
          <w14:ligatures w14:val="none"/>
        </w:rPr>
      </w:pPr>
    </w:p>
    <w:p w14:paraId="69E64E3B" w14:textId="5E910CC3" w:rsidR="007B0143" w:rsidRPr="006E0C03" w:rsidRDefault="003E56F2" w:rsidP="006E0C03">
      <w:pPr>
        <w:spacing w:after="0" w:line="240" w:lineRule="auto"/>
        <w:rPr>
          <w:rFonts w:eastAsia="Times New Roman" w:cstheme="minorHAnsi"/>
          <w:kern w:val="0"/>
          <w:sz w:val="24"/>
          <w:szCs w:val="24"/>
          <w14:ligatures w14:val="none"/>
        </w:rPr>
      </w:pPr>
      <w:proofErr w:type="spellStart"/>
      <w:r w:rsidRPr="006E0C03">
        <w:rPr>
          <w:rFonts w:eastAsia="Times New Roman" w:cstheme="minorHAnsi"/>
          <w:kern w:val="0"/>
          <w:sz w:val="24"/>
          <w:szCs w:val="24"/>
          <w14:ligatures w14:val="none"/>
        </w:rPr>
        <w:t>Organi</w:t>
      </w:r>
      <w:r w:rsidR="007607F9" w:rsidRPr="006E0C03">
        <w:rPr>
          <w:rFonts w:eastAsia="Times New Roman" w:cstheme="minorHAnsi"/>
          <w:kern w:val="0"/>
          <w:sz w:val="24"/>
          <w:szCs w:val="24"/>
          <w14:ligatures w14:val="none"/>
        </w:rPr>
        <w:t>sation</w:t>
      </w:r>
      <w:proofErr w:type="spellEnd"/>
      <w:r w:rsidR="007607F9" w:rsidRPr="006E0C03">
        <w:rPr>
          <w:rFonts w:eastAsia="Times New Roman" w:cstheme="minorHAnsi"/>
          <w:kern w:val="0"/>
          <w:sz w:val="24"/>
          <w:szCs w:val="24"/>
          <w14:ligatures w14:val="none"/>
        </w:rPr>
        <w:t xml:space="preserve"> </w:t>
      </w:r>
      <w:r w:rsidR="007B4435" w:rsidRPr="006E0C03">
        <w:rPr>
          <w:rFonts w:eastAsia="Times New Roman" w:cstheme="minorHAnsi"/>
          <w:kern w:val="0"/>
          <w:sz w:val="24"/>
          <w:szCs w:val="24"/>
          <w14:ligatures w14:val="none"/>
        </w:rPr>
        <w:t>for Economic Co-operation and Development (</w:t>
      </w:r>
      <w:r w:rsidR="007B0143" w:rsidRPr="006E0C03">
        <w:rPr>
          <w:rFonts w:eastAsia="Times New Roman" w:cstheme="minorHAnsi"/>
          <w:kern w:val="0"/>
          <w:sz w:val="24"/>
          <w:szCs w:val="24"/>
          <w14:ligatures w14:val="none"/>
        </w:rPr>
        <w:t>OECD</w:t>
      </w:r>
      <w:r w:rsidR="007B4435" w:rsidRPr="006E0C03">
        <w:rPr>
          <w:rFonts w:eastAsia="Times New Roman" w:cstheme="minorHAnsi"/>
          <w:kern w:val="0"/>
          <w:sz w:val="24"/>
          <w:szCs w:val="24"/>
          <w14:ligatures w14:val="none"/>
        </w:rPr>
        <w:t>)</w:t>
      </w:r>
      <w:r w:rsidR="007B0143" w:rsidRPr="006E0C03">
        <w:rPr>
          <w:rFonts w:eastAsia="Times New Roman" w:cstheme="minorHAnsi"/>
          <w:kern w:val="0"/>
          <w:sz w:val="24"/>
          <w:szCs w:val="24"/>
          <w14:ligatures w14:val="none"/>
        </w:rPr>
        <w:t>. 2004</w:t>
      </w:r>
      <w:r w:rsidR="007B4435" w:rsidRPr="006E0C03">
        <w:rPr>
          <w:rFonts w:eastAsia="Times New Roman" w:cstheme="minorHAnsi"/>
          <w:kern w:val="0"/>
          <w:sz w:val="24"/>
          <w:szCs w:val="24"/>
          <w14:ligatures w14:val="none"/>
        </w:rPr>
        <w:t>.</w:t>
      </w:r>
      <w:r w:rsidR="00521EBB" w:rsidRPr="006E0C03">
        <w:rPr>
          <w:rFonts w:eastAsia="Times New Roman" w:cstheme="minorHAnsi"/>
          <w:kern w:val="0"/>
          <w:sz w:val="24"/>
          <w:szCs w:val="24"/>
          <w14:ligatures w14:val="none"/>
        </w:rPr>
        <w:t xml:space="preserve"> SIDS Initial Assessment </w:t>
      </w:r>
      <w:r w:rsidR="00F9596C" w:rsidRPr="006E0C03">
        <w:rPr>
          <w:rFonts w:eastAsia="Times New Roman" w:cstheme="minorHAnsi"/>
          <w:kern w:val="0"/>
          <w:sz w:val="24"/>
          <w:szCs w:val="24"/>
          <w14:ligatures w14:val="none"/>
        </w:rPr>
        <w:t xml:space="preserve">Profile for </w:t>
      </w:r>
      <w:proofErr w:type="spellStart"/>
      <w:r w:rsidR="00F9596C" w:rsidRPr="006E0C03">
        <w:rPr>
          <w:rFonts w:eastAsia="Times New Roman" w:cstheme="minorHAnsi"/>
          <w:kern w:val="0"/>
          <w:sz w:val="24"/>
          <w:szCs w:val="24"/>
          <w14:ligatures w14:val="none"/>
        </w:rPr>
        <w:t>Butenes</w:t>
      </w:r>
      <w:proofErr w:type="spellEnd"/>
      <w:r w:rsidR="00F9596C" w:rsidRPr="006E0C03">
        <w:rPr>
          <w:rFonts w:eastAsia="Times New Roman" w:cstheme="minorHAnsi"/>
          <w:kern w:val="0"/>
          <w:sz w:val="24"/>
          <w:szCs w:val="24"/>
          <w14:ligatures w14:val="none"/>
        </w:rPr>
        <w:t>.</w:t>
      </w:r>
      <w:r w:rsidR="007E7CD1" w:rsidRPr="006E0C03">
        <w:rPr>
          <w:rFonts w:eastAsia="Times New Roman" w:cstheme="minorHAnsi"/>
          <w:kern w:val="0"/>
          <w:sz w:val="24"/>
          <w:szCs w:val="24"/>
          <w14:ligatures w14:val="none"/>
        </w:rPr>
        <w:t xml:space="preserve"> October. </w:t>
      </w:r>
      <w:hyperlink r:id="rId34" w:history="1">
        <w:r w:rsidR="00BE52E4" w:rsidRPr="006E0C03">
          <w:rPr>
            <w:rStyle w:val="Hyperlink"/>
            <w:rFonts w:cstheme="minorHAnsi"/>
            <w:sz w:val="24"/>
            <w:szCs w:val="24"/>
          </w:rPr>
          <w:t>https://hpvchemicals.oecd.org/ui/handler.axd?id=11f46903-9226-4233-a9db-36a4c2a81e28</w:t>
        </w:r>
      </w:hyperlink>
      <w:r w:rsidR="00BE52E4" w:rsidRPr="006E0C03">
        <w:rPr>
          <w:rFonts w:cstheme="minorHAnsi"/>
          <w:sz w:val="24"/>
          <w:szCs w:val="24"/>
        </w:rPr>
        <w:t>.</w:t>
      </w:r>
    </w:p>
    <w:p w14:paraId="2DC733A7" w14:textId="77777777" w:rsidR="007B0143" w:rsidRPr="006E0C03" w:rsidRDefault="007B0143" w:rsidP="006E0C03">
      <w:pPr>
        <w:spacing w:after="0" w:line="240" w:lineRule="auto"/>
        <w:rPr>
          <w:rFonts w:eastAsia="Times New Roman" w:cstheme="minorHAnsi"/>
          <w:kern w:val="0"/>
          <w:sz w:val="24"/>
          <w:szCs w:val="24"/>
          <w14:ligatures w14:val="none"/>
        </w:rPr>
      </w:pPr>
    </w:p>
    <w:p w14:paraId="639A4BEC" w14:textId="79F2D926" w:rsidR="00CA27E9"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Tetra Tech, Inc. (TTI). 2023. Immediate Response Action Completion Report: Clean Harbors Braintree Facility. </w:t>
      </w:r>
      <w:r w:rsidR="00D82DD1" w:rsidRPr="006E0C03">
        <w:rPr>
          <w:rFonts w:eastAsia="Times New Roman" w:cstheme="minorHAnsi"/>
          <w:kern w:val="0"/>
          <w:sz w:val="24"/>
          <w:szCs w:val="24"/>
          <w14:ligatures w14:val="none"/>
        </w:rPr>
        <w:t xml:space="preserve">April 17. </w:t>
      </w:r>
      <w:hyperlink r:id="rId35" w:history="1">
        <w:r w:rsidR="00AC0A15" w:rsidRPr="006E0C03">
          <w:rPr>
            <w:rStyle w:val="Hyperlink"/>
            <w:rFonts w:eastAsia="Times New Roman" w:cstheme="minorHAnsi"/>
            <w:kern w:val="0"/>
            <w:sz w:val="24"/>
            <w:szCs w:val="24"/>
            <w14:ligatures w14:val="none"/>
          </w:rPr>
          <w:t>https://eeaonline.eea.state.ma.us/EEA/fileviewer/Default.aspx?formdataid=0&amp;documentid=749934</w:t>
        </w:r>
      </w:hyperlink>
      <w:r w:rsidR="00AC0A15" w:rsidRPr="006E0C03">
        <w:rPr>
          <w:rFonts w:eastAsia="Times New Roman" w:cstheme="minorHAnsi"/>
          <w:kern w:val="0"/>
          <w:sz w:val="24"/>
          <w:szCs w:val="24"/>
          <w14:ligatures w14:val="none"/>
        </w:rPr>
        <w:t xml:space="preserve"> </w:t>
      </w:r>
      <w:r w:rsidRPr="006E0C03">
        <w:rPr>
          <w:rFonts w:eastAsia="Times New Roman" w:cstheme="minorHAnsi"/>
          <w:kern w:val="0"/>
          <w:sz w:val="24"/>
          <w:szCs w:val="24"/>
          <w14:ligatures w14:val="none"/>
        </w:rPr>
        <w:t>.</w:t>
      </w:r>
    </w:p>
    <w:p w14:paraId="16983E8D" w14:textId="77777777" w:rsidR="00904A4B" w:rsidRPr="006E0C03" w:rsidRDefault="00904A4B" w:rsidP="006E0C03">
      <w:pPr>
        <w:spacing w:after="0" w:line="240" w:lineRule="auto"/>
        <w:rPr>
          <w:rFonts w:eastAsia="Times New Roman" w:cstheme="minorHAnsi"/>
          <w:kern w:val="0"/>
          <w:sz w:val="24"/>
          <w:szCs w:val="24"/>
          <w14:ligatures w14:val="none"/>
        </w:rPr>
      </w:pPr>
    </w:p>
    <w:p w14:paraId="315F96B8" w14:textId="44D2BB7D"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2005. Introduction to Tanks. </w:t>
      </w:r>
      <w:hyperlink r:id="rId36" w:history="1">
        <w:r w:rsidR="002676B8" w:rsidRPr="006E0C03">
          <w:rPr>
            <w:rStyle w:val="Hyperlink"/>
            <w:rFonts w:eastAsia="Times New Roman" w:cstheme="minorHAnsi"/>
            <w:kern w:val="0"/>
            <w:sz w:val="24"/>
            <w:szCs w:val="24"/>
            <w14:ligatures w14:val="none"/>
          </w:rPr>
          <w:t>https://www.epa.gov/sites/default/files/2015-07/documents/tanks05.pdf</w:t>
        </w:r>
      </w:hyperlink>
      <w:r w:rsidR="002676B8" w:rsidRPr="006E0C03">
        <w:rPr>
          <w:rFonts w:eastAsia="Times New Roman" w:cstheme="minorHAnsi"/>
          <w:kern w:val="0"/>
          <w:sz w:val="24"/>
          <w:szCs w:val="24"/>
          <w14:ligatures w14:val="none"/>
        </w:rPr>
        <w:t xml:space="preserve"> </w:t>
      </w:r>
    </w:p>
    <w:p w14:paraId="36FFA063" w14:textId="5CAF4C07"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2015b. Air Quality Index Who Needs to be Concerned? What Should I Do? </w:t>
      </w:r>
      <w:hyperlink r:id="rId37" w:history="1">
        <w:r w:rsidR="002676B8" w:rsidRPr="006E0C03">
          <w:rPr>
            <w:rStyle w:val="Hyperlink"/>
            <w:rFonts w:eastAsia="Times New Roman" w:cstheme="minorHAnsi"/>
            <w:kern w:val="0"/>
            <w:sz w:val="24"/>
            <w:szCs w:val="24"/>
            <w14:ligatures w14:val="none"/>
          </w:rPr>
          <w:t>https://www.epa.gov/sites/default/files/2017-12/documents/air-quality-guide_ozone_2015.pdf</w:t>
        </w:r>
      </w:hyperlink>
      <w:r w:rsidR="002676B8" w:rsidRPr="006E0C03">
        <w:rPr>
          <w:rFonts w:eastAsia="Times New Roman" w:cstheme="minorHAnsi"/>
          <w:kern w:val="0"/>
          <w:sz w:val="24"/>
          <w:szCs w:val="24"/>
          <w14:ligatures w14:val="none"/>
        </w:rPr>
        <w:t xml:space="preserve"> </w:t>
      </w:r>
    </w:p>
    <w:p w14:paraId="5403F727" w14:textId="77777777" w:rsidR="00904A4B" w:rsidRPr="006E0C03" w:rsidRDefault="00904A4B" w:rsidP="006E0C03">
      <w:pPr>
        <w:spacing w:after="0" w:line="240" w:lineRule="auto"/>
        <w:rPr>
          <w:rFonts w:eastAsia="Times New Roman" w:cstheme="minorHAnsi"/>
          <w:kern w:val="0"/>
          <w:sz w:val="24"/>
          <w:szCs w:val="24"/>
          <w14:ligatures w14:val="none"/>
        </w:rPr>
      </w:pPr>
    </w:p>
    <w:p w14:paraId="07B8CB76" w14:textId="6658B527"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2015c. Regional Screening Levels Frequent Questions. </w:t>
      </w:r>
      <w:r w:rsidR="00AC0A15" w:rsidRPr="006E0C03">
        <w:rPr>
          <w:rFonts w:eastAsia="Times New Roman" w:cstheme="minorHAnsi"/>
          <w:kern w:val="0"/>
          <w:sz w:val="24"/>
          <w:szCs w:val="24"/>
          <w14:ligatures w14:val="none"/>
        </w:rPr>
        <w:t>September 10. www</w:t>
      </w:r>
      <w:r w:rsidR="00CA27E9" w:rsidRPr="006E0C03">
        <w:rPr>
          <w:rFonts w:eastAsia="Times New Roman" w:cstheme="minorHAnsi"/>
          <w:kern w:val="0"/>
          <w:sz w:val="24"/>
          <w:szCs w:val="24"/>
          <w14:ligatures w14:val="none"/>
        </w:rPr>
        <w:t xml:space="preserve">.epa.gov. </w:t>
      </w:r>
      <w:hyperlink r:id="rId38" w:history="1">
        <w:r w:rsidR="002676B8" w:rsidRPr="006E0C03">
          <w:rPr>
            <w:rStyle w:val="Hyperlink"/>
            <w:rFonts w:eastAsia="Times New Roman" w:cstheme="minorHAnsi"/>
            <w:kern w:val="0"/>
            <w:sz w:val="24"/>
            <w:szCs w:val="24"/>
            <w14:ligatures w14:val="none"/>
          </w:rPr>
          <w:t>https://www.epa.gov/risk/regional-screening-levels-frequent-questions</w:t>
        </w:r>
      </w:hyperlink>
      <w:r w:rsidR="002676B8" w:rsidRPr="006E0C03">
        <w:rPr>
          <w:rFonts w:eastAsia="Times New Roman" w:cstheme="minorHAnsi"/>
          <w:kern w:val="0"/>
          <w:sz w:val="24"/>
          <w:szCs w:val="24"/>
          <w14:ligatures w14:val="none"/>
        </w:rPr>
        <w:t xml:space="preserve"> </w:t>
      </w:r>
    </w:p>
    <w:p w14:paraId="68424ECA" w14:textId="77777777" w:rsidR="00904A4B" w:rsidRPr="006E0C03" w:rsidRDefault="00904A4B" w:rsidP="006E0C03">
      <w:pPr>
        <w:spacing w:after="0" w:line="240" w:lineRule="auto"/>
        <w:rPr>
          <w:rFonts w:eastAsia="Times New Roman" w:cstheme="minorHAnsi"/>
          <w:kern w:val="0"/>
          <w:sz w:val="24"/>
          <w:szCs w:val="24"/>
          <w14:ligatures w14:val="none"/>
        </w:rPr>
      </w:pPr>
    </w:p>
    <w:p w14:paraId="57622B02" w14:textId="1CF36664"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United States Environmental Protection Agency </w:t>
      </w:r>
      <w:r w:rsidR="00CA27E9" w:rsidRPr="006E0C03">
        <w:rPr>
          <w:rFonts w:eastAsia="Times New Roman" w:cstheme="minorHAnsi"/>
          <w:kern w:val="0"/>
          <w:sz w:val="24"/>
          <w:szCs w:val="24"/>
          <w14:ligatures w14:val="none"/>
        </w:rPr>
        <w:t xml:space="preserve">US EPA. 2016, September 9. Reviewing National Ambient Air Quality Standards (NAAQS): Scientific and Technical Information. </w:t>
      </w:r>
      <w:hyperlink r:id="rId39" w:history="1">
        <w:r w:rsidR="009A3816" w:rsidRPr="006E0C03">
          <w:rPr>
            <w:rStyle w:val="Hyperlink"/>
            <w:rFonts w:eastAsia="Times New Roman" w:cstheme="minorHAnsi"/>
            <w:kern w:val="0"/>
            <w:sz w:val="24"/>
            <w:szCs w:val="24"/>
            <w14:ligatures w14:val="none"/>
          </w:rPr>
          <w:t>https://www.epa.gov/naaqs</w:t>
        </w:r>
      </w:hyperlink>
      <w:r w:rsidR="009A3816" w:rsidRPr="006E0C03">
        <w:rPr>
          <w:rFonts w:eastAsia="Times New Roman" w:cstheme="minorHAnsi"/>
          <w:kern w:val="0"/>
          <w:sz w:val="24"/>
          <w:szCs w:val="24"/>
          <w14:ligatures w14:val="none"/>
        </w:rPr>
        <w:t>.</w:t>
      </w:r>
    </w:p>
    <w:p w14:paraId="637A4C4E" w14:textId="77777777" w:rsidR="00904A4B" w:rsidRPr="006E0C03" w:rsidRDefault="00904A4B" w:rsidP="006E0C03">
      <w:pPr>
        <w:spacing w:after="0" w:line="240" w:lineRule="auto"/>
        <w:rPr>
          <w:rFonts w:eastAsia="Times New Roman" w:cstheme="minorHAnsi"/>
          <w:kern w:val="0"/>
          <w:sz w:val="24"/>
          <w:szCs w:val="24"/>
          <w14:ligatures w14:val="none"/>
        </w:rPr>
      </w:pPr>
    </w:p>
    <w:p w14:paraId="6C18CDF5" w14:textId="6E69D370"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2018a. Basic Information about NO</w:t>
      </w:r>
      <w:r w:rsidR="00CA27E9" w:rsidRPr="006E0C03">
        <w:rPr>
          <w:rFonts w:eastAsia="Times New Roman" w:cstheme="minorHAnsi"/>
          <w:kern w:val="0"/>
          <w:sz w:val="24"/>
          <w:szCs w:val="24"/>
          <w:vertAlign w:val="subscript"/>
          <w14:ligatures w14:val="none"/>
        </w:rPr>
        <w:t>2</w:t>
      </w:r>
      <w:r w:rsidR="00CA27E9" w:rsidRPr="006E0C03">
        <w:rPr>
          <w:rFonts w:eastAsia="Times New Roman" w:cstheme="minorHAnsi"/>
          <w:kern w:val="0"/>
          <w:sz w:val="24"/>
          <w:szCs w:val="24"/>
          <w14:ligatures w14:val="none"/>
        </w:rPr>
        <w:t xml:space="preserve">. </w:t>
      </w:r>
      <w:r w:rsidR="00AC0A15" w:rsidRPr="006E0C03">
        <w:rPr>
          <w:rFonts w:eastAsia="Times New Roman" w:cstheme="minorHAnsi"/>
          <w:kern w:val="0"/>
          <w:sz w:val="24"/>
          <w:szCs w:val="24"/>
          <w14:ligatures w14:val="none"/>
        </w:rPr>
        <w:t xml:space="preserve">August 29. </w:t>
      </w:r>
      <w:hyperlink r:id="rId40" w:history="1">
        <w:r w:rsidR="00AC0A15" w:rsidRPr="006E0C03">
          <w:rPr>
            <w:rStyle w:val="Hyperlink"/>
            <w:rFonts w:eastAsia="Times New Roman" w:cstheme="minorHAnsi"/>
            <w:kern w:val="0"/>
            <w:sz w:val="24"/>
            <w:szCs w:val="24"/>
            <w14:ligatures w14:val="none"/>
          </w:rPr>
          <w:t>https://www.epa.gov/no2-pollution/basic-information-about-no2</w:t>
        </w:r>
      </w:hyperlink>
      <w:r w:rsidR="00AC0A15" w:rsidRPr="006E0C03">
        <w:rPr>
          <w:rFonts w:eastAsia="Times New Roman" w:cstheme="minorHAnsi"/>
          <w:kern w:val="0"/>
          <w:sz w:val="24"/>
          <w:szCs w:val="24"/>
          <w14:ligatures w14:val="none"/>
        </w:rPr>
        <w:t>.</w:t>
      </w:r>
    </w:p>
    <w:p w14:paraId="3541687B" w14:textId="77777777" w:rsidR="00904A4B" w:rsidRPr="006E0C03" w:rsidRDefault="00904A4B" w:rsidP="006E0C03">
      <w:pPr>
        <w:spacing w:after="0" w:line="240" w:lineRule="auto"/>
        <w:rPr>
          <w:rFonts w:eastAsia="Times New Roman" w:cstheme="minorHAnsi"/>
          <w:kern w:val="0"/>
          <w:sz w:val="24"/>
          <w:szCs w:val="24"/>
          <w14:ligatures w14:val="none"/>
        </w:rPr>
      </w:pPr>
    </w:p>
    <w:p w14:paraId="0EA20EDE" w14:textId="3A0216F8"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2018b. Health Effects of Ozone Pollution. </w:t>
      </w:r>
      <w:r w:rsidR="00AC0A15" w:rsidRPr="006E0C03">
        <w:rPr>
          <w:rFonts w:eastAsia="Times New Roman" w:cstheme="minorHAnsi"/>
          <w:kern w:val="0"/>
          <w:sz w:val="24"/>
          <w:szCs w:val="24"/>
          <w14:ligatures w14:val="none"/>
        </w:rPr>
        <w:t xml:space="preserve">October 10. </w:t>
      </w:r>
      <w:hyperlink r:id="rId41" w:history="1">
        <w:r w:rsidR="00AC0A15" w:rsidRPr="006E0C03">
          <w:rPr>
            <w:rStyle w:val="Hyperlink"/>
            <w:rFonts w:eastAsia="Times New Roman" w:cstheme="minorHAnsi"/>
            <w:kern w:val="0"/>
            <w:sz w:val="24"/>
            <w:szCs w:val="24"/>
            <w14:ligatures w14:val="none"/>
          </w:rPr>
          <w:t>https://www.epa.gov/ground-level-ozone-pollution/health-effects-ozone-pollution</w:t>
        </w:r>
      </w:hyperlink>
      <w:r w:rsidR="00AC0A15" w:rsidRPr="006E0C03">
        <w:rPr>
          <w:rFonts w:eastAsia="Times New Roman" w:cstheme="minorHAnsi"/>
          <w:kern w:val="0"/>
          <w:sz w:val="24"/>
          <w:szCs w:val="24"/>
          <w14:ligatures w14:val="none"/>
        </w:rPr>
        <w:t>.</w:t>
      </w:r>
    </w:p>
    <w:p w14:paraId="4987D66D" w14:textId="77777777" w:rsidR="00904A4B" w:rsidRPr="006E0C03" w:rsidRDefault="00904A4B" w:rsidP="006E0C03">
      <w:pPr>
        <w:spacing w:after="0" w:line="240" w:lineRule="auto"/>
        <w:rPr>
          <w:rFonts w:eastAsia="Times New Roman" w:cstheme="minorHAnsi"/>
          <w:kern w:val="0"/>
          <w:sz w:val="24"/>
          <w:szCs w:val="24"/>
          <w14:ligatures w14:val="none"/>
        </w:rPr>
      </w:pPr>
    </w:p>
    <w:p w14:paraId="7A210C9F" w14:textId="38450375"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2018c. Volatile Organic Compounds’ Impact on Indoor Air Quality. </w:t>
      </w:r>
      <w:r w:rsidR="00D82DD1" w:rsidRPr="006E0C03">
        <w:rPr>
          <w:rFonts w:eastAsia="Times New Roman" w:cstheme="minorHAnsi"/>
          <w:kern w:val="0"/>
          <w:sz w:val="24"/>
          <w:szCs w:val="24"/>
          <w14:ligatures w14:val="none"/>
        </w:rPr>
        <w:t xml:space="preserve">November 6. </w:t>
      </w:r>
      <w:hyperlink r:id="rId42" w:history="1">
        <w:r w:rsidR="00D82DD1" w:rsidRPr="006E0C03">
          <w:rPr>
            <w:rStyle w:val="Hyperlink"/>
            <w:rFonts w:eastAsia="Times New Roman" w:cstheme="minorHAnsi"/>
            <w:kern w:val="0"/>
            <w:sz w:val="24"/>
            <w:szCs w:val="24"/>
            <w14:ligatures w14:val="none"/>
          </w:rPr>
          <w:t>https://www.epa.gov/indoor-air-quality-iaq/volatile-organic-compounds-impact-indoor-air-quality</w:t>
        </w:r>
      </w:hyperlink>
      <w:r w:rsidR="00D82DD1" w:rsidRPr="006E0C03">
        <w:rPr>
          <w:rFonts w:eastAsia="Times New Roman" w:cstheme="minorHAnsi"/>
          <w:kern w:val="0"/>
          <w:sz w:val="24"/>
          <w:szCs w:val="24"/>
          <w14:ligatures w14:val="none"/>
        </w:rPr>
        <w:t>.</w:t>
      </w:r>
    </w:p>
    <w:p w14:paraId="76348BEE" w14:textId="77777777" w:rsidR="00904A4B" w:rsidRPr="006E0C03" w:rsidRDefault="00904A4B" w:rsidP="006E0C03">
      <w:pPr>
        <w:spacing w:after="0" w:line="240" w:lineRule="auto"/>
        <w:rPr>
          <w:rFonts w:eastAsia="Times New Roman" w:cstheme="minorHAnsi"/>
          <w:kern w:val="0"/>
          <w:sz w:val="24"/>
          <w:szCs w:val="24"/>
          <w14:ligatures w14:val="none"/>
        </w:rPr>
      </w:pPr>
    </w:p>
    <w:p w14:paraId="60EE35E2" w14:textId="0604680D"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2018d. Particulate Matter (PM) Basics</w:t>
      </w:r>
      <w:r w:rsidR="00CA27E9" w:rsidRPr="006E0C03" w:rsidDel="00D82DD1">
        <w:rPr>
          <w:rFonts w:eastAsia="Times New Roman" w:cstheme="minorHAnsi"/>
          <w:kern w:val="0"/>
          <w:sz w:val="24"/>
          <w:szCs w:val="24"/>
          <w14:ligatures w14:val="none"/>
        </w:rPr>
        <w:t xml:space="preserve">. </w:t>
      </w:r>
      <w:r w:rsidR="00D82DD1" w:rsidRPr="006E0C03">
        <w:rPr>
          <w:rFonts w:eastAsia="Times New Roman" w:cstheme="minorHAnsi"/>
          <w:kern w:val="0"/>
          <w:sz w:val="24"/>
          <w:szCs w:val="24"/>
          <w14:ligatures w14:val="none"/>
        </w:rPr>
        <w:t xml:space="preserve">November 14. </w:t>
      </w:r>
      <w:hyperlink r:id="rId43" w:history="1">
        <w:r w:rsidR="00D82DD1" w:rsidRPr="006E0C03">
          <w:rPr>
            <w:rStyle w:val="Hyperlink"/>
            <w:rFonts w:eastAsia="Times New Roman" w:cstheme="minorHAnsi"/>
            <w:kern w:val="0"/>
            <w:sz w:val="24"/>
            <w:szCs w:val="24"/>
            <w14:ligatures w14:val="none"/>
          </w:rPr>
          <w:t>https://www.epa.gov/pm-pollution/particulate-matter-pm-basics</w:t>
        </w:r>
      </w:hyperlink>
      <w:r w:rsidR="00D82DD1" w:rsidRPr="006E0C03">
        <w:rPr>
          <w:rFonts w:eastAsia="Times New Roman" w:cstheme="minorHAnsi"/>
          <w:kern w:val="0"/>
          <w:sz w:val="24"/>
          <w:szCs w:val="24"/>
          <w14:ligatures w14:val="none"/>
        </w:rPr>
        <w:t>.</w:t>
      </w:r>
    </w:p>
    <w:p w14:paraId="007AD857" w14:textId="77777777" w:rsidR="00904A4B" w:rsidRPr="006E0C03" w:rsidRDefault="00904A4B" w:rsidP="006E0C03">
      <w:pPr>
        <w:spacing w:after="0" w:line="240" w:lineRule="auto"/>
        <w:rPr>
          <w:rFonts w:eastAsia="Times New Roman" w:cstheme="minorHAnsi"/>
          <w:kern w:val="0"/>
          <w:sz w:val="24"/>
          <w:szCs w:val="24"/>
          <w14:ligatures w14:val="none"/>
        </w:rPr>
      </w:pPr>
    </w:p>
    <w:p w14:paraId="2D95FE56" w14:textId="52ACAE43"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xml:space="preserve">. 2019a. Technical Overview of Volatile Organic Compounds. </w:t>
      </w:r>
      <w:r w:rsidR="00D82DD1" w:rsidRPr="006E0C03">
        <w:rPr>
          <w:rFonts w:eastAsia="Times New Roman" w:cstheme="minorHAnsi"/>
          <w:kern w:val="0"/>
          <w:sz w:val="24"/>
          <w:szCs w:val="24"/>
          <w14:ligatures w14:val="none"/>
        </w:rPr>
        <w:t xml:space="preserve">March 13. </w:t>
      </w:r>
      <w:hyperlink r:id="rId44" w:history="1">
        <w:r w:rsidR="00D82DD1" w:rsidRPr="006E0C03">
          <w:rPr>
            <w:rStyle w:val="Hyperlink"/>
            <w:rFonts w:eastAsia="Times New Roman" w:cstheme="minorHAnsi"/>
            <w:kern w:val="0"/>
            <w:sz w:val="24"/>
            <w:szCs w:val="24"/>
            <w14:ligatures w14:val="none"/>
          </w:rPr>
          <w:t>https://www.epa.gov/indoor-air-quality-iaq/technical-overview-volatile-organic-compounds</w:t>
        </w:r>
      </w:hyperlink>
      <w:r w:rsidR="00D82DD1" w:rsidRPr="006E0C03">
        <w:rPr>
          <w:rFonts w:eastAsia="Times New Roman" w:cstheme="minorHAnsi"/>
          <w:kern w:val="0"/>
          <w:sz w:val="24"/>
          <w:szCs w:val="24"/>
          <w14:ligatures w14:val="none"/>
        </w:rPr>
        <w:t>.</w:t>
      </w:r>
    </w:p>
    <w:p w14:paraId="50ADC5BB" w14:textId="77777777" w:rsidR="00904A4B" w:rsidRPr="006E0C03" w:rsidRDefault="00904A4B" w:rsidP="006E0C03">
      <w:pPr>
        <w:spacing w:after="0" w:line="240" w:lineRule="auto"/>
        <w:rPr>
          <w:rFonts w:eastAsia="Times New Roman" w:cstheme="minorHAnsi"/>
          <w:kern w:val="0"/>
          <w:sz w:val="24"/>
          <w:szCs w:val="24"/>
          <w14:ligatures w14:val="none"/>
        </w:rPr>
      </w:pPr>
    </w:p>
    <w:p w14:paraId="01032EC2" w14:textId="569854A4" w:rsidR="00CA27E9" w:rsidRPr="006E0C03" w:rsidRDefault="7D24E538" w:rsidP="487B773E">
      <w:pPr>
        <w:spacing w:after="0" w:line="240" w:lineRule="auto"/>
        <w:rPr>
          <w:rFonts w:eastAsia="Times New Roman"/>
          <w:sz w:val="24"/>
          <w:szCs w:val="24"/>
        </w:rPr>
      </w:pPr>
      <w:r w:rsidRPr="23A4FC9A">
        <w:rPr>
          <w:rFonts w:eastAsia="Times New Roman"/>
          <w:sz w:val="24"/>
          <w:szCs w:val="24"/>
        </w:rPr>
        <w:t xml:space="preserve">United States Environmental Protection Agency US EPA). 2019b. Integrated Science Assessment (ISA) for Particulate Matter. February 19. </w:t>
      </w:r>
      <w:hyperlink r:id="rId45" w:history="1">
        <w:r w:rsidRPr="23A4FC9A">
          <w:rPr>
            <w:rFonts w:eastAsia="Times New Roman"/>
            <w:sz w:val="24"/>
            <w:szCs w:val="24"/>
          </w:rPr>
          <w:t>https://www.epa.gov/isa/integrated-science-assessment-isa-particulate-matter</w:t>
        </w:r>
      </w:hyperlink>
      <w:r w:rsidRPr="23A4FC9A">
        <w:rPr>
          <w:rFonts w:eastAsia="Times New Roman"/>
          <w:sz w:val="24"/>
          <w:szCs w:val="24"/>
        </w:rPr>
        <w:t xml:space="preserve"> </w:t>
      </w:r>
    </w:p>
    <w:p w14:paraId="27EB2278" w14:textId="4C9364F0" w:rsidR="00904A4B" w:rsidRPr="006E0C03" w:rsidRDefault="00904A4B" w:rsidP="006E0C03">
      <w:pPr>
        <w:spacing w:after="0" w:line="240" w:lineRule="auto"/>
        <w:rPr>
          <w:rFonts w:eastAsia="Times New Roman" w:cstheme="minorHAnsi"/>
          <w:kern w:val="0"/>
          <w:sz w:val="24"/>
          <w:szCs w:val="24"/>
          <w14:ligatures w14:val="none"/>
        </w:rPr>
      </w:pPr>
    </w:p>
    <w:p w14:paraId="6598D531" w14:textId="4621E0CC" w:rsidR="00843A94" w:rsidRPr="006E0C03" w:rsidRDefault="00843A94"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 xml:space="preserve">United States Environmental Protection Agency (US EPA). 2022a. What is Particle Pollution. July 5. </w:t>
      </w:r>
      <w:hyperlink r:id="rId46" w:history="1">
        <w:r w:rsidRPr="006E0C03">
          <w:rPr>
            <w:rStyle w:val="Hyperlink"/>
            <w:rFonts w:eastAsia="Times New Roman" w:cstheme="minorHAnsi"/>
            <w:kern w:val="0"/>
            <w:sz w:val="24"/>
            <w:szCs w:val="24"/>
            <w14:ligatures w14:val="none"/>
          </w:rPr>
          <w:t>https://www.epa.gov/pmcourse/what-particle-pollution</w:t>
        </w:r>
      </w:hyperlink>
      <w:r w:rsidRPr="006E0C03">
        <w:rPr>
          <w:rFonts w:eastAsia="Times New Roman" w:cstheme="minorHAnsi"/>
          <w:kern w:val="0"/>
          <w:sz w:val="24"/>
          <w:szCs w:val="24"/>
          <w14:ligatures w14:val="none"/>
        </w:rPr>
        <w:t>.</w:t>
      </w:r>
    </w:p>
    <w:p w14:paraId="137D7CAB" w14:textId="77777777" w:rsidR="00843A94" w:rsidRPr="006E0C03" w:rsidRDefault="00843A94" w:rsidP="006E0C03">
      <w:pPr>
        <w:spacing w:after="0" w:line="240" w:lineRule="auto"/>
        <w:rPr>
          <w:rFonts w:eastAsia="Times New Roman" w:cstheme="minorHAnsi"/>
          <w:kern w:val="0"/>
          <w:sz w:val="24"/>
          <w:szCs w:val="24"/>
          <w14:ligatures w14:val="none"/>
        </w:rPr>
      </w:pPr>
    </w:p>
    <w:p w14:paraId="4CB0EEFB" w14:textId="0ABC3D36" w:rsidR="00CA27E9" w:rsidRPr="006E0C03" w:rsidRDefault="00CF70F6"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United States Environmental Protection Agency (</w:t>
      </w:r>
      <w:r w:rsidR="00CA27E9" w:rsidRPr="006E0C03">
        <w:rPr>
          <w:rFonts w:eastAsia="Times New Roman" w:cstheme="minorHAnsi"/>
          <w:kern w:val="0"/>
          <w:sz w:val="24"/>
          <w:szCs w:val="24"/>
          <w14:ligatures w14:val="none"/>
        </w:rPr>
        <w:t>US EPA</w:t>
      </w:r>
      <w:r w:rsidRPr="006E0C03">
        <w:rPr>
          <w:rFonts w:eastAsia="Times New Roman" w:cstheme="minorHAnsi"/>
          <w:kern w:val="0"/>
          <w:sz w:val="24"/>
          <w:szCs w:val="24"/>
          <w14:ligatures w14:val="none"/>
        </w:rPr>
        <w:t>)</w:t>
      </w:r>
      <w:r w:rsidR="00CA27E9" w:rsidRPr="006E0C03">
        <w:rPr>
          <w:rFonts w:eastAsia="Times New Roman" w:cstheme="minorHAnsi"/>
          <w:kern w:val="0"/>
          <w:sz w:val="24"/>
          <w:szCs w:val="24"/>
          <w14:ligatures w14:val="none"/>
        </w:rPr>
        <w:t>. 2022</w:t>
      </w:r>
      <w:r w:rsidR="00843A94" w:rsidRPr="006E0C03">
        <w:rPr>
          <w:rFonts w:eastAsia="Times New Roman" w:cstheme="minorHAnsi"/>
          <w:kern w:val="0"/>
          <w:sz w:val="24"/>
          <w:szCs w:val="24"/>
          <w14:ligatures w14:val="none"/>
        </w:rPr>
        <w:t>b</w:t>
      </w:r>
      <w:r w:rsidR="00CA27E9" w:rsidRPr="006E0C03">
        <w:rPr>
          <w:rFonts w:eastAsia="Times New Roman" w:cstheme="minorHAnsi"/>
          <w:kern w:val="0"/>
          <w:sz w:val="24"/>
          <w:szCs w:val="24"/>
          <w14:ligatures w14:val="none"/>
        </w:rPr>
        <w:t xml:space="preserve">. Resource Guide for Air Sensors and Related Educational Activities. </w:t>
      </w:r>
      <w:r w:rsidR="00D82DD1" w:rsidRPr="006E0C03">
        <w:rPr>
          <w:rFonts w:eastAsia="Times New Roman" w:cstheme="minorHAnsi"/>
          <w:kern w:val="0"/>
          <w:sz w:val="24"/>
          <w:szCs w:val="24"/>
          <w14:ligatures w14:val="none"/>
        </w:rPr>
        <w:t xml:space="preserve">July 19. </w:t>
      </w:r>
      <w:hyperlink r:id="rId47" w:anchor="PurpleAir" w:history="1">
        <w:r w:rsidR="00D82DD1" w:rsidRPr="006E0C03">
          <w:rPr>
            <w:rStyle w:val="Hyperlink"/>
            <w:rFonts w:eastAsia="Times New Roman" w:cstheme="minorHAnsi"/>
            <w:kern w:val="0"/>
            <w:sz w:val="24"/>
            <w:szCs w:val="24"/>
            <w14:ligatures w14:val="none"/>
          </w:rPr>
          <w:t>https://www.epa.gov/air-sensor-toolbox/resource-guide-air-sensors-and-related-educational-activities#PurpleAir</w:t>
        </w:r>
      </w:hyperlink>
      <w:r w:rsidR="00D82DD1" w:rsidRPr="006E0C03">
        <w:rPr>
          <w:rFonts w:eastAsia="Times New Roman" w:cstheme="minorHAnsi"/>
          <w:kern w:val="0"/>
          <w:sz w:val="24"/>
          <w:szCs w:val="24"/>
          <w14:ligatures w14:val="none"/>
        </w:rPr>
        <w:t>.</w:t>
      </w:r>
    </w:p>
    <w:p w14:paraId="7E48EA83" w14:textId="77777777" w:rsidR="00CF70F6" w:rsidRPr="006E0C03" w:rsidRDefault="00CF70F6" w:rsidP="006E0C03">
      <w:pPr>
        <w:spacing w:after="0" w:line="240" w:lineRule="auto"/>
        <w:rPr>
          <w:rFonts w:eastAsia="Times New Roman" w:cstheme="minorHAnsi"/>
          <w:kern w:val="0"/>
          <w:sz w:val="24"/>
          <w:szCs w:val="24"/>
          <w14:ligatures w14:val="none"/>
        </w:rPr>
      </w:pPr>
    </w:p>
    <w:p w14:paraId="5A1ECC5E" w14:textId="1E2A8329" w:rsidR="471C5140" w:rsidRDefault="3E051502" w:rsidP="487B773E">
      <w:pPr>
        <w:spacing w:after="0" w:line="240" w:lineRule="auto"/>
        <w:rPr>
          <w:rFonts w:eastAsia="Times New Roman"/>
          <w:sz w:val="24"/>
          <w:szCs w:val="24"/>
        </w:rPr>
      </w:pPr>
      <w:r w:rsidRPr="23A4FC9A">
        <w:rPr>
          <w:rFonts w:eastAsia="Times New Roman"/>
          <w:sz w:val="24"/>
          <w:szCs w:val="24"/>
        </w:rPr>
        <w:t>United States Environmental Protection Agency (US EPA). 2022</w:t>
      </w:r>
      <w:r w:rsidR="4CCEC798" w:rsidRPr="23A4FC9A">
        <w:rPr>
          <w:rFonts w:eastAsia="Times New Roman"/>
          <w:sz w:val="24"/>
          <w:szCs w:val="24"/>
        </w:rPr>
        <w:t>c</w:t>
      </w:r>
      <w:r w:rsidRPr="23A4FC9A">
        <w:rPr>
          <w:rFonts w:eastAsia="Times New Roman"/>
          <w:sz w:val="24"/>
          <w:szCs w:val="24"/>
        </w:rPr>
        <w:t xml:space="preserve">. Supplement to the 2019 Integrated Science Assessment for Particulate Matter. U.S. Environmental Protection Agency. </w:t>
      </w:r>
      <w:hyperlink r:id="rId48" w:history="1">
        <w:r w:rsidRPr="23A4FC9A">
          <w:rPr>
            <w:rFonts w:eastAsia="Times New Roman"/>
            <w:sz w:val="24"/>
            <w:szCs w:val="24"/>
          </w:rPr>
          <w:t>https://cfpub.epa.gov/ncea/isa/recordisplay.cfm?deid=354490</w:t>
        </w:r>
      </w:hyperlink>
      <w:r w:rsidRPr="23A4FC9A">
        <w:rPr>
          <w:rFonts w:eastAsia="Times New Roman"/>
          <w:sz w:val="24"/>
          <w:szCs w:val="24"/>
        </w:rPr>
        <w:t>.</w:t>
      </w:r>
    </w:p>
    <w:p w14:paraId="0F003F41" w14:textId="596FCD5B" w:rsidR="487B773E" w:rsidRDefault="487B773E" w:rsidP="487B773E">
      <w:pPr>
        <w:spacing w:after="0" w:line="240" w:lineRule="auto"/>
        <w:rPr>
          <w:rFonts w:eastAsia="Times New Roman"/>
          <w:sz w:val="24"/>
          <w:szCs w:val="24"/>
        </w:rPr>
      </w:pPr>
    </w:p>
    <w:p w14:paraId="3ACCF4E4" w14:textId="710554DB" w:rsidR="00D670F6" w:rsidRPr="006E0C03" w:rsidRDefault="00CA27E9" w:rsidP="006E0C03">
      <w:pPr>
        <w:spacing w:after="0" w:line="240" w:lineRule="auto"/>
        <w:rPr>
          <w:rFonts w:eastAsia="Times New Roman" w:cstheme="minorHAnsi"/>
          <w:kern w:val="0"/>
          <w:sz w:val="24"/>
          <w:szCs w:val="24"/>
          <w14:ligatures w14:val="none"/>
        </w:rPr>
      </w:pPr>
      <w:r w:rsidRPr="006E0C03">
        <w:rPr>
          <w:rFonts w:eastAsia="Times New Roman" w:cstheme="minorHAnsi"/>
          <w:kern w:val="0"/>
          <w:sz w:val="24"/>
          <w:szCs w:val="24"/>
          <w14:ligatures w14:val="none"/>
        </w:rPr>
        <w:t>World Health Organization</w:t>
      </w:r>
      <w:r w:rsidR="00CF70F6" w:rsidRPr="006E0C03">
        <w:rPr>
          <w:rFonts w:eastAsia="Times New Roman" w:cstheme="minorHAnsi"/>
          <w:kern w:val="0"/>
          <w:sz w:val="24"/>
          <w:szCs w:val="24"/>
          <w14:ligatures w14:val="none"/>
        </w:rPr>
        <w:t xml:space="preserve"> (WHO)</w:t>
      </w:r>
      <w:r w:rsidRPr="006E0C03">
        <w:rPr>
          <w:rFonts w:eastAsia="Times New Roman" w:cstheme="minorHAnsi"/>
          <w:kern w:val="0"/>
          <w:sz w:val="24"/>
          <w:szCs w:val="24"/>
          <w14:ligatures w14:val="none"/>
        </w:rPr>
        <w:t>. 2021. WHO global air quality guidelines: particulate matter (‎PM2.5 and PM10)‎, ozone, nitrogen dioxide, sulfur dioxide and carbon monoxide</w:t>
      </w:r>
      <w:r w:rsidRPr="006E0C03">
        <w:rPr>
          <w:rFonts w:eastAsia="Times New Roman" w:cstheme="minorHAnsi"/>
          <w:i/>
          <w:iCs/>
          <w:kern w:val="0"/>
          <w:sz w:val="24"/>
          <w:szCs w:val="24"/>
          <w14:ligatures w14:val="none"/>
        </w:rPr>
        <w:t>.</w:t>
      </w:r>
      <w:r w:rsidRPr="006E0C03">
        <w:rPr>
          <w:rFonts w:eastAsia="Times New Roman" w:cstheme="minorHAnsi"/>
          <w:kern w:val="0"/>
          <w:sz w:val="24"/>
          <w:szCs w:val="24"/>
          <w14:ligatures w14:val="none"/>
        </w:rPr>
        <w:t xml:space="preserve"> World Health Organization. </w:t>
      </w:r>
      <w:hyperlink r:id="rId49" w:history="1">
        <w:r w:rsidR="00D670F6" w:rsidRPr="006E0C03">
          <w:rPr>
            <w:rStyle w:val="Hyperlink"/>
            <w:rFonts w:eastAsia="Times New Roman" w:cstheme="minorHAnsi"/>
            <w:kern w:val="0"/>
            <w:sz w:val="24"/>
            <w:szCs w:val="24"/>
            <w14:ligatures w14:val="none"/>
          </w:rPr>
          <w:t>https://apps.who.int/iris/handle/10665/345329</w:t>
        </w:r>
      </w:hyperlink>
    </w:p>
    <w:p w14:paraId="62A7C8B2" w14:textId="0648BC97" w:rsidR="007A10E0" w:rsidRPr="006E0C03" w:rsidRDefault="007A10E0" w:rsidP="006E0C03">
      <w:pPr>
        <w:spacing w:after="0" w:line="240" w:lineRule="auto"/>
        <w:rPr>
          <w:rFonts w:eastAsia="Times New Roman" w:cstheme="minorHAnsi"/>
          <w:kern w:val="0"/>
          <w:sz w:val="24"/>
          <w:szCs w:val="24"/>
          <w14:ligatures w14:val="none"/>
        </w:rPr>
      </w:pPr>
    </w:p>
    <w:sectPr w:rsidR="007A10E0" w:rsidRPr="006E0C03" w:rsidSect="00536668">
      <w:footerReference w:type="default" r:id="rId5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881DC" w14:textId="77777777" w:rsidR="00B06A4F" w:rsidRDefault="00B06A4F" w:rsidP="00D45A38">
      <w:pPr>
        <w:spacing w:after="0" w:line="240" w:lineRule="auto"/>
      </w:pPr>
      <w:r>
        <w:separator/>
      </w:r>
    </w:p>
  </w:endnote>
  <w:endnote w:type="continuationSeparator" w:id="0">
    <w:p w14:paraId="26667B8B" w14:textId="77777777" w:rsidR="00B06A4F" w:rsidRDefault="00B06A4F" w:rsidP="00D45A38">
      <w:pPr>
        <w:spacing w:after="0" w:line="240" w:lineRule="auto"/>
      </w:pPr>
      <w:r>
        <w:continuationSeparator/>
      </w:r>
    </w:p>
  </w:endnote>
  <w:endnote w:type="continuationNotice" w:id="1">
    <w:p w14:paraId="07368309" w14:textId="77777777" w:rsidR="00B06A4F" w:rsidRDefault="00B06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8482" w14:textId="5BBEED85" w:rsidR="00536668" w:rsidRDefault="00536668">
    <w:pPr>
      <w:pStyle w:val="Footer"/>
      <w:jc w:val="center"/>
    </w:pPr>
  </w:p>
  <w:p w14:paraId="391F33BF" w14:textId="0140246E" w:rsidR="552EF0C9" w:rsidRDefault="552EF0C9" w:rsidP="552EF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32415"/>
      <w:docPartObj>
        <w:docPartGallery w:val="Page Numbers (Bottom of Page)"/>
        <w:docPartUnique/>
      </w:docPartObj>
    </w:sdtPr>
    <w:sdtEndPr>
      <w:rPr>
        <w:noProof/>
      </w:rPr>
    </w:sdtEndPr>
    <w:sdtContent>
      <w:p w14:paraId="41A09689" w14:textId="78AC1395" w:rsidR="000A0D1C" w:rsidRDefault="000A0D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7121D" w14:textId="77777777" w:rsidR="000A0D1C" w:rsidRDefault="000A0D1C" w:rsidP="552EF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03C5E" w14:textId="77777777" w:rsidR="00B06A4F" w:rsidRDefault="00B06A4F" w:rsidP="00D45A38">
      <w:pPr>
        <w:spacing w:after="0" w:line="240" w:lineRule="auto"/>
      </w:pPr>
      <w:r>
        <w:separator/>
      </w:r>
    </w:p>
  </w:footnote>
  <w:footnote w:type="continuationSeparator" w:id="0">
    <w:p w14:paraId="601C9C0A" w14:textId="77777777" w:rsidR="00B06A4F" w:rsidRDefault="00B06A4F" w:rsidP="00D45A38">
      <w:pPr>
        <w:spacing w:after="0" w:line="240" w:lineRule="auto"/>
      </w:pPr>
      <w:r>
        <w:continuationSeparator/>
      </w:r>
    </w:p>
  </w:footnote>
  <w:footnote w:type="continuationNotice" w:id="1">
    <w:p w14:paraId="0CFF442C" w14:textId="77777777" w:rsidR="00B06A4F" w:rsidRDefault="00B06A4F">
      <w:pPr>
        <w:spacing w:after="0" w:line="240" w:lineRule="auto"/>
      </w:pPr>
    </w:p>
  </w:footnote>
  <w:footnote w:id="2">
    <w:p w14:paraId="0838D629" w14:textId="4AECAC34" w:rsidR="00F35DEC" w:rsidRPr="00E45C50" w:rsidRDefault="00F35DEC" w:rsidP="23A4FC9A">
      <w:pPr>
        <w:pStyle w:val="Footer"/>
        <w:rPr>
          <w:sz w:val="20"/>
          <w:szCs w:val="20"/>
        </w:rPr>
      </w:pPr>
      <w:r w:rsidRPr="23A4FC9A">
        <w:rPr>
          <w:rStyle w:val="FootnoteReference"/>
          <w:rFonts w:eastAsia="Segoe UI"/>
          <w:sz w:val="20"/>
          <w:szCs w:val="20"/>
        </w:rPr>
        <w:footnoteRef/>
      </w:r>
      <w:r w:rsidR="23A4FC9A" w:rsidRPr="23A4FC9A">
        <w:rPr>
          <w:rFonts w:eastAsia="Segoe UI"/>
          <w:sz w:val="20"/>
          <w:szCs w:val="20"/>
        </w:rPr>
        <w:t xml:space="preserve"> Fracture tanks, commonly referred to as “frac tanks”, are used for containing and often treating hazardous waste before it is sent to an external facility for final processing and disposal (US EPA, 2005). </w:t>
      </w:r>
    </w:p>
    <w:p w14:paraId="077CA8CE" w14:textId="77777777" w:rsidR="00F35DEC" w:rsidRPr="00E45C50" w:rsidRDefault="00F35DEC" w:rsidP="00F35DEC">
      <w:pPr>
        <w:pStyle w:val="FootnoteText"/>
        <w:rPr>
          <w:rFonts w:cstheme="minorHAnsi"/>
        </w:rPr>
      </w:pPr>
    </w:p>
  </w:footnote>
  <w:footnote w:id="3">
    <w:p w14:paraId="4FDAF0B2" w14:textId="77777777" w:rsidR="00E45C50" w:rsidRPr="00E45C50" w:rsidRDefault="2FC8CFC9" w:rsidP="00E45C50">
      <w:pPr>
        <w:spacing w:after="0" w:line="240" w:lineRule="auto"/>
        <w:jc w:val="both"/>
        <w:rPr>
          <w:rFonts w:cstheme="minorHAnsi"/>
          <w:sz w:val="20"/>
          <w:szCs w:val="20"/>
        </w:rPr>
      </w:pPr>
      <w:r w:rsidRPr="00E45C50">
        <w:rPr>
          <w:rStyle w:val="FootnoteReference"/>
          <w:rFonts w:cstheme="minorHAnsi"/>
          <w:sz w:val="20"/>
          <w:szCs w:val="20"/>
        </w:rPr>
        <w:footnoteRef/>
      </w:r>
      <w:r w:rsidRPr="00E45C50">
        <w:rPr>
          <w:rFonts w:cstheme="minorHAnsi"/>
          <w:sz w:val="20"/>
          <w:szCs w:val="20"/>
        </w:rPr>
        <w:t xml:space="preserve"> </w:t>
      </w:r>
      <w:r w:rsidR="00E45C50" w:rsidRPr="00E45C50">
        <w:rPr>
          <w:rFonts w:eastAsia="Calibri" w:cstheme="minorHAnsi"/>
          <w:sz w:val="20"/>
          <w:szCs w:val="20"/>
        </w:rPr>
        <w:t>This health consultation was made possible by a cooperative agreement [program # TS-23-0001] from the Agency for Toxic Substances and Disease Registry (ATSDR). Its contents are solely the responsibility of the Massachusetts Department of Public Health and do not necessarily represent the official views of the ATSDR, or the U.S. Department of Health and Human Services.</w:t>
      </w:r>
    </w:p>
    <w:p w14:paraId="5C3BCF30" w14:textId="1D50B42F" w:rsidR="2FC8CFC9" w:rsidRDefault="2FC8CFC9" w:rsidP="2FC8CFC9">
      <w:pPr>
        <w:pStyle w:val="FootnoteText"/>
      </w:pPr>
    </w:p>
  </w:footnote>
  <w:footnote w:id="4">
    <w:p w14:paraId="6BC7343A" w14:textId="2288B18F" w:rsidR="00AA7139" w:rsidRDefault="00AA7139">
      <w:pPr>
        <w:pStyle w:val="FootnoteText"/>
      </w:pPr>
      <w:r w:rsidRPr="001E55F5">
        <w:rPr>
          <w:rStyle w:val="FootnoteReference"/>
          <w:rFonts w:ascii="Segoe UI" w:eastAsia="Segoe UI" w:hAnsi="Segoe UI" w:cs="Segoe UI"/>
          <w:sz w:val="18"/>
          <w:szCs w:val="18"/>
        </w:rPr>
        <w:footnoteRef/>
      </w:r>
      <w:r w:rsidRPr="001E55F5">
        <w:rPr>
          <w:rFonts w:ascii="Segoe UI" w:eastAsia="Segoe UI" w:hAnsi="Segoe UI" w:cs="Segoe UI"/>
          <w:sz w:val="18"/>
          <w:szCs w:val="18"/>
        </w:rPr>
        <w:t xml:space="preserve"> ATSDR refers to their screening values as comparison values, or CVs.</w:t>
      </w:r>
    </w:p>
  </w:footnote>
  <w:footnote w:id="5">
    <w:p w14:paraId="322A4CC1" w14:textId="7F3D1A6F" w:rsidR="552EF0C9" w:rsidRDefault="552EF0C9" w:rsidP="552EF0C9">
      <w:pPr>
        <w:rPr>
          <w:rFonts w:ascii="Calibri" w:eastAsia="Calibri" w:hAnsi="Calibri" w:cs="Calibri"/>
        </w:rPr>
      </w:pPr>
      <w:r w:rsidRPr="00421029">
        <w:rPr>
          <w:rStyle w:val="FootnoteReference"/>
          <w:sz w:val="20"/>
          <w:szCs w:val="20"/>
        </w:rPr>
        <w:footnoteRef/>
      </w:r>
      <w:r w:rsidRPr="00421029">
        <w:rPr>
          <w:rFonts w:ascii="Calibri" w:eastAsia="Calibri" w:hAnsi="Calibri" w:cs="Calibri"/>
          <w:sz w:val="20"/>
          <w:szCs w:val="20"/>
        </w:rPr>
        <w:t xml:space="preserve">Massachusetts Executive Office of Energy and Environmental Affairs (EEA) has established a statewide Environmental Justice (EJ) Policy to address the disproportionate burden experienced by individuals of color and lower-income people (EEA 2021). In Massachusetts, EJ populations are defined as neighborhoods (U.S. Census block groups) that meet one or more criteria based on household income, race/ethnicity, and/or English language proficiency. </w:t>
      </w:r>
    </w:p>
  </w:footnote>
  <w:footnote w:id="6">
    <w:p w14:paraId="0C54FD82" w14:textId="2426C058" w:rsidR="00AA7139" w:rsidRPr="00421029" w:rsidRDefault="00AA7139">
      <w:pPr>
        <w:pStyle w:val="FootnoteText"/>
        <w:rPr>
          <w:rFonts w:cstheme="minorHAnsi"/>
        </w:rPr>
      </w:pPr>
      <w:r w:rsidRPr="00421029">
        <w:rPr>
          <w:rStyle w:val="FootnoteReference"/>
          <w:rFonts w:eastAsia="Segoe UI" w:cstheme="minorHAnsi"/>
        </w:rPr>
        <w:footnoteRef/>
      </w:r>
      <w:r w:rsidRPr="00421029">
        <w:rPr>
          <w:rFonts w:eastAsia="Segoe UI" w:cstheme="minorHAnsi"/>
        </w:rPr>
        <w:t xml:space="preserve"> </w:t>
      </w:r>
      <w:r w:rsidR="005010A4" w:rsidRPr="00421029">
        <w:rPr>
          <w:rFonts w:eastAsia="Segoe UI" w:cstheme="minorHAnsi"/>
        </w:rPr>
        <w:t>PM</w:t>
      </w:r>
      <w:r w:rsidR="005010A4" w:rsidRPr="00421029">
        <w:rPr>
          <w:rFonts w:eastAsia="Segoe UI" w:cstheme="minorHAnsi"/>
          <w:vertAlign w:val="subscript"/>
        </w:rPr>
        <w:t xml:space="preserve">2.5 </w:t>
      </w:r>
      <w:r w:rsidR="005010A4" w:rsidRPr="00421029">
        <w:rPr>
          <w:rFonts w:eastAsia="Segoe UI" w:cstheme="minorHAnsi"/>
        </w:rPr>
        <w:t xml:space="preserve">refers to particulate matter </w:t>
      </w:r>
      <w:r w:rsidRPr="00421029">
        <w:rPr>
          <w:rFonts w:eastAsia="Segoe UI" w:cstheme="minorHAnsi"/>
        </w:rPr>
        <w:t>with an aerodynamic diameter of 2.5 micrometers or smaller</w:t>
      </w:r>
      <w:r w:rsidR="008A0E96" w:rsidRPr="00421029">
        <w:rPr>
          <w:rFonts w:eastAsia="Segoe UI" w:cstheme="minorHAnsi"/>
        </w:rPr>
        <w:t xml:space="preserve"> (ATSDR, 2022a). Aerodynamic diameter refers to the diameter of a unit density sphere, which behaves aerodynamically as the particle in question, which may have an irregular, non-spherical shape</w:t>
      </w:r>
      <w:r w:rsidR="009A06B5" w:rsidRPr="00421029">
        <w:rPr>
          <w:rFonts w:eastAsia="Segoe UI" w:cstheme="minorHAnsi"/>
        </w:rPr>
        <w:t xml:space="preserve"> (GreenFacts, 2022)</w:t>
      </w:r>
      <w:r w:rsidR="008A0E96" w:rsidRPr="00421029">
        <w:rPr>
          <w:rFonts w:eastAsia="Segoe UI" w:cstheme="minorHAnsi"/>
        </w:rPr>
        <w:t>.</w:t>
      </w:r>
    </w:p>
  </w:footnote>
  <w:footnote w:id="7">
    <w:p w14:paraId="519EA514" w14:textId="5007A630" w:rsidR="00A70937" w:rsidRDefault="00A70937" w:rsidP="00A70937">
      <w:pPr>
        <w:pStyle w:val="FootnoteText"/>
      </w:pPr>
      <w:r>
        <w:rPr>
          <w:rStyle w:val="FootnoteReference"/>
        </w:rPr>
        <w:footnoteRef/>
      </w:r>
      <w:r w:rsidR="23A4FC9A">
        <w:t xml:space="preserve"> Note that the more accurate MassDEP regulatory PM</w:t>
      </w:r>
      <w:r w:rsidR="23A4FC9A" w:rsidRPr="005379DA">
        <w:rPr>
          <w:vertAlign w:val="subscript"/>
        </w:rPr>
        <w:t xml:space="preserve">2.5 </w:t>
      </w:r>
      <w:r w:rsidR="23A4FC9A">
        <w:t xml:space="preserve">monitor (DEP T640) at the same location measured </w:t>
      </w:r>
      <w:r w:rsidR="23A4FC9A" w:rsidRPr="00F022E2">
        <w:t xml:space="preserve">a </w:t>
      </w:r>
      <w:r w:rsidR="23A4FC9A" w:rsidRPr="005379DA">
        <w:t>PM</w:t>
      </w:r>
      <w:r w:rsidR="23A4FC9A" w:rsidRPr="005379DA">
        <w:rPr>
          <w:vertAlign w:val="subscript"/>
        </w:rPr>
        <w:t xml:space="preserve">2.5 </w:t>
      </w:r>
      <w:r w:rsidR="23A4FC9A" w:rsidRPr="005379DA">
        <w:t>24-hour average</w:t>
      </w:r>
      <w:r w:rsidR="23A4FC9A">
        <w:t xml:space="preserve"> less than the WHO AQG.</w:t>
      </w:r>
    </w:p>
  </w:footnote>
  <w:footnote w:id="8">
    <w:p w14:paraId="5336D280" w14:textId="2E93C1D2" w:rsidR="00771520" w:rsidRDefault="00771520" w:rsidP="00771520">
      <w:pPr>
        <w:pStyle w:val="FootnoteText"/>
      </w:pPr>
      <w:r>
        <w:rPr>
          <w:rStyle w:val="FootnoteReference"/>
        </w:rPr>
        <w:footnoteRef/>
      </w:r>
      <w:r w:rsidR="23A4FC9A">
        <w:t xml:space="preserve"> Soil concentrations were compared to the Massachusetts Contingency Plan S-1 Soil/GW-3 standards, which apply to residential soils, and consider potential for migration of contaminants to surface water (MassDEP, 2020).</w:t>
      </w:r>
    </w:p>
  </w:footnote>
  <w:footnote w:id="9">
    <w:p w14:paraId="28F37565" w14:textId="51F68D46" w:rsidR="00396EF8" w:rsidRDefault="00396EF8">
      <w:pPr>
        <w:pStyle w:val="FootnoteText"/>
      </w:pPr>
      <w:r>
        <w:rPr>
          <w:rStyle w:val="FootnoteReference"/>
        </w:rPr>
        <w:footnoteRef/>
      </w:r>
      <w:r w:rsidR="23A4FC9A">
        <w:t xml:space="preserve"> These are referred to as GW-1 standards, under the Massachusetts Contingency Plan (MassDEP, 2020).</w:t>
      </w:r>
    </w:p>
  </w:footnote>
  <w:footnote w:id="10">
    <w:p w14:paraId="423D42D0" w14:textId="7B177D9E" w:rsidR="00665DDC" w:rsidRPr="007C00E2" w:rsidRDefault="00665DDC">
      <w:pPr>
        <w:pStyle w:val="FootnoteText"/>
        <w:rPr>
          <w:rFonts w:cstheme="minorHAnsi"/>
          <w:sz w:val="18"/>
          <w:szCs w:val="18"/>
        </w:rPr>
      </w:pPr>
      <w:r w:rsidRPr="007C00E2">
        <w:rPr>
          <w:rStyle w:val="FootnoteReference"/>
          <w:rFonts w:cstheme="minorHAnsi"/>
          <w:sz w:val="18"/>
          <w:szCs w:val="18"/>
        </w:rPr>
        <w:footnoteRef/>
      </w:r>
      <w:r w:rsidRPr="007C00E2">
        <w:rPr>
          <w:rFonts w:cstheme="minorHAnsi"/>
          <w:sz w:val="18"/>
          <w:szCs w:val="18"/>
        </w:rPr>
        <w:t xml:space="preserve"> The standards assum</w:t>
      </w:r>
      <w:r w:rsidR="000B4979" w:rsidRPr="007C00E2">
        <w:rPr>
          <w:rFonts w:cstheme="minorHAnsi"/>
          <w:sz w:val="18"/>
          <w:szCs w:val="18"/>
        </w:rPr>
        <w:t xml:space="preserve">e individuals ages 1-8 years ingest 1 liter of water per day; individuals </w:t>
      </w:r>
      <w:r w:rsidR="006637F3" w:rsidRPr="007C00E2">
        <w:rPr>
          <w:rFonts w:cstheme="minorHAnsi"/>
          <w:sz w:val="18"/>
          <w:szCs w:val="18"/>
        </w:rPr>
        <w:t>8 years and older ingest 2 liters of water per day (</w:t>
      </w:r>
      <w:r w:rsidR="0090389B" w:rsidRPr="007C00E2">
        <w:rPr>
          <w:rFonts w:cstheme="minorHAnsi"/>
          <w:sz w:val="18"/>
          <w:szCs w:val="18"/>
        </w:rPr>
        <w:t>MassDEP, 2017)</w:t>
      </w:r>
    </w:p>
  </w:footnote>
  <w:footnote w:id="11">
    <w:p w14:paraId="6CD19BA2" w14:textId="34F66906" w:rsidR="00617330" w:rsidRPr="00CB2DEE" w:rsidRDefault="00617330">
      <w:pPr>
        <w:pStyle w:val="FootnoteText"/>
        <w:rPr>
          <w:sz w:val="18"/>
          <w:szCs w:val="18"/>
        </w:rPr>
      </w:pPr>
      <w:r w:rsidRPr="00CB2DEE">
        <w:rPr>
          <w:rStyle w:val="FootnoteReference"/>
          <w:sz w:val="18"/>
          <w:szCs w:val="18"/>
        </w:rPr>
        <w:footnoteRef/>
      </w:r>
      <w:r w:rsidRPr="00CB2DEE">
        <w:rPr>
          <w:sz w:val="18"/>
          <w:szCs w:val="18"/>
        </w:rPr>
        <w:t xml:space="preserve"> </w:t>
      </w:r>
      <w:r w:rsidR="00CE0886" w:rsidRPr="00CB2DEE">
        <w:rPr>
          <w:sz w:val="18"/>
          <w:szCs w:val="18"/>
        </w:rPr>
        <w:t xml:space="preserve">Turbidity </w:t>
      </w:r>
      <w:r w:rsidR="00451970" w:rsidRPr="00CB2DEE">
        <w:rPr>
          <w:sz w:val="18"/>
          <w:szCs w:val="18"/>
        </w:rPr>
        <w:t>refers to cloudy water</w:t>
      </w:r>
      <w:r w:rsidR="006A6366" w:rsidRPr="00CB2DEE">
        <w:rPr>
          <w:sz w:val="18"/>
          <w:szCs w:val="18"/>
        </w:rPr>
        <w:t>, caused by particles in the water (</w:t>
      </w:r>
      <w:r w:rsidR="00CD68D2" w:rsidRPr="00CB2DEE">
        <w:rPr>
          <w:sz w:val="18"/>
          <w:szCs w:val="18"/>
        </w:rPr>
        <w:t>MPCA, 2008).</w:t>
      </w:r>
    </w:p>
  </w:footnote>
  <w:footnote w:id="12">
    <w:p w14:paraId="1BC47080" w14:textId="77777777" w:rsidR="00617DB5" w:rsidRDefault="00617DB5" w:rsidP="00617DB5">
      <w:pPr>
        <w:pStyle w:val="FootnoteText"/>
        <w:rPr>
          <w:rFonts w:ascii="Segoe UI" w:eastAsia="Segoe UI" w:hAnsi="Segoe UI" w:cs="Segoe UI"/>
        </w:rPr>
      </w:pPr>
      <w:r w:rsidRPr="007C00E2">
        <w:rPr>
          <w:rStyle w:val="FootnoteReference"/>
          <w:rFonts w:cstheme="minorHAnsi"/>
          <w:sz w:val="18"/>
          <w:szCs w:val="18"/>
        </w:rPr>
        <w:footnoteRef/>
      </w:r>
      <w:r w:rsidRPr="007C00E2">
        <w:rPr>
          <w:rFonts w:eastAsia="Segoe UI" w:cstheme="minorHAnsi"/>
          <w:sz w:val="18"/>
          <w:szCs w:val="18"/>
        </w:rPr>
        <w:t xml:space="preserve"> Zone 2 is the hydrological layer below ground that is saturated with water. The top of this layer is referred to as the water table (MassDEP, 2023b).</w:t>
      </w:r>
    </w:p>
  </w:footnote>
  <w:footnote w:id="13">
    <w:p w14:paraId="1A9DBB60" w14:textId="122CB130" w:rsidR="00DE61E6" w:rsidRPr="00912107" w:rsidRDefault="00DE61E6">
      <w:pPr>
        <w:pStyle w:val="FootnoteText"/>
        <w:rPr>
          <w:sz w:val="18"/>
          <w:szCs w:val="18"/>
        </w:rPr>
      </w:pPr>
      <w:r w:rsidRPr="00912107">
        <w:rPr>
          <w:rStyle w:val="FootnoteReference"/>
          <w:sz w:val="18"/>
          <w:szCs w:val="18"/>
        </w:rPr>
        <w:footnoteRef/>
      </w:r>
      <w:r w:rsidRPr="00912107">
        <w:rPr>
          <w:sz w:val="18"/>
          <w:szCs w:val="18"/>
        </w:rPr>
        <w:t xml:space="preserve"> </w:t>
      </w:r>
      <w:r w:rsidR="00B90C73" w:rsidRPr="00912107">
        <w:rPr>
          <w:sz w:val="18"/>
          <w:szCs w:val="18"/>
        </w:rPr>
        <w:t>Defined as U.S. census block groups.</w:t>
      </w:r>
    </w:p>
  </w:footnote>
  <w:footnote w:id="14">
    <w:p w14:paraId="6854DDBA" w14:textId="4BEF9EE8" w:rsidR="18721F05" w:rsidRDefault="18721F05" w:rsidP="00912107">
      <w:pPr>
        <w:pStyle w:val="FootnoteText"/>
      </w:pPr>
      <w:r w:rsidRPr="00912107">
        <w:rPr>
          <w:rStyle w:val="FootnoteReference"/>
          <w:sz w:val="18"/>
          <w:szCs w:val="18"/>
        </w:rPr>
        <w:footnoteRef/>
      </w:r>
      <w:r w:rsidR="5182A313" w:rsidRPr="00912107">
        <w:rPr>
          <w:sz w:val="18"/>
          <w:szCs w:val="18"/>
        </w:rPr>
        <w:t xml:space="preserve"> </w:t>
      </w:r>
      <w:r w:rsidR="5182A313" w:rsidRPr="00912107">
        <w:rPr>
          <w:rFonts w:ascii="Calibri" w:eastAsia="Calibri" w:hAnsi="Calibri" w:cs="Calibri"/>
          <w:sz w:val="18"/>
          <w:szCs w:val="18"/>
        </w:rPr>
        <w:t>The 5-year average age-adjusted rates of hospitalizations for myocardial infarction (heart attack) in Weymouth is equal to or greater than 110% of the state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C0A"/>
    <w:multiLevelType w:val="hybridMultilevel"/>
    <w:tmpl w:val="8008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6B0FA4"/>
    <w:multiLevelType w:val="hybridMultilevel"/>
    <w:tmpl w:val="8CA65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DC426F"/>
    <w:multiLevelType w:val="hybridMultilevel"/>
    <w:tmpl w:val="A0DA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94339"/>
    <w:multiLevelType w:val="multilevel"/>
    <w:tmpl w:val="BE88E406"/>
    <w:lvl w:ilvl="0">
      <w:start w:val="1"/>
      <w:numFmt w:val="decimal"/>
      <w:pStyle w:val="Heading1"/>
      <w:lvlText w:val="%1."/>
      <w:lvlJc w:val="left"/>
      <w:pPr>
        <w:ind w:left="25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24420A4"/>
    <w:multiLevelType w:val="hybridMultilevel"/>
    <w:tmpl w:val="EE048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9157FF"/>
    <w:multiLevelType w:val="hybridMultilevel"/>
    <w:tmpl w:val="16F87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396F71"/>
    <w:multiLevelType w:val="hybridMultilevel"/>
    <w:tmpl w:val="218C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D2247"/>
    <w:multiLevelType w:val="hybridMultilevel"/>
    <w:tmpl w:val="21284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6B7603"/>
    <w:multiLevelType w:val="hybridMultilevel"/>
    <w:tmpl w:val="FFAA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4F579B"/>
    <w:multiLevelType w:val="hybridMultilevel"/>
    <w:tmpl w:val="4FA27C2E"/>
    <w:lvl w:ilvl="0" w:tplc="B1E643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273F8"/>
    <w:multiLevelType w:val="hybridMultilevel"/>
    <w:tmpl w:val="613CD9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72DFF"/>
    <w:multiLevelType w:val="hybridMultilevel"/>
    <w:tmpl w:val="9E8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84D5C"/>
    <w:multiLevelType w:val="hybridMultilevel"/>
    <w:tmpl w:val="2F7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35B4A"/>
    <w:multiLevelType w:val="hybridMultilevel"/>
    <w:tmpl w:val="E11A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BB5FBB"/>
    <w:multiLevelType w:val="hybridMultilevel"/>
    <w:tmpl w:val="C4D4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3F96"/>
    <w:multiLevelType w:val="hybridMultilevel"/>
    <w:tmpl w:val="5F44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3316CA"/>
    <w:multiLevelType w:val="hybridMultilevel"/>
    <w:tmpl w:val="34B0C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C354868"/>
    <w:multiLevelType w:val="hybridMultilevel"/>
    <w:tmpl w:val="E8E07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4"/>
  </w:num>
  <w:num w:numId="4">
    <w:abstractNumId w:val="1"/>
  </w:num>
  <w:num w:numId="5">
    <w:abstractNumId w:val="13"/>
  </w:num>
  <w:num w:numId="6">
    <w:abstractNumId w:val="8"/>
  </w:num>
  <w:num w:numId="7">
    <w:abstractNumId w:val="15"/>
  </w:num>
  <w:num w:numId="8">
    <w:abstractNumId w:val="16"/>
  </w:num>
  <w:num w:numId="9">
    <w:abstractNumId w:val="5"/>
  </w:num>
  <w:num w:numId="10">
    <w:abstractNumId w:val="0"/>
  </w:num>
  <w:num w:numId="11">
    <w:abstractNumId w:val="10"/>
  </w:num>
  <w:num w:numId="12">
    <w:abstractNumId w:val="2"/>
  </w:num>
  <w:num w:numId="13">
    <w:abstractNumId w:val="11"/>
  </w:num>
  <w:num w:numId="14">
    <w:abstractNumId w:val="14"/>
  </w:num>
  <w:num w:numId="15">
    <w:abstractNumId w:val="9"/>
  </w:num>
  <w:num w:numId="16">
    <w:abstractNumId w:val="6"/>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52"/>
    <w:rsid w:val="000023CF"/>
    <w:rsid w:val="0000256A"/>
    <w:rsid w:val="000028FB"/>
    <w:rsid w:val="00003015"/>
    <w:rsid w:val="00003052"/>
    <w:rsid w:val="00003968"/>
    <w:rsid w:val="00003C31"/>
    <w:rsid w:val="00003DDF"/>
    <w:rsid w:val="00003E22"/>
    <w:rsid w:val="00003F9B"/>
    <w:rsid w:val="000045A2"/>
    <w:rsid w:val="00004B5D"/>
    <w:rsid w:val="000057A0"/>
    <w:rsid w:val="0000676F"/>
    <w:rsid w:val="000069D1"/>
    <w:rsid w:val="000109B7"/>
    <w:rsid w:val="00011B7D"/>
    <w:rsid w:val="00011DFD"/>
    <w:rsid w:val="0001531B"/>
    <w:rsid w:val="000153D9"/>
    <w:rsid w:val="000155F4"/>
    <w:rsid w:val="00015A0F"/>
    <w:rsid w:val="000169DA"/>
    <w:rsid w:val="0001768E"/>
    <w:rsid w:val="0001798E"/>
    <w:rsid w:val="000204D7"/>
    <w:rsid w:val="00020C6F"/>
    <w:rsid w:val="00020D2F"/>
    <w:rsid w:val="00020F19"/>
    <w:rsid w:val="0002122A"/>
    <w:rsid w:val="000212C0"/>
    <w:rsid w:val="00021621"/>
    <w:rsid w:val="00021FC3"/>
    <w:rsid w:val="00022E44"/>
    <w:rsid w:val="00023541"/>
    <w:rsid w:val="0002365B"/>
    <w:rsid w:val="00024947"/>
    <w:rsid w:val="00024F53"/>
    <w:rsid w:val="00025B8E"/>
    <w:rsid w:val="00025E98"/>
    <w:rsid w:val="0002685C"/>
    <w:rsid w:val="00026B48"/>
    <w:rsid w:val="00027013"/>
    <w:rsid w:val="00027114"/>
    <w:rsid w:val="000274F6"/>
    <w:rsid w:val="00027DF9"/>
    <w:rsid w:val="0003046F"/>
    <w:rsid w:val="00030E9A"/>
    <w:rsid w:val="000311BD"/>
    <w:rsid w:val="00031D51"/>
    <w:rsid w:val="00031F8B"/>
    <w:rsid w:val="0003223D"/>
    <w:rsid w:val="0003272D"/>
    <w:rsid w:val="00032B0E"/>
    <w:rsid w:val="00032BA9"/>
    <w:rsid w:val="00033A09"/>
    <w:rsid w:val="00033E25"/>
    <w:rsid w:val="0003489E"/>
    <w:rsid w:val="00035027"/>
    <w:rsid w:val="00035AC3"/>
    <w:rsid w:val="000364B8"/>
    <w:rsid w:val="00036C33"/>
    <w:rsid w:val="0003754C"/>
    <w:rsid w:val="00037D6D"/>
    <w:rsid w:val="00037EAF"/>
    <w:rsid w:val="00040571"/>
    <w:rsid w:val="000405C2"/>
    <w:rsid w:val="00041C0F"/>
    <w:rsid w:val="00041E25"/>
    <w:rsid w:val="000424E8"/>
    <w:rsid w:val="00042DA2"/>
    <w:rsid w:val="000430A8"/>
    <w:rsid w:val="000433CE"/>
    <w:rsid w:val="0004369A"/>
    <w:rsid w:val="000462DA"/>
    <w:rsid w:val="0004644F"/>
    <w:rsid w:val="0004651D"/>
    <w:rsid w:val="00046AB2"/>
    <w:rsid w:val="00046B93"/>
    <w:rsid w:val="00047635"/>
    <w:rsid w:val="00047697"/>
    <w:rsid w:val="00047EA2"/>
    <w:rsid w:val="00050231"/>
    <w:rsid w:val="000504BD"/>
    <w:rsid w:val="00050AC5"/>
    <w:rsid w:val="000514AC"/>
    <w:rsid w:val="000515F8"/>
    <w:rsid w:val="0005245C"/>
    <w:rsid w:val="000525DF"/>
    <w:rsid w:val="000528C3"/>
    <w:rsid w:val="00053E26"/>
    <w:rsid w:val="0005437E"/>
    <w:rsid w:val="00054748"/>
    <w:rsid w:val="000551B2"/>
    <w:rsid w:val="00055833"/>
    <w:rsid w:val="000560D5"/>
    <w:rsid w:val="00057D03"/>
    <w:rsid w:val="00060359"/>
    <w:rsid w:val="00060944"/>
    <w:rsid w:val="00060F35"/>
    <w:rsid w:val="00060FB8"/>
    <w:rsid w:val="00061D38"/>
    <w:rsid w:val="000631AB"/>
    <w:rsid w:val="000636BF"/>
    <w:rsid w:val="000647B3"/>
    <w:rsid w:val="00064BFB"/>
    <w:rsid w:val="00065A98"/>
    <w:rsid w:val="00065A9D"/>
    <w:rsid w:val="00066DEF"/>
    <w:rsid w:val="00067042"/>
    <w:rsid w:val="0006758C"/>
    <w:rsid w:val="00067AAC"/>
    <w:rsid w:val="00067AB2"/>
    <w:rsid w:val="00067F81"/>
    <w:rsid w:val="000701CB"/>
    <w:rsid w:val="00071ECE"/>
    <w:rsid w:val="0007256C"/>
    <w:rsid w:val="000729E8"/>
    <w:rsid w:val="000746D1"/>
    <w:rsid w:val="000767C4"/>
    <w:rsid w:val="00077035"/>
    <w:rsid w:val="000771A6"/>
    <w:rsid w:val="00077C82"/>
    <w:rsid w:val="00077F71"/>
    <w:rsid w:val="00077FDC"/>
    <w:rsid w:val="00080BBF"/>
    <w:rsid w:val="0008158A"/>
    <w:rsid w:val="00081E73"/>
    <w:rsid w:val="00082ADA"/>
    <w:rsid w:val="000836FE"/>
    <w:rsid w:val="00083DED"/>
    <w:rsid w:val="000842A3"/>
    <w:rsid w:val="0008487F"/>
    <w:rsid w:val="00084BF7"/>
    <w:rsid w:val="00085A34"/>
    <w:rsid w:val="000864B0"/>
    <w:rsid w:val="00087475"/>
    <w:rsid w:val="0008776B"/>
    <w:rsid w:val="000906A8"/>
    <w:rsid w:val="00090D7F"/>
    <w:rsid w:val="00091921"/>
    <w:rsid w:val="00092522"/>
    <w:rsid w:val="0009352E"/>
    <w:rsid w:val="000935F4"/>
    <w:rsid w:val="00093AC3"/>
    <w:rsid w:val="00093F1B"/>
    <w:rsid w:val="00094B81"/>
    <w:rsid w:val="00095931"/>
    <w:rsid w:val="00095AB9"/>
    <w:rsid w:val="0009668D"/>
    <w:rsid w:val="00096A85"/>
    <w:rsid w:val="00097097"/>
    <w:rsid w:val="00097151"/>
    <w:rsid w:val="0009770E"/>
    <w:rsid w:val="000A0D1C"/>
    <w:rsid w:val="000A10A1"/>
    <w:rsid w:val="000A19BA"/>
    <w:rsid w:val="000A19D6"/>
    <w:rsid w:val="000A1E20"/>
    <w:rsid w:val="000A1E6A"/>
    <w:rsid w:val="000A1F25"/>
    <w:rsid w:val="000A1F50"/>
    <w:rsid w:val="000A2143"/>
    <w:rsid w:val="000A218E"/>
    <w:rsid w:val="000A273C"/>
    <w:rsid w:val="000A2F1B"/>
    <w:rsid w:val="000A3576"/>
    <w:rsid w:val="000A3B96"/>
    <w:rsid w:val="000A41C1"/>
    <w:rsid w:val="000A55C3"/>
    <w:rsid w:val="000A5DB6"/>
    <w:rsid w:val="000A5F75"/>
    <w:rsid w:val="000A68C9"/>
    <w:rsid w:val="000A6E8C"/>
    <w:rsid w:val="000A75A0"/>
    <w:rsid w:val="000A79F2"/>
    <w:rsid w:val="000A7A62"/>
    <w:rsid w:val="000B00F0"/>
    <w:rsid w:val="000B14A1"/>
    <w:rsid w:val="000B14B5"/>
    <w:rsid w:val="000B220A"/>
    <w:rsid w:val="000B4378"/>
    <w:rsid w:val="000B4979"/>
    <w:rsid w:val="000B506B"/>
    <w:rsid w:val="000B536D"/>
    <w:rsid w:val="000B6191"/>
    <w:rsid w:val="000B765B"/>
    <w:rsid w:val="000B7EBF"/>
    <w:rsid w:val="000C0649"/>
    <w:rsid w:val="000C15B3"/>
    <w:rsid w:val="000C1950"/>
    <w:rsid w:val="000C363D"/>
    <w:rsid w:val="000C4C48"/>
    <w:rsid w:val="000C5345"/>
    <w:rsid w:val="000C67AC"/>
    <w:rsid w:val="000C6EBA"/>
    <w:rsid w:val="000C74CC"/>
    <w:rsid w:val="000D0509"/>
    <w:rsid w:val="000D1246"/>
    <w:rsid w:val="000D1878"/>
    <w:rsid w:val="000D1E9D"/>
    <w:rsid w:val="000D1EAF"/>
    <w:rsid w:val="000D1FD3"/>
    <w:rsid w:val="000D22ED"/>
    <w:rsid w:val="000D3C17"/>
    <w:rsid w:val="000D50D0"/>
    <w:rsid w:val="000D564A"/>
    <w:rsid w:val="000D5BAF"/>
    <w:rsid w:val="000D66EC"/>
    <w:rsid w:val="000D68C0"/>
    <w:rsid w:val="000D740E"/>
    <w:rsid w:val="000D796F"/>
    <w:rsid w:val="000D7B91"/>
    <w:rsid w:val="000D7DEE"/>
    <w:rsid w:val="000D7F4C"/>
    <w:rsid w:val="000E091F"/>
    <w:rsid w:val="000E1422"/>
    <w:rsid w:val="000E1555"/>
    <w:rsid w:val="000E160A"/>
    <w:rsid w:val="000E1AD1"/>
    <w:rsid w:val="000E2BF6"/>
    <w:rsid w:val="000E2C2B"/>
    <w:rsid w:val="000E35AD"/>
    <w:rsid w:val="000E3E89"/>
    <w:rsid w:val="000E3EA7"/>
    <w:rsid w:val="000E3F5D"/>
    <w:rsid w:val="000E42DF"/>
    <w:rsid w:val="000E438B"/>
    <w:rsid w:val="000E4815"/>
    <w:rsid w:val="000E51BB"/>
    <w:rsid w:val="000E552E"/>
    <w:rsid w:val="000E59D6"/>
    <w:rsid w:val="000E5A4A"/>
    <w:rsid w:val="000E5F2D"/>
    <w:rsid w:val="000E662E"/>
    <w:rsid w:val="000E6678"/>
    <w:rsid w:val="000E7E25"/>
    <w:rsid w:val="000E7F11"/>
    <w:rsid w:val="000F00E0"/>
    <w:rsid w:val="000F091A"/>
    <w:rsid w:val="000F0B3C"/>
    <w:rsid w:val="000F1E63"/>
    <w:rsid w:val="000F20AE"/>
    <w:rsid w:val="000F2832"/>
    <w:rsid w:val="000F375C"/>
    <w:rsid w:val="000F37F0"/>
    <w:rsid w:val="000F37F9"/>
    <w:rsid w:val="000F38B3"/>
    <w:rsid w:val="000F39DF"/>
    <w:rsid w:val="000F44EA"/>
    <w:rsid w:val="000F5386"/>
    <w:rsid w:val="000F5BB2"/>
    <w:rsid w:val="000F613A"/>
    <w:rsid w:val="000F68AC"/>
    <w:rsid w:val="000F6AD9"/>
    <w:rsid w:val="000F6D38"/>
    <w:rsid w:val="000F7670"/>
    <w:rsid w:val="000F7D41"/>
    <w:rsid w:val="001004EB"/>
    <w:rsid w:val="00100ADF"/>
    <w:rsid w:val="00100C82"/>
    <w:rsid w:val="001011BA"/>
    <w:rsid w:val="00101590"/>
    <w:rsid w:val="00101C08"/>
    <w:rsid w:val="00101FAB"/>
    <w:rsid w:val="00102EB2"/>
    <w:rsid w:val="00103C74"/>
    <w:rsid w:val="001040D8"/>
    <w:rsid w:val="0010469F"/>
    <w:rsid w:val="00104C6A"/>
    <w:rsid w:val="00104F9D"/>
    <w:rsid w:val="00105050"/>
    <w:rsid w:val="0010649C"/>
    <w:rsid w:val="0010658D"/>
    <w:rsid w:val="00106E56"/>
    <w:rsid w:val="00107B2A"/>
    <w:rsid w:val="0011022E"/>
    <w:rsid w:val="001112B2"/>
    <w:rsid w:val="001112CA"/>
    <w:rsid w:val="001153FE"/>
    <w:rsid w:val="00115575"/>
    <w:rsid w:val="00115AB1"/>
    <w:rsid w:val="00115FE3"/>
    <w:rsid w:val="00116696"/>
    <w:rsid w:val="00117331"/>
    <w:rsid w:val="00117D3D"/>
    <w:rsid w:val="001203A0"/>
    <w:rsid w:val="00120533"/>
    <w:rsid w:val="00120C39"/>
    <w:rsid w:val="00121842"/>
    <w:rsid w:val="00121878"/>
    <w:rsid w:val="00122390"/>
    <w:rsid w:val="00122943"/>
    <w:rsid w:val="00122B0A"/>
    <w:rsid w:val="00122E00"/>
    <w:rsid w:val="0012314F"/>
    <w:rsid w:val="00124676"/>
    <w:rsid w:val="00124860"/>
    <w:rsid w:val="001260C1"/>
    <w:rsid w:val="00126AC9"/>
    <w:rsid w:val="00127E07"/>
    <w:rsid w:val="00130A85"/>
    <w:rsid w:val="00130BB4"/>
    <w:rsid w:val="00130DE2"/>
    <w:rsid w:val="00130E2C"/>
    <w:rsid w:val="00131684"/>
    <w:rsid w:val="001329A4"/>
    <w:rsid w:val="00132B1F"/>
    <w:rsid w:val="001338B5"/>
    <w:rsid w:val="00134F0F"/>
    <w:rsid w:val="00140087"/>
    <w:rsid w:val="00140AAA"/>
    <w:rsid w:val="00141C4E"/>
    <w:rsid w:val="00141F9A"/>
    <w:rsid w:val="00142E6D"/>
    <w:rsid w:val="001432BB"/>
    <w:rsid w:val="0014338E"/>
    <w:rsid w:val="00143773"/>
    <w:rsid w:val="0014444E"/>
    <w:rsid w:val="0014450D"/>
    <w:rsid w:val="00144830"/>
    <w:rsid w:val="00144882"/>
    <w:rsid w:val="00146595"/>
    <w:rsid w:val="00146A62"/>
    <w:rsid w:val="00147AEE"/>
    <w:rsid w:val="00150983"/>
    <w:rsid w:val="00150D09"/>
    <w:rsid w:val="00150F4E"/>
    <w:rsid w:val="001517E9"/>
    <w:rsid w:val="00151AC5"/>
    <w:rsid w:val="00151C18"/>
    <w:rsid w:val="00152D93"/>
    <w:rsid w:val="00153ACF"/>
    <w:rsid w:val="00154DFB"/>
    <w:rsid w:val="00154F5A"/>
    <w:rsid w:val="0015539D"/>
    <w:rsid w:val="00155AF1"/>
    <w:rsid w:val="00155F3C"/>
    <w:rsid w:val="00156099"/>
    <w:rsid w:val="0015728B"/>
    <w:rsid w:val="0015760D"/>
    <w:rsid w:val="00157D39"/>
    <w:rsid w:val="00157D82"/>
    <w:rsid w:val="00160187"/>
    <w:rsid w:val="00160B0C"/>
    <w:rsid w:val="0016124E"/>
    <w:rsid w:val="00161431"/>
    <w:rsid w:val="0016190A"/>
    <w:rsid w:val="00161E8C"/>
    <w:rsid w:val="00161FB6"/>
    <w:rsid w:val="00162449"/>
    <w:rsid w:val="00163148"/>
    <w:rsid w:val="001631DD"/>
    <w:rsid w:val="001631EE"/>
    <w:rsid w:val="0016382D"/>
    <w:rsid w:val="00163A98"/>
    <w:rsid w:val="00163B5A"/>
    <w:rsid w:val="00163C8D"/>
    <w:rsid w:val="00164249"/>
    <w:rsid w:val="001645E5"/>
    <w:rsid w:val="00164934"/>
    <w:rsid w:val="00165129"/>
    <w:rsid w:val="00165A9F"/>
    <w:rsid w:val="001662CF"/>
    <w:rsid w:val="00166C9F"/>
    <w:rsid w:val="001678EF"/>
    <w:rsid w:val="0016ABDC"/>
    <w:rsid w:val="00173703"/>
    <w:rsid w:val="00174812"/>
    <w:rsid w:val="00174E68"/>
    <w:rsid w:val="001752A1"/>
    <w:rsid w:val="00175923"/>
    <w:rsid w:val="00176781"/>
    <w:rsid w:val="00176FF5"/>
    <w:rsid w:val="00177FCB"/>
    <w:rsid w:val="00177FCC"/>
    <w:rsid w:val="0017EDC3"/>
    <w:rsid w:val="00181F39"/>
    <w:rsid w:val="001842E6"/>
    <w:rsid w:val="00186092"/>
    <w:rsid w:val="00191D08"/>
    <w:rsid w:val="001927AC"/>
    <w:rsid w:val="00192C89"/>
    <w:rsid w:val="00192CA3"/>
    <w:rsid w:val="00192CBC"/>
    <w:rsid w:val="00193F8D"/>
    <w:rsid w:val="001947C9"/>
    <w:rsid w:val="00194EE9"/>
    <w:rsid w:val="0019555C"/>
    <w:rsid w:val="00196E63"/>
    <w:rsid w:val="00196E71"/>
    <w:rsid w:val="00197506"/>
    <w:rsid w:val="0019759A"/>
    <w:rsid w:val="001A0A62"/>
    <w:rsid w:val="001A0ED6"/>
    <w:rsid w:val="001A1F2F"/>
    <w:rsid w:val="001A2502"/>
    <w:rsid w:val="001A43B3"/>
    <w:rsid w:val="001A4B4F"/>
    <w:rsid w:val="001A5186"/>
    <w:rsid w:val="001A5457"/>
    <w:rsid w:val="001A565B"/>
    <w:rsid w:val="001A5691"/>
    <w:rsid w:val="001A5A98"/>
    <w:rsid w:val="001A68B9"/>
    <w:rsid w:val="001B05DD"/>
    <w:rsid w:val="001B122F"/>
    <w:rsid w:val="001B21FE"/>
    <w:rsid w:val="001B23AB"/>
    <w:rsid w:val="001B32E9"/>
    <w:rsid w:val="001B399D"/>
    <w:rsid w:val="001B4833"/>
    <w:rsid w:val="001B48D0"/>
    <w:rsid w:val="001B57BA"/>
    <w:rsid w:val="001B5F3D"/>
    <w:rsid w:val="001B618B"/>
    <w:rsid w:val="001B623F"/>
    <w:rsid w:val="001B6607"/>
    <w:rsid w:val="001B7681"/>
    <w:rsid w:val="001B7794"/>
    <w:rsid w:val="001C0A93"/>
    <w:rsid w:val="001C0F92"/>
    <w:rsid w:val="001C17A9"/>
    <w:rsid w:val="001C1BAF"/>
    <w:rsid w:val="001C20D2"/>
    <w:rsid w:val="001C2160"/>
    <w:rsid w:val="001C239B"/>
    <w:rsid w:val="001C31EF"/>
    <w:rsid w:val="001C331C"/>
    <w:rsid w:val="001C4E3C"/>
    <w:rsid w:val="001C4E51"/>
    <w:rsid w:val="001C53A6"/>
    <w:rsid w:val="001C6347"/>
    <w:rsid w:val="001C656F"/>
    <w:rsid w:val="001C6BBB"/>
    <w:rsid w:val="001C7942"/>
    <w:rsid w:val="001C7B18"/>
    <w:rsid w:val="001D062D"/>
    <w:rsid w:val="001D0966"/>
    <w:rsid w:val="001D0986"/>
    <w:rsid w:val="001D11EB"/>
    <w:rsid w:val="001D1674"/>
    <w:rsid w:val="001D18ED"/>
    <w:rsid w:val="001D3075"/>
    <w:rsid w:val="001D330E"/>
    <w:rsid w:val="001D3DED"/>
    <w:rsid w:val="001D5BD9"/>
    <w:rsid w:val="001D5E42"/>
    <w:rsid w:val="001D659B"/>
    <w:rsid w:val="001D6825"/>
    <w:rsid w:val="001D7765"/>
    <w:rsid w:val="001D7A79"/>
    <w:rsid w:val="001D7F50"/>
    <w:rsid w:val="001E17CD"/>
    <w:rsid w:val="001E238B"/>
    <w:rsid w:val="001E3599"/>
    <w:rsid w:val="001E3CE6"/>
    <w:rsid w:val="001E4159"/>
    <w:rsid w:val="001E5143"/>
    <w:rsid w:val="001E5458"/>
    <w:rsid w:val="001E55F5"/>
    <w:rsid w:val="001E561C"/>
    <w:rsid w:val="001E659D"/>
    <w:rsid w:val="001E768B"/>
    <w:rsid w:val="001E7902"/>
    <w:rsid w:val="001E79B7"/>
    <w:rsid w:val="001F0E52"/>
    <w:rsid w:val="001F13E9"/>
    <w:rsid w:val="001F18BE"/>
    <w:rsid w:val="001F30F7"/>
    <w:rsid w:val="001F33BB"/>
    <w:rsid w:val="001F417D"/>
    <w:rsid w:val="001F4388"/>
    <w:rsid w:val="001F4441"/>
    <w:rsid w:val="001F44B4"/>
    <w:rsid w:val="001F45AE"/>
    <w:rsid w:val="001F4E03"/>
    <w:rsid w:val="001F5F9A"/>
    <w:rsid w:val="001F79C3"/>
    <w:rsid w:val="001F7FC0"/>
    <w:rsid w:val="002001B1"/>
    <w:rsid w:val="002001E6"/>
    <w:rsid w:val="002001F5"/>
    <w:rsid w:val="002004DA"/>
    <w:rsid w:val="00201BF6"/>
    <w:rsid w:val="00201C6E"/>
    <w:rsid w:val="002025D1"/>
    <w:rsid w:val="00204877"/>
    <w:rsid w:val="00205901"/>
    <w:rsid w:val="0020611F"/>
    <w:rsid w:val="002062F9"/>
    <w:rsid w:val="00207126"/>
    <w:rsid w:val="00207EBF"/>
    <w:rsid w:val="00210045"/>
    <w:rsid w:val="002100AA"/>
    <w:rsid w:val="00210878"/>
    <w:rsid w:val="00210F8C"/>
    <w:rsid w:val="0021240A"/>
    <w:rsid w:val="00212A5F"/>
    <w:rsid w:val="00213119"/>
    <w:rsid w:val="00213A99"/>
    <w:rsid w:val="00214343"/>
    <w:rsid w:val="002149FD"/>
    <w:rsid w:val="00214E56"/>
    <w:rsid w:val="00216773"/>
    <w:rsid w:val="00216B52"/>
    <w:rsid w:val="00216EF4"/>
    <w:rsid w:val="002178B0"/>
    <w:rsid w:val="002206A2"/>
    <w:rsid w:val="0022074C"/>
    <w:rsid w:val="002208A3"/>
    <w:rsid w:val="002211D7"/>
    <w:rsid w:val="002217C1"/>
    <w:rsid w:val="002223E3"/>
    <w:rsid w:val="00222622"/>
    <w:rsid w:val="002229F6"/>
    <w:rsid w:val="00223B01"/>
    <w:rsid w:val="0022401E"/>
    <w:rsid w:val="002247A0"/>
    <w:rsid w:val="00224BEB"/>
    <w:rsid w:val="00225309"/>
    <w:rsid w:val="002256E2"/>
    <w:rsid w:val="002256FA"/>
    <w:rsid w:val="002260B4"/>
    <w:rsid w:val="00226720"/>
    <w:rsid w:val="00231431"/>
    <w:rsid w:val="002326E0"/>
    <w:rsid w:val="00234645"/>
    <w:rsid w:val="0023538E"/>
    <w:rsid w:val="002355EE"/>
    <w:rsid w:val="002363A5"/>
    <w:rsid w:val="00236428"/>
    <w:rsid w:val="00236548"/>
    <w:rsid w:val="002365BC"/>
    <w:rsid w:val="002369A0"/>
    <w:rsid w:val="00237314"/>
    <w:rsid w:val="002373A9"/>
    <w:rsid w:val="00237EEA"/>
    <w:rsid w:val="00240584"/>
    <w:rsid w:val="002407E5"/>
    <w:rsid w:val="002409BA"/>
    <w:rsid w:val="00240D89"/>
    <w:rsid w:val="00240F3B"/>
    <w:rsid w:val="00241038"/>
    <w:rsid w:val="00241411"/>
    <w:rsid w:val="0024148C"/>
    <w:rsid w:val="002424C2"/>
    <w:rsid w:val="00242748"/>
    <w:rsid w:val="00242E2B"/>
    <w:rsid w:val="002434B7"/>
    <w:rsid w:val="00243E51"/>
    <w:rsid w:val="00244EAF"/>
    <w:rsid w:val="002455C7"/>
    <w:rsid w:val="0024570D"/>
    <w:rsid w:val="00245CD5"/>
    <w:rsid w:val="00247252"/>
    <w:rsid w:val="002473B1"/>
    <w:rsid w:val="00250076"/>
    <w:rsid w:val="002508F0"/>
    <w:rsid w:val="0025112F"/>
    <w:rsid w:val="0025252C"/>
    <w:rsid w:val="002528F7"/>
    <w:rsid w:val="00252931"/>
    <w:rsid w:val="00252B22"/>
    <w:rsid w:val="0025344C"/>
    <w:rsid w:val="00253555"/>
    <w:rsid w:val="002539EE"/>
    <w:rsid w:val="00253F50"/>
    <w:rsid w:val="00254EB7"/>
    <w:rsid w:val="00255439"/>
    <w:rsid w:val="002568A1"/>
    <w:rsid w:val="00256F0D"/>
    <w:rsid w:val="002570CF"/>
    <w:rsid w:val="0025782A"/>
    <w:rsid w:val="00257848"/>
    <w:rsid w:val="002603F2"/>
    <w:rsid w:val="002608F2"/>
    <w:rsid w:val="00260985"/>
    <w:rsid w:val="00260B68"/>
    <w:rsid w:val="00260D20"/>
    <w:rsid w:val="002618F3"/>
    <w:rsid w:val="00261A3E"/>
    <w:rsid w:val="00263934"/>
    <w:rsid w:val="00264C97"/>
    <w:rsid w:val="00264E19"/>
    <w:rsid w:val="002676B8"/>
    <w:rsid w:val="00267845"/>
    <w:rsid w:val="002714BB"/>
    <w:rsid w:val="00272BD7"/>
    <w:rsid w:val="00273185"/>
    <w:rsid w:val="002739B4"/>
    <w:rsid w:val="00273CC9"/>
    <w:rsid w:val="002745A6"/>
    <w:rsid w:val="00274A35"/>
    <w:rsid w:val="00274F63"/>
    <w:rsid w:val="00275AB4"/>
    <w:rsid w:val="00275B08"/>
    <w:rsid w:val="00275CD7"/>
    <w:rsid w:val="00275E20"/>
    <w:rsid w:val="0027662F"/>
    <w:rsid w:val="00276D40"/>
    <w:rsid w:val="00276D5C"/>
    <w:rsid w:val="00276F85"/>
    <w:rsid w:val="002779DB"/>
    <w:rsid w:val="00277DA9"/>
    <w:rsid w:val="00280476"/>
    <w:rsid w:val="002804B0"/>
    <w:rsid w:val="002806F9"/>
    <w:rsid w:val="00281F23"/>
    <w:rsid w:val="002829D2"/>
    <w:rsid w:val="00282C10"/>
    <w:rsid w:val="002831BE"/>
    <w:rsid w:val="00283341"/>
    <w:rsid w:val="002833BE"/>
    <w:rsid w:val="00283722"/>
    <w:rsid w:val="002855BA"/>
    <w:rsid w:val="00285727"/>
    <w:rsid w:val="00286A85"/>
    <w:rsid w:val="0028743E"/>
    <w:rsid w:val="0028794F"/>
    <w:rsid w:val="00287BB5"/>
    <w:rsid w:val="00287C11"/>
    <w:rsid w:val="00290C9B"/>
    <w:rsid w:val="0029126F"/>
    <w:rsid w:val="00291DA1"/>
    <w:rsid w:val="00292BA1"/>
    <w:rsid w:val="00292C72"/>
    <w:rsid w:val="00292E32"/>
    <w:rsid w:val="002938CC"/>
    <w:rsid w:val="0029417B"/>
    <w:rsid w:val="00294C94"/>
    <w:rsid w:val="002954D9"/>
    <w:rsid w:val="00295CE3"/>
    <w:rsid w:val="0029622C"/>
    <w:rsid w:val="00296639"/>
    <w:rsid w:val="0029736E"/>
    <w:rsid w:val="002977EF"/>
    <w:rsid w:val="002A0DDF"/>
    <w:rsid w:val="002A3D68"/>
    <w:rsid w:val="002A460E"/>
    <w:rsid w:val="002A4CA7"/>
    <w:rsid w:val="002A5FC7"/>
    <w:rsid w:val="002A60B2"/>
    <w:rsid w:val="002A6B24"/>
    <w:rsid w:val="002A6B8D"/>
    <w:rsid w:val="002A7DB3"/>
    <w:rsid w:val="002B0343"/>
    <w:rsid w:val="002B0D16"/>
    <w:rsid w:val="002B0D36"/>
    <w:rsid w:val="002B1455"/>
    <w:rsid w:val="002B23A1"/>
    <w:rsid w:val="002B3066"/>
    <w:rsid w:val="002B3D03"/>
    <w:rsid w:val="002B3F6B"/>
    <w:rsid w:val="002B3FA6"/>
    <w:rsid w:val="002B444E"/>
    <w:rsid w:val="002B4521"/>
    <w:rsid w:val="002B5077"/>
    <w:rsid w:val="002B537B"/>
    <w:rsid w:val="002B563C"/>
    <w:rsid w:val="002B594C"/>
    <w:rsid w:val="002B5AB0"/>
    <w:rsid w:val="002B5D12"/>
    <w:rsid w:val="002B639F"/>
    <w:rsid w:val="002B681E"/>
    <w:rsid w:val="002B6E1C"/>
    <w:rsid w:val="002B776D"/>
    <w:rsid w:val="002C136E"/>
    <w:rsid w:val="002C25D9"/>
    <w:rsid w:val="002C277A"/>
    <w:rsid w:val="002C289E"/>
    <w:rsid w:val="002C298C"/>
    <w:rsid w:val="002C36EB"/>
    <w:rsid w:val="002C3AA0"/>
    <w:rsid w:val="002C41A7"/>
    <w:rsid w:val="002C46B8"/>
    <w:rsid w:val="002C4E2E"/>
    <w:rsid w:val="002C577A"/>
    <w:rsid w:val="002C5AAF"/>
    <w:rsid w:val="002C64E9"/>
    <w:rsid w:val="002C67BE"/>
    <w:rsid w:val="002C6CF5"/>
    <w:rsid w:val="002C7590"/>
    <w:rsid w:val="002C7EEF"/>
    <w:rsid w:val="002D153A"/>
    <w:rsid w:val="002D19F9"/>
    <w:rsid w:val="002D1A8C"/>
    <w:rsid w:val="002D1B78"/>
    <w:rsid w:val="002D1DEC"/>
    <w:rsid w:val="002D23AA"/>
    <w:rsid w:val="002D25C9"/>
    <w:rsid w:val="002D3CCD"/>
    <w:rsid w:val="002D4331"/>
    <w:rsid w:val="002D4854"/>
    <w:rsid w:val="002D4CB5"/>
    <w:rsid w:val="002D4D43"/>
    <w:rsid w:val="002D553C"/>
    <w:rsid w:val="002D5563"/>
    <w:rsid w:val="002D5B7B"/>
    <w:rsid w:val="002D6708"/>
    <w:rsid w:val="002D7910"/>
    <w:rsid w:val="002D7BE1"/>
    <w:rsid w:val="002E0019"/>
    <w:rsid w:val="002E0460"/>
    <w:rsid w:val="002E0757"/>
    <w:rsid w:val="002E0CCB"/>
    <w:rsid w:val="002E0EFC"/>
    <w:rsid w:val="002E135A"/>
    <w:rsid w:val="002E1893"/>
    <w:rsid w:val="002E1B4D"/>
    <w:rsid w:val="002E2071"/>
    <w:rsid w:val="002E20EA"/>
    <w:rsid w:val="002E2C93"/>
    <w:rsid w:val="002E365B"/>
    <w:rsid w:val="002E39EA"/>
    <w:rsid w:val="002E3BC2"/>
    <w:rsid w:val="002E4103"/>
    <w:rsid w:val="002E422D"/>
    <w:rsid w:val="002E4D2D"/>
    <w:rsid w:val="002E5353"/>
    <w:rsid w:val="002E5419"/>
    <w:rsid w:val="002E6110"/>
    <w:rsid w:val="002E6181"/>
    <w:rsid w:val="002E64E8"/>
    <w:rsid w:val="002E6C0B"/>
    <w:rsid w:val="002E6C2A"/>
    <w:rsid w:val="002E74BA"/>
    <w:rsid w:val="002E74D7"/>
    <w:rsid w:val="002E7F0B"/>
    <w:rsid w:val="002F076C"/>
    <w:rsid w:val="002F0C4C"/>
    <w:rsid w:val="002F0FBB"/>
    <w:rsid w:val="002F11F0"/>
    <w:rsid w:val="002F15A7"/>
    <w:rsid w:val="002F2625"/>
    <w:rsid w:val="002F2E5A"/>
    <w:rsid w:val="002F366E"/>
    <w:rsid w:val="002F38D7"/>
    <w:rsid w:val="002F3E51"/>
    <w:rsid w:val="002F40EC"/>
    <w:rsid w:val="002F42B3"/>
    <w:rsid w:val="002F4BE1"/>
    <w:rsid w:val="002F4BE7"/>
    <w:rsid w:val="002F530F"/>
    <w:rsid w:val="002F5420"/>
    <w:rsid w:val="002F5B95"/>
    <w:rsid w:val="002F6B4E"/>
    <w:rsid w:val="002F6EB5"/>
    <w:rsid w:val="002F7173"/>
    <w:rsid w:val="002F7844"/>
    <w:rsid w:val="003007A0"/>
    <w:rsid w:val="00300F6A"/>
    <w:rsid w:val="00300F6C"/>
    <w:rsid w:val="003015FF"/>
    <w:rsid w:val="00301BD2"/>
    <w:rsid w:val="00302011"/>
    <w:rsid w:val="00302265"/>
    <w:rsid w:val="00303589"/>
    <w:rsid w:val="00303868"/>
    <w:rsid w:val="00303EA5"/>
    <w:rsid w:val="00304D3F"/>
    <w:rsid w:val="00304F68"/>
    <w:rsid w:val="00305CA2"/>
    <w:rsid w:val="0030608B"/>
    <w:rsid w:val="00306237"/>
    <w:rsid w:val="00306C80"/>
    <w:rsid w:val="00307DF1"/>
    <w:rsid w:val="00313B0C"/>
    <w:rsid w:val="00313BBC"/>
    <w:rsid w:val="00313CA9"/>
    <w:rsid w:val="003140C3"/>
    <w:rsid w:val="00314F1D"/>
    <w:rsid w:val="00315030"/>
    <w:rsid w:val="00315659"/>
    <w:rsid w:val="00316400"/>
    <w:rsid w:val="00316671"/>
    <w:rsid w:val="00316902"/>
    <w:rsid w:val="00316A2C"/>
    <w:rsid w:val="003170A0"/>
    <w:rsid w:val="00317164"/>
    <w:rsid w:val="0031754C"/>
    <w:rsid w:val="0031785F"/>
    <w:rsid w:val="003201C9"/>
    <w:rsid w:val="00320405"/>
    <w:rsid w:val="0032092C"/>
    <w:rsid w:val="003210EC"/>
    <w:rsid w:val="00321F1F"/>
    <w:rsid w:val="003226F9"/>
    <w:rsid w:val="00322714"/>
    <w:rsid w:val="0032297D"/>
    <w:rsid w:val="00324A10"/>
    <w:rsid w:val="00324DBA"/>
    <w:rsid w:val="00325285"/>
    <w:rsid w:val="003253CB"/>
    <w:rsid w:val="003256D7"/>
    <w:rsid w:val="003272E6"/>
    <w:rsid w:val="003279CF"/>
    <w:rsid w:val="00327D10"/>
    <w:rsid w:val="00327E06"/>
    <w:rsid w:val="003315D4"/>
    <w:rsid w:val="003323FB"/>
    <w:rsid w:val="0033243E"/>
    <w:rsid w:val="00332529"/>
    <w:rsid w:val="00332EE4"/>
    <w:rsid w:val="00332F9B"/>
    <w:rsid w:val="00333040"/>
    <w:rsid w:val="00333784"/>
    <w:rsid w:val="00333B59"/>
    <w:rsid w:val="003346A3"/>
    <w:rsid w:val="00334FCB"/>
    <w:rsid w:val="0033511B"/>
    <w:rsid w:val="00335981"/>
    <w:rsid w:val="00335D2E"/>
    <w:rsid w:val="00335D9F"/>
    <w:rsid w:val="00336C50"/>
    <w:rsid w:val="00337262"/>
    <w:rsid w:val="003378BA"/>
    <w:rsid w:val="00340462"/>
    <w:rsid w:val="00340A7D"/>
    <w:rsid w:val="00340C04"/>
    <w:rsid w:val="00341047"/>
    <w:rsid w:val="0034173B"/>
    <w:rsid w:val="0034174D"/>
    <w:rsid w:val="00341EA9"/>
    <w:rsid w:val="0034297D"/>
    <w:rsid w:val="00343D64"/>
    <w:rsid w:val="00343D93"/>
    <w:rsid w:val="0034414B"/>
    <w:rsid w:val="00344362"/>
    <w:rsid w:val="0034453B"/>
    <w:rsid w:val="003454CC"/>
    <w:rsid w:val="0034613C"/>
    <w:rsid w:val="00346402"/>
    <w:rsid w:val="00346BF3"/>
    <w:rsid w:val="00347604"/>
    <w:rsid w:val="00350627"/>
    <w:rsid w:val="00350EF4"/>
    <w:rsid w:val="00351600"/>
    <w:rsid w:val="00351CAD"/>
    <w:rsid w:val="00351F39"/>
    <w:rsid w:val="00353BF5"/>
    <w:rsid w:val="00354587"/>
    <w:rsid w:val="00354D9A"/>
    <w:rsid w:val="00355000"/>
    <w:rsid w:val="003562AE"/>
    <w:rsid w:val="0035702B"/>
    <w:rsid w:val="003603FE"/>
    <w:rsid w:val="003604B6"/>
    <w:rsid w:val="00360738"/>
    <w:rsid w:val="003609D2"/>
    <w:rsid w:val="00360F2F"/>
    <w:rsid w:val="00361A2A"/>
    <w:rsid w:val="00361F9F"/>
    <w:rsid w:val="00362B1A"/>
    <w:rsid w:val="00362F8F"/>
    <w:rsid w:val="00363055"/>
    <w:rsid w:val="00363339"/>
    <w:rsid w:val="00363394"/>
    <w:rsid w:val="00363794"/>
    <w:rsid w:val="0036391B"/>
    <w:rsid w:val="00363B97"/>
    <w:rsid w:val="003643D1"/>
    <w:rsid w:val="00364831"/>
    <w:rsid w:val="00364D96"/>
    <w:rsid w:val="003654B1"/>
    <w:rsid w:val="0036550D"/>
    <w:rsid w:val="00365905"/>
    <w:rsid w:val="00365D1E"/>
    <w:rsid w:val="00366481"/>
    <w:rsid w:val="0036670C"/>
    <w:rsid w:val="00366DDE"/>
    <w:rsid w:val="0036774E"/>
    <w:rsid w:val="00367904"/>
    <w:rsid w:val="003709B9"/>
    <w:rsid w:val="00370FDB"/>
    <w:rsid w:val="00371CA2"/>
    <w:rsid w:val="0037227A"/>
    <w:rsid w:val="0037284E"/>
    <w:rsid w:val="003730B0"/>
    <w:rsid w:val="0037311F"/>
    <w:rsid w:val="00374048"/>
    <w:rsid w:val="003748C6"/>
    <w:rsid w:val="003755F5"/>
    <w:rsid w:val="00376496"/>
    <w:rsid w:val="003764FA"/>
    <w:rsid w:val="003766BE"/>
    <w:rsid w:val="003767DA"/>
    <w:rsid w:val="00376A0E"/>
    <w:rsid w:val="00376C5E"/>
    <w:rsid w:val="00377278"/>
    <w:rsid w:val="00377CE4"/>
    <w:rsid w:val="00377D4A"/>
    <w:rsid w:val="003800E1"/>
    <w:rsid w:val="00380589"/>
    <w:rsid w:val="00381337"/>
    <w:rsid w:val="003820F5"/>
    <w:rsid w:val="00382416"/>
    <w:rsid w:val="003833EE"/>
    <w:rsid w:val="003845E4"/>
    <w:rsid w:val="003847F1"/>
    <w:rsid w:val="003848C7"/>
    <w:rsid w:val="00384A1F"/>
    <w:rsid w:val="00384C1E"/>
    <w:rsid w:val="003852F0"/>
    <w:rsid w:val="003857F7"/>
    <w:rsid w:val="00385834"/>
    <w:rsid w:val="00385C15"/>
    <w:rsid w:val="00386C10"/>
    <w:rsid w:val="00386DF5"/>
    <w:rsid w:val="0038710B"/>
    <w:rsid w:val="00387D4F"/>
    <w:rsid w:val="00391A6C"/>
    <w:rsid w:val="00393AFA"/>
    <w:rsid w:val="00393CA1"/>
    <w:rsid w:val="00394538"/>
    <w:rsid w:val="003947DE"/>
    <w:rsid w:val="003958FA"/>
    <w:rsid w:val="0039636F"/>
    <w:rsid w:val="00396D72"/>
    <w:rsid w:val="00396EF8"/>
    <w:rsid w:val="00396F49"/>
    <w:rsid w:val="00397A63"/>
    <w:rsid w:val="003A01B0"/>
    <w:rsid w:val="003A02E5"/>
    <w:rsid w:val="003A1496"/>
    <w:rsid w:val="003A1573"/>
    <w:rsid w:val="003A17E0"/>
    <w:rsid w:val="003A2D42"/>
    <w:rsid w:val="003A382F"/>
    <w:rsid w:val="003A3C5E"/>
    <w:rsid w:val="003A3FB6"/>
    <w:rsid w:val="003A419F"/>
    <w:rsid w:val="003A4ED7"/>
    <w:rsid w:val="003A546B"/>
    <w:rsid w:val="003A6D2E"/>
    <w:rsid w:val="003B0199"/>
    <w:rsid w:val="003B053C"/>
    <w:rsid w:val="003B10F4"/>
    <w:rsid w:val="003B1918"/>
    <w:rsid w:val="003B2139"/>
    <w:rsid w:val="003B28F9"/>
    <w:rsid w:val="003B3342"/>
    <w:rsid w:val="003B3370"/>
    <w:rsid w:val="003B38E1"/>
    <w:rsid w:val="003B3977"/>
    <w:rsid w:val="003B3E5A"/>
    <w:rsid w:val="003B3F4E"/>
    <w:rsid w:val="003B4FA4"/>
    <w:rsid w:val="003B7B92"/>
    <w:rsid w:val="003B8A90"/>
    <w:rsid w:val="003C002E"/>
    <w:rsid w:val="003C0349"/>
    <w:rsid w:val="003C0EE2"/>
    <w:rsid w:val="003C1193"/>
    <w:rsid w:val="003C17D6"/>
    <w:rsid w:val="003C2392"/>
    <w:rsid w:val="003C2581"/>
    <w:rsid w:val="003C267E"/>
    <w:rsid w:val="003C2935"/>
    <w:rsid w:val="003C38AE"/>
    <w:rsid w:val="003C3B76"/>
    <w:rsid w:val="003C4D11"/>
    <w:rsid w:val="003C4DC8"/>
    <w:rsid w:val="003C7A15"/>
    <w:rsid w:val="003D0175"/>
    <w:rsid w:val="003D0430"/>
    <w:rsid w:val="003D06FC"/>
    <w:rsid w:val="003D1F8E"/>
    <w:rsid w:val="003D2B27"/>
    <w:rsid w:val="003D2D0F"/>
    <w:rsid w:val="003D3837"/>
    <w:rsid w:val="003D3D7A"/>
    <w:rsid w:val="003D3F00"/>
    <w:rsid w:val="003D4537"/>
    <w:rsid w:val="003D4E96"/>
    <w:rsid w:val="003D6198"/>
    <w:rsid w:val="003E06A5"/>
    <w:rsid w:val="003E1D07"/>
    <w:rsid w:val="003E294D"/>
    <w:rsid w:val="003E2F99"/>
    <w:rsid w:val="003E3181"/>
    <w:rsid w:val="003E3480"/>
    <w:rsid w:val="003E41E8"/>
    <w:rsid w:val="003E42AC"/>
    <w:rsid w:val="003E4AC6"/>
    <w:rsid w:val="003E4DD9"/>
    <w:rsid w:val="003E56F2"/>
    <w:rsid w:val="003E587E"/>
    <w:rsid w:val="003E60D4"/>
    <w:rsid w:val="003E6AA7"/>
    <w:rsid w:val="003E6B37"/>
    <w:rsid w:val="003E720A"/>
    <w:rsid w:val="003F00D0"/>
    <w:rsid w:val="003F0D3F"/>
    <w:rsid w:val="003F13B7"/>
    <w:rsid w:val="003F1A06"/>
    <w:rsid w:val="003F2315"/>
    <w:rsid w:val="003F2417"/>
    <w:rsid w:val="003F389B"/>
    <w:rsid w:val="003F48EC"/>
    <w:rsid w:val="003F5A23"/>
    <w:rsid w:val="003F5F29"/>
    <w:rsid w:val="003F6071"/>
    <w:rsid w:val="003F6D94"/>
    <w:rsid w:val="003F7624"/>
    <w:rsid w:val="003F9084"/>
    <w:rsid w:val="00400D79"/>
    <w:rsid w:val="00401E43"/>
    <w:rsid w:val="004025DA"/>
    <w:rsid w:val="00402CEF"/>
    <w:rsid w:val="00403491"/>
    <w:rsid w:val="004036E4"/>
    <w:rsid w:val="00403FA6"/>
    <w:rsid w:val="004040FE"/>
    <w:rsid w:val="00404FBE"/>
    <w:rsid w:val="004052D2"/>
    <w:rsid w:val="0040593D"/>
    <w:rsid w:val="004067ED"/>
    <w:rsid w:val="00406C71"/>
    <w:rsid w:val="00406E7D"/>
    <w:rsid w:val="0040714F"/>
    <w:rsid w:val="00407A6A"/>
    <w:rsid w:val="00410377"/>
    <w:rsid w:val="0041071C"/>
    <w:rsid w:val="004117D9"/>
    <w:rsid w:val="00411922"/>
    <w:rsid w:val="00411964"/>
    <w:rsid w:val="00412307"/>
    <w:rsid w:val="004123A7"/>
    <w:rsid w:val="00413324"/>
    <w:rsid w:val="004137B9"/>
    <w:rsid w:val="004140AA"/>
    <w:rsid w:val="00414509"/>
    <w:rsid w:val="00414C70"/>
    <w:rsid w:val="0041656F"/>
    <w:rsid w:val="004169BB"/>
    <w:rsid w:val="00416A8F"/>
    <w:rsid w:val="004177B4"/>
    <w:rsid w:val="0042016C"/>
    <w:rsid w:val="004201F8"/>
    <w:rsid w:val="004204DA"/>
    <w:rsid w:val="00421029"/>
    <w:rsid w:val="00421106"/>
    <w:rsid w:val="004211EA"/>
    <w:rsid w:val="0042313F"/>
    <w:rsid w:val="004238B7"/>
    <w:rsid w:val="00423BEC"/>
    <w:rsid w:val="00423C54"/>
    <w:rsid w:val="00424428"/>
    <w:rsid w:val="0042445E"/>
    <w:rsid w:val="004265AC"/>
    <w:rsid w:val="00426B82"/>
    <w:rsid w:val="00426FCE"/>
    <w:rsid w:val="00427EA3"/>
    <w:rsid w:val="00427F63"/>
    <w:rsid w:val="004300FF"/>
    <w:rsid w:val="004309F0"/>
    <w:rsid w:val="00431142"/>
    <w:rsid w:val="00431BC2"/>
    <w:rsid w:val="00431F4C"/>
    <w:rsid w:val="00432C09"/>
    <w:rsid w:val="00433085"/>
    <w:rsid w:val="004334B8"/>
    <w:rsid w:val="0043373A"/>
    <w:rsid w:val="00433CF8"/>
    <w:rsid w:val="00434C98"/>
    <w:rsid w:val="00435779"/>
    <w:rsid w:val="00435CF9"/>
    <w:rsid w:val="00435F98"/>
    <w:rsid w:val="004361A0"/>
    <w:rsid w:val="0043781D"/>
    <w:rsid w:val="004400A1"/>
    <w:rsid w:val="00440225"/>
    <w:rsid w:val="0044250E"/>
    <w:rsid w:val="004426CD"/>
    <w:rsid w:val="00442C34"/>
    <w:rsid w:val="00442E3E"/>
    <w:rsid w:val="0044309A"/>
    <w:rsid w:val="00443403"/>
    <w:rsid w:val="004437DA"/>
    <w:rsid w:val="00443AC3"/>
    <w:rsid w:val="0044480A"/>
    <w:rsid w:val="00445B49"/>
    <w:rsid w:val="00446B41"/>
    <w:rsid w:val="00447CD2"/>
    <w:rsid w:val="00450074"/>
    <w:rsid w:val="0045185D"/>
    <w:rsid w:val="00451970"/>
    <w:rsid w:val="00451B85"/>
    <w:rsid w:val="004527D8"/>
    <w:rsid w:val="00452E5D"/>
    <w:rsid w:val="004531E3"/>
    <w:rsid w:val="00453B96"/>
    <w:rsid w:val="00454D0B"/>
    <w:rsid w:val="00454DB1"/>
    <w:rsid w:val="00454F1D"/>
    <w:rsid w:val="004556AC"/>
    <w:rsid w:val="00456CDB"/>
    <w:rsid w:val="004573A9"/>
    <w:rsid w:val="004573E5"/>
    <w:rsid w:val="004576EA"/>
    <w:rsid w:val="00461416"/>
    <w:rsid w:val="00461FA8"/>
    <w:rsid w:val="00462F88"/>
    <w:rsid w:val="00462FED"/>
    <w:rsid w:val="0046351D"/>
    <w:rsid w:val="00463EC5"/>
    <w:rsid w:val="00464207"/>
    <w:rsid w:val="0046449D"/>
    <w:rsid w:val="004646FA"/>
    <w:rsid w:val="0046520A"/>
    <w:rsid w:val="00465573"/>
    <w:rsid w:val="00466895"/>
    <w:rsid w:val="0046752A"/>
    <w:rsid w:val="0047021E"/>
    <w:rsid w:val="00470753"/>
    <w:rsid w:val="004713DF"/>
    <w:rsid w:val="004717E5"/>
    <w:rsid w:val="00471A90"/>
    <w:rsid w:val="00471DFA"/>
    <w:rsid w:val="004721BF"/>
    <w:rsid w:val="0047350F"/>
    <w:rsid w:val="004736EA"/>
    <w:rsid w:val="004736FF"/>
    <w:rsid w:val="00473D96"/>
    <w:rsid w:val="00473F70"/>
    <w:rsid w:val="004746FC"/>
    <w:rsid w:val="00474A11"/>
    <w:rsid w:val="00474EB3"/>
    <w:rsid w:val="00476A9D"/>
    <w:rsid w:val="004770E8"/>
    <w:rsid w:val="00477F44"/>
    <w:rsid w:val="00477FB8"/>
    <w:rsid w:val="00480627"/>
    <w:rsid w:val="00480FCF"/>
    <w:rsid w:val="00480FE2"/>
    <w:rsid w:val="00481871"/>
    <w:rsid w:val="00481927"/>
    <w:rsid w:val="0048287F"/>
    <w:rsid w:val="004828EB"/>
    <w:rsid w:val="00482E93"/>
    <w:rsid w:val="004834A7"/>
    <w:rsid w:val="0048357D"/>
    <w:rsid w:val="004835F9"/>
    <w:rsid w:val="00483806"/>
    <w:rsid w:val="0048412F"/>
    <w:rsid w:val="0048425B"/>
    <w:rsid w:val="0048462D"/>
    <w:rsid w:val="00484D4E"/>
    <w:rsid w:val="00486330"/>
    <w:rsid w:val="00486614"/>
    <w:rsid w:val="0048678C"/>
    <w:rsid w:val="00486B5A"/>
    <w:rsid w:val="00486B72"/>
    <w:rsid w:val="0048790A"/>
    <w:rsid w:val="00487FD8"/>
    <w:rsid w:val="004900C4"/>
    <w:rsid w:val="0049194C"/>
    <w:rsid w:val="0049195B"/>
    <w:rsid w:val="004921E9"/>
    <w:rsid w:val="00492E62"/>
    <w:rsid w:val="0049356F"/>
    <w:rsid w:val="00494459"/>
    <w:rsid w:val="004953DB"/>
    <w:rsid w:val="00496006"/>
    <w:rsid w:val="00497376"/>
    <w:rsid w:val="00497578"/>
    <w:rsid w:val="00497AD1"/>
    <w:rsid w:val="004A04BE"/>
    <w:rsid w:val="004A0E8C"/>
    <w:rsid w:val="004A1924"/>
    <w:rsid w:val="004A1CE6"/>
    <w:rsid w:val="004A2092"/>
    <w:rsid w:val="004A217C"/>
    <w:rsid w:val="004A26B1"/>
    <w:rsid w:val="004A2E62"/>
    <w:rsid w:val="004A3322"/>
    <w:rsid w:val="004A3C1E"/>
    <w:rsid w:val="004A3CD6"/>
    <w:rsid w:val="004A797E"/>
    <w:rsid w:val="004A7C18"/>
    <w:rsid w:val="004B0068"/>
    <w:rsid w:val="004B0117"/>
    <w:rsid w:val="004B1229"/>
    <w:rsid w:val="004B1DDC"/>
    <w:rsid w:val="004B22E5"/>
    <w:rsid w:val="004B274F"/>
    <w:rsid w:val="004B288E"/>
    <w:rsid w:val="004B2935"/>
    <w:rsid w:val="004B339F"/>
    <w:rsid w:val="004B37FC"/>
    <w:rsid w:val="004B38B6"/>
    <w:rsid w:val="004B564F"/>
    <w:rsid w:val="004B6362"/>
    <w:rsid w:val="004B67E7"/>
    <w:rsid w:val="004B67EB"/>
    <w:rsid w:val="004B6C05"/>
    <w:rsid w:val="004B709E"/>
    <w:rsid w:val="004B7793"/>
    <w:rsid w:val="004B7D1E"/>
    <w:rsid w:val="004C094E"/>
    <w:rsid w:val="004C10D6"/>
    <w:rsid w:val="004C22AE"/>
    <w:rsid w:val="004C31E3"/>
    <w:rsid w:val="004C34DF"/>
    <w:rsid w:val="004C3C56"/>
    <w:rsid w:val="004C4110"/>
    <w:rsid w:val="004C436E"/>
    <w:rsid w:val="004C496E"/>
    <w:rsid w:val="004C4AEC"/>
    <w:rsid w:val="004C5197"/>
    <w:rsid w:val="004C5363"/>
    <w:rsid w:val="004C66D2"/>
    <w:rsid w:val="004C764F"/>
    <w:rsid w:val="004C7A4E"/>
    <w:rsid w:val="004C7DF3"/>
    <w:rsid w:val="004D1FB2"/>
    <w:rsid w:val="004D20D5"/>
    <w:rsid w:val="004D35DB"/>
    <w:rsid w:val="004D3BFC"/>
    <w:rsid w:val="004D530C"/>
    <w:rsid w:val="004D53D9"/>
    <w:rsid w:val="004D57DD"/>
    <w:rsid w:val="004D5984"/>
    <w:rsid w:val="004D5BBE"/>
    <w:rsid w:val="004D5ECB"/>
    <w:rsid w:val="004D68DF"/>
    <w:rsid w:val="004D6BFF"/>
    <w:rsid w:val="004D6DE9"/>
    <w:rsid w:val="004D7B83"/>
    <w:rsid w:val="004D7F0D"/>
    <w:rsid w:val="004DDE4E"/>
    <w:rsid w:val="004E0434"/>
    <w:rsid w:val="004E070C"/>
    <w:rsid w:val="004E07E0"/>
    <w:rsid w:val="004E1131"/>
    <w:rsid w:val="004E180C"/>
    <w:rsid w:val="004E231B"/>
    <w:rsid w:val="004E2A68"/>
    <w:rsid w:val="004E2B3D"/>
    <w:rsid w:val="004E3122"/>
    <w:rsid w:val="004E3BF1"/>
    <w:rsid w:val="004E4020"/>
    <w:rsid w:val="004E5603"/>
    <w:rsid w:val="004E5749"/>
    <w:rsid w:val="004E59C9"/>
    <w:rsid w:val="004E5C8F"/>
    <w:rsid w:val="004E5F5B"/>
    <w:rsid w:val="004E64A4"/>
    <w:rsid w:val="004E6873"/>
    <w:rsid w:val="004E6E79"/>
    <w:rsid w:val="004F1C39"/>
    <w:rsid w:val="004F1E56"/>
    <w:rsid w:val="004F2778"/>
    <w:rsid w:val="004F3AD6"/>
    <w:rsid w:val="004F3EBA"/>
    <w:rsid w:val="004F4110"/>
    <w:rsid w:val="004F4ACA"/>
    <w:rsid w:val="004F4FC9"/>
    <w:rsid w:val="004F5207"/>
    <w:rsid w:val="004F5853"/>
    <w:rsid w:val="004F5885"/>
    <w:rsid w:val="004F595E"/>
    <w:rsid w:val="004F6000"/>
    <w:rsid w:val="004F6011"/>
    <w:rsid w:val="004F62AA"/>
    <w:rsid w:val="004F6CAF"/>
    <w:rsid w:val="00500EED"/>
    <w:rsid w:val="005010A4"/>
    <w:rsid w:val="00501841"/>
    <w:rsid w:val="00501FAB"/>
    <w:rsid w:val="00502230"/>
    <w:rsid w:val="00502D86"/>
    <w:rsid w:val="00503054"/>
    <w:rsid w:val="005030BC"/>
    <w:rsid w:val="005037D3"/>
    <w:rsid w:val="005038AF"/>
    <w:rsid w:val="005039EE"/>
    <w:rsid w:val="005042BD"/>
    <w:rsid w:val="005043A6"/>
    <w:rsid w:val="005046BB"/>
    <w:rsid w:val="005049F9"/>
    <w:rsid w:val="0050507F"/>
    <w:rsid w:val="00505465"/>
    <w:rsid w:val="0050782A"/>
    <w:rsid w:val="00507888"/>
    <w:rsid w:val="00507CDB"/>
    <w:rsid w:val="00507DB5"/>
    <w:rsid w:val="005104A1"/>
    <w:rsid w:val="00510A8C"/>
    <w:rsid w:val="00512536"/>
    <w:rsid w:val="00512DF4"/>
    <w:rsid w:val="00513192"/>
    <w:rsid w:val="00513471"/>
    <w:rsid w:val="00514C6A"/>
    <w:rsid w:val="0051561C"/>
    <w:rsid w:val="00515CAD"/>
    <w:rsid w:val="0051774D"/>
    <w:rsid w:val="00517FEF"/>
    <w:rsid w:val="0052033B"/>
    <w:rsid w:val="0052049B"/>
    <w:rsid w:val="005209DE"/>
    <w:rsid w:val="00520F83"/>
    <w:rsid w:val="00521A0C"/>
    <w:rsid w:val="00521BD3"/>
    <w:rsid w:val="00521EBB"/>
    <w:rsid w:val="00522032"/>
    <w:rsid w:val="005225D1"/>
    <w:rsid w:val="00523136"/>
    <w:rsid w:val="00525642"/>
    <w:rsid w:val="00525F5B"/>
    <w:rsid w:val="00525FDD"/>
    <w:rsid w:val="00526A4F"/>
    <w:rsid w:val="00526B0C"/>
    <w:rsid w:val="0052706E"/>
    <w:rsid w:val="00527D09"/>
    <w:rsid w:val="00530632"/>
    <w:rsid w:val="00530C80"/>
    <w:rsid w:val="00530F25"/>
    <w:rsid w:val="00531734"/>
    <w:rsid w:val="00531BB8"/>
    <w:rsid w:val="005327F8"/>
    <w:rsid w:val="00534FB9"/>
    <w:rsid w:val="00535E78"/>
    <w:rsid w:val="005360C2"/>
    <w:rsid w:val="00536668"/>
    <w:rsid w:val="005368FA"/>
    <w:rsid w:val="005377BD"/>
    <w:rsid w:val="005406E4"/>
    <w:rsid w:val="005419A3"/>
    <w:rsid w:val="00541CBB"/>
    <w:rsid w:val="00541F43"/>
    <w:rsid w:val="00542311"/>
    <w:rsid w:val="00542341"/>
    <w:rsid w:val="00542632"/>
    <w:rsid w:val="0054285B"/>
    <w:rsid w:val="00542982"/>
    <w:rsid w:val="00542A88"/>
    <w:rsid w:val="005438CC"/>
    <w:rsid w:val="00543B8A"/>
    <w:rsid w:val="00543CD7"/>
    <w:rsid w:val="00544E36"/>
    <w:rsid w:val="005458B4"/>
    <w:rsid w:val="00547D53"/>
    <w:rsid w:val="00547DB9"/>
    <w:rsid w:val="0055026B"/>
    <w:rsid w:val="0055061A"/>
    <w:rsid w:val="005512F9"/>
    <w:rsid w:val="00551640"/>
    <w:rsid w:val="005519AA"/>
    <w:rsid w:val="00551B22"/>
    <w:rsid w:val="00551FB4"/>
    <w:rsid w:val="0055342B"/>
    <w:rsid w:val="005537C4"/>
    <w:rsid w:val="00553B19"/>
    <w:rsid w:val="00553D76"/>
    <w:rsid w:val="00553F53"/>
    <w:rsid w:val="0055429B"/>
    <w:rsid w:val="0055460B"/>
    <w:rsid w:val="0055494E"/>
    <w:rsid w:val="00555587"/>
    <w:rsid w:val="00556168"/>
    <w:rsid w:val="00556705"/>
    <w:rsid w:val="00560C0E"/>
    <w:rsid w:val="00560DEF"/>
    <w:rsid w:val="00561D6D"/>
    <w:rsid w:val="00561F8E"/>
    <w:rsid w:val="00562245"/>
    <w:rsid w:val="005626D1"/>
    <w:rsid w:val="005626E9"/>
    <w:rsid w:val="00562F40"/>
    <w:rsid w:val="005646AA"/>
    <w:rsid w:val="00565488"/>
    <w:rsid w:val="00566CD3"/>
    <w:rsid w:val="00567420"/>
    <w:rsid w:val="005678F4"/>
    <w:rsid w:val="0057024D"/>
    <w:rsid w:val="00570380"/>
    <w:rsid w:val="00570C09"/>
    <w:rsid w:val="00570D81"/>
    <w:rsid w:val="00570E60"/>
    <w:rsid w:val="00571426"/>
    <w:rsid w:val="00571BB9"/>
    <w:rsid w:val="005724A0"/>
    <w:rsid w:val="00572DE8"/>
    <w:rsid w:val="00573B6B"/>
    <w:rsid w:val="005744AB"/>
    <w:rsid w:val="00577D6D"/>
    <w:rsid w:val="00580022"/>
    <w:rsid w:val="00580B55"/>
    <w:rsid w:val="00582FA4"/>
    <w:rsid w:val="00583095"/>
    <w:rsid w:val="00583248"/>
    <w:rsid w:val="0058392A"/>
    <w:rsid w:val="00583B3E"/>
    <w:rsid w:val="005848C0"/>
    <w:rsid w:val="00584D6B"/>
    <w:rsid w:val="00584DD1"/>
    <w:rsid w:val="0058631F"/>
    <w:rsid w:val="0058651F"/>
    <w:rsid w:val="005874F4"/>
    <w:rsid w:val="00587A8B"/>
    <w:rsid w:val="00587F30"/>
    <w:rsid w:val="00587FF2"/>
    <w:rsid w:val="00590C1B"/>
    <w:rsid w:val="0059108B"/>
    <w:rsid w:val="005910F4"/>
    <w:rsid w:val="0059167D"/>
    <w:rsid w:val="00591893"/>
    <w:rsid w:val="005918FA"/>
    <w:rsid w:val="00593C64"/>
    <w:rsid w:val="00594826"/>
    <w:rsid w:val="005948D7"/>
    <w:rsid w:val="005950A7"/>
    <w:rsid w:val="0059553B"/>
    <w:rsid w:val="005959C7"/>
    <w:rsid w:val="00595E53"/>
    <w:rsid w:val="00595EBB"/>
    <w:rsid w:val="00596627"/>
    <w:rsid w:val="00597553"/>
    <w:rsid w:val="005977A2"/>
    <w:rsid w:val="00597CDC"/>
    <w:rsid w:val="00597D12"/>
    <w:rsid w:val="005A0595"/>
    <w:rsid w:val="005A0968"/>
    <w:rsid w:val="005A0ABA"/>
    <w:rsid w:val="005A0B57"/>
    <w:rsid w:val="005A15D6"/>
    <w:rsid w:val="005A17ED"/>
    <w:rsid w:val="005A2DCD"/>
    <w:rsid w:val="005A322A"/>
    <w:rsid w:val="005A39C4"/>
    <w:rsid w:val="005A4474"/>
    <w:rsid w:val="005A4619"/>
    <w:rsid w:val="005A4AD4"/>
    <w:rsid w:val="005A5DC5"/>
    <w:rsid w:val="005A6AE9"/>
    <w:rsid w:val="005A73F1"/>
    <w:rsid w:val="005A9CEE"/>
    <w:rsid w:val="005B03E1"/>
    <w:rsid w:val="005B0B41"/>
    <w:rsid w:val="005B10A5"/>
    <w:rsid w:val="005B13B6"/>
    <w:rsid w:val="005B1C04"/>
    <w:rsid w:val="005B2E83"/>
    <w:rsid w:val="005B38B6"/>
    <w:rsid w:val="005B3EFF"/>
    <w:rsid w:val="005B4287"/>
    <w:rsid w:val="005B4E1A"/>
    <w:rsid w:val="005B4EFC"/>
    <w:rsid w:val="005B5B33"/>
    <w:rsid w:val="005B5CC6"/>
    <w:rsid w:val="005B7764"/>
    <w:rsid w:val="005B7D9E"/>
    <w:rsid w:val="005C061D"/>
    <w:rsid w:val="005C0669"/>
    <w:rsid w:val="005C117E"/>
    <w:rsid w:val="005C127A"/>
    <w:rsid w:val="005C19C2"/>
    <w:rsid w:val="005C1C3F"/>
    <w:rsid w:val="005C1E13"/>
    <w:rsid w:val="005C2400"/>
    <w:rsid w:val="005C2F0E"/>
    <w:rsid w:val="005C305E"/>
    <w:rsid w:val="005C3155"/>
    <w:rsid w:val="005C3AB4"/>
    <w:rsid w:val="005C3AB7"/>
    <w:rsid w:val="005C3BDE"/>
    <w:rsid w:val="005C3D93"/>
    <w:rsid w:val="005C3EAE"/>
    <w:rsid w:val="005C5746"/>
    <w:rsid w:val="005C716B"/>
    <w:rsid w:val="005C74DE"/>
    <w:rsid w:val="005C7D2B"/>
    <w:rsid w:val="005C7DA2"/>
    <w:rsid w:val="005D04D3"/>
    <w:rsid w:val="005D073E"/>
    <w:rsid w:val="005D1383"/>
    <w:rsid w:val="005D1A25"/>
    <w:rsid w:val="005D1A28"/>
    <w:rsid w:val="005D1B78"/>
    <w:rsid w:val="005D1D02"/>
    <w:rsid w:val="005D2336"/>
    <w:rsid w:val="005D300A"/>
    <w:rsid w:val="005D3CBC"/>
    <w:rsid w:val="005D4254"/>
    <w:rsid w:val="005D4331"/>
    <w:rsid w:val="005D4463"/>
    <w:rsid w:val="005D680C"/>
    <w:rsid w:val="005D71E9"/>
    <w:rsid w:val="005D7B8B"/>
    <w:rsid w:val="005D7F7B"/>
    <w:rsid w:val="005E0651"/>
    <w:rsid w:val="005E0BAD"/>
    <w:rsid w:val="005E0EA7"/>
    <w:rsid w:val="005E1214"/>
    <w:rsid w:val="005E18B1"/>
    <w:rsid w:val="005E2095"/>
    <w:rsid w:val="005E2438"/>
    <w:rsid w:val="005E2CBA"/>
    <w:rsid w:val="005E3210"/>
    <w:rsid w:val="005E3565"/>
    <w:rsid w:val="005E3BF3"/>
    <w:rsid w:val="005E49B5"/>
    <w:rsid w:val="005E5A0F"/>
    <w:rsid w:val="005E5E6F"/>
    <w:rsid w:val="005E625E"/>
    <w:rsid w:val="005E7100"/>
    <w:rsid w:val="005F157F"/>
    <w:rsid w:val="005F21C0"/>
    <w:rsid w:val="005F2BB5"/>
    <w:rsid w:val="005F2E6C"/>
    <w:rsid w:val="005F3A49"/>
    <w:rsid w:val="005F3B8B"/>
    <w:rsid w:val="005F44AE"/>
    <w:rsid w:val="005F53D3"/>
    <w:rsid w:val="005F5819"/>
    <w:rsid w:val="005F582E"/>
    <w:rsid w:val="005F694C"/>
    <w:rsid w:val="005F6C4E"/>
    <w:rsid w:val="005F7B4F"/>
    <w:rsid w:val="005F7E9D"/>
    <w:rsid w:val="005F7F1C"/>
    <w:rsid w:val="00600239"/>
    <w:rsid w:val="006007A0"/>
    <w:rsid w:val="00600DD6"/>
    <w:rsid w:val="00601D64"/>
    <w:rsid w:val="00602DE6"/>
    <w:rsid w:val="0060301F"/>
    <w:rsid w:val="00603A29"/>
    <w:rsid w:val="00604347"/>
    <w:rsid w:val="00604B08"/>
    <w:rsid w:val="00604BCD"/>
    <w:rsid w:val="00604CDD"/>
    <w:rsid w:val="00605C01"/>
    <w:rsid w:val="0060629B"/>
    <w:rsid w:val="006064B6"/>
    <w:rsid w:val="00606A38"/>
    <w:rsid w:val="00606B80"/>
    <w:rsid w:val="00607A07"/>
    <w:rsid w:val="00607BBF"/>
    <w:rsid w:val="00610811"/>
    <w:rsid w:val="00610DFF"/>
    <w:rsid w:val="00611289"/>
    <w:rsid w:val="00611429"/>
    <w:rsid w:val="006114C0"/>
    <w:rsid w:val="00612551"/>
    <w:rsid w:val="00613473"/>
    <w:rsid w:val="00613608"/>
    <w:rsid w:val="0061390E"/>
    <w:rsid w:val="00614780"/>
    <w:rsid w:val="00615A46"/>
    <w:rsid w:val="00616895"/>
    <w:rsid w:val="00616CED"/>
    <w:rsid w:val="00616E51"/>
    <w:rsid w:val="00617330"/>
    <w:rsid w:val="0061767A"/>
    <w:rsid w:val="00617AA5"/>
    <w:rsid w:val="00617DB5"/>
    <w:rsid w:val="0061A930"/>
    <w:rsid w:val="00620559"/>
    <w:rsid w:val="006218E2"/>
    <w:rsid w:val="00621AA1"/>
    <w:rsid w:val="0062208F"/>
    <w:rsid w:val="006224F0"/>
    <w:rsid w:val="00622AC0"/>
    <w:rsid w:val="006235CA"/>
    <w:rsid w:val="00623972"/>
    <w:rsid w:val="00623D09"/>
    <w:rsid w:val="00623FEA"/>
    <w:rsid w:val="00624677"/>
    <w:rsid w:val="00624847"/>
    <w:rsid w:val="0062529C"/>
    <w:rsid w:val="00625A5D"/>
    <w:rsid w:val="006267D7"/>
    <w:rsid w:val="00627D03"/>
    <w:rsid w:val="00627EB6"/>
    <w:rsid w:val="00631426"/>
    <w:rsid w:val="00631C89"/>
    <w:rsid w:val="00631E4D"/>
    <w:rsid w:val="0063231D"/>
    <w:rsid w:val="0063477A"/>
    <w:rsid w:val="00635AD7"/>
    <w:rsid w:val="00635FD6"/>
    <w:rsid w:val="00636074"/>
    <w:rsid w:val="00637982"/>
    <w:rsid w:val="00637F08"/>
    <w:rsid w:val="006400F0"/>
    <w:rsid w:val="00640876"/>
    <w:rsid w:val="00640983"/>
    <w:rsid w:val="00640D2B"/>
    <w:rsid w:val="0064194F"/>
    <w:rsid w:val="006446A4"/>
    <w:rsid w:val="006447F6"/>
    <w:rsid w:val="00644C01"/>
    <w:rsid w:val="00644D20"/>
    <w:rsid w:val="006453BA"/>
    <w:rsid w:val="006457F8"/>
    <w:rsid w:val="006462EA"/>
    <w:rsid w:val="0064718C"/>
    <w:rsid w:val="0064730B"/>
    <w:rsid w:val="0064779C"/>
    <w:rsid w:val="006478DB"/>
    <w:rsid w:val="00650155"/>
    <w:rsid w:val="0065055D"/>
    <w:rsid w:val="00650942"/>
    <w:rsid w:val="00650F48"/>
    <w:rsid w:val="00651AD6"/>
    <w:rsid w:val="00651BB6"/>
    <w:rsid w:val="006530AF"/>
    <w:rsid w:val="006539E7"/>
    <w:rsid w:val="00653B66"/>
    <w:rsid w:val="00653C67"/>
    <w:rsid w:val="00653D99"/>
    <w:rsid w:val="006576CF"/>
    <w:rsid w:val="00660038"/>
    <w:rsid w:val="0066082C"/>
    <w:rsid w:val="0066376D"/>
    <w:rsid w:val="006637F3"/>
    <w:rsid w:val="00663D18"/>
    <w:rsid w:val="0066419D"/>
    <w:rsid w:val="00664274"/>
    <w:rsid w:val="006642A2"/>
    <w:rsid w:val="0066490F"/>
    <w:rsid w:val="006653B4"/>
    <w:rsid w:val="00665B08"/>
    <w:rsid w:val="00665BDA"/>
    <w:rsid w:val="00665DDC"/>
    <w:rsid w:val="00666126"/>
    <w:rsid w:val="00666D04"/>
    <w:rsid w:val="00666DD3"/>
    <w:rsid w:val="006675A7"/>
    <w:rsid w:val="00667699"/>
    <w:rsid w:val="00670347"/>
    <w:rsid w:val="00670575"/>
    <w:rsid w:val="006707A4"/>
    <w:rsid w:val="00670CDE"/>
    <w:rsid w:val="0067147C"/>
    <w:rsid w:val="006718BD"/>
    <w:rsid w:val="006719A9"/>
    <w:rsid w:val="00671AF0"/>
    <w:rsid w:val="006725A5"/>
    <w:rsid w:val="00672C44"/>
    <w:rsid w:val="00673BF0"/>
    <w:rsid w:val="00674840"/>
    <w:rsid w:val="00675300"/>
    <w:rsid w:val="00675F04"/>
    <w:rsid w:val="00676359"/>
    <w:rsid w:val="00676377"/>
    <w:rsid w:val="0067649F"/>
    <w:rsid w:val="00676C05"/>
    <w:rsid w:val="0067741B"/>
    <w:rsid w:val="0068013B"/>
    <w:rsid w:val="00680C73"/>
    <w:rsid w:val="00680F11"/>
    <w:rsid w:val="006816AA"/>
    <w:rsid w:val="006819C4"/>
    <w:rsid w:val="00681C30"/>
    <w:rsid w:val="00681D2F"/>
    <w:rsid w:val="00681F6D"/>
    <w:rsid w:val="00682812"/>
    <w:rsid w:val="00682DDD"/>
    <w:rsid w:val="0068327F"/>
    <w:rsid w:val="00683609"/>
    <w:rsid w:val="00683A62"/>
    <w:rsid w:val="006840E6"/>
    <w:rsid w:val="00684269"/>
    <w:rsid w:val="00684439"/>
    <w:rsid w:val="006853B3"/>
    <w:rsid w:val="00685847"/>
    <w:rsid w:val="00685DF8"/>
    <w:rsid w:val="00685FBF"/>
    <w:rsid w:val="0068691E"/>
    <w:rsid w:val="00686A5A"/>
    <w:rsid w:val="00686B91"/>
    <w:rsid w:val="0068742D"/>
    <w:rsid w:val="00687CD4"/>
    <w:rsid w:val="006888A0"/>
    <w:rsid w:val="006903B0"/>
    <w:rsid w:val="00691AB4"/>
    <w:rsid w:val="00691C78"/>
    <w:rsid w:val="00691E09"/>
    <w:rsid w:val="006921B0"/>
    <w:rsid w:val="0069379D"/>
    <w:rsid w:val="006949E1"/>
    <w:rsid w:val="00694BCE"/>
    <w:rsid w:val="00694DDE"/>
    <w:rsid w:val="00695030"/>
    <w:rsid w:val="0069541A"/>
    <w:rsid w:val="0069561C"/>
    <w:rsid w:val="006960A9"/>
    <w:rsid w:val="0069798B"/>
    <w:rsid w:val="00697AB1"/>
    <w:rsid w:val="006A0074"/>
    <w:rsid w:val="006A00C2"/>
    <w:rsid w:val="006A047E"/>
    <w:rsid w:val="006A1A7D"/>
    <w:rsid w:val="006A1C49"/>
    <w:rsid w:val="006A1F3C"/>
    <w:rsid w:val="006A24CB"/>
    <w:rsid w:val="006A29F2"/>
    <w:rsid w:val="006A3E83"/>
    <w:rsid w:val="006A5083"/>
    <w:rsid w:val="006A5A3F"/>
    <w:rsid w:val="006A5FFD"/>
    <w:rsid w:val="006A627A"/>
    <w:rsid w:val="006A6366"/>
    <w:rsid w:val="006A76B5"/>
    <w:rsid w:val="006A7BC4"/>
    <w:rsid w:val="006B0DC2"/>
    <w:rsid w:val="006B1692"/>
    <w:rsid w:val="006B18DF"/>
    <w:rsid w:val="006B1A98"/>
    <w:rsid w:val="006B284A"/>
    <w:rsid w:val="006B368E"/>
    <w:rsid w:val="006B428C"/>
    <w:rsid w:val="006B5559"/>
    <w:rsid w:val="006B66BC"/>
    <w:rsid w:val="006B6E95"/>
    <w:rsid w:val="006C009C"/>
    <w:rsid w:val="006C0EED"/>
    <w:rsid w:val="006C1428"/>
    <w:rsid w:val="006C1B13"/>
    <w:rsid w:val="006C21FB"/>
    <w:rsid w:val="006C2224"/>
    <w:rsid w:val="006C2A5B"/>
    <w:rsid w:val="006C32AD"/>
    <w:rsid w:val="006C3535"/>
    <w:rsid w:val="006C36E8"/>
    <w:rsid w:val="006C429C"/>
    <w:rsid w:val="006C511A"/>
    <w:rsid w:val="006C51B8"/>
    <w:rsid w:val="006C6A74"/>
    <w:rsid w:val="006C6D14"/>
    <w:rsid w:val="006C7188"/>
    <w:rsid w:val="006C72A7"/>
    <w:rsid w:val="006D01A9"/>
    <w:rsid w:val="006D0E59"/>
    <w:rsid w:val="006D1187"/>
    <w:rsid w:val="006D12DA"/>
    <w:rsid w:val="006D1719"/>
    <w:rsid w:val="006D1810"/>
    <w:rsid w:val="006D2274"/>
    <w:rsid w:val="006D25D4"/>
    <w:rsid w:val="006D2983"/>
    <w:rsid w:val="006D320A"/>
    <w:rsid w:val="006D3B60"/>
    <w:rsid w:val="006D3C1D"/>
    <w:rsid w:val="006D3F3E"/>
    <w:rsid w:val="006D41C1"/>
    <w:rsid w:val="006D5674"/>
    <w:rsid w:val="006D58DB"/>
    <w:rsid w:val="006D5D10"/>
    <w:rsid w:val="006D63EC"/>
    <w:rsid w:val="006D64CF"/>
    <w:rsid w:val="006D6A90"/>
    <w:rsid w:val="006D7112"/>
    <w:rsid w:val="006D718A"/>
    <w:rsid w:val="006D783A"/>
    <w:rsid w:val="006D7E8C"/>
    <w:rsid w:val="006D7F8A"/>
    <w:rsid w:val="006DC006"/>
    <w:rsid w:val="006E06F8"/>
    <w:rsid w:val="006E0A77"/>
    <w:rsid w:val="006E0C03"/>
    <w:rsid w:val="006E147D"/>
    <w:rsid w:val="006E1E21"/>
    <w:rsid w:val="006E253F"/>
    <w:rsid w:val="006E4A76"/>
    <w:rsid w:val="006E505C"/>
    <w:rsid w:val="006E52AE"/>
    <w:rsid w:val="006E54EA"/>
    <w:rsid w:val="006E5A3F"/>
    <w:rsid w:val="006E5FFE"/>
    <w:rsid w:val="006E6312"/>
    <w:rsid w:val="006E67B0"/>
    <w:rsid w:val="006F02E0"/>
    <w:rsid w:val="006F03DA"/>
    <w:rsid w:val="006F0EEC"/>
    <w:rsid w:val="006F16F9"/>
    <w:rsid w:val="006F1AF5"/>
    <w:rsid w:val="006F1BC4"/>
    <w:rsid w:val="006F2D67"/>
    <w:rsid w:val="006F37EB"/>
    <w:rsid w:val="006F3FFE"/>
    <w:rsid w:val="006F45CE"/>
    <w:rsid w:val="006F51DD"/>
    <w:rsid w:val="006F5C87"/>
    <w:rsid w:val="006F5E27"/>
    <w:rsid w:val="006F60E7"/>
    <w:rsid w:val="006F6778"/>
    <w:rsid w:val="006F6A45"/>
    <w:rsid w:val="006F6C24"/>
    <w:rsid w:val="006F78DA"/>
    <w:rsid w:val="006F7D83"/>
    <w:rsid w:val="0070066D"/>
    <w:rsid w:val="007009A3"/>
    <w:rsid w:val="007010B2"/>
    <w:rsid w:val="007011C6"/>
    <w:rsid w:val="00701C26"/>
    <w:rsid w:val="0070255B"/>
    <w:rsid w:val="00703D2D"/>
    <w:rsid w:val="00703D34"/>
    <w:rsid w:val="00704233"/>
    <w:rsid w:val="00704671"/>
    <w:rsid w:val="00704760"/>
    <w:rsid w:val="00705306"/>
    <w:rsid w:val="00705B64"/>
    <w:rsid w:val="00705B6A"/>
    <w:rsid w:val="007060FD"/>
    <w:rsid w:val="007066C8"/>
    <w:rsid w:val="00707C9E"/>
    <w:rsid w:val="007104D8"/>
    <w:rsid w:val="0071057C"/>
    <w:rsid w:val="00710F18"/>
    <w:rsid w:val="007111DC"/>
    <w:rsid w:val="0071129A"/>
    <w:rsid w:val="00711431"/>
    <w:rsid w:val="007123FC"/>
    <w:rsid w:val="00712834"/>
    <w:rsid w:val="007132B2"/>
    <w:rsid w:val="007145EE"/>
    <w:rsid w:val="007149D9"/>
    <w:rsid w:val="00715595"/>
    <w:rsid w:val="0071603C"/>
    <w:rsid w:val="007168FD"/>
    <w:rsid w:val="00717D11"/>
    <w:rsid w:val="007206D4"/>
    <w:rsid w:val="00720A17"/>
    <w:rsid w:val="007210EC"/>
    <w:rsid w:val="00721AD0"/>
    <w:rsid w:val="00722786"/>
    <w:rsid w:val="007245A0"/>
    <w:rsid w:val="007246E1"/>
    <w:rsid w:val="00724CBA"/>
    <w:rsid w:val="00725DBF"/>
    <w:rsid w:val="00725E04"/>
    <w:rsid w:val="007260EF"/>
    <w:rsid w:val="00726205"/>
    <w:rsid w:val="00726CFD"/>
    <w:rsid w:val="00726D8F"/>
    <w:rsid w:val="00726E26"/>
    <w:rsid w:val="007279C6"/>
    <w:rsid w:val="00727C80"/>
    <w:rsid w:val="0073026C"/>
    <w:rsid w:val="0073075F"/>
    <w:rsid w:val="007309BC"/>
    <w:rsid w:val="007314D7"/>
    <w:rsid w:val="00731571"/>
    <w:rsid w:val="00731DDD"/>
    <w:rsid w:val="007323B2"/>
    <w:rsid w:val="007329D8"/>
    <w:rsid w:val="00732EAC"/>
    <w:rsid w:val="007335EE"/>
    <w:rsid w:val="007338D8"/>
    <w:rsid w:val="00733C3E"/>
    <w:rsid w:val="00733DC7"/>
    <w:rsid w:val="00733DD2"/>
    <w:rsid w:val="0073404F"/>
    <w:rsid w:val="00734712"/>
    <w:rsid w:val="00734917"/>
    <w:rsid w:val="00736AB8"/>
    <w:rsid w:val="00737540"/>
    <w:rsid w:val="007375C8"/>
    <w:rsid w:val="00737706"/>
    <w:rsid w:val="00737FB1"/>
    <w:rsid w:val="007410CF"/>
    <w:rsid w:val="00741963"/>
    <w:rsid w:val="00741CBC"/>
    <w:rsid w:val="00742380"/>
    <w:rsid w:val="00742754"/>
    <w:rsid w:val="00742B97"/>
    <w:rsid w:val="00742BFE"/>
    <w:rsid w:val="00742EB9"/>
    <w:rsid w:val="00743EC4"/>
    <w:rsid w:val="00743F04"/>
    <w:rsid w:val="00744B8B"/>
    <w:rsid w:val="007451E6"/>
    <w:rsid w:val="00745739"/>
    <w:rsid w:val="007459D9"/>
    <w:rsid w:val="007465BD"/>
    <w:rsid w:val="00747ABD"/>
    <w:rsid w:val="0075065F"/>
    <w:rsid w:val="00751B3B"/>
    <w:rsid w:val="00752510"/>
    <w:rsid w:val="00752BFE"/>
    <w:rsid w:val="00753725"/>
    <w:rsid w:val="00753849"/>
    <w:rsid w:val="00753EF5"/>
    <w:rsid w:val="00753FED"/>
    <w:rsid w:val="00754134"/>
    <w:rsid w:val="00754639"/>
    <w:rsid w:val="00755001"/>
    <w:rsid w:val="0075582E"/>
    <w:rsid w:val="00756927"/>
    <w:rsid w:val="00756BD0"/>
    <w:rsid w:val="00756E53"/>
    <w:rsid w:val="00757290"/>
    <w:rsid w:val="0076000B"/>
    <w:rsid w:val="00760127"/>
    <w:rsid w:val="00760229"/>
    <w:rsid w:val="00760279"/>
    <w:rsid w:val="007607F9"/>
    <w:rsid w:val="00760B8F"/>
    <w:rsid w:val="00761993"/>
    <w:rsid w:val="00761AEE"/>
    <w:rsid w:val="00761AFB"/>
    <w:rsid w:val="00761B40"/>
    <w:rsid w:val="00761D69"/>
    <w:rsid w:val="0076265E"/>
    <w:rsid w:val="007627D9"/>
    <w:rsid w:val="00764F29"/>
    <w:rsid w:val="00765BB0"/>
    <w:rsid w:val="00765D5A"/>
    <w:rsid w:val="00766250"/>
    <w:rsid w:val="007663E7"/>
    <w:rsid w:val="00766652"/>
    <w:rsid w:val="00766CA8"/>
    <w:rsid w:val="0077021D"/>
    <w:rsid w:val="007707B8"/>
    <w:rsid w:val="007708C8"/>
    <w:rsid w:val="00770C4B"/>
    <w:rsid w:val="00770C65"/>
    <w:rsid w:val="00771178"/>
    <w:rsid w:val="00771520"/>
    <w:rsid w:val="00771C7E"/>
    <w:rsid w:val="00772377"/>
    <w:rsid w:val="00772C61"/>
    <w:rsid w:val="00773108"/>
    <w:rsid w:val="00775CEC"/>
    <w:rsid w:val="0077654F"/>
    <w:rsid w:val="00776A75"/>
    <w:rsid w:val="00780454"/>
    <w:rsid w:val="00781AA5"/>
    <w:rsid w:val="00781B28"/>
    <w:rsid w:val="00782603"/>
    <w:rsid w:val="00782803"/>
    <w:rsid w:val="0078319B"/>
    <w:rsid w:val="007851D5"/>
    <w:rsid w:val="00785467"/>
    <w:rsid w:val="00785B10"/>
    <w:rsid w:val="00785DE2"/>
    <w:rsid w:val="00787251"/>
    <w:rsid w:val="007878E6"/>
    <w:rsid w:val="00787C1F"/>
    <w:rsid w:val="00787FF1"/>
    <w:rsid w:val="00790B50"/>
    <w:rsid w:val="00792540"/>
    <w:rsid w:val="007930B2"/>
    <w:rsid w:val="0079316E"/>
    <w:rsid w:val="0079327B"/>
    <w:rsid w:val="0079351D"/>
    <w:rsid w:val="00794A8E"/>
    <w:rsid w:val="007952B5"/>
    <w:rsid w:val="007952BA"/>
    <w:rsid w:val="0079626C"/>
    <w:rsid w:val="00796541"/>
    <w:rsid w:val="007966ED"/>
    <w:rsid w:val="00796805"/>
    <w:rsid w:val="00796D00"/>
    <w:rsid w:val="007A031A"/>
    <w:rsid w:val="007A060B"/>
    <w:rsid w:val="007A0873"/>
    <w:rsid w:val="007A0942"/>
    <w:rsid w:val="007A101C"/>
    <w:rsid w:val="007A10E0"/>
    <w:rsid w:val="007A187E"/>
    <w:rsid w:val="007A1968"/>
    <w:rsid w:val="007A2148"/>
    <w:rsid w:val="007A2886"/>
    <w:rsid w:val="007A2D24"/>
    <w:rsid w:val="007A2EDB"/>
    <w:rsid w:val="007A4316"/>
    <w:rsid w:val="007A53E7"/>
    <w:rsid w:val="007A5E05"/>
    <w:rsid w:val="007A62E2"/>
    <w:rsid w:val="007A6E3B"/>
    <w:rsid w:val="007A7426"/>
    <w:rsid w:val="007A77C9"/>
    <w:rsid w:val="007A7832"/>
    <w:rsid w:val="007A7985"/>
    <w:rsid w:val="007A79EA"/>
    <w:rsid w:val="007B0143"/>
    <w:rsid w:val="007B0207"/>
    <w:rsid w:val="007B04B8"/>
    <w:rsid w:val="007B05A3"/>
    <w:rsid w:val="007B0F6A"/>
    <w:rsid w:val="007B2162"/>
    <w:rsid w:val="007B267F"/>
    <w:rsid w:val="007B2795"/>
    <w:rsid w:val="007B2828"/>
    <w:rsid w:val="007B3408"/>
    <w:rsid w:val="007B4237"/>
    <w:rsid w:val="007B42D9"/>
    <w:rsid w:val="007B4435"/>
    <w:rsid w:val="007B4440"/>
    <w:rsid w:val="007B4529"/>
    <w:rsid w:val="007B4CE1"/>
    <w:rsid w:val="007B563B"/>
    <w:rsid w:val="007B6697"/>
    <w:rsid w:val="007B6BC7"/>
    <w:rsid w:val="007B743B"/>
    <w:rsid w:val="007B7722"/>
    <w:rsid w:val="007B798A"/>
    <w:rsid w:val="007B7A55"/>
    <w:rsid w:val="007B7A58"/>
    <w:rsid w:val="007B7ABE"/>
    <w:rsid w:val="007B7BEA"/>
    <w:rsid w:val="007B7FC4"/>
    <w:rsid w:val="007C00E2"/>
    <w:rsid w:val="007C0495"/>
    <w:rsid w:val="007C1114"/>
    <w:rsid w:val="007C11A2"/>
    <w:rsid w:val="007C1CEC"/>
    <w:rsid w:val="007C1D5F"/>
    <w:rsid w:val="007C1E13"/>
    <w:rsid w:val="007C2148"/>
    <w:rsid w:val="007C2453"/>
    <w:rsid w:val="007C25FB"/>
    <w:rsid w:val="007C2EB2"/>
    <w:rsid w:val="007C3F01"/>
    <w:rsid w:val="007C40AA"/>
    <w:rsid w:val="007C4AEF"/>
    <w:rsid w:val="007C4B99"/>
    <w:rsid w:val="007C4C98"/>
    <w:rsid w:val="007C4CFB"/>
    <w:rsid w:val="007C53AD"/>
    <w:rsid w:val="007C552E"/>
    <w:rsid w:val="007C5F4D"/>
    <w:rsid w:val="007C6A75"/>
    <w:rsid w:val="007C72EC"/>
    <w:rsid w:val="007C7B05"/>
    <w:rsid w:val="007C7DC6"/>
    <w:rsid w:val="007C7FD6"/>
    <w:rsid w:val="007D1DA6"/>
    <w:rsid w:val="007D23F5"/>
    <w:rsid w:val="007D2BE6"/>
    <w:rsid w:val="007D3579"/>
    <w:rsid w:val="007D4993"/>
    <w:rsid w:val="007D4D07"/>
    <w:rsid w:val="007D51EB"/>
    <w:rsid w:val="007D7641"/>
    <w:rsid w:val="007E0219"/>
    <w:rsid w:val="007E04F7"/>
    <w:rsid w:val="007E083E"/>
    <w:rsid w:val="007E09A4"/>
    <w:rsid w:val="007E2778"/>
    <w:rsid w:val="007E2A8F"/>
    <w:rsid w:val="007E36B3"/>
    <w:rsid w:val="007E3B72"/>
    <w:rsid w:val="007E3F6D"/>
    <w:rsid w:val="007E51D6"/>
    <w:rsid w:val="007E576F"/>
    <w:rsid w:val="007E5F15"/>
    <w:rsid w:val="007E6BDF"/>
    <w:rsid w:val="007E709C"/>
    <w:rsid w:val="007E7CD1"/>
    <w:rsid w:val="007E7DC4"/>
    <w:rsid w:val="007F0D7A"/>
    <w:rsid w:val="007F0F30"/>
    <w:rsid w:val="007F1815"/>
    <w:rsid w:val="007F1AEE"/>
    <w:rsid w:val="007F2509"/>
    <w:rsid w:val="007F2D4C"/>
    <w:rsid w:val="007F2DC2"/>
    <w:rsid w:val="007F31ED"/>
    <w:rsid w:val="007F35B6"/>
    <w:rsid w:val="007F39EE"/>
    <w:rsid w:val="007F4C42"/>
    <w:rsid w:val="007F5EAA"/>
    <w:rsid w:val="007F64C3"/>
    <w:rsid w:val="007F7329"/>
    <w:rsid w:val="007F7346"/>
    <w:rsid w:val="007F73ED"/>
    <w:rsid w:val="0080069E"/>
    <w:rsid w:val="00801643"/>
    <w:rsid w:val="00801C29"/>
    <w:rsid w:val="00801E7A"/>
    <w:rsid w:val="0080212F"/>
    <w:rsid w:val="00804562"/>
    <w:rsid w:val="008047C8"/>
    <w:rsid w:val="00804932"/>
    <w:rsid w:val="00804A23"/>
    <w:rsid w:val="008055FF"/>
    <w:rsid w:val="00805B0A"/>
    <w:rsid w:val="00806218"/>
    <w:rsid w:val="00806CFA"/>
    <w:rsid w:val="00806F55"/>
    <w:rsid w:val="0080762E"/>
    <w:rsid w:val="00810F8C"/>
    <w:rsid w:val="0081181B"/>
    <w:rsid w:val="00811892"/>
    <w:rsid w:val="008120D1"/>
    <w:rsid w:val="008127FD"/>
    <w:rsid w:val="00812A73"/>
    <w:rsid w:val="008131E5"/>
    <w:rsid w:val="00814685"/>
    <w:rsid w:val="00814AE2"/>
    <w:rsid w:val="008166CE"/>
    <w:rsid w:val="008169C1"/>
    <w:rsid w:val="00816F42"/>
    <w:rsid w:val="00817CC7"/>
    <w:rsid w:val="00820608"/>
    <w:rsid w:val="00820798"/>
    <w:rsid w:val="00820B77"/>
    <w:rsid w:val="00821397"/>
    <w:rsid w:val="008216DB"/>
    <w:rsid w:val="00822069"/>
    <w:rsid w:val="008227B6"/>
    <w:rsid w:val="00822D8E"/>
    <w:rsid w:val="00823220"/>
    <w:rsid w:val="00824C0E"/>
    <w:rsid w:val="00824DBE"/>
    <w:rsid w:val="00825AD3"/>
    <w:rsid w:val="00825F03"/>
    <w:rsid w:val="008271E5"/>
    <w:rsid w:val="00830523"/>
    <w:rsid w:val="0083231A"/>
    <w:rsid w:val="008324F6"/>
    <w:rsid w:val="00832D34"/>
    <w:rsid w:val="0083302B"/>
    <w:rsid w:val="00833226"/>
    <w:rsid w:val="00834859"/>
    <w:rsid w:val="00835626"/>
    <w:rsid w:val="00836F46"/>
    <w:rsid w:val="00837236"/>
    <w:rsid w:val="0083B6F8"/>
    <w:rsid w:val="008405B1"/>
    <w:rsid w:val="008416AD"/>
    <w:rsid w:val="00841AAA"/>
    <w:rsid w:val="00842752"/>
    <w:rsid w:val="00842940"/>
    <w:rsid w:val="00842BAB"/>
    <w:rsid w:val="00843849"/>
    <w:rsid w:val="00843A2B"/>
    <w:rsid w:val="00843A94"/>
    <w:rsid w:val="00843FE7"/>
    <w:rsid w:val="00844F83"/>
    <w:rsid w:val="00845307"/>
    <w:rsid w:val="00845CEB"/>
    <w:rsid w:val="00846379"/>
    <w:rsid w:val="0084641C"/>
    <w:rsid w:val="0084665B"/>
    <w:rsid w:val="00850F6D"/>
    <w:rsid w:val="00851768"/>
    <w:rsid w:val="00851DF4"/>
    <w:rsid w:val="008526F1"/>
    <w:rsid w:val="00852BA7"/>
    <w:rsid w:val="00853337"/>
    <w:rsid w:val="008533B4"/>
    <w:rsid w:val="0085359D"/>
    <w:rsid w:val="008537EB"/>
    <w:rsid w:val="00853A9C"/>
    <w:rsid w:val="008545BC"/>
    <w:rsid w:val="008559A0"/>
    <w:rsid w:val="00855BC5"/>
    <w:rsid w:val="00855D29"/>
    <w:rsid w:val="00856DEF"/>
    <w:rsid w:val="00856EEB"/>
    <w:rsid w:val="008600F7"/>
    <w:rsid w:val="00860675"/>
    <w:rsid w:val="0086252A"/>
    <w:rsid w:val="00862A86"/>
    <w:rsid w:val="00863042"/>
    <w:rsid w:val="008630B1"/>
    <w:rsid w:val="00863258"/>
    <w:rsid w:val="008636EF"/>
    <w:rsid w:val="00863CBE"/>
    <w:rsid w:val="00863CF8"/>
    <w:rsid w:val="00863FFF"/>
    <w:rsid w:val="008642CB"/>
    <w:rsid w:val="00865054"/>
    <w:rsid w:val="00865470"/>
    <w:rsid w:val="00865C55"/>
    <w:rsid w:val="008661E2"/>
    <w:rsid w:val="00866A72"/>
    <w:rsid w:val="00866FB7"/>
    <w:rsid w:val="00871C04"/>
    <w:rsid w:val="00871CA2"/>
    <w:rsid w:val="0087264E"/>
    <w:rsid w:val="00872B36"/>
    <w:rsid w:val="008739C6"/>
    <w:rsid w:val="0087447A"/>
    <w:rsid w:val="00875806"/>
    <w:rsid w:val="0087634B"/>
    <w:rsid w:val="0087686A"/>
    <w:rsid w:val="00876E02"/>
    <w:rsid w:val="0088013A"/>
    <w:rsid w:val="00880615"/>
    <w:rsid w:val="00880BEA"/>
    <w:rsid w:val="008812EA"/>
    <w:rsid w:val="00881CAD"/>
    <w:rsid w:val="00881DB4"/>
    <w:rsid w:val="00882B0D"/>
    <w:rsid w:val="00882BCE"/>
    <w:rsid w:val="00882DC7"/>
    <w:rsid w:val="00882DE0"/>
    <w:rsid w:val="00883149"/>
    <w:rsid w:val="00884E2B"/>
    <w:rsid w:val="00885060"/>
    <w:rsid w:val="00885FDB"/>
    <w:rsid w:val="008867E5"/>
    <w:rsid w:val="0088719C"/>
    <w:rsid w:val="00890B29"/>
    <w:rsid w:val="00890C23"/>
    <w:rsid w:val="008912D7"/>
    <w:rsid w:val="00891A4E"/>
    <w:rsid w:val="0089222C"/>
    <w:rsid w:val="008922F7"/>
    <w:rsid w:val="008928E2"/>
    <w:rsid w:val="00893046"/>
    <w:rsid w:val="00894932"/>
    <w:rsid w:val="00894D95"/>
    <w:rsid w:val="00894ECA"/>
    <w:rsid w:val="00896CC8"/>
    <w:rsid w:val="00897B6E"/>
    <w:rsid w:val="008A0029"/>
    <w:rsid w:val="008A0202"/>
    <w:rsid w:val="008A0350"/>
    <w:rsid w:val="008A0E96"/>
    <w:rsid w:val="008A17E1"/>
    <w:rsid w:val="008A229D"/>
    <w:rsid w:val="008A2976"/>
    <w:rsid w:val="008A2BE9"/>
    <w:rsid w:val="008A2CED"/>
    <w:rsid w:val="008A2EFE"/>
    <w:rsid w:val="008A3638"/>
    <w:rsid w:val="008A4134"/>
    <w:rsid w:val="008A46B1"/>
    <w:rsid w:val="008A4DDC"/>
    <w:rsid w:val="008A4E34"/>
    <w:rsid w:val="008A5B5A"/>
    <w:rsid w:val="008A5EF2"/>
    <w:rsid w:val="008A6BFA"/>
    <w:rsid w:val="008A6D7E"/>
    <w:rsid w:val="008A7415"/>
    <w:rsid w:val="008B0977"/>
    <w:rsid w:val="008B1077"/>
    <w:rsid w:val="008B1D7D"/>
    <w:rsid w:val="008B2139"/>
    <w:rsid w:val="008B21F4"/>
    <w:rsid w:val="008B25A5"/>
    <w:rsid w:val="008B28F1"/>
    <w:rsid w:val="008B321C"/>
    <w:rsid w:val="008B334D"/>
    <w:rsid w:val="008B33BC"/>
    <w:rsid w:val="008B472B"/>
    <w:rsid w:val="008B4D2D"/>
    <w:rsid w:val="008B66AD"/>
    <w:rsid w:val="008B66C2"/>
    <w:rsid w:val="008B689D"/>
    <w:rsid w:val="008B6915"/>
    <w:rsid w:val="008B6F41"/>
    <w:rsid w:val="008B7ADA"/>
    <w:rsid w:val="008C1464"/>
    <w:rsid w:val="008C1593"/>
    <w:rsid w:val="008C2DAC"/>
    <w:rsid w:val="008C3765"/>
    <w:rsid w:val="008C3806"/>
    <w:rsid w:val="008C39B9"/>
    <w:rsid w:val="008C3E16"/>
    <w:rsid w:val="008C4844"/>
    <w:rsid w:val="008C4ACC"/>
    <w:rsid w:val="008C4AE5"/>
    <w:rsid w:val="008C5397"/>
    <w:rsid w:val="008C716A"/>
    <w:rsid w:val="008C7598"/>
    <w:rsid w:val="008C78FF"/>
    <w:rsid w:val="008C7957"/>
    <w:rsid w:val="008D0412"/>
    <w:rsid w:val="008D1F96"/>
    <w:rsid w:val="008D217B"/>
    <w:rsid w:val="008D282F"/>
    <w:rsid w:val="008D29CB"/>
    <w:rsid w:val="008D2C2D"/>
    <w:rsid w:val="008D2DFB"/>
    <w:rsid w:val="008D3425"/>
    <w:rsid w:val="008D3941"/>
    <w:rsid w:val="008D3F40"/>
    <w:rsid w:val="008D488A"/>
    <w:rsid w:val="008D54BC"/>
    <w:rsid w:val="008D5759"/>
    <w:rsid w:val="008D5826"/>
    <w:rsid w:val="008D6449"/>
    <w:rsid w:val="008D7C14"/>
    <w:rsid w:val="008E0093"/>
    <w:rsid w:val="008E1302"/>
    <w:rsid w:val="008E1399"/>
    <w:rsid w:val="008E1EFA"/>
    <w:rsid w:val="008E2794"/>
    <w:rsid w:val="008E2C29"/>
    <w:rsid w:val="008E2C66"/>
    <w:rsid w:val="008E2FB9"/>
    <w:rsid w:val="008E31DB"/>
    <w:rsid w:val="008E3D3E"/>
    <w:rsid w:val="008E3EB1"/>
    <w:rsid w:val="008E438A"/>
    <w:rsid w:val="008E4A3F"/>
    <w:rsid w:val="008E53CD"/>
    <w:rsid w:val="008E6116"/>
    <w:rsid w:val="008E70D2"/>
    <w:rsid w:val="008E761F"/>
    <w:rsid w:val="008E7A0F"/>
    <w:rsid w:val="008E7CDE"/>
    <w:rsid w:val="008F0564"/>
    <w:rsid w:val="008F1369"/>
    <w:rsid w:val="008F1A6C"/>
    <w:rsid w:val="008F1CD3"/>
    <w:rsid w:val="008F2547"/>
    <w:rsid w:val="008F2F1A"/>
    <w:rsid w:val="008F302D"/>
    <w:rsid w:val="008F4100"/>
    <w:rsid w:val="008F46A1"/>
    <w:rsid w:val="008F4A25"/>
    <w:rsid w:val="008F5275"/>
    <w:rsid w:val="008F56DA"/>
    <w:rsid w:val="008F6691"/>
    <w:rsid w:val="008F76F7"/>
    <w:rsid w:val="008F775C"/>
    <w:rsid w:val="008F7840"/>
    <w:rsid w:val="008F792E"/>
    <w:rsid w:val="009001D3"/>
    <w:rsid w:val="00900964"/>
    <w:rsid w:val="00900FDA"/>
    <w:rsid w:val="00901374"/>
    <w:rsid w:val="00901D30"/>
    <w:rsid w:val="00901E2A"/>
    <w:rsid w:val="009027D7"/>
    <w:rsid w:val="00902857"/>
    <w:rsid w:val="00902E3F"/>
    <w:rsid w:val="009030A8"/>
    <w:rsid w:val="0090389B"/>
    <w:rsid w:val="00903B36"/>
    <w:rsid w:val="00904A4B"/>
    <w:rsid w:val="009053FC"/>
    <w:rsid w:val="00906002"/>
    <w:rsid w:val="00910316"/>
    <w:rsid w:val="00910691"/>
    <w:rsid w:val="00912107"/>
    <w:rsid w:val="0091237C"/>
    <w:rsid w:val="00912CC2"/>
    <w:rsid w:val="0091306C"/>
    <w:rsid w:val="00913377"/>
    <w:rsid w:val="00913D41"/>
    <w:rsid w:val="009145B7"/>
    <w:rsid w:val="00914610"/>
    <w:rsid w:val="00914B01"/>
    <w:rsid w:val="0091596E"/>
    <w:rsid w:val="00917313"/>
    <w:rsid w:val="00917E7F"/>
    <w:rsid w:val="0092139D"/>
    <w:rsid w:val="009217AE"/>
    <w:rsid w:val="00921EF8"/>
    <w:rsid w:val="00922B77"/>
    <w:rsid w:val="00923C5C"/>
    <w:rsid w:val="0092411E"/>
    <w:rsid w:val="0092577D"/>
    <w:rsid w:val="009257AF"/>
    <w:rsid w:val="00926491"/>
    <w:rsid w:val="009273FE"/>
    <w:rsid w:val="00927CEE"/>
    <w:rsid w:val="00927E2E"/>
    <w:rsid w:val="00930D2C"/>
    <w:rsid w:val="00930EE3"/>
    <w:rsid w:val="00931745"/>
    <w:rsid w:val="0093180C"/>
    <w:rsid w:val="00931CE5"/>
    <w:rsid w:val="00931FC6"/>
    <w:rsid w:val="009322B9"/>
    <w:rsid w:val="009322E2"/>
    <w:rsid w:val="00932406"/>
    <w:rsid w:val="0093406A"/>
    <w:rsid w:val="0093466A"/>
    <w:rsid w:val="00934A5E"/>
    <w:rsid w:val="00935005"/>
    <w:rsid w:val="0093607E"/>
    <w:rsid w:val="00936099"/>
    <w:rsid w:val="00936E1F"/>
    <w:rsid w:val="00936E29"/>
    <w:rsid w:val="00937DBE"/>
    <w:rsid w:val="00940F65"/>
    <w:rsid w:val="00940FA4"/>
    <w:rsid w:val="00941133"/>
    <w:rsid w:val="009414ED"/>
    <w:rsid w:val="00941FF3"/>
    <w:rsid w:val="00942131"/>
    <w:rsid w:val="009425B5"/>
    <w:rsid w:val="00943246"/>
    <w:rsid w:val="00944290"/>
    <w:rsid w:val="00944BCB"/>
    <w:rsid w:val="00944FEB"/>
    <w:rsid w:val="009451FA"/>
    <w:rsid w:val="00945E97"/>
    <w:rsid w:val="00945FDB"/>
    <w:rsid w:val="009464B5"/>
    <w:rsid w:val="00946944"/>
    <w:rsid w:val="00946A2A"/>
    <w:rsid w:val="0095052C"/>
    <w:rsid w:val="009505B5"/>
    <w:rsid w:val="00950ACD"/>
    <w:rsid w:val="009518ED"/>
    <w:rsid w:val="0095200C"/>
    <w:rsid w:val="0095243B"/>
    <w:rsid w:val="009525B3"/>
    <w:rsid w:val="00952607"/>
    <w:rsid w:val="00952E36"/>
    <w:rsid w:val="009531F1"/>
    <w:rsid w:val="0095339B"/>
    <w:rsid w:val="00953597"/>
    <w:rsid w:val="00953DA1"/>
    <w:rsid w:val="00953E8C"/>
    <w:rsid w:val="00954083"/>
    <w:rsid w:val="0095564A"/>
    <w:rsid w:val="00955AEC"/>
    <w:rsid w:val="00955DC7"/>
    <w:rsid w:val="00955ECF"/>
    <w:rsid w:val="009567F4"/>
    <w:rsid w:val="0095693B"/>
    <w:rsid w:val="00956D88"/>
    <w:rsid w:val="00957042"/>
    <w:rsid w:val="009603FB"/>
    <w:rsid w:val="00960638"/>
    <w:rsid w:val="009612F2"/>
    <w:rsid w:val="0096133C"/>
    <w:rsid w:val="00961517"/>
    <w:rsid w:val="00961AB5"/>
    <w:rsid w:val="00961CF1"/>
    <w:rsid w:val="009625EC"/>
    <w:rsid w:val="00963D24"/>
    <w:rsid w:val="00963D35"/>
    <w:rsid w:val="00963D81"/>
    <w:rsid w:val="00965312"/>
    <w:rsid w:val="00965C57"/>
    <w:rsid w:val="009671C4"/>
    <w:rsid w:val="00967283"/>
    <w:rsid w:val="00970CB8"/>
    <w:rsid w:val="00970CFC"/>
    <w:rsid w:val="00971423"/>
    <w:rsid w:val="00971A93"/>
    <w:rsid w:val="009721C1"/>
    <w:rsid w:val="00973AA6"/>
    <w:rsid w:val="00973E95"/>
    <w:rsid w:val="00974251"/>
    <w:rsid w:val="00974359"/>
    <w:rsid w:val="00975001"/>
    <w:rsid w:val="00977CB2"/>
    <w:rsid w:val="00977DC6"/>
    <w:rsid w:val="00980375"/>
    <w:rsid w:val="0098053C"/>
    <w:rsid w:val="00980BE9"/>
    <w:rsid w:val="00980E62"/>
    <w:rsid w:val="009817ED"/>
    <w:rsid w:val="00981FB6"/>
    <w:rsid w:val="00982158"/>
    <w:rsid w:val="0098231A"/>
    <w:rsid w:val="0098289C"/>
    <w:rsid w:val="00982E5D"/>
    <w:rsid w:val="00983A39"/>
    <w:rsid w:val="00984276"/>
    <w:rsid w:val="00985A08"/>
    <w:rsid w:val="00985FFB"/>
    <w:rsid w:val="009865C5"/>
    <w:rsid w:val="0098660F"/>
    <w:rsid w:val="00986EDE"/>
    <w:rsid w:val="00987838"/>
    <w:rsid w:val="00987CE3"/>
    <w:rsid w:val="0099026D"/>
    <w:rsid w:val="009904B6"/>
    <w:rsid w:val="0099076B"/>
    <w:rsid w:val="00990993"/>
    <w:rsid w:val="009910DB"/>
    <w:rsid w:val="00991B2B"/>
    <w:rsid w:val="00991E5A"/>
    <w:rsid w:val="00992771"/>
    <w:rsid w:val="009928AD"/>
    <w:rsid w:val="009937DC"/>
    <w:rsid w:val="00994325"/>
    <w:rsid w:val="00994956"/>
    <w:rsid w:val="009949F5"/>
    <w:rsid w:val="00994B1D"/>
    <w:rsid w:val="00995227"/>
    <w:rsid w:val="00995389"/>
    <w:rsid w:val="00995B70"/>
    <w:rsid w:val="00996053"/>
    <w:rsid w:val="009973D5"/>
    <w:rsid w:val="0099749E"/>
    <w:rsid w:val="00997B9F"/>
    <w:rsid w:val="00997CD0"/>
    <w:rsid w:val="009A0335"/>
    <w:rsid w:val="009A06B5"/>
    <w:rsid w:val="009A1191"/>
    <w:rsid w:val="009A24F3"/>
    <w:rsid w:val="009A311F"/>
    <w:rsid w:val="009A3715"/>
    <w:rsid w:val="009A3816"/>
    <w:rsid w:val="009A3EAB"/>
    <w:rsid w:val="009A426C"/>
    <w:rsid w:val="009A5619"/>
    <w:rsid w:val="009A5793"/>
    <w:rsid w:val="009A615B"/>
    <w:rsid w:val="009A636B"/>
    <w:rsid w:val="009A67B9"/>
    <w:rsid w:val="009A6899"/>
    <w:rsid w:val="009A6927"/>
    <w:rsid w:val="009A6AC0"/>
    <w:rsid w:val="009A7282"/>
    <w:rsid w:val="009B006F"/>
    <w:rsid w:val="009B0A6D"/>
    <w:rsid w:val="009B0CB8"/>
    <w:rsid w:val="009B0D6D"/>
    <w:rsid w:val="009B17B1"/>
    <w:rsid w:val="009B1C6F"/>
    <w:rsid w:val="009B1F48"/>
    <w:rsid w:val="009B210C"/>
    <w:rsid w:val="009B2674"/>
    <w:rsid w:val="009B26F3"/>
    <w:rsid w:val="009B273E"/>
    <w:rsid w:val="009B2DA2"/>
    <w:rsid w:val="009B403E"/>
    <w:rsid w:val="009B472C"/>
    <w:rsid w:val="009B5A3C"/>
    <w:rsid w:val="009B5AFC"/>
    <w:rsid w:val="009B62D8"/>
    <w:rsid w:val="009B66B1"/>
    <w:rsid w:val="009B7AEE"/>
    <w:rsid w:val="009B7C83"/>
    <w:rsid w:val="009B7D9E"/>
    <w:rsid w:val="009C0525"/>
    <w:rsid w:val="009C1B37"/>
    <w:rsid w:val="009C1EEC"/>
    <w:rsid w:val="009C27C0"/>
    <w:rsid w:val="009C2CA9"/>
    <w:rsid w:val="009C2E53"/>
    <w:rsid w:val="009C2F92"/>
    <w:rsid w:val="009C3F45"/>
    <w:rsid w:val="009C3FAA"/>
    <w:rsid w:val="009C4AD6"/>
    <w:rsid w:val="009C4B70"/>
    <w:rsid w:val="009C4D67"/>
    <w:rsid w:val="009C5D84"/>
    <w:rsid w:val="009C747A"/>
    <w:rsid w:val="009C76A1"/>
    <w:rsid w:val="009C76E7"/>
    <w:rsid w:val="009C7BF9"/>
    <w:rsid w:val="009C7C94"/>
    <w:rsid w:val="009C7DFA"/>
    <w:rsid w:val="009CC1F9"/>
    <w:rsid w:val="009D0060"/>
    <w:rsid w:val="009D0A7E"/>
    <w:rsid w:val="009D1055"/>
    <w:rsid w:val="009D1AEB"/>
    <w:rsid w:val="009D2A41"/>
    <w:rsid w:val="009D2A8F"/>
    <w:rsid w:val="009D2E5A"/>
    <w:rsid w:val="009D3BFB"/>
    <w:rsid w:val="009D403E"/>
    <w:rsid w:val="009D45BF"/>
    <w:rsid w:val="009D465A"/>
    <w:rsid w:val="009D4758"/>
    <w:rsid w:val="009D4D69"/>
    <w:rsid w:val="009D621B"/>
    <w:rsid w:val="009D720F"/>
    <w:rsid w:val="009D7442"/>
    <w:rsid w:val="009D76E7"/>
    <w:rsid w:val="009D7BD9"/>
    <w:rsid w:val="009D7DBE"/>
    <w:rsid w:val="009E05DC"/>
    <w:rsid w:val="009E0C08"/>
    <w:rsid w:val="009E1944"/>
    <w:rsid w:val="009E1C5B"/>
    <w:rsid w:val="009E327B"/>
    <w:rsid w:val="009E386E"/>
    <w:rsid w:val="009E3ED6"/>
    <w:rsid w:val="009E4C47"/>
    <w:rsid w:val="009E4CF5"/>
    <w:rsid w:val="009E5EF9"/>
    <w:rsid w:val="009E65A0"/>
    <w:rsid w:val="009E67D0"/>
    <w:rsid w:val="009E6DA5"/>
    <w:rsid w:val="009E6F7D"/>
    <w:rsid w:val="009E7271"/>
    <w:rsid w:val="009E7F72"/>
    <w:rsid w:val="009F07CB"/>
    <w:rsid w:val="009F0D91"/>
    <w:rsid w:val="009F10BA"/>
    <w:rsid w:val="009F16C0"/>
    <w:rsid w:val="009F28BC"/>
    <w:rsid w:val="009F2EF1"/>
    <w:rsid w:val="009F3597"/>
    <w:rsid w:val="009F367B"/>
    <w:rsid w:val="009F38B0"/>
    <w:rsid w:val="009F3F25"/>
    <w:rsid w:val="009F415B"/>
    <w:rsid w:val="009F49F9"/>
    <w:rsid w:val="009F4B18"/>
    <w:rsid w:val="009F4E44"/>
    <w:rsid w:val="009F4FD2"/>
    <w:rsid w:val="009F505D"/>
    <w:rsid w:val="009F51C3"/>
    <w:rsid w:val="009F5259"/>
    <w:rsid w:val="009F5704"/>
    <w:rsid w:val="009F5E4B"/>
    <w:rsid w:val="009F7256"/>
    <w:rsid w:val="009F73E8"/>
    <w:rsid w:val="009F79A9"/>
    <w:rsid w:val="009F7E85"/>
    <w:rsid w:val="00A00A21"/>
    <w:rsid w:val="00A0121C"/>
    <w:rsid w:val="00A01429"/>
    <w:rsid w:val="00A015EE"/>
    <w:rsid w:val="00A027C6"/>
    <w:rsid w:val="00A02D68"/>
    <w:rsid w:val="00A035B7"/>
    <w:rsid w:val="00A0393B"/>
    <w:rsid w:val="00A03F04"/>
    <w:rsid w:val="00A054CF"/>
    <w:rsid w:val="00A05F5B"/>
    <w:rsid w:val="00A06567"/>
    <w:rsid w:val="00A06BA8"/>
    <w:rsid w:val="00A06F94"/>
    <w:rsid w:val="00A071ED"/>
    <w:rsid w:val="00A07AAB"/>
    <w:rsid w:val="00A10C8D"/>
    <w:rsid w:val="00A11AEE"/>
    <w:rsid w:val="00A127D2"/>
    <w:rsid w:val="00A13E14"/>
    <w:rsid w:val="00A14F6F"/>
    <w:rsid w:val="00A15BAE"/>
    <w:rsid w:val="00A16343"/>
    <w:rsid w:val="00A164EC"/>
    <w:rsid w:val="00A17093"/>
    <w:rsid w:val="00A17117"/>
    <w:rsid w:val="00A1724B"/>
    <w:rsid w:val="00A21757"/>
    <w:rsid w:val="00A217D3"/>
    <w:rsid w:val="00A228C9"/>
    <w:rsid w:val="00A23C63"/>
    <w:rsid w:val="00A24995"/>
    <w:rsid w:val="00A259BD"/>
    <w:rsid w:val="00A25D61"/>
    <w:rsid w:val="00A26AD6"/>
    <w:rsid w:val="00A26CC6"/>
    <w:rsid w:val="00A2717F"/>
    <w:rsid w:val="00A27253"/>
    <w:rsid w:val="00A30384"/>
    <w:rsid w:val="00A32C0C"/>
    <w:rsid w:val="00A33A19"/>
    <w:rsid w:val="00A34A6B"/>
    <w:rsid w:val="00A34AED"/>
    <w:rsid w:val="00A3574E"/>
    <w:rsid w:val="00A36D8F"/>
    <w:rsid w:val="00A36F97"/>
    <w:rsid w:val="00A3728C"/>
    <w:rsid w:val="00A4027A"/>
    <w:rsid w:val="00A4066A"/>
    <w:rsid w:val="00A40987"/>
    <w:rsid w:val="00A40C8A"/>
    <w:rsid w:val="00A41282"/>
    <w:rsid w:val="00A428B2"/>
    <w:rsid w:val="00A42D45"/>
    <w:rsid w:val="00A443A4"/>
    <w:rsid w:val="00A44BFD"/>
    <w:rsid w:val="00A44E5F"/>
    <w:rsid w:val="00A455D9"/>
    <w:rsid w:val="00A458FC"/>
    <w:rsid w:val="00A46B4B"/>
    <w:rsid w:val="00A46D74"/>
    <w:rsid w:val="00A50D1E"/>
    <w:rsid w:val="00A50D1F"/>
    <w:rsid w:val="00A5191B"/>
    <w:rsid w:val="00A51E58"/>
    <w:rsid w:val="00A533F8"/>
    <w:rsid w:val="00A5366D"/>
    <w:rsid w:val="00A53AC3"/>
    <w:rsid w:val="00A5460C"/>
    <w:rsid w:val="00A54D52"/>
    <w:rsid w:val="00A5559D"/>
    <w:rsid w:val="00A5565B"/>
    <w:rsid w:val="00A557D7"/>
    <w:rsid w:val="00A55DCC"/>
    <w:rsid w:val="00A5604E"/>
    <w:rsid w:val="00A56532"/>
    <w:rsid w:val="00A573F1"/>
    <w:rsid w:val="00A57DB9"/>
    <w:rsid w:val="00A602B6"/>
    <w:rsid w:val="00A610E0"/>
    <w:rsid w:val="00A616BF"/>
    <w:rsid w:val="00A61B0B"/>
    <w:rsid w:val="00A621CE"/>
    <w:rsid w:val="00A62815"/>
    <w:rsid w:val="00A62B50"/>
    <w:rsid w:val="00A63540"/>
    <w:rsid w:val="00A64112"/>
    <w:rsid w:val="00A64113"/>
    <w:rsid w:val="00A64674"/>
    <w:rsid w:val="00A64E5E"/>
    <w:rsid w:val="00A654BF"/>
    <w:rsid w:val="00A65D5E"/>
    <w:rsid w:val="00A65E26"/>
    <w:rsid w:val="00A676A3"/>
    <w:rsid w:val="00A677E1"/>
    <w:rsid w:val="00A679EC"/>
    <w:rsid w:val="00A705BB"/>
    <w:rsid w:val="00A70937"/>
    <w:rsid w:val="00A71E8E"/>
    <w:rsid w:val="00A72961"/>
    <w:rsid w:val="00A73A03"/>
    <w:rsid w:val="00A73AAF"/>
    <w:rsid w:val="00A741F8"/>
    <w:rsid w:val="00A74CB2"/>
    <w:rsid w:val="00A75A3A"/>
    <w:rsid w:val="00A75DC6"/>
    <w:rsid w:val="00A76F13"/>
    <w:rsid w:val="00A77899"/>
    <w:rsid w:val="00A778AB"/>
    <w:rsid w:val="00A80360"/>
    <w:rsid w:val="00A806DC"/>
    <w:rsid w:val="00A80AA7"/>
    <w:rsid w:val="00A80EFB"/>
    <w:rsid w:val="00A813BC"/>
    <w:rsid w:val="00A81406"/>
    <w:rsid w:val="00A81E67"/>
    <w:rsid w:val="00A8279E"/>
    <w:rsid w:val="00A82D6E"/>
    <w:rsid w:val="00A834BA"/>
    <w:rsid w:val="00A83796"/>
    <w:rsid w:val="00A84A42"/>
    <w:rsid w:val="00A84E0C"/>
    <w:rsid w:val="00A856C7"/>
    <w:rsid w:val="00A86D79"/>
    <w:rsid w:val="00A8788E"/>
    <w:rsid w:val="00A896CA"/>
    <w:rsid w:val="00A90590"/>
    <w:rsid w:val="00A905C9"/>
    <w:rsid w:val="00A906C3"/>
    <w:rsid w:val="00A90AE8"/>
    <w:rsid w:val="00A90C6A"/>
    <w:rsid w:val="00A90CD5"/>
    <w:rsid w:val="00A90F92"/>
    <w:rsid w:val="00A91423"/>
    <w:rsid w:val="00A915F9"/>
    <w:rsid w:val="00A916F4"/>
    <w:rsid w:val="00A920E7"/>
    <w:rsid w:val="00A93DA2"/>
    <w:rsid w:val="00A9444C"/>
    <w:rsid w:val="00A94980"/>
    <w:rsid w:val="00A956F6"/>
    <w:rsid w:val="00A96034"/>
    <w:rsid w:val="00A97736"/>
    <w:rsid w:val="00A97D58"/>
    <w:rsid w:val="00A97F38"/>
    <w:rsid w:val="00AA076B"/>
    <w:rsid w:val="00AA0D15"/>
    <w:rsid w:val="00AA1720"/>
    <w:rsid w:val="00AA1869"/>
    <w:rsid w:val="00AA2504"/>
    <w:rsid w:val="00AA27A2"/>
    <w:rsid w:val="00AA2A05"/>
    <w:rsid w:val="00AA2B0C"/>
    <w:rsid w:val="00AA2DB0"/>
    <w:rsid w:val="00AA3A96"/>
    <w:rsid w:val="00AA3BA4"/>
    <w:rsid w:val="00AA4B07"/>
    <w:rsid w:val="00AA5AB1"/>
    <w:rsid w:val="00AA601D"/>
    <w:rsid w:val="00AA6044"/>
    <w:rsid w:val="00AA7139"/>
    <w:rsid w:val="00AA78A3"/>
    <w:rsid w:val="00AA7906"/>
    <w:rsid w:val="00AB01C4"/>
    <w:rsid w:val="00AB0276"/>
    <w:rsid w:val="00AB046B"/>
    <w:rsid w:val="00AB0580"/>
    <w:rsid w:val="00AB07F1"/>
    <w:rsid w:val="00AB12C1"/>
    <w:rsid w:val="00AB28F8"/>
    <w:rsid w:val="00AB384C"/>
    <w:rsid w:val="00AB3892"/>
    <w:rsid w:val="00AB4314"/>
    <w:rsid w:val="00AB49CD"/>
    <w:rsid w:val="00AB577C"/>
    <w:rsid w:val="00AB5B1A"/>
    <w:rsid w:val="00AB5E15"/>
    <w:rsid w:val="00AB5F42"/>
    <w:rsid w:val="00AB677E"/>
    <w:rsid w:val="00AB6A9E"/>
    <w:rsid w:val="00AB708B"/>
    <w:rsid w:val="00AB7563"/>
    <w:rsid w:val="00AB7E88"/>
    <w:rsid w:val="00AC0A15"/>
    <w:rsid w:val="00AC0F42"/>
    <w:rsid w:val="00AC13B7"/>
    <w:rsid w:val="00AC151B"/>
    <w:rsid w:val="00AC1D7E"/>
    <w:rsid w:val="00AC2752"/>
    <w:rsid w:val="00AC2A44"/>
    <w:rsid w:val="00AC335B"/>
    <w:rsid w:val="00AC3445"/>
    <w:rsid w:val="00AC3A2D"/>
    <w:rsid w:val="00AC422B"/>
    <w:rsid w:val="00AC51C8"/>
    <w:rsid w:val="00AC51D6"/>
    <w:rsid w:val="00AC52CA"/>
    <w:rsid w:val="00AC5AA0"/>
    <w:rsid w:val="00AC6916"/>
    <w:rsid w:val="00AD00C4"/>
    <w:rsid w:val="00AD024B"/>
    <w:rsid w:val="00AD0338"/>
    <w:rsid w:val="00AD0626"/>
    <w:rsid w:val="00AD0C1F"/>
    <w:rsid w:val="00AD0EAC"/>
    <w:rsid w:val="00AD1A60"/>
    <w:rsid w:val="00AD2351"/>
    <w:rsid w:val="00AD262E"/>
    <w:rsid w:val="00AD28D5"/>
    <w:rsid w:val="00AD2FA5"/>
    <w:rsid w:val="00AD32A9"/>
    <w:rsid w:val="00AD431B"/>
    <w:rsid w:val="00AD4A5C"/>
    <w:rsid w:val="00AD5004"/>
    <w:rsid w:val="00AD500E"/>
    <w:rsid w:val="00AD5596"/>
    <w:rsid w:val="00AD6686"/>
    <w:rsid w:val="00AD79E0"/>
    <w:rsid w:val="00AD7F28"/>
    <w:rsid w:val="00AE0C25"/>
    <w:rsid w:val="00AE21BD"/>
    <w:rsid w:val="00AE25F8"/>
    <w:rsid w:val="00AE3F08"/>
    <w:rsid w:val="00AE43D7"/>
    <w:rsid w:val="00AE53E4"/>
    <w:rsid w:val="00AE5A53"/>
    <w:rsid w:val="00AE5BE6"/>
    <w:rsid w:val="00AE5CFB"/>
    <w:rsid w:val="00AE5E5D"/>
    <w:rsid w:val="00AE7C93"/>
    <w:rsid w:val="00AE7E50"/>
    <w:rsid w:val="00AE7EC9"/>
    <w:rsid w:val="00AF0504"/>
    <w:rsid w:val="00AF0CD1"/>
    <w:rsid w:val="00AF1A1A"/>
    <w:rsid w:val="00AF1DB3"/>
    <w:rsid w:val="00AF2175"/>
    <w:rsid w:val="00AF3577"/>
    <w:rsid w:val="00AF400A"/>
    <w:rsid w:val="00AF41E3"/>
    <w:rsid w:val="00AF4266"/>
    <w:rsid w:val="00AF433C"/>
    <w:rsid w:val="00AF46F3"/>
    <w:rsid w:val="00AF5550"/>
    <w:rsid w:val="00AF59BB"/>
    <w:rsid w:val="00AF6A90"/>
    <w:rsid w:val="00AF774D"/>
    <w:rsid w:val="00AF7945"/>
    <w:rsid w:val="00AF7BA9"/>
    <w:rsid w:val="00B00947"/>
    <w:rsid w:val="00B00998"/>
    <w:rsid w:val="00B00FB2"/>
    <w:rsid w:val="00B0108E"/>
    <w:rsid w:val="00B017B3"/>
    <w:rsid w:val="00B01A44"/>
    <w:rsid w:val="00B02981"/>
    <w:rsid w:val="00B03385"/>
    <w:rsid w:val="00B03B7C"/>
    <w:rsid w:val="00B04F06"/>
    <w:rsid w:val="00B05123"/>
    <w:rsid w:val="00B05DDF"/>
    <w:rsid w:val="00B06A4F"/>
    <w:rsid w:val="00B06A60"/>
    <w:rsid w:val="00B07F87"/>
    <w:rsid w:val="00B10EF7"/>
    <w:rsid w:val="00B10F8D"/>
    <w:rsid w:val="00B11F9A"/>
    <w:rsid w:val="00B1207E"/>
    <w:rsid w:val="00B1224E"/>
    <w:rsid w:val="00B1236C"/>
    <w:rsid w:val="00B1314B"/>
    <w:rsid w:val="00B133AB"/>
    <w:rsid w:val="00B13941"/>
    <w:rsid w:val="00B13D31"/>
    <w:rsid w:val="00B14468"/>
    <w:rsid w:val="00B14A5C"/>
    <w:rsid w:val="00B150E5"/>
    <w:rsid w:val="00B15448"/>
    <w:rsid w:val="00B162CE"/>
    <w:rsid w:val="00B16A09"/>
    <w:rsid w:val="00B16CF7"/>
    <w:rsid w:val="00B17237"/>
    <w:rsid w:val="00B2048D"/>
    <w:rsid w:val="00B20851"/>
    <w:rsid w:val="00B20F1D"/>
    <w:rsid w:val="00B21367"/>
    <w:rsid w:val="00B2150C"/>
    <w:rsid w:val="00B21C9D"/>
    <w:rsid w:val="00B22AF5"/>
    <w:rsid w:val="00B23F26"/>
    <w:rsid w:val="00B2465D"/>
    <w:rsid w:val="00B24F77"/>
    <w:rsid w:val="00B25280"/>
    <w:rsid w:val="00B25791"/>
    <w:rsid w:val="00B25DEB"/>
    <w:rsid w:val="00B2631E"/>
    <w:rsid w:val="00B26816"/>
    <w:rsid w:val="00B26D0C"/>
    <w:rsid w:val="00B27B3C"/>
    <w:rsid w:val="00B27F95"/>
    <w:rsid w:val="00B30711"/>
    <w:rsid w:val="00B30B3B"/>
    <w:rsid w:val="00B31055"/>
    <w:rsid w:val="00B3218C"/>
    <w:rsid w:val="00B32791"/>
    <w:rsid w:val="00B3298B"/>
    <w:rsid w:val="00B32A03"/>
    <w:rsid w:val="00B32A67"/>
    <w:rsid w:val="00B32C7D"/>
    <w:rsid w:val="00B332D9"/>
    <w:rsid w:val="00B33EDF"/>
    <w:rsid w:val="00B34C8B"/>
    <w:rsid w:val="00B34E7E"/>
    <w:rsid w:val="00B35129"/>
    <w:rsid w:val="00B3565C"/>
    <w:rsid w:val="00B3650C"/>
    <w:rsid w:val="00B36C6D"/>
    <w:rsid w:val="00B37E89"/>
    <w:rsid w:val="00B4112E"/>
    <w:rsid w:val="00B41A7A"/>
    <w:rsid w:val="00B42461"/>
    <w:rsid w:val="00B4253B"/>
    <w:rsid w:val="00B434A4"/>
    <w:rsid w:val="00B43AAA"/>
    <w:rsid w:val="00B43E4D"/>
    <w:rsid w:val="00B44325"/>
    <w:rsid w:val="00B445C7"/>
    <w:rsid w:val="00B446CC"/>
    <w:rsid w:val="00B44820"/>
    <w:rsid w:val="00B45669"/>
    <w:rsid w:val="00B4743C"/>
    <w:rsid w:val="00B4EAB5"/>
    <w:rsid w:val="00B503C0"/>
    <w:rsid w:val="00B5112D"/>
    <w:rsid w:val="00B5182D"/>
    <w:rsid w:val="00B51E65"/>
    <w:rsid w:val="00B52FC5"/>
    <w:rsid w:val="00B5328B"/>
    <w:rsid w:val="00B559DC"/>
    <w:rsid w:val="00B562A1"/>
    <w:rsid w:val="00B56D84"/>
    <w:rsid w:val="00B56DE6"/>
    <w:rsid w:val="00B576C2"/>
    <w:rsid w:val="00B60246"/>
    <w:rsid w:val="00B60FB3"/>
    <w:rsid w:val="00B616F8"/>
    <w:rsid w:val="00B61A24"/>
    <w:rsid w:val="00B633EA"/>
    <w:rsid w:val="00B64A66"/>
    <w:rsid w:val="00B64B64"/>
    <w:rsid w:val="00B64D31"/>
    <w:rsid w:val="00B6697C"/>
    <w:rsid w:val="00B67491"/>
    <w:rsid w:val="00B6750F"/>
    <w:rsid w:val="00B703D1"/>
    <w:rsid w:val="00B70BC3"/>
    <w:rsid w:val="00B71380"/>
    <w:rsid w:val="00B717B3"/>
    <w:rsid w:val="00B7183D"/>
    <w:rsid w:val="00B71EBD"/>
    <w:rsid w:val="00B72330"/>
    <w:rsid w:val="00B72440"/>
    <w:rsid w:val="00B7259D"/>
    <w:rsid w:val="00B725EB"/>
    <w:rsid w:val="00B726FB"/>
    <w:rsid w:val="00B72DEE"/>
    <w:rsid w:val="00B74418"/>
    <w:rsid w:val="00B74B5B"/>
    <w:rsid w:val="00B7593E"/>
    <w:rsid w:val="00B75B63"/>
    <w:rsid w:val="00B760E5"/>
    <w:rsid w:val="00B77985"/>
    <w:rsid w:val="00B77BAB"/>
    <w:rsid w:val="00B80848"/>
    <w:rsid w:val="00B8103B"/>
    <w:rsid w:val="00B81571"/>
    <w:rsid w:val="00B82F6B"/>
    <w:rsid w:val="00B83B67"/>
    <w:rsid w:val="00B8465A"/>
    <w:rsid w:val="00B84918"/>
    <w:rsid w:val="00B8712D"/>
    <w:rsid w:val="00B875CC"/>
    <w:rsid w:val="00B87FBA"/>
    <w:rsid w:val="00B903B1"/>
    <w:rsid w:val="00B909FE"/>
    <w:rsid w:val="00B90A11"/>
    <w:rsid w:val="00B90B6B"/>
    <w:rsid w:val="00B90C73"/>
    <w:rsid w:val="00B90D2C"/>
    <w:rsid w:val="00B915D3"/>
    <w:rsid w:val="00B918CE"/>
    <w:rsid w:val="00B91B36"/>
    <w:rsid w:val="00B92041"/>
    <w:rsid w:val="00B931C2"/>
    <w:rsid w:val="00B936A5"/>
    <w:rsid w:val="00B9550B"/>
    <w:rsid w:val="00B95762"/>
    <w:rsid w:val="00B957EB"/>
    <w:rsid w:val="00B95B95"/>
    <w:rsid w:val="00B95F58"/>
    <w:rsid w:val="00B96441"/>
    <w:rsid w:val="00B96493"/>
    <w:rsid w:val="00B96E40"/>
    <w:rsid w:val="00BA0042"/>
    <w:rsid w:val="00BA0B62"/>
    <w:rsid w:val="00BA1081"/>
    <w:rsid w:val="00BA11BF"/>
    <w:rsid w:val="00BA2007"/>
    <w:rsid w:val="00BA2272"/>
    <w:rsid w:val="00BA22AC"/>
    <w:rsid w:val="00BA2471"/>
    <w:rsid w:val="00BA41E6"/>
    <w:rsid w:val="00BA438A"/>
    <w:rsid w:val="00BA4694"/>
    <w:rsid w:val="00BA4AB3"/>
    <w:rsid w:val="00BA5032"/>
    <w:rsid w:val="00BA51D5"/>
    <w:rsid w:val="00BA57BF"/>
    <w:rsid w:val="00BA6227"/>
    <w:rsid w:val="00BA644F"/>
    <w:rsid w:val="00BA66AF"/>
    <w:rsid w:val="00BA7A4E"/>
    <w:rsid w:val="00BB0EFD"/>
    <w:rsid w:val="00BB1156"/>
    <w:rsid w:val="00BB1356"/>
    <w:rsid w:val="00BB1425"/>
    <w:rsid w:val="00BB1A2D"/>
    <w:rsid w:val="00BB1C2B"/>
    <w:rsid w:val="00BB1C34"/>
    <w:rsid w:val="00BB3213"/>
    <w:rsid w:val="00BB33EA"/>
    <w:rsid w:val="00BB3925"/>
    <w:rsid w:val="00BB3AA8"/>
    <w:rsid w:val="00BB4C01"/>
    <w:rsid w:val="00BB4C2B"/>
    <w:rsid w:val="00BB531A"/>
    <w:rsid w:val="00BB540B"/>
    <w:rsid w:val="00BB60B8"/>
    <w:rsid w:val="00BB670A"/>
    <w:rsid w:val="00BB6796"/>
    <w:rsid w:val="00BB7202"/>
    <w:rsid w:val="00BB793D"/>
    <w:rsid w:val="00BB7EA3"/>
    <w:rsid w:val="00BC0489"/>
    <w:rsid w:val="00BC08D4"/>
    <w:rsid w:val="00BC09E5"/>
    <w:rsid w:val="00BC09EE"/>
    <w:rsid w:val="00BC1C62"/>
    <w:rsid w:val="00BC1EA8"/>
    <w:rsid w:val="00BC20A1"/>
    <w:rsid w:val="00BC2B1C"/>
    <w:rsid w:val="00BC2D76"/>
    <w:rsid w:val="00BC3304"/>
    <w:rsid w:val="00BC4BCB"/>
    <w:rsid w:val="00BC4FFE"/>
    <w:rsid w:val="00BC5F89"/>
    <w:rsid w:val="00BC75E8"/>
    <w:rsid w:val="00BC7883"/>
    <w:rsid w:val="00BD19BD"/>
    <w:rsid w:val="00BD1F9D"/>
    <w:rsid w:val="00BD2757"/>
    <w:rsid w:val="00BD2B45"/>
    <w:rsid w:val="00BD2B77"/>
    <w:rsid w:val="00BD354A"/>
    <w:rsid w:val="00BD35EF"/>
    <w:rsid w:val="00BD4D35"/>
    <w:rsid w:val="00BD52A2"/>
    <w:rsid w:val="00BD56AA"/>
    <w:rsid w:val="00BD5BC3"/>
    <w:rsid w:val="00BD5FF7"/>
    <w:rsid w:val="00BD636C"/>
    <w:rsid w:val="00BD67BD"/>
    <w:rsid w:val="00BD6F4D"/>
    <w:rsid w:val="00BE0134"/>
    <w:rsid w:val="00BE1B03"/>
    <w:rsid w:val="00BE22E6"/>
    <w:rsid w:val="00BE2E93"/>
    <w:rsid w:val="00BE32DB"/>
    <w:rsid w:val="00BE42EB"/>
    <w:rsid w:val="00BE4665"/>
    <w:rsid w:val="00BE50D8"/>
    <w:rsid w:val="00BE52E4"/>
    <w:rsid w:val="00BE55F3"/>
    <w:rsid w:val="00BE65E8"/>
    <w:rsid w:val="00BE6847"/>
    <w:rsid w:val="00BE7462"/>
    <w:rsid w:val="00BF0EAB"/>
    <w:rsid w:val="00BF10B6"/>
    <w:rsid w:val="00BF1789"/>
    <w:rsid w:val="00BF1837"/>
    <w:rsid w:val="00BF1EEC"/>
    <w:rsid w:val="00BF28D8"/>
    <w:rsid w:val="00BF30CA"/>
    <w:rsid w:val="00BF41B2"/>
    <w:rsid w:val="00BF4870"/>
    <w:rsid w:val="00BF4EFD"/>
    <w:rsid w:val="00BF5E23"/>
    <w:rsid w:val="00BF5ECF"/>
    <w:rsid w:val="00BF62DF"/>
    <w:rsid w:val="00BF6461"/>
    <w:rsid w:val="00BF6900"/>
    <w:rsid w:val="00BF7E0E"/>
    <w:rsid w:val="00C000F2"/>
    <w:rsid w:val="00C00231"/>
    <w:rsid w:val="00C01401"/>
    <w:rsid w:val="00C01C16"/>
    <w:rsid w:val="00C022A7"/>
    <w:rsid w:val="00C029CF"/>
    <w:rsid w:val="00C02ACC"/>
    <w:rsid w:val="00C02D3B"/>
    <w:rsid w:val="00C031F2"/>
    <w:rsid w:val="00C0335F"/>
    <w:rsid w:val="00C03692"/>
    <w:rsid w:val="00C037BE"/>
    <w:rsid w:val="00C03989"/>
    <w:rsid w:val="00C0561A"/>
    <w:rsid w:val="00C056FA"/>
    <w:rsid w:val="00C05E7D"/>
    <w:rsid w:val="00C05FFC"/>
    <w:rsid w:val="00C068E0"/>
    <w:rsid w:val="00C07577"/>
    <w:rsid w:val="00C077E9"/>
    <w:rsid w:val="00C07BE0"/>
    <w:rsid w:val="00C07DA3"/>
    <w:rsid w:val="00C07DE4"/>
    <w:rsid w:val="00C07ECD"/>
    <w:rsid w:val="00C07F4F"/>
    <w:rsid w:val="00C1029E"/>
    <w:rsid w:val="00C11241"/>
    <w:rsid w:val="00C11375"/>
    <w:rsid w:val="00C11C87"/>
    <w:rsid w:val="00C127E4"/>
    <w:rsid w:val="00C13133"/>
    <w:rsid w:val="00C1352C"/>
    <w:rsid w:val="00C15107"/>
    <w:rsid w:val="00C1562A"/>
    <w:rsid w:val="00C158E3"/>
    <w:rsid w:val="00C15D1E"/>
    <w:rsid w:val="00C1621B"/>
    <w:rsid w:val="00C1652C"/>
    <w:rsid w:val="00C16AE9"/>
    <w:rsid w:val="00C16CC6"/>
    <w:rsid w:val="00C17693"/>
    <w:rsid w:val="00C17FE3"/>
    <w:rsid w:val="00C20A85"/>
    <w:rsid w:val="00C20E55"/>
    <w:rsid w:val="00C21462"/>
    <w:rsid w:val="00C2161B"/>
    <w:rsid w:val="00C216ED"/>
    <w:rsid w:val="00C2287D"/>
    <w:rsid w:val="00C22C69"/>
    <w:rsid w:val="00C22EEE"/>
    <w:rsid w:val="00C23957"/>
    <w:rsid w:val="00C23E81"/>
    <w:rsid w:val="00C24D0A"/>
    <w:rsid w:val="00C2522E"/>
    <w:rsid w:val="00C253AE"/>
    <w:rsid w:val="00C25C71"/>
    <w:rsid w:val="00C26287"/>
    <w:rsid w:val="00C27052"/>
    <w:rsid w:val="00C270F4"/>
    <w:rsid w:val="00C274D9"/>
    <w:rsid w:val="00C2790B"/>
    <w:rsid w:val="00C27A1B"/>
    <w:rsid w:val="00C27E9B"/>
    <w:rsid w:val="00C30B12"/>
    <w:rsid w:val="00C30D07"/>
    <w:rsid w:val="00C312B1"/>
    <w:rsid w:val="00C31A45"/>
    <w:rsid w:val="00C31BF2"/>
    <w:rsid w:val="00C32351"/>
    <w:rsid w:val="00C3255F"/>
    <w:rsid w:val="00C32CB0"/>
    <w:rsid w:val="00C32E86"/>
    <w:rsid w:val="00C32ECF"/>
    <w:rsid w:val="00C32EFA"/>
    <w:rsid w:val="00C34378"/>
    <w:rsid w:val="00C3484D"/>
    <w:rsid w:val="00C36E0D"/>
    <w:rsid w:val="00C37228"/>
    <w:rsid w:val="00C372C9"/>
    <w:rsid w:val="00C372DB"/>
    <w:rsid w:val="00C37FEA"/>
    <w:rsid w:val="00C40145"/>
    <w:rsid w:val="00C40624"/>
    <w:rsid w:val="00C41834"/>
    <w:rsid w:val="00C41DEC"/>
    <w:rsid w:val="00C42BC6"/>
    <w:rsid w:val="00C452B3"/>
    <w:rsid w:val="00C45779"/>
    <w:rsid w:val="00C45BFE"/>
    <w:rsid w:val="00C46D50"/>
    <w:rsid w:val="00C474BF"/>
    <w:rsid w:val="00C4782B"/>
    <w:rsid w:val="00C50BB1"/>
    <w:rsid w:val="00C50D37"/>
    <w:rsid w:val="00C50EBE"/>
    <w:rsid w:val="00C511C6"/>
    <w:rsid w:val="00C51649"/>
    <w:rsid w:val="00C51CF3"/>
    <w:rsid w:val="00C51CFB"/>
    <w:rsid w:val="00C5279E"/>
    <w:rsid w:val="00C52864"/>
    <w:rsid w:val="00C52AD4"/>
    <w:rsid w:val="00C54B2A"/>
    <w:rsid w:val="00C55490"/>
    <w:rsid w:val="00C5581E"/>
    <w:rsid w:val="00C56FE9"/>
    <w:rsid w:val="00C57492"/>
    <w:rsid w:val="00C577FE"/>
    <w:rsid w:val="00C60DDD"/>
    <w:rsid w:val="00C61512"/>
    <w:rsid w:val="00C62F69"/>
    <w:rsid w:val="00C63B83"/>
    <w:rsid w:val="00C6438A"/>
    <w:rsid w:val="00C64A00"/>
    <w:rsid w:val="00C64BA4"/>
    <w:rsid w:val="00C65223"/>
    <w:rsid w:val="00C70810"/>
    <w:rsid w:val="00C709C7"/>
    <w:rsid w:val="00C70CA6"/>
    <w:rsid w:val="00C71511"/>
    <w:rsid w:val="00C72A39"/>
    <w:rsid w:val="00C72ACC"/>
    <w:rsid w:val="00C72D95"/>
    <w:rsid w:val="00C7304E"/>
    <w:rsid w:val="00C73B0C"/>
    <w:rsid w:val="00C73B29"/>
    <w:rsid w:val="00C73D03"/>
    <w:rsid w:val="00C73ECF"/>
    <w:rsid w:val="00C753E8"/>
    <w:rsid w:val="00C76622"/>
    <w:rsid w:val="00C807E1"/>
    <w:rsid w:val="00C8085E"/>
    <w:rsid w:val="00C80FC0"/>
    <w:rsid w:val="00C81862"/>
    <w:rsid w:val="00C824F7"/>
    <w:rsid w:val="00C827D4"/>
    <w:rsid w:val="00C83888"/>
    <w:rsid w:val="00C83A3F"/>
    <w:rsid w:val="00C83D0E"/>
    <w:rsid w:val="00C83D89"/>
    <w:rsid w:val="00C84F3E"/>
    <w:rsid w:val="00C851AF"/>
    <w:rsid w:val="00C854CC"/>
    <w:rsid w:val="00C85E1A"/>
    <w:rsid w:val="00C86058"/>
    <w:rsid w:val="00C87569"/>
    <w:rsid w:val="00C87933"/>
    <w:rsid w:val="00C90087"/>
    <w:rsid w:val="00C9030E"/>
    <w:rsid w:val="00C90C32"/>
    <w:rsid w:val="00C93B9F"/>
    <w:rsid w:val="00C94C41"/>
    <w:rsid w:val="00C95A09"/>
    <w:rsid w:val="00C97684"/>
    <w:rsid w:val="00C97999"/>
    <w:rsid w:val="00CA05E0"/>
    <w:rsid w:val="00CA208D"/>
    <w:rsid w:val="00CA27E9"/>
    <w:rsid w:val="00CA38B2"/>
    <w:rsid w:val="00CA3BF9"/>
    <w:rsid w:val="00CA447D"/>
    <w:rsid w:val="00CA4B8B"/>
    <w:rsid w:val="00CA4C96"/>
    <w:rsid w:val="00CA4E17"/>
    <w:rsid w:val="00CA5173"/>
    <w:rsid w:val="00CA526A"/>
    <w:rsid w:val="00CA531C"/>
    <w:rsid w:val="00CA543D"/>
    <w:rsid w:val="00CA65A3"/>
    <w:rsid w:val="00CA69B9"/>
    <w:rsid w:val="00CA6C79"/>
    <w:rsid w:val="00CB0669"/>
    <w:rsid w:val="00CB0BBA"/>
    <w:rsid w:val="00CB10E9"/>
    <w:rsid w:val="00CB1118"/>
    <w:rsid w:val="00CB23FF"/>
    <w:rsid w:val="00CB2DEE"/>
    <w:rsid w:val="00CB3006"/>
    <w:rsid w:val="00CB33BD"/>
    <w:rsid w:val="00CB4A43"/>
    <w:rsid w:val="00CB544A"/>
    <w:rsid w:val="00CB56DA"/>
    <w:rsid w:val="00CB6449"/>
    <w:rsid w:val="00CB7D5E"/>
    <w:rsid w:val="00CC010C"/>
    <w:rsid w:val="00CC0406"/>
    <w:rsid w:val="00CC05AE"/>
    <w:rsid w:val="00CC132D"/>
    <w:rsid w:val="00CC1623"/>
    <w:rsid w:val="00CC1DE2"/>
    <w:rsid w:val="00CC2B47"/>
    <w:rsid w:val="00CC2C2F"/>
    <w:rsid w:val="00CC3DE1"/>
    <w:rsid w:val="00CC42A8"/>
    <w:rsid w:val="00CC484C"/>
    <w:rsid w:val="00CC5063"/>
    <w:rsid w:val="00CC67AC"/>
    <w:rsid w:val="00CC69D8"/>
    <w:rsid w:val="00CD00C6"/>
    <w:rsid w:val="00CD0323"/>
    <w:rsid w:val="00CD0444"/>
    <w:rsid w:val="00CD0EB4"/>
    <w:rsid w:val="00CD14AD"/>
    <w:rsid w:val="00CD1709"/>
    <w:rsid w:val="00CD237A"/>
    <w:rsid w:val="00CD2F65"/>
    <w:rsid w:val="00CD34B2"/>
    <w:rsid w:val="00CD3C13"/>
    <w:rsid w:val="00CD4830"/>
    <w:rsid w:val="00CD5B52"/>
    <w:rsid w:val="00CD68D2"/>
    <w:rsid w:val="00CE0886"/>
    <w:rsid w:val="00CE0DC6"/>
    <w:rsid w:val="00CE158D"/>
    <w:rsid w:val="00CE1B68"/>
    <w:rsid w:val="00CE25E3"/>
    <w:rsid w:val="00CE27FD"/>
    <w:rsid w:val="00CE3B14"/>
    <w:rsid w:val="00CE4183"/>
    <w:rsid w:val="00CE42B9"/>
    <w:rsid w:val="00CE53B2"/>
    <w:rsid w:val="00CE5437"/>
    <w:rsid w:val="00CE54D9"/>
    <w:rsid w:val="00CF026F"/>
    <w:rsid w:val="00CF0D10"/>
    <w:rsid w:val="00CF38A0"/>
    <w:rsid w:val="00CF4A87"/>
    <w:rsid w:val="00CF5256"/>
    <w:rsid w:val="00CF5665"/>
    <w:rsid w:val="00CF614E"/>
    <w:rsid w:val="00CF70F6"/>
    <w:rsid w:val="00D00359"/>
    <w:rsid w:val="00D00699"/>
    <w:rsid w:val="00D00746"/>
    <w:rsid w:val="00D0094A"/>
    <w:rsid w:val="00D009F2"/>
    <w:rsid w:val="00D00C9C"/>
    <w:rsid w:val="00D0107C"/>
    <w:rsid w:val="00D01419"/>
    <w:rsid w:val="00D0195C"/>
    <w:rsid w:val="00D01EC9"/>
    <w:rsid w:val="00D02477"/>
    <w:rsid w:val="00D02A4B"/>
    <w:rsid w:val="00D02AC9"/>
    <w:rsid w:val="00D032F3"/>
    <w:rsid w:val="00D035D3"/>
    <w:rsid w:val="00D0364F"/>
    <w:rsid w:val="00D03CEA"/>
    <w:rsid w:val="00D03D2F"/>
    <w:rsid w:val="00D03E19"/>
    <w:rsid w:val="00D03F35"/>
    <w:rsid w:val="00D05087"/>
    <w:rsid w:val="00D05130"/>
    <w:rsid w:val="00D05275"/>
    <w:rsid w:val="00D06269"/>
    <w:rsid w:val="00D06930"/>
    <w:rsid w:val="00D07409"/>
    <w:rsid w:val="00D078AE"/>
    <w:rsid w:val="00D07EA1"/>
    <w:rsid w:val="00D104CC"/>
    <w:rsid w:val="00D10EE8"/>
    <w:rsid w:val="00D126FA"/>
    <w:rsid w:val="00D12EFC"/>
    <w:rsid w:val="00D13E50"/>
    <w:rsid w:val="00D15D22"/>
    <w:rsid w:val="00D15FCF"/>
    <w:rsid w:val="00D16B0F"/>
    <w:rsid w:val="00D171A0"/>
    <w:rsid w:val="00D171A9"/>
    <w:rsid w:val="00D1747B"/>
    <w:rsid w:val="00D1753D"/>
    <w:rsid w:val="00D17CBF"/>
    <w:rsid w:val="00D19419"/>
    <w:rsid w:val="00D20416"/>
    <w:rsid w:val="00D213B1"/>
    <w:rsid w:val="00D218A4"/>
    <w:rsid w:val="00D21C57"/>
    <w:rsid w:val="00D22400"/>
    <w:rsid w:val="00D2325B"/>
    <w:rsid w:val="00D2345C"/>
    <w:rsid w:val="00D237FE"/>
    <w:rsid w:val="00D238D7"/>
    <w:rsid w:val="00D23A0A"/>
    <w:rsid w:val="00D24C97"/>
    <w:rsid w:val="00D24DFA"/>
    <w:rsid w:val="00D25398"/>
    <w:rsid w:val="00D26152"/>
    <w:rsid w:val="00D26229"/>
    <w:rsid w:val="00D26B45"/>
    <w:rsid w:val="00D26EF1"/>
    <w:rsid w:val="00D2700E"/>
    <w:rsid w:val="00D27460"/>
    <w:rsid w:val="00D27669"/>
    <w:rsid w:val="00D27AE3"/>
    <w:rsid w:val="00D305C6"/>
    <w:rsid w:val="00D30F7E"/>
    <w:rsid w:val="00D30F95"/>
    <w:rsid w:val="00D31884"/>
    <w:rsid w:val="00D31C9D"/>
    <w:rsid w:val="00D32765"/>
    <w:rsid w:val="00D32849"/>
    <w:rsid w:val="00D33234"/>
    <w:rsid w:val="00D34FB0"/>
    <w:rsid w:val="00D35717"/>
    <w:rsid w:val="00D359BF"/>
    <w:rsid w:val="00D35CA2"/>
    <w:rsid w:val="00D36AD1"/>
    <w:rsid w:val="00D36CD6"/>
    <w:rsid w:val="00D376DD"/>
    <w:rsid w:val="00D37BD4"/>
    <w:rsid w:val="00D37CC1"/>
    <w:rsid w:val="00D413A3"/>
    <w:rsid w:val="00D43DDA"/>
    <w:rsid w:val="00D443B7"/>
    <w:rsid w:val="00D45A38"/>
    <w:rsid w:val="00D470FB"/>
    <w:rsid w:val="00D47375"/>
    <w:rsid w:val="00D474AB"/>
    <w:rsid w:val="00D475B2"/>
    <w:rsid w:val="00D47788"/>
    <w:rsid w:val="00D47DA8"/>
    <w:rsid w:val="00D500C4"/>
    <w:rsid w:val="00D518B0"/>
    <w:rsid w:val="00D52097"/>
    <w:rsid w:val="00D525DB"/>
    <w:rsid w:val="00D52893"/>
    <w:rsid w:val="00D531FD"/>
    <w:rsid w:val="00D53360"/>
    <w:rsid w:val="00D534DE"/>
    <w:rsid w:val="00D535F3"/>
    <w:rsid w:val="00D53B34"/>
    <w:rsid w:val="00D54073"/>
    <w:rsid w:val="00D540D8"/>
    <w:rsid w:val="00D548F2"/>
    <w:rsid w:val="00D5496C"/>
    <w:rsid w:val="00D55602"/>
    <w:rsid w:val="00D558CA"/>
    <w:rsid w:val="00D55963"/>
    <w:rsid w:val="00D569CF"/>
    <w:rsid w:val="00D56DE4"/>
    <w:rsid w:val="00D60B6A"/>
    <w:rsid w:val="00D62BB2"/>
    <w:rsid w:val="00D62FD5"/>
    <w:rsid w:val="00D633A8"/>
    <w:rsid w:val="00D63EE3"/>
    <w:rsid w:val="00D64824"/>
    <w:rsid w:val="00D6572F"/>
    <w:rsid w:val="00D6621E"/>
    <w:rsid w:val="00D66378"/>
    <w:rsid w:val="00D665C9"/>
    <w:rsid w:val="00D6699B"/>
    <w:rsid w:val="00D66C18"/>
    <w:rsid w:val="00D66FFE"/>
    <w:rsid w:val="00D670F6"/>
    <w:rsid w:val="00D67373"/>
    <w:rsid w:val="00D674F8"/>
    <w:rsid w:val="00D67C5C"/>
    <w:rsid w:val="00D6E43F"/>
    <w:rsid w:val="00D7141F"/>
    <w:rsid w:val="00D71538"/>
    <w:rsid w:val="00D718DC"/>
    <w:rsid w:val="00D72475"/>
    <w:rsid w:val="00D7296F"/>
    <w:rsid w:val="00D74DA4"/>
    <w:rsid w:val="00D755C6"/>
    <w:rsid w:val="00D7616F"/>
    <w:rsid w:val="00D7637D"/>
    <w:rsid w:val="00D76E18"/>
    <w:rsid w:val="00D77B7C"/>
    <w:rsid w:val="00D77C3D"/>
    <w:rsid w:val="00D80EF7"/>
    <w:rsid w:val="00D82DD1"/>
    <w:rsid w:val="00D831BB"/>
    <w:rsid w:val="00D848D0"/>
    <w:rsid w:val="00D851A2"/>
    <w:rsid w:val="00D85A24"/>
    <w:rsid w:val="00D863E6"/>
    <w:rsid w:val="00D86737"/>
    <w:rsid w:val="00D867BD"/>
    <w:rsid w:val="00D8699D"/>
    <w:rsid w:val="00D902B0"/>
    <w:rsid w:val="00D903CC"/>
    <w:rsid w:val="00D90A05"/>
    <w:rsid w:val="00D90E28"/>
    <w:rsid w:val="00D9223B"/>
    <w:rsid w:val="00D92347"/>
    <w:rsid w:val="00D92698"/>
    <w:rsid w:val="00D9343A"/>
    <w:rsid w:val="00D94264"/>
    <w:rsid w:val="00D949FB"/>
    <w:rsid w:val="00D94B7A"/>
    <w:rsid w:val="00D9515D"/>
    <w:rsid w:val="00D95602"/>
    <w:rsid w:val="00D957FE"/>
    <w:rsid w:val="00D971DB"/>
    <w:rsid w:val="00DA0422"/>
    <w:rsid w:val="00DA0499"/>
    <w:rsid w:val="00DA0C2B"/>
    <w:rsid w:val="00DA1F90"/>
    <w:rsid w:val="00DA1FF5"/>
    <w:rsid w:val="00DA279D"/>
    <w:rsid w:val="00DA2897"/>
    <w:rsid w:val="00DA29A7"/>
    <w:rsid w:val="00DA398D"/>
    <w:rsid w:val="00DA4156"/>
    <w:rsid w:val="00DA5424"/>
    <w:rsid w:val="00DA5AE9"/>
    <w:rsid w:val="00DA5B7E"/>
    <w:rsid w:val="00DA5CD6"/>
    <w:rsid w:val="00DA5F5A"/>
    <w:rsid w:val="00DA5FB9"/>
    <w:rsid w:val="00DA7389"/>
    <w:rsid w:val="00DA74E3"/>
    <w:rsid w:val="00DA7861"/>
    <w:rsid w:val="00DB08EA"/>
    <w:rsid w:val="00DB0E24"/>
    <w:rsid w:val="00DB1E70"/>
    <w:rsid w:val="00DB25C4"/>
    <w:rsid w:val="00DB2FBD"/>
    <w:rsid w:val="00DB4326"/>
    <w:rsid w:val="00DB4B89"/>
    <w:rsid w:val="00DB4E34"/>
    <w:rsid w:val="00DB514C"/>
    <w:rsid w:val="00DB576E"/>
    <w:rsid w:val="00DB649B"/>
    <w:rsid w:val="00DB7A10"/>
    <w:rsid w:val="00DB7D3E"/>
    <w:rsid w:val="00DC1585"/>
    <w:rsid w:val="00DC15D5"/>
    <w:rsid w:val="00DC2090"/>
    <w:rsid w:val="00DC250D"/>
    <w:rsid w:val="00DC2DB2"/>
    <w:rsid w:val="00DC2FEF"/>
    <w:rsid w:val="00DC4412"/>
    <w:rsid w:val="00DC5A17"/>
    <w:rsid w:val="00DC60EE"/>
    <w:rsid w:val="00DC62B3"/>
    <w:rsid w:val="00DC6F9A"/>
    <w:rsid w:val="00DC772A"/>
    <w:rsid w:val="00DCE097"/>
    <w:rsid w:val="00DD015D"/>
    <w:rsid w:val="00DD133B"/>
    <w:rsid w:val="00DD15D5"/>
    <w:rsid w:val="00DD2F8B"/>
    <w:rsid w:val="00DD2FFA"/>
    <w:rsid w:val="00DD373E"/>
    <w:rsid w:val="00DD37E0"/>
    <w:rsid w:val="00DD3BA2"/>
    <w:rsid w:val="00DD3FC9"/>
    <w:rsid w:val="00DD46CE"/>
    <w:rsid w:val="00DD5FA6"/>
    <w:rsid w:val="00DD65D7"/>
    <w:rsid w:val="00DD70DE"/>
    <w:rsid w:val="00DDC060"/>
    <w:rsid w:val="00DE0D23"/>
    <w:rsid w:val="00DE1BEB"/>
    <w:rsid w:val="00DE2592"/>
    <w:rsid w:val="00DE26B1"/>
    <w:rsid w:val="00DE2E5D"/>
    <w:rsid w:val="00DE3282"/>
    <w:rsid w:val="00DE3718"/>
    <w:rsid w:val="00DE3BC9"/>
    <w:rsid w:val="00DE3C60"/>
    <w:rsid w:val="00DE524F"/>
    <w:rsid w:val="00DE61E6"/>
    <w:rsid w:val="00DE6261"/>
    <w:rsid w:val="00DE6511"/>
    <w:rsid w:val="00DE66B5"/>
    <w:rsid w:val="00DE6A69"/>
    <w:rsid w:val="00DF0148"/>
    <w:rsid w:val="00DF0495"/>
    <w:rsid w:val="00DF0AE6"/>
    <w:rsid w:val="00DF11C6"/>
    <w:rsid w:val="00DF250B"/>
    <w:rsid w:val="00DF29EC"/>
    <w:rsid w:val="00DF3C6E"/>
    <w:rsid w:val="00DF3D67"/>
    <w:rsid w:val="00DF3E50"/>
    <w:rsid w:val="00DF62E5"/>
    <w:rsid w:val="00DF65BC"/>
    <w:rsid w:val="00DF663A"/>
    <w:rsid w:val="00DF7960"/>
    <w:rsid w:val="00E00243"/>
    <w:rsid w:val="00E00563"/>
    <w:rsid w:val="00E006AB"/>
    <w:rsid w:val="00E00A3F"/>
    <w:rsid w:val="00E00A95"/>
    <w:rsid w:val="00E00E09"/>
    <w:rsid w:val="00E01259"/>
    <w:rsid w:val="00E0128B"/>
    <w:rsid w:val="00E01A4B"/>
    <w:rsid w:val="00E01C6D"/>
    <w:rsid w:val="00E02C41"/>
    <w:rsid w:val="00E0377D"/>
    <w:rsid w:val="00E041D4"/>
    <w:rsid w:val="00E042A2"/>
    <w:rsid w:val="00E04AC1"/>
    <w:rsid w:val="00E04B74"/>
    <w:rsid w:val="00E05C0E"/>
    <w:rsid w:val="00E06C96"/>
    <w:rsid w:val="00E07338"/>
    <w:rsid w:val="00E104CF"/>
    <w:rsid w:val="00E1060E"/>
    <w:rsid w:val="00E10C2C"/>
    <w:rsid w:val="00E11C9B"/>
    <w:rsid w:val="00E12820"/>
    <w:rsid w:val="00E12CD5"/>
    <w:rsid w:val="00E13078"/>
    <w:rsid w:val="00E1372C"/>
    <w:rsid w:val="00E14005"/>
    <w:rsid w:val="00E14BE3"/>
    <w:rsid w:val="00E151D1"/>
    <w:rsid w:val="00E15682"/>
    <w:rsid w:val="00E168A4"/>
    <w:rsid w:val="00E16A1C"/>
    <w:rsid w:val="00E16AAD"/>
    <w:rsid w:val="00E16C95"/>
    <w:rsid w:val="00E16CA3"/>
    <w:rsid w:val="00E16FE3"/>
    <w:rsid w:val="00E17D49"/>
    <w:rsid w:val="00E200B1"/>
    <w:rsid w:val="00E20538"/>
    <w:rsid w:val="00E205B6"/>
    <w:rsid w:val="00E237EA"/>
    <w:rsid w:val="00E2410F"/>
    <w:rsid w:val="00E243BE"/>
    <w:rsid w:val="00E255FB"/>
    <w:rsid w:val="00E256C2"/>
    <w:rsid w:val="00E25B40"/>
    <w:rsid w:val="00E25DC9"/>
    <w:rsid w:val="00E262A7"/>
    <w:rsid w:val="00E266EA"/>
    <w:rsid w:val="00E2730E"/>
    <w:rsid w:val="00E277B6"/>
    <w:rsid w:val="00E27CAD"/>
    <w:rsid w:val="00E30442"/>
    <w:rsid w:val="00E315D6"/>
    <w:rsid w:val="00E32601"/>
    <w:rsid w:val="00E32617"/>
    <w:rsid w:val="00E32A79"/>
    <w:rsid w:val="00E33C60"/>
    <w:rsid w:val="00E34323"/>
    <w:rsid w:val="00E349F0"/>
    <w:rsid w:val="00E34B0C"/>
    <w:rsid w:val="00E3512D"/>
    <w:rsid w:val="00E3542D"/>
    <w:rsid w:val="00E356C5"/>
    <w:rsid w:val="00E35944"/>
    <w:rsid w:val="00E3672D"/>
    <w:rsid w:val="00E3686C"/>
    <w:rsid w:val="00E370CD"/>
    <w:rsid w:val="00E372E4"/>
    <w:rsid w:val="00E377C1"/>
    <w:rsid w:val="00E37826"/>
    <w:rsid w:val="00E37BA5"/>
    <w:rsid w:val="00E37E5E"/>
    <w:rsid w:val="00E4032D"/>
    <w:rsid w:val="00E405CB"/>
    <w:rsid w:val="00E40C90"/>
    <w:rsid w:val="00E40F80"/>
    <w:rsid w:val="00E4101D"/>
    <w:rsid w:val="00E4120A"/>
    <w:rsid w:val="00E412A5"/>
    <w:rsid w:val="00E42AD2"/>
    <w:rsid w:val="00E43289"/>
    <w:rsid w:val="00E4399C"/>
    <w:rsid w:val="00E439A9"/>
    <w:rsid w:val="00E43C3F"/>
    <w:rsid w:val="00E4560A"/>
    <w:rsid w:val="00E45C50"/>
    <w:rsid w:val="00E462B1"/>
    <w:rsid w:val="00E46B1D"/>
    <w:rsid w:val="00E46C52"/>
    <w:rsid w:val="00E46FAE"/>
    <w:rsid w:val="00E47E4F"/>
    <w:rsid w:val="00E4F6C3"/>
    <w:rsid w:val="00E5110A"/>
    <w:rsid w:val="00E514AA"/>
    <w:rsid w:val="00E515A3"/>
    <w:rsid w:val="00E515F2"/>
    <w:rsid w:val="00E5251C"/>
    <w:rsid w:val="00E52726"/>
    <w:rsid w:val="00E52A22"/>
    <w:rsid w:val="00E5582E"/>
    <w:rsid w:val="00E55CE0"/>
    <w:rsid w:val="00E56FB9"/>
    <w:rsid w:val="00E56FBA"/>
    <w:rsid w:val="00E5750B"/>
    <w:rsid w:val="00E60E9B"/>
    <w:rsid w:val="00E61051"/>
    <w:rsid w:val="00E61538"/>
    <w:rsid w:val="00E6238C"/>
    <w:rsid w:val="00E62543"/>
    <w:rsid w:val="00E63081"/>
    <w:rsid w:val="00E6321C"/>
    <w:rsid w:val="00E63BCA"/>
    <w:rsid w:val="00E6419B"/>
    <w:rsid w:val="00E64B7A"/>
    <w:rsid w:val="00E65BC6"/>
    <w:rsid w:val="00E66403"/>
    <w:rsid w:val="00E66E17"/>
    <w:rsid w:val="00E672FF"/>
    <w:rsid w:val="00E67BA4"/>
    <w:rsid w:val="00E67BCA"/>
    <w:rsid w:val="00E67E05"/>
    <w:rsid w:val="00E70489"/>
    <w:rsid w:val="00E70579"/>
    <w:rsid w:val="00E70583"/>
    <w:rsid w:val="00E70736"/>
    <w:rsid w:val="00E71055"/>
    <w:rsid w:val="00E71A9D"/>
    <w:rsid w:val="00E71E33"/>
    <w:rsid w:val="00E72461"/>
    <w:rsid w:val="00E72A29"/>
    <w:rsid w:val="00E73191"/>
    <w:rsid w:val="00E7355D"/>
    <w:rsid w:val="00E746EA"/>
    <w:rsid w:val="00E74C93"/>
    <w:rsid w:val="00E7623F"/>
    <w:rsid w:val="00E76312"/>
    <w:rsid w:val="00E80908"/>
    <w:rsid w:val="00E80BC7"/>
    <w:rsid w:val="00E8128A"/>
    <w:rsid w:val="00E8215E"/>
    <w:rsid w:val="00E82230"/>
    <w:rsid w:val="00E82473"/>
    <w:rsid w:val="00E829C0"/>
    <w:rsid w:val="00E82B3F"/>
    <w:rsid w:val="00E82C86"/>
    <w:rsid w:val="00E833E7"/>
    <w:rsid w:val="00E83A58"/>
    <w:rsid w:val="00E83F3D"/>
    <w:rsid w:val="00E844B7"/>
    <w:rsid w:val="00E8454C"/>
    <w:rsid w:val="00E8610C"/>
    <w:rsid w:val="00E868F0"/>
    <w:rsid w:val="00E86CC1"/>
    <w:rsid w:val="00E87172"/>
    <w:rsid w:val="00E908FA"/>
    <w:rsid w:val="00E90FFE"/>
    <w:rsid w:val="00E9158A"/>
    <w:rsid w:val="00E91797"/>
    <w:rsid w:val="00E91AB3"/>
    <w:rsid w:val="00E91BF4"/>
    <w:rsid w:val="00E92C05"/>
    <w:rsid w:val="00E9314F"/>
    <w:rsid w:val="00E93DD6"/>
    <w:rsid w:val="00E9455E"/>
    <w:rsid w:val="00E94F72"/>
    <w:rsid w:val="00E962F4"/>
    <w:rsid w:val="00E9680C"/>
    <w:rsid w:val="00E96A34"/>
    <w:rsid w:val="00E97265"/>
    <w:rsid w:val="00E9734B"/>
    <w:rsid w:val="00E97464"/>
    <w:rsid w:val="00E97743"/>
    <w:rsid w:val="00EA0130"/>
    <w:rsid w:val="00EA11EE"/>
    <w:rsid w:val="00EA1CB1"/>
    <w:rsid w:val="00EA2C01"/>
    <w:rsid w:val="00EA39CA"/>
    <w:rsid w:val="00EA3C4C"/>
    <w:rsid w:val="00EA3E84"/>
    <w:rsid w:val="00EA498C"/>
    <w:rsid w:val="00EA505F"/>
    <w:rsid w:val="00EA526A"/>
    <w:rsid w:val="00EA5C16"/>
    <w:rsid w:val="00EA5D00"/>
    <w:rsid w:val="00EA6927"/>
    <w:rsid w:val="00EA69B5"/>
    <w:rsid w:val="00EA69C9"/>
    <w:rsid w:val="00EB0F2F"/>
    <w:rsid w:val="00EB1268"/>
    <w:rsid w:val="00EB16BA"/>
    <w:rsid w:val="00EB19BB"/>
    <w:rsid w:val="00EB1A1A"/>
    <w:rsid w:val="00EB2E7A"/>
    <w:rsid w:val="00EB2F98"/>
    <w:rsid w:val="00EB35B1"/>
    <w:rsid w:val="00EB452F"/>
    <w:rsid w:val="00EB64D4"/>
    <w:rsid w:val="00EB655B"/>
    <w:rsid w:val="00EB6909"/>
    <w:rsid w:val="00EB6A77"/>
    <w:rsid w:val="00EB78B7"/>
    <w:rsid w:val="00EB79F5"/>
    <w:rsid w:val="00EB7B14"/>
    <w:rsid w:val="00EB7C2F"/>
    <w:rsid w:val="00EC0D66"/>
    <w:rsid w:val="00EC0DE8"/>
    <w:rsid w:val="00EC0F88"/>
    <w:rsid w:val="00EC1074"/>
    <w:rsid w:val="00EC12B2"/>
    <w:rsid w:val="00EC1387"/>
    <w:rsid w:val="00EC14D0"/>
    <w:rsid w:val="00EC2ADC"/>
    <w:rsid w:val="00EC3E66"/>
    <w:rsid w:val="00EC3EA3"/>
    <w:rsid w:val="00EC42C5"/>
    <w:rsid w:val="00EC45B8"/>
    <w:rsid w:val="00EC496A"/>
    <w:rsid w:val="00EC507C"/>
    <w:rsid w:val="00EC59BE"/>
    <w:rsid w:val="00EC5C6A"/>
    <w:rsid w:val="00EC5F4E"/>
    <w:rsid w:val="00EC6759"/>
    <w:rsid w:val="00EC6B97"/>
    <w:rsid w:val="00EC7656"/>
    <w:rsid w:val="00EC7E26"/>
    <w:rsid w:val="00ED03D0"/>
    <w:rsid w:val="00ED134B"/>
    <w:rsid w:val="00ED1572"/>
    <w:rsid w:val="00ED188E"/>
    <w:rsid w:val="00ED3069"/>
    <w:rsid w:val="00ED404D"/>
    <w:rsid w:val="00ED485C"/>
    <w:rsid w:val="00ED51DA"/>
    <w:rsid w:val="00ED5FBB"/>
    <w:rsid w:val="00ED6315"/>
    <w:rsid w:val="00ED6EB9"/>
    <w:rsid w:val="00EE13EA"/>
    <w:rsid w:val="00EE15DF"/>
    <w:rsid w:val="00EE385F"/>
    <w:rsid w:val="00EE3F18"/>
    <w:rsid w:val="00EE4051"/>
    <w:rsid w:val="00EE42FB"/>
    <w:rsid w:val="00EE4F3A"/>
    <w:rsid w:val="00EE5126"/>
    <w:rsid w:val="00EE51C8"/>
    <w:rsid w:val="00EE5209"/>
    <w:rsid w:val="00EE531A"/>
    <w:rsid w:val="00EE59C1"/>
    <w:rsid w:val="00EE66EB"/>
    <w:rsid w:val="00EE7540"/>
    <w:rsid w:val="00EF0BDA"/>
    <w:rsid w:val="00EF0D33"/>
    <w:rsid w:val="00EF0FED"/>
    <w:rsid w:val="00EF10AA"/>
    <w:rsid w:val="00EF10D8"/>
    <w:rsid w:val="00EF1727"/>
    <w:rsid w:val="00EF19B2"/>
    <w:rsid w:val="00EF2184"/>
    <w:rsid w:val="00EF3BD0"/>
    <w:rsid w:val="00EF475E"/>
    <w:rsid w:val="00EF5B59"/>
    <w:rsid w:val="00EF615B"/>
    <w:rsid w:val="00EF6A1F"/>
    <w:rsid w:val="00EF78CC"/>
    <w:rsid w:val="00EF7C36"/>
    <w:rsid w:val="00F0012E"/>
    <w:rsid w:val="00F00C3B"/>
    <w:rsid w:val="00F00C6A"/>
    <w:rsid w:val="00F01ACF"/>
    <w:rsid w:val="00F0277B"/>
    <w:rsid w:val="00F02C64"/>
    <w:rsid w:val="00F02CC5"/>
    <w:rsid w:val="00F0303C"/>
    <w:rsid w:val="00F05387"/>
    <w:rsid w:val="00F0551A"/>
    <w:rsid w:val="00F0595D"/>
    <w:rsid w:val="00F06953"/>
    <w:rsid w:val="00F06FED"/>
    <w:rsid w:val="00F0730E"/>
    <w:rsid w:val="00F07B6E"/>
    <w:rsid w:val="00F07BF9"/>
    <w:rsid w:val="00F07D66"/>
    <w:rsid w:val="00F104A0"/>
    <w:rsid w:val="00F107BD"/>
    <w:rsid w:val="00F10804"/>
    <w:rsid w:val="00F1154F"/>
    <w:rsid w:val="00F11B53"/>
    <w:rsid w:val="00F12607"/>
    <w:rsid w:val="00F12791"/>
    <w:rsid w:val="00F12877"/>
    <w:rsid w:val="00F12923"/>
    <w:rsid w:val="00F13199"/>
    <w:rsid w:val="00F15E55"/>
    <w:rsid w:val="00F16476"/>
    <w:rsid w:val="00F16C19"/>
    <w:rsid w:val="00F16CA9"/>
    <w:rsid w:val="00F16E68"/>
    <w:rsid w:val="00F17182"/>
    <w:rsid w:val="00F1718E"/>
    <w:rsid w:val="00F17397"/>
    <w:rsid w:val="00F20A90"/>
    <w:rsid w:val="00F215C2"/>
    <w:rsid w:val="00F2191C"/>
    <w:rsid w:val="00F21B88"/>
    <w:rsid w:val="00F22820"/>
    <w:rsid w:val="00F2291B"/>
    <w:rsid w:val="00F22D0D"/>
    <w:rsid w:val="00F23439"/>
    <w:rsid w:val="00F23D3D"/>
    <w:rsid w:val="00F24078"/>
    <w:rsid w:val="00F247BC"/>
    <w:rsid w:val="00F25133"/>
    <w:rsid w:val="00F2539F"/>
    <w:rsid w:val="00F25662"/>
    <w:rsid w:val="00F25EC9"/>
    <w:rsid w:val="00F2673B"/>
    <w:rsid w:val="00F26E11"/>
    <w:rsid w:val="00F26ED0"/>
    <w:rsid w:val="00F2718F"/>
    <w:rsid w:val="00F27855"/>
    <w:rsid w:val="00F30249"/>
    <w:rsid w:val="00F304E3"/>
    <w:rsid w:val="00F3056A"/>
    <w:rsid w:val="00F311BE"/>
    <w:rsid w:val="00F32CAD"/>
    <w:rsid w:val="00F336CC"/>
    <w:rsid w:val="00F3381D"/>
    <w:rsid w:val="00F3422B"/>
    <w:rsid w:val="00F34E27"/>
    <w:rsid w:val="00F354DA"/>
    <w:rsid w:val="00F35A03"/>
    <w:rsid w:val="00F35AD8"/>
    <w:rsid w:val="00F35DEC"/>
    <w:rsid w:val="00F364D4"/>
    <w:rsid w:val="00F36826"/>
    <w:rsid w:val="00F379EC"/>
    <w:rsid w:val="00F4013E"/>
    <w:rsid w:val="00F4063E"/>
    <w:rsid w:val="00F4091B"/>
    <w:rsid w:val="00F41EAD"/>
    <w:rsid w:val="00F41EED"/>
    <w:rsid w:val="00F4224B"/>
    <w:rsid w:val="00F433B5"/>
    <w:rsid w:val="00F445A1"/>
    <w:rsid w:val="00F44985"/>
    <w:rsid w:val="00F4537A"/>
    <w:rsid w:val="00F454CF"/>
    <w:rsid w:val="00F45F27"/>
    <w:rsid w:val="00F4664F"/>
    <w:rsid w:val="00F46FA5"/>
    <w:rsid w:val="00F47712"/>
    <w:rsid w:val="00F47977"/>
    <w:rsid w:val="00F47AF7"/>
    <w:rsid w:val="00F5054F"/>
    <w:rsid w:val="00F50D69"/>
    <w:rsid w:val="00F519F0"/>
    <w:rsid w:val="00F51D02"/>
    <w:rsid w:val="00F53879"/>
    <w:rsid w:val="00F54C4D"/>
    <w:rsid w:val="00F54FD3"/>
    <w:rsid w:val="00F55E76"/>
    <w:rsid w:val="00F56312"/>
    <w:rsid w:val="00F566EC"/>
    <w:rsid w:val="00F56B9B"/>
    <w:rsid w:val="00F56C07"/>
    <w:rsid w:val="00F56C0B"/>
    <w:rsid w:val="00F5758D"/>
    <w:rsid w:val="00F60F5E"/>
    <w:rsid w:val="00F616F4"/>
    <w:rsid w:val="00F618DA"/>
    <w:rsid w:val="00F61CB8"/>
    <w:rsid w:val="00F62503"/>
    <w:rsid w:val="00F62EDE"/>
    <w:rsid w:val="00F637DD"/>
    <w:rsid w:val="00F63E9D"/>
    <w:rsid w:val="00F64522"/>
    <w:rsid w:val="00F64665"/>
    <w:rsid w:val="00F646C7"/>
    <w:rsid w:val="00F64D31"/>
    <w:rsid w:val="00F655F8"/>
    <w:rsid w:val="00F65723"/>
    <w:rsid w:val="00F65F2B"/>
    <w:rsid w:val="00F660D4"/>
    <w:rsid w:val="00F66410"/>
    <w:rsid w:val="00F66F34"/>
    <w:rsid w:val="00F6703B"/>
    <w:rsid w:val="00F67C2B"/>
    <w:rsid w:val="00F67D48"/>
    <w:rsid w:val="00F7073D"/>
    <w:rsid w:val="00F70D73"/>
    <w:rsid w:val="00F7160B"/>
    <w:rsid w:val="00F71A1A"/>
    <w:rsid w:val="00F7227C"/>
    <w:rsid w:val="00F72761"/>
    <w:rsid w:val="00F72885"/>
    <w:rsid w:val="00F73305"/>
    <w:rsid w:val="00F74181"/>
    <w:rsid w:val="00F74197"/>
    <w:rsid w:val="00F74317"/>
    <w:rsid w:val="00F74CE1"/>
    <w:rsid w:val="00F75697"/>
    <w:rsid w:val="00F75B3D"/>
    <w:rsid w:val="00F760AB"/>
    <w:rsid w:val="00F7695C"/>
    <w:rsid w:val="00F76C53"/>
    <w:rsid w:val="00F76C69"/>
    <w:rsid w:val="00F80986"/>
    <w:rsid w:val="00F81E8F"/>
    <w:rsid w:val="00F837A5"/>
    <w:rsid w:val="00F83DB1"/>
    <w:rsid w:val="00F85558"/>
    <w:rsid w:val="00F903FE"/>
    <w:rsid w:val="00F90687"/>
    <w:rsid w:val="00F90FB7"/>
    <w:rsid w:val="00F91D85"/>
    <w:rsid w:val="00F92229"/>
    <w:rsid w:val="00F92F63"/>
    <w:rsid w:val="00F9344F"/>
    <w:rsid w:val="00F93513"/>
    <w:rsid w:val="00F940BD"/>
    <w:rsid w:val="00F941A7"/>
    <w:rsid w:val="00F94AE5"/>
    <w:rsid w:val="00F94DF9"/>
    <w:rsid w:val="00F9506D"/>
    <w:rsid w:val="00F9520F"/>
    <w:rsid w:val="00F953C2"/>
    <w:rsid w:val="00F9596C"/>
    <w:rsid w:val="00F970EB"/>
    <w:rsid w:val="00F9737A"/>
    <w:rsid w:val="00F97EF2"/>
    <w:rsid w:val="00FA040A"/>
    <w:rsid w:val="00FA0C89"/>
    <w:rsid w:val="00FA0DB2"/>
    <w:rsid w:val="00FA0F24"/>
    <w:rsid w:val="00FA4788"/>
    <w:rsid w:val="00FA4B2D"/>
    <w:rsid w:val="00FA502A"/>
    <w:rsid w:val="00FA5621"/>
    <w:rsid w:val="00FA5A19"/>
    <w:rsid w:val="00FA7904"/>
    <w:rsid w:val="00FB095A"/>
    <w:rsid w:val="00FB0B1F"/>
    <w:rsid w:val="00FB0B2A"/>
    <w:rsid w:val="00FB12CE"/>
    <w:rsid w:val="00FB331B"/>
    <w:rsid w:val="00FB517D"/>
    <w:rsid w:val="00FB6217"/>
    <w:rsid w:val="00FB6B44"/>
    <w:rsid w:val="00FC0EA3"/>
    <w:rsid w:val="00FC1286"/>
    <w:rsid w:val="00FC12A2"/>
    <w:rsid w:val="00FC155C"/>
    <w:rsid w:val="00FC166D"/>
    <w:rsid w:val="00FC1D55"/>
    <w:rsid w:val="00FC28C8"/>
    <w:rsid w:val="00FC2FF8"/>
    <w:rsid w:val="00FC31D9"/>
    <w:rsid w:val="00FC395B"/>
    <w:rsid w:val="00FC3E6E"/>
    <w:rsid w:val="00FC4448"/>
    <w:rsid w:val="00FC52E5"/>
    <w:rsid w:val="00FC57E4"/>
    <w:rsid w:val="00FC6DDC"/>
    <w:rsid w:val="00FC77BA"/>
    <w:rsid w:val="00FC77E8"/>
    <w:rsid w:val="00FD18CF"/>
    <w:rsid w:val="00FD1E89"/>
    <w:rsid w:val="00FD25AB"/>
    <w:rsid w:val="00FD2F20"/>
    <w:rsid w:val="00FD4130"/>
    <w:rsid w:val="00FD495B"/>
    <w:rsid w:val="00FD4F70"/>
    <w:rsid w:val="00FD5BB8"/>
    <w:rsid w:val="00FD5BEA"/>
    <w:rsid w:val="00FD6537"/>
    <w:rsid w:val="00FD6A91"/>
    <w:rsid w:val="00FD7763"/>
    <w:rsid w:val="00FD7874"/>
    <w:rsid w:val="00FD7A7A"/>
    <w:rsid w:val="00FD7D2D"/>
    <w:rsid w:val="00FE0457"/>
    <w:rsid w:val="00FE14DF"/>
    <w:rsid w:val="00FE1B70"/>
    <w:rsid w:val="00FE1B8B"/>
    <w:rsid w:val="00FE2139"/>
    <w:rsid w:val="00FE305F"/>
    <w:rsid w:val="00FE4895"/>
    <w:rsid w:val="00FE4CDD"/>
    <w:rsid w:val="00FE5B5B"/>
    <w:rsid w:val="00FE5C62"/>
    <w:rsid w:val="00FE63DF"/>
    <w:rsid w:val="00FE6BA4"/>
    <w:rsid w:val="00FE770D"/>
    <w:rsid w:val="00FE7C0A"/>
    <w:rsid w:val="00FE7C3A"/>
    <w:rsid w:val="00FF0106"/>
    <w:rsid w:val="00FF0FF9"/>
    <w:rsid w:val="00FF15A2"/>
    <w:rsid w:val="00FF26F4"/>
    <w:rsid w:val="00FF3267"/>
    <w:rsid w:val="00FF33AC"/>
    <w:rsid w:val="00FF345F"/>
    <w:rsid w:val="00FF3B2B"/>
    <w:rsid w:val="00FF3E20"/>
    <w:rsid w:val="00FF40B0"/>
    <w:rsid w:val="00FF4B63"/>
    <w:rsid w:val="00FF5F1A"/>
    <w:rsid w:val="00FF6686"/>
    <w:rsid w:val="00FF6B68"/>
    <w:rsid w:val="00FF6FA3"/>
    <w:rsid w:val="00FF7358"/>
    <w:rsid w:val="00FF7605"/>
    <w:rsid w:val="00FFB135"/>
    <w:rsid w:val="0103D550"/>
    <w:rsid w:val="010A0BC5"/>
    <w:rsid w:val="01190E07"/>
    <w:rsid w:val="01260FE7"/>
    <w:rsid w:val="0131DB0C"/>
    <w:rsid w:val="0137A4E1"/>
    <w:rsid w:val="01581FF9"/>
    <w:rsid w:val="015C0CB7"/>
    <w:rsid w:val="015E31D2"/>
    <w:rsid w:val="0168C5C9"/>
    <w:rsid w:val="0169B5DD"/>
    <w:rsid w:val="016B547E"/>
    <w:rsid w:val="016DD97F"/>
    <w:rsid w:val="017847CF"/>
    <w:rsid w:val="017F71A5"/>
    <w:rsid w:val="01832ABC"/>
    <w:rsid w:val="018588E8"/>
    <w:rsid w:val="01884D72"/>
    <w:rsid w:val="01915774"/>
    <w:rsid w:val="01A7022A"/>
    <w:rsid w:val="01A7F5C4"/>
    <w:rsid w:val="01A9EE34"/>
    <w:rsid w:val="01AF1F58"/>
    <w:rsid w:val="01B80163"/>
    <w:rsid w:val="01B9F8E1"/>
    <w:rsid w:val="01CB583A"/>
    <w:rsid w:val="01DEC461"/>
    <w:rsid w:val="01E18C7C"/>
    <w:rsid w:val="01E42D9B"/>
    <w:rsid w:val="01E467FC"/>
    <w:rsid w:val="01F0D818"/>
    <w:rsid w:val="0204851B"/>
    <w:rsid w:val="0209D001"/>
    <w:rsid w:val="020A14F8"/>
    <w:rsid w:val="020DF259"/>
    <w:rsid w:val="021C00A7"/>
    <w:rsid w:val="021C2083"/>
    <w:rsid w:val="021CB270"/>
    <w:rsid w:val="0223F0DE"/>
    <w:rsid w:val="02294B37"/>
    <w:rsid w:val="022CEBD1"/>
    <w:rsid w:val="02325EC5"/>
    <w:rsid w:val="02439434"/>
    <w:rsid w:val="02497C10"/>
    <w:rsid w:val="0249EA4C"/>
    <w:rsid w:val="0259B7DB"/>
    <w:rsid w:val="026BC85D"/>
    <w:rsid w:val="027027C5"/>
    <w:rsid w:val="027556F8"/>
    <w:rsid w:val="027D4374"/>
    <w:rsid w:val="0285DE72"/>
    <w:rsid w:val="028C6C76"/>
    <w:rsid w:val="028EA550"/>
    <w:rsid w:val="028F3BEA"/>
    <w:rsid w:val="02980C15"/>
    <w:rsid w:val="029C7937"/>
    <w:rsid w:val="029DC2E6"/>
    <w:rsid w:val="02A532A9"/>
    <w:rsid w:val="02A6F4A5"/>
    <w:rsid w:val="02AD3C87"/>
    <w:rsid w:val="02AD806A"/>
    <w:rsid w:val="02B5FC01"/>
    <w:rsid w:val="02BE3225"/>
    <w:rsid w:val="02CF83C5"/>
    <w:rsid w:val="02D59D20"/>
    <w:rsid w:val="02DE1A8D"/>
    <w:rsid w:val="02E61280"/>
    <w:rsid w:val="030812E6"/>
    <w:rsid w:val="030FCFF9"/>
    <w:rsid w:val="0315E409"/>
    <w:rsid w:val="03175E71"/>
    <w:rsid w:val="032331AC"/>
    <w:rsid w:val="032532D9"/>
    <w:rsid w:val="0337E010"/>
    <w:rsid w:val="033AAFA9"/>
    <w:rsid w:val="033E717A"/>
    <w:rsid w:val="034659E0"/>
    <w:rsid w:val="03587370"/>
    <w:rsid w:val="03608F3F"/>
    <w:rsid w:val="03661252"/>
    <w:rsid w:val="0366E9BB"/>
    <w:rsid w:val="0376FD89"/>
    <w:rsid w:val="037CD810"/>
    <w:rsid w:val="03844DF9"/>
    <w:rsid w:val="038CC0B5"/>
    <w:rsid w:val="03A47013"/>
    <w:rsid w:val="03AFEC20"/>
    <w:rsid w:val="03B935D3"/>
    <w:rsid w:val="03BC4094"/>
    <w:rsid w:val="03DB6436"/>
    <w:rsid w:val="03E5A0FB"/>
    <w:rsid w:val="03E76F5B"/>
    <w:rsid w:val="03EF9A5E"/>
    <w:rsid w:val="03F290DC"/>
    <w:rsid w:val="03F7EA12"/>
    <w:rsid w:val="03FA1D44"/>
    <w:rsid w:val="040D64A7"/>
    <w:rsid w:val="0417E777"/>
    <w:rsid w:val="04184E48"/>
    <w:rsid w:val="041A5966"/>
    <w:rsid w:val="041DB3F8"/>
    <w:rsid w:val="041DCFBF"/>
    <w:rsid w:val="041FAD1A"/>
    <w:rsid w:val="0425064E"/>
    <w:rsid w:val="0430A416"/>
    <w:rsid w:val="04339D22"/>
    <w:rsid w:val="04362A4A"/>
    <w:rsid w:val="0436B2CF"/>
    <w:rsid w:val="043C95E4"/>
    <w:rsid w:val="0444A3AF"/>
    <w:rsid w:val="0445C619"/>
    <w:rsid w:val="0446CC4C"/>
    <w:rsid w:val="044DF2C7"/>
    <w:rsid w:val="046154A8"/>
    <w:rsid w:val="04622B51"/>
    <w:rsid w:val="04636A28"/>
    <w:rsid w:val="0464C8BC"/>
    <w:rsid w:val="0469AB7F"/>
    <w:rsid w:val="046B0901"/>
    <w:rsid w:val="046D3350"/>
    <w:rsid w:val="04733074"/>
    <w:rsid w:val="0474C957"/>
    <w:rsid w:val="04897737"/>
    <w:rsid w:val="048A5826"/>
    <w:rsid w:val="0493A20D"/>
    <w:rsid w:val="049FA080"/>
    <w:rsid w:val="04AB81B8"/>
    <w:rsid w:val="04AC5DE8"/>
    <w:rsid w:val="04BAF1AA"/>
    <w:rsid w:val="04BB989B"/>
    <w:rsid w:val="04C19E30"/>
    <w:rsid w:val="04C48320"/>
    <w:rsid w:val="04C4E10E"/>
    <w:rsid w:val="04C86BDE"/>
    <w:rsid w:val="04DC02D3"/>
    <w:rsid w:val="04E6CDD2"/>
    <w:rsid w:val="04F01544"/>
    <w:rsid w:val="04FA5381"/>
    <w:rsid w:val="04FBD55F"/>
    <w:rsid w:val="04FFD106"/>
    <w:rsid w:val="050A59E7"/>
    <w:rsid w:val="05166F30"/>
    <w:rsid w:val="0532367F"/>
    <w:rsid w:val="05324116"/>
    <w:rsid w:val="05338908"/>
    <w:rsid w:val="05364C5E"/>
    <w:rsid w:val="053B8F16"/>
    <w:rsid w:val="053E1013"/>
    <w:rsid w:val="05408ADE"/>
    <w:rsid w:val="0548331C"/>
    <w:rsid w:val="054FAD91"/>
    <w:rsid w:val="05527B77"/>
    <w:rsid w:val="0554A40F"/>
    <w:rsid w:val="055D5BBB"/>
    <w:rsid w:val="055EC5EF"/>
    <w:rsid w:val="0568D60D"/>
    <w:rsid w:val="057589A4"/>
    <w:rsid w:val="0575CC39"/>
    <w:rsid w:val="058AC219"/>
    <w:rsid w:val="059DF6EA"/>
    <w:rsid w:val="05A4BF2E"/>
    <w:rsid w:val="05A7AD7D"/>
    <w:rsid w:val="05AF8DEB"/>
    <w:rsid w:val="05B3EFEA"/>
    <w:rsid w:val="05C6DAFA"/>
    <w:rsid w:val="05DAADEF"/>
    <w:rsid w:val="05E69095"/>
    <w:rsid w:val="0608A8D0"/>
    <w:rsid w:val="060A7B81"/>
    <w:rsid w:val="0619CA52"/>
    <w:rsid w:val="061D6D95"/>
    <w:rsid w:val="0622FC9D"/>
    <w:rsid w:val="0627E8E7"/>
    <w:rsid w:val="062DE561"/>
    <w:rsid w:val="06360ED9"/>
    <w:rsid w:val="0641D5A1"/>
    <w:rsid w:val="0646DBBE"/>
    <w:rsid w:val="064FFAB6"/>
    <w:rsid w:val="0650FAAB"/>
    <w:rsid w:val="065D5031"/>
    <w:rsid w:val="0666DF1A"/>
    <w:rsid w:val="066E44C1"/>
    <w:rsid w:val="066EDC39"/>
    <w:rsid w:val="067B4A29"/>
    <w:rsid w:val="067C90A7"/>
    <w:rsid w:val="068035A8"/>
    <w:rsid w:val="069380B1"/>
    <w:rsid w:val="06998717"/>
    <w:rsid w:val="06A64E2F"/>
    <w:rsid w:val="06A64EEA"/>
    <w:rsid w:val="06ADF297"/>
    <w:rsid w:val="06C7A59F"/>
    <w:rsid w:val="06C97883"/>
    <w:rsid w:val="06D99C13"/>
    <w:rsid w:val="06D9E8D7"/>
    <w:rsid w:val="06E04959"/>
    <w:rsid w:val="06EC1198"/>
    <w:rsid w:val="06EEF419"/>
    <w:rsid w:val="06F3C231"/>
    <w:rsid w:val="06F90BBC"/>
    <w:rsid w:val="070E227B"/>
    <w:rsid w:val="0712A40D"/>
    <w:rsid w:val="0717A8F3"/>
    <w:rsid w:val="071FF2CF"/>
    <w:rsid w:val="072B7066"/>
    <w:rsid w:val="0731A991"/>
    <w:rsid w:val="073B9231"/>
    <w:rsid w:val="073E8A54"/>
    <w:rsid w:val="073F96E9"/>
    <w:rsid w:val="0744A5C3"/>
    <w:rsid w:val="074BA95E"/>
    <w:rsid w:val="0754F02E"/>
    <w:rsid w:val="07560771"/>
    <w:rsid w:val="0757DE54"/>
    <w:rsid w:val="075D52CE"/>
    <w:rsid w:val="07676BA6"/>
    <w:rsid w:val="07680B02"/>
    <w:rsid w:val="076920C6"/>
    <w:rsid w:val="0779D7AF"/>
    <w:rsid w:val="07830A7E"/>
    <w:rsid w:val="07864CF5"/>
    <w:rsid w:val="07893BC1"/>
    <w:rsid w:val="078B3CFE"/>
    <w:rsid w:val="07989424"/>
    <w:rsid w:val="07A2C07F"/>
    <w:rsid w:val="07A6D643"/>
    <w:rsid w:val="07AC1CA0"/>
    <w:rsid w:val="07B87A7D"/>
    <w:rsid w:val="07BE6098"/>
    <w:rsid w:val="07C3037D"/>
    <w:rsid w:val="07CE3273"/>
    <w:rsid w:val="07D0EB9C"/>
    <w:rsid w:val="07D261CE"/>
    <w:rsid w:val="07FC397A"/>
    <w:rsid w:val="080E30E5"/>
    <w:rsid w:val="0813C1CE"/>
    <w:rsid w:val="081EF813"/>
    <w:rsid w:val="081FF406"/>
    <w:rsid w:val="08235248"/>
    <w:rsid w:val="0824B488"/>
    <w:rsid w:val="082A10E5"/>
    <w:rsid w:val="082B659E"/>
    <w:rsid w:val="083594ED"/>
    <w:rsid w:val="08602E1F"/>
    <w:rsid w:val="0860B60B"/>
    <w:rsid w:val="0864F868"/>
    <w:rsid w:val="0868946F"/>
    <w:rsid w:val="08792A4E"/>
    <w:rsid w:val="088870EF"/>
    <w:rsid w:val="0889D62C"/>
    <w:rsid w:val="0891671C"/>
    <w:rsid w:val="08925266"/>
    <w:rsid w:val="089A293F"/>
    <w:rsid w:val="08A2A650"/>
    <w:rsid w:val="08A76532"/>
    <w:rsid w:val="08BC9713"/>
    <w:rsid w:val="08BE2547"/>
    <w:rsid w:val="08C03639"/>
    <w:rsid w:val="08C7C2D4"/>
    <w:rsid w:val="08CEA737"/>
    <w:rsid w:val="08D16383"/>
    <w:rsid w:val="08EDC95E"/>
    <w:rsid w:val="0901C5F5"/>
    <w:rsid w:val="091C4267"/>
    <w:rsid w:val="093069E4"/>
    <w:rsid w:val="0930EB9A"/>
    <w:rsid w:val="09322290"/>
    <w:rsid w:val="0935BB5B"/>
    <w:rsid w:val="09380A3D"/>
    <w:rsid w:val="0941F743"/>
    <w:rsid w:val="0944282D"/>
    <w:rsid w:val="0949D40E"/>
    <w:rsid w:val="09559A05"/>
    <w:rsid w:val="0957F1D3"/>
    <w:rsid w:val="095A0508"/>
    <w:rsid w:val="0964C06B"/>
    <w:rsid w:val="096B0902"/>
    <w:rsid w:val="098414D2"/>
    <w:rsid w:val="0985A7D2"/>
    <w:rsid w:val="09896B62"/>
    <w:rsid w:val="09A15618"/>
    <w:rsid w:val="09AAC5B7"/>
    <w:rsid w:val="09D1A99F"/>
    <w:rsid w:val="09D34FA0"/>
    <w:rsid w:val="09E981CB"/>
    <w:rsid w:val="09F6AAD1"/>
    <w:rsid w:val="0A092ED3"/>
    <w:rsid w:val="0A0CD9FF"/>
    <w:rsid w:val="0A105174"/>
    <w:rsid w:val="0A17A723"/>
    <w:rsid w:val="0A18A3D5"/>
    <w:rsid w:val="0A21F817"/>
    <w:rsid w:val="0A27391E"/>
    <w:rsid w:val="0A27AB12"/>
    <w:rsid w:val="0A32F895"/>
    <w:rsid w:val="0A335649"/>
    <w:rsid w:val="0A416F72"/>
    <w:rsid w:val="0A421346"/>
    <w:rsid w:val="0A55D9F9"/>
    <w:rsid w:val="0A5AB36E"/>
    <w:rsid w:val="0A5B2369"/>
    <w:rsid w:val="0A6FCD4D"/>
    <w:rsid w:val="0A701D93"/>
    <w:rsid w:val="0A765A38"/>
    <w:rsid w:val="0A8A1705"/>
    <w:rsid w:val="0A8AAEF7"/>
    <w:rsid w:val="0A8CB1C4"/>
    <w:rsid w:val="0A9015C3"/>
    <w:rsid w:val="0A969165"/>
    <w:rsid w:val="0A992996"/>
    <w:rsid w:val="0A9C3DDE"/>
    <w:rsid w:val="0AA3A667"/>
    <w:rsid w:val="0AA7552B"/>
    <w:rsid w:val="0AA9F66C"/>
    <w:rsid w:val="0AAF9E7B"/>
    <w:rsid w:val="0AB424BD"/>
    <w:rsid w:val="0AB4F718"/>
    <w:rsid w:val="0AC5AAA2"/>
    <w:rsid w:val="0AC88EDB"/>
    <w:rsid w:val="0AD1F468"/>
    <w:rsid w:val="0AD3CEFA"/>
    <w:rsid w:val="0AD6A83A"/>
    <w:rsid w:val="0ADB208C"/>
    <w:rsid w:val="0ADD8008"/>
    <w:rsid w:val="0AEEF9A3"/>
    <w:rsid w:val="0AFFB44D"/>
    <w:rsid w:val="0B04C4A8"/>
    <w:rsid w:val="0B08BB49"/>
    <w:rsid w:val="0B08F789"/>
    <w:rsid w:val="0B0ED353"/>
    <w:rsid w:val="0B10B0E6"/>
    <w:rsid w:val="0B1A20B7"/>
    <w:rsid w:val="0B1EF9F3"/>
    <w:rsid w:val="0B203A80"/>
    <w:rsid w:val="0B219007"/>
    <w:rsid w:val="0B2B45E3"/>
    <w:rsid w:val="0B3380A6"/>
    <w:rsid w:val="0B41422C"/>
    <w:rsid w:val="0B42F7C4"/>
    <w:rsid w:val="0B439678"/>
    <w:rsid w:val="0B4C16FE"/>
    <w:rsid w:val="0B4CFBEF"/>
    <w:rsid w:val="0B577596"/>
    <w:rsid w:val="0B59CFB8"/>
    <w:rsid w:val="0B5C80D2"/>
    <w:rsid w:val="0B6960D0"/>
    <w:rsid w:val="0B6DF74C"/>
    <w:rsid w:val="0B7759B7"/>
    <w:rsid w:val="0B7BC722"/>
    <w:rsid w:val="0B8861F6"/>
    <w:rsid w:val="0B8ECC2F"/>
    <w:rsid w:val="0BA97117"/>
    <w:rsid w:val="0BB65B6D"/>
    <w:rsid w:val="0BB91760"/>
    <w:rsid w:val="0BC6F332"/>
    <w:rsid w:val="0BD7C8B9"/>
    <w:rsid w:val="0BD91B7D"/>
    <w:rsid w:val="0BD98E7A"/>
    <w:rsid w:val="0BDCD59E"/>
    <w:rsid w:val="0BDE3E6D"/>
    <w:rsid w:val="0BE3209E"/>
    <w:rsid w:val="0BE4FE04"/>
    <w:rsid w:val="0BE63460"/>
    <w:rsid w:val="0BF1AEBC"/>
    <w:rsid w:val="0BF9A642"/>
    <w:rsid w:val="0C01C5DE"/>
    <w:rsid w:val="0C172ECC"/>
    <w:rsid w:val="0C21113A"/>
    <w:rsid w:val="0C22E191"/>
    <w:rsid w:val="0C282C9B"/>
    <w:rsid w:val="0C2CB69A"/>
    <w:rsid w:val="0C34C961"/>
    <w:rsid w:val="0C3A0F6B"/>
    <w:rsid w:val="0C3E600E"/>
    <w:rsid w:val="0C5B204B"/>
    <w:rsid w:val="0C5DBF22"/>
    <w:rsid w:val="0C65A77A"/>
    <w:rsid w:val="0C7F5DC9"/>
    <w:rsid w:val="0C7FB68C"/>
    <w:rsid w:val="0C863974"/>
    <w:rsid w:val="0C8BB768"/>
    <w:rsid w:val="0C8C6B9A"/>
    <w:rsid w:val="0C8D8525"/>
    <w:rsid w:val="0C907893"/>
    <w:rsid w:val="0C915F5C"/>
    <w:rsid w:val="0CA59602"/>
    <w:rsid w:val="0CA7B20F"/>
    <w:rsid w:val="0CA93E58"/>
    <w:rsid w:val="0CB0DF75"/>
    <w:rsid w:val="0CB1D0A7"/>
    <w:rsid w:val="0CBA837C"/>
    <w:rsid w:val="0CBAC7B7"/>
    <w:rsid w:val="0CBDB69E"/>
    <w:rsid w:val="0CC22428"/>
    <w:rsid w:val="0CC76FA5"/>
    <w:rsid w:val="0CDADE9F"/>
    <w:rsid w:val="0CE5797B"/>
    <w:rsid w:val="0CE9427C"/>
    <w:rsid w:val="0CEC32D6"/>
    <w:rsid w:val="0CFAD942"/>
    <w:rsid w:val="0CFF17BD"/>
    <w:rsid w:val="0D012021"/>
    <w:rsid w:val="0D07BEED"/>
    <w:rsid w:val="0D0996D7"/>
    <w:rsid w:val="0D136D6C"/>
    <w:rsid w:val="0D3C915D"/>
    <w:rsid w:val="0D4425CA"/>
    <w:rsid w:val="0D4BE70B"/>
    <w:rsid w:val="0D4F6287"/>
    <w:rsid w:val="0D569486"/>
    <w:rsid w:val="0D56AA5A"/>
    <w:rsid w:val="0D599723"/>
    <w:rsid w:val="0D5BAD49"/>
    <w:rsid w:val="0D5C9F43"/>
    <w:rsid w:val="0D5E556B"/>
    <w:rsid w:val="0D74403E"/>
    <w:rsid w:val="0D754038"/>
    <w:rsid w:val="0D7E68AA"/>
    <w:rsid w:val="0D7E7E1E"/>
    <w:rsid w:val="0D804F65"/>
    <w:rsid w:val="0D8DA53C"/>
    <w:rsid w:val="0D980EEC"/>
    <w:rsid w:val="0DA04E5F"/>
    <w:rsid w:val="0DA77DBC"/>
    <w:rsid w:val="0DA9E803"/>
    <w:rsid w:val="0DB7C580"/>
    <w:rsid w:val="0DC909D1"/>
    <w:rsid w:val="0DD3F53E"/>
    <w:rsid w:val="0DD600B1"/>
    <w:rsid w:val="0DDA477C"/>
    <w:rsid w:val="0DE14D4D"/>
    <w:rsid w:val="0DF1C90D"/>
    <w:rsid w:val="0DFDC19D"/>
    <w:rsid w:val="0E00A7D2"/>
    <w:rsid w:val="0E0ED829"/>
    <w:rsid w:val="0E332E64"/>
    <w:rsid w:val="0E4A6E87"/>
    <w:rsid w:val="0E4E0657"/>
    <w:rsid w:val="0E4EFA4C"/>
    <w:rsid w:val="0E55FF07"/>
    <w:rsid w:val="0E64DDE9"/>
    <w:rsid w:val="0E701E07"/>
    <w:rsid w:val="0E70F568"/>
    <w:rsid w:val="0E80888F"/>
    <w:rsid w:val="0E8A49D4"/>
    <w:rsid w:val="0E8BC495"/>
    <w:rsid w:val="0E8FEA41"/>
    <w:rsid w:val="0EAA1F8B"/>
    <w:rsid w:val="0EABDB46"/>
    <w:rsid w:val="0EBACDF8"/>
    <w:rsid w:val="0EC30B0A"/>
    <w:rsid w:val="0ED3C644"/>
    <w:rsid w:val="0ED5DAB3"/>
    <w:rsid w:val="0EDCFA4A"/>
    <w:rsid w:val="0EE2F5ED"/>
    <w:rsid w:val="0EE5C1F1"/>
    <w:rsid w:val="0EE797BA"/>
    <w:rsid w:val="0EED08D6"/>
    <w:rsid w:val="0EED389F"/>
    <w:rsid w:val="0EF06625"/>
    <w:rsid w:val="0F08725C"/>
    <w:rsid w:val="0F114E87"/>
    <w:rsid w:val="0F1D88CF"/>
    <w:rsid w:val="0F26400B"/>
    <w:rsid w:val="0F36D83C"/>
    <w:rsid w:val="0F3A4676"/>
    <w:rsid w:val="0F3A5527"/>
    <w:rsid w:val="0F4DE91E"/>
    <w:rsid w:val="0F526490"/>
    <w:rsid w:val="0F5E52FB"/>
    <w:rsid w:val="0F646D9C"/>
    <w:rsid w:val="0F6C48AE"/>
    <w:rsid w:val="0F71686C"/>
    <w:rsid w:val="0F7432AB"/>
    <w:rsid w:val="0F78D804"/>
    <w:rsid w:val="0F7D5851"/>
    <w:rsid w:val="0F838A6D"/>
    <w:rsid w:val="0F83ABE0"/>
    <w:rsid w:val="0F84D930"/>
    <w:rsid w:val="0F879062"/>
    <w:rsid w:val="0F9EBCE5"/>
    <w:rsid w:val="0F9F458A"/>
    <w:rsid w:val="0FA3E922"/>
    <w:rsid w:val="0FA6FF84"/>
    <w:rsid w:val="0FBF9B27"/>
    <w:rsid w:val="0FBFEEAE"/>
    <w:rsid w:val="0FC5331F"/>
    <w:rsid w:val="0FCE4E4C"/>
    <w:rsid w:val="0FD6372D"/>
    <w:rsid w:val="0FD715B4"/>
    <w:rsid w:val="0FD78FE3"/>
    <w:rsid w:val="0FE0FD6E"/>
    <w:rsid w:val="0FEB8657"/>
    <w:rsid w:val="1006EA3F"/>
    <w:rsid w:val="10203BE1"/>
    <w:rsid w:val="10225110"/>
    <w:rsid w:val="1032C609"/>
    <w:rsid w:val="10346F17"/>
    <w:rsid w:val="10429E7A"/>
    <w:rsid w:val="10471C98"/>
    <w:rsid w:val="10478AA7"/>
    <w:rsid w:val="105E6E7E"/>
    <w:rsid w:val="106AFCD2"/>
    <w:rsid w:val="108A839E"/>
    <w:rsid w:val="108F0373"/>
    <w:rsid w:val="109CE9D6"/>
    <w:rsid w:val="10A39860"/>
    <w:rsid w:val="10A87129"/>
    <w:rsid w:val="10B08319"/>
    <w:rsid w:val="10D57A9A"/>
    <w:rsid w:val="10D73369"/>
    <w:rsid w:val="10E4DCDA"/>
    <w:rsid w:val="10EE07F5"/>
    <w:rsid w:val="10F773C1"/>
    <w:rsid w:val="11114788"/>
    <w:rsid w:val="11158D85"/>
    <w:rsid w:val="111A0DB0"/>
    <w:rsid w:val="111D9C16"/>
    <w:rsid w:val="112D62EF"/>
    <w:rsid w:val="1133465A"/>
    <w:rsid w:val="11339ED0"/>
    <w:rsid w:val="1143FB25"/>
    <w:rsid w:val="114A2F7C"/>
    <w:rsid w:val="1150AF26"/>
    <w:rsid w:val="1151A6BA"/>
    <w:rsid w:val="1153849B"/>
    <w:rsid w:val="11564F5D"/>
    <w:rsid w:val="1156DB05"/>
    <w:rsid w:val="115E5ADA"/>
    <w:rsid w:val="1164DBB2"/>
    <w:rsid w:val="1178C33A"/>
    <w:rsid w:val="11862057"/>
    <w:rsid w:val="1195E152"/>
    <w:rsid w:val="119F5123"/>
    <w:rsid w:val="11A52083"/>
    <w:rsid w:val="11ADA485"/>
    <w:rsid w:val="11D2523E"/>
    <w:rsid w:val="11D2E710"/>
    <w:rsid w:val="11D40606"/>
    <w:rsid w:val="11DB6D2D"/>
    <w:rsid w:val="11DF665A"/>
    <w:rsid w:val="11E21078"/>
    <w:rsid w:val="11EA413D"/>
    <w:rsid w:val="11F2D23D"/>
    <w:rsid w:val="1203026A"/>
    <w:rsid w:val="1208642E"/>
    <w:rsid w:val="120CF1C4"/>
    <w:rsid w:val="121023E9"/>
    <w:rsid w:val="12238314"/>
    <w:rsid w:val="12250D5E"/>
    <w:rsid w:val="12258A25"/>
    <w:rsid w:val="1238D96E"/>
    <w:rsid w:val="123AD770"/>
    <w:rsid w:val="123FD1A2"/>
    <w:rsid w:val="12416AB0"/>
    <w:rsid w:val="124B5089"/>
    <w:rsid w:val="124C9ABD"/>
    <w:rsid w:val="126FD8F5"/>
    <w:rsid w:val="12748098"/>
    <w:rsid w:val="12766306"/>
    <w:rsid w:val="12844F66"/>
    <w:rsid w:val="128C26A0"/>
    <w:rsid w:val="128C9F02"/>
    <w:rsid w:val="129F4DE7"/>
    <w:rsid w:val="12A81A90"/>
    <w:rsid w:val="12AA2D2F"/>
    <w:rsid w:val="12BAC014"/>
    <w:rsid w:val="12BDF1F6"/>
    <w:rsid w:val="12CF342A"/>
    <w:rsid w:val="12D620B6"/>
    <w:rsid w:val="12EC2E95"/>
    <w:rsid w:val="12F3861F"/>
    <w:rsid w:val="1304936D"/>
    <w:rsid w:val="13248096"/>
    <w:rsid w:val="132AD9DC"/>
    <w:rsid w:val="133954F9"/>
    <w:rsid w:val="133B56A3"/>
    <w:rsid w:val="133F7C3B"/>
    <w:rsid w:val="13468CF1"/>
    <w:rsid w:val="1346B0E4"/>
    <w:rsid w:val="135FEA41"/>
    <w:rsid w:val="136FEFC0"/>
    <w:rsid w:val="1385FF12"/>
    <w:rsid w:val="138A6A88"/>
    <w:rsid w:val="139A8DB9"/>
    <w:rsid w:val="139DCB9D"/>
    <w:rsid w:val="13A13669"/>
    <w:rsid w:val="13A76EE4"/>
    <w:rsid w:val="13A8E485"/>
    <w:rsid w:val="13A9DF14"/>
    <w:rsid w:val="13AB4BF6"/>
    <w:rsid w:val="13B38833"/>
    <w:rsid w:val="13B3DC8E"/>
    <w:rsid w:val="13BBB183"/>
    <w:rsid w:val="13BC0923"/>
    <w:rsid w:val="13C63D52"/>
    <w:rsid w:val="13CAFEB7"/>
    <w:rsid w:val="13D17C32"/>
    <w:rsid w:val="13D1A784"/>
    <w:rsid w:val="13D99BFF"/>
    <w:rsid w:val="13EDEAC1"/>
    <w:rsid w:val="13F298BF"/>
    <w:rsid w:val="13F2FBD3"/>
    <w:rsid w:val="13F3805B"/>
    <w:rsid w:val="13F4AA81"/>
    <w:rsid w:val="13FD194C"/>
    <w:rsid w:val="1405CFA0"/>
    <w:rsid w:val="140765E8"/>
    <w:rsid w:val="140C84CB"/>
    <w:rsid w:val="1410DC6F"/>
    <w:rsid w:val="1415F139"/>
    <w:rsid w:val="14232766"/>
    <w:rsid w:val="14316AC2"/>
    <w:rsid w:val="143A4850"/>
    <w:rsid w:val="14428B20"/>
    <w:rsid w:val="14432808"/>
    <w:rsid w:val="1458A64A"/>
    <w:rsid w:val="145EE6F4"/>
    <w:rsid w:val="1475284F"/>
    <w:rsid w:val="14891C97"/>
    <w:rsid w:val="14951D50"/>
    <w:rsid w:val="1498F19C"/>
    <w:rsid w:val="149AAD80"/>
    <w:rsid w:val="149E5682"/>
    <w:rsid w:val="14A41D73"/>
    <w:rsid w:val="14ABAB4E"/>
    <w:rsid w:val="14BB6A1F"/>
    <w:rsid w:val="14C8E503"/>
    <w:rsid w:val="14D6C986"/>
    <w:rsid w:val="14E1A314"/>
    <w:rsid w:val="14EA2EE8"/>
    <w:rsid w:val="1505A914"/>
    <w:rsid w:val="15082C66"/>
    <w:rsid w:val="150A0693"/>
    <w:rsid w:val="150AA3F2"/>
    <w:rsid w:val="1520FB7D"/>
    <w:rsid w:val="15221613"/>
    <w:rsid w:val="1539CDD4"/>
    <w:rsid w:val="153EA599"/>
    <w:rsid w:val="1543C64A"/>
    <w:rsid w:val="154857D7"/>
    <w:rsid w:val="15528149"/>
    <w:rsid w:val="155B30B4"/>
    <w:rsid w:val="155CBEC4"/>
    <w:rsid w:val="155F51F8"/>
    <w:rsid w:val="1576451B"/>
    <w:rsid w:val="15848C23"/>
    <w:rsid w:val="158AE525"/>
    <w:rsid w:val="158F279B"/>
    <w:rsid w:val="15A7F2FF"/>
    <w:rsid w:val="15A974C8"/>
    <w:rsid w:val="15AA4F50"/>
    <w:rsid w:val="15AB3F01"/>
    <w:rsid w:val="15C29CED"/>
    <w:rsid w:val="15D51B5F"/>
    <w:rsid w:val="15D81ADA"/>
    <w:rsid w:val="15DA0784"/>
    <w:rsid w:val="15DFAA2A"/>
    <w:rsid w:val="15DFDF62"/>
    <w:rsid w:val="15E51032"/>
    <w:rsid w:val="15F00558"/>
    <w:rsid w:val="15F37098"/>
    <w:rsid w:val="15FA1FDB"/>
    <w:rsid w:val="16031BDB"/>
    <w:rsid w:val="160337C5"/>
    <w:rsid w:val="161DA8C7"/>
    <w:rsid w:val="163B8192"/>
    <w:rsid w:val="163E90E2"/>
    <w:rsid w:val="164A7E2C"/>
    <w:rsid w:val="164B5A36"/>
    <w:rsid w:val="164BB9F4"/>
    <w:rsid w:val="1654E3A9"/>
    <w:rsid w:val="167345FE"/>
    <w:rsid w:val="1683775B"/>
    <w:rsid w:val="168A8ECA"/>
    <w:rsid w:val="16A0ADA5"/>
    <w:rsid w:val="16AF77E5"/>
    <w:rsid w:val="16B294FD"/>
    <w:rsid w:val="16B371DE"/>
    <w:rsid w:val="16B4F956"/>
    <w:rsid w:val="16B5D48C"/>
    <w:rsid w:val="16B666B5"/>
    <w:rsid w:val="16C0A6EE"/>
    <w:rsid w:val="16C93CCD"/>
    <w:rsid w:val="16CD896E"/>
    <w:rsid w:val="16D5DF8C"/>
    <w:rsid w:val="16E56988"/>
    <w:rsid w:val="16F04DBB"/>
    <w:rsid w:val="16F1499F"/>
    <w:rsid w:val="170B3E3A"/>
    <w:rsid w:val="1711128C"/>
    <w:rsid w:val="171ED8DF"/>
    <w:rsid w:val="1729E96A"/>
    <w:rsid w:val="1734699E"/>
    <w:rsid w:val="17359D62"/>
    <w:rsid w:val="17372897"/>
    <w:rsid w:val="173928DC"/>
    <w:rsid w:val="173B8A2A"/>
    <w:rsid w:val="175553C8"/>
    <w:rsid w:val="176C9E09"/>
    <w:rsid w:val="177797A4"/>
    <w:rsid w:val="1777BC24"/>
    <w:rsid w:val="1783099D"/>
    <w:rsid w:val="178FBA43"/>
    <w:rsid w:val="17A7FA85"/>
    <w:rsid w:val="17B3DCBA"/>
    <w:rsid w:val="17B8D786"/>
    <w:rsid w:val="17C91B24"/>
    <w:rsid w:val="17D2C77B"/>
    <w:rsid w:val="17D777A5"/>
    <w:rsid w:val="17F0076D"/>
    <w:rsid w:val="17F2328F"/>
    <w:rsid w:val="17F7443E"/>
    <w:rsid w:val="180458EB"/>
    <w:rsid w:val="1809D683"/>
    <w:rsid w:val="180B781F"/>
    <w:rsid w:val="180BE7AC"/>
    <w:rsid w:val="1818BAC5"/>
    <w:rsid w:val="18192117"/>
    <w:rsid w:val="1831C60E"/>
    <w:rsid w:val="1846BDB9"/>
    <w:rsid w:val="184FEFB7"/>
    <w:rsid w:val="1862911B"/>
    <w:rsid w:val="1862F009"/>
    <w:rsid w:val="186F99A6"/>
    <w:rsid w:val="18721F05"/>
    <w:rsid w:val="187322CE"/>
    <w:rsid w:val="18737B89"/>
    <w:rsid w:val="1884FCB9"/>
    <w:rsid w:val="1897DE59"/>
    <w:rsid w:val="18988FF7"/>
    <w:rsid w:val="189D0CBB"/>
    <w:rsid w:val="189F2AD0"/>
    <w:rsid w:val="18AAE742"/>
    <w:rsid w:val="18B65D2B"/>
    <w:rsid w:val="18C774F9"/>
    <w:rsid w:val="18D0C35F"/>
    <w:rsid w:val="18D1A7D7"/>
    <w:rsid w:val="18D65FA8"/>
    <w:rsid w:val="18D7BC27"/>
    <w:rsid w:val="18DA8CDA"/>
    <w:rsid w:val="18DCF03D"/>
    <w:rsid w:val="18F1B7A5"/>
    <w:rsid w:val="18F65F51"/>
    <w:rsid w:val="1909DF4B"/>
    <w:rsid w:val="19122FFF"/>
    <w:rsid w:val="1917D05E"/>
    <w:rsid w:val="1919FD3B"/>
    <w:rsid w:val="191D4BB3"/>
    <w:rsid w:val="1922F31C"/>
    <w:rsid w:val="1925A8D9"/>
    <w:rsid w:val="192E9833"/>
    <w:rsid w:val="194A362A"/>
    <w:rsid w:val="195A9DA3"/>
    <w:rsid w:val="19607AB2"/>
    <w:rsid w:val="196125A4"/>
    <w:rsid w:val="19642311"/>
    <w:rsid w:val="196568AD"/>
    <w:rsid w:val="196F587A"/>
    <w:rsid w:val="1970B963"/>
    <w:rsid w:val="1972F757"/>
    <w:rsid w:val="1982FAF8"/>
    <w:rsid w:val="19947810"/>
    <w:rsid w:val="199E0AC0"/>
    <w:rsid w:val="199E3835"/>
    <w:rsid w:val="19AB3284"/>
    <w:rsid w:val="19BD48A8"/>
    <w:rsid w:val="19C62882"/>
    <w:rsid w:val="19CD34CC"/>
    <w:rsid w:val="19CD9B80"/>
    <w:rsid w:val="19E5EE42"/>
    <w:rsid w:val="19E8696E"/>
    <w:rsid w:val="19F8E0E0"/>
    <w:rsid w:val="1A015562"/>
    <w:rsid w:val="1A052F07"/>
    <w:rsid w:val="1A05AEC2"/>
    <w:rsid w:val="1A063FD1"/>
    <w:rsid w:val="1A064864"/>
    <w:rsid w:val="1A088CD8"/>
    <w:rsid w:val="1A08AE8A"/>
    <w:rsid w:val="1A19AB8F"/>
    <w:rsid w:val="1A22C512"/>
    <w:rsid w:val="1A231BDB"/>
    <w:rsid w:val="1A2BFCB6"/>
    <w:rsid w:val="1A4114CC"/>
    <w:rsid w:val="1A41F68D"/>
    <w:rsid w:val="1A44FB0C"/>
    <w:rsid w:val="1A499378"/>
    <w:rsid w:val="1A559440"/>
    <w:rsid w:val="1A5A2D78"/>
    <w:rsid w:val="1A5B76B1"/>
    <w:rsid w:val="1A5BF77B"/>
    <w:rsid w:val="1A70A1CA"/>
    <w:rsid w:val="1A7B4CEC"/>
    <w:rsid w:val="1A882B93"/>
    <w:rsid w:val="1A8AD1C3"/>
    <w:rsid w:val="1A9DFF68"/>
    <w:rsid w:val="1AA66B01"/>
    <w:rsid w:val="1AACA669"/>
    <w:rsid w:val="1AB5FA1D"/>
    <w:rsid w:val="1AC60FC4"/>
    <w:rsid w:val="1AC63216"/>
    <w:rsid w:val="1AC92F95"/>
    <w:rsid w:val="1ACAE6FA"/>
    <w:rsid w:val="1ADEB53C"/>
    <w:rsid w:val="1AE59F12"/>
    <w:rsid w:val="1AE5B624"/>
    <w:rsid w:val="1AF63567"/>
    <w:rsid w:val="1AF90DC7"/>
    <w:rsid w:val="1AFD00AC"/>
    <w:rsid w:val="1B1EACF9"/>
    <w:rsid w:val="1B202B05"/>
    <w:rsid w:val="1B2ACC4B"/>
    <w:rsid w:val="1B3699DC"/>
    <w:rsid w:val="1B395498"/>
    <w:rsid w:val="1B46E6F0"/>
    <w:rsid w:val="1B58057D"/>
    <w:rsid w:val="1B5BE06D"/>
    <w:rsid w:val="1B5F0FC6"/>
    <w:rsid w:val="1B6001CD"/>
    <w:rsid w:val="1B6CC4B1"/>
    <w:rsid w:val="1B80D423"/>
    <w:rsid w:val="1B910EE6"/>
    <w:rsid w:val="1B913CEA"/>
    <w:rsid w:val="1B9681C9"/>
    <w:rsid w:val="1B99415B"/>
    <w:rsid w:val="1BB327BD"/>
    <w:rsid w:val="1BC71B08"/>
    <w:rsid w:val="1BCF0346"/>
    <w:rsid w:val="1BD59979"/>
    <w:rsid w:val="1BD96D00"/>
    <w:rsid w:val="1BF1BAAA"/>
    <w:rsid w:val="1BF4A092"/>
    <w:rsid w:val="1BF67199"/>
    <w:rsid w:val="1BF8D840"/>
    <w:rsid w:val="1BFDE2DE"/>
    <w:rsid w:val="1C05B730"/>
    <w:rsid w:val="1C08B5BC"/>
    <w:rsid w:val="1C0D238C"/>
    <w:rsid w:val="1C0F4726"/>
    <w:rsid w:val="1C13D4E7"/>
    <w:rsid w:val="1C18CF2E"/>
    <w:rsid w:val="1C1980D3"/>
    <w:rsid w:val="1C1B4520"/>
    <w:rsid w:val="1C1B93DD"/>
    <w:rsid w:val="1C285CAA"/>
    <w:rsid w:val="1C2AA01C"/>
    <w:rsid w:val="1C2CB85E"/>
    <w:rsid w:val="1C2E9AB1"/>
    <w:rsid w:val="1C32978F"/>
    <w:rsid w:val="1C39784A"/>
    <w:rsid w:val="1C3B6682"/>
    <w:rsid w:val="1C40C41B"/>
    <w:rsid w:val="1C4A082B"/>
    <w:rsid w:val="1C56C770"/>
    <w:rsid w:val="1C5BE178"/>
    <w:rsid w:val="1C61A3EC"/>
    <w:rsid w:val="1C6726E7"/>
    <w:rsid w:val="1C6E9940"/>
    <w:rsid w:val="1C707964"/>
    <w:rsid w:val="1C7C5034"/>
    <w:rsid w:val="1C7F02B3"/>
    <w:rsid w:val="1C95047C"/>
    <w:rsid w:val="1CA306A3"/>
    <w:rsid w:val="1CAD89B5"/>
    <w:rsid w:val="1CAE38A2"/>
    <w:rsid w:val="1CB224BA"/>
    <w:rsid w:val="1CB5EC16"/>
    <w:rsid w:val="1CBB3690"/>
    <w:rsid w:val="1CC14CFF"/>
    <w:rsid w:val="1CC54240"/>
    <w:rsid w:val="1CC771CE"/>
    <w:rsid w:val="1CFB7B08"/>
    <w:rsid w:val="1CFBEDC1"/>
    <w:rsid w:val="1CFFECA3"/>
    <w:rsid w:val="1D0CB5A8"/>
    <w:rsid w:val="1D0CE2E3"/>
    <w:rsid w:val="1D1CC1B4"/>
    <w:rsid w:val="1D1E3398"/>
    <w:rsid w:val="1D1F9034"/>
    <w:rsid w:val="1D1FDAF2"/>
    <w:rsid w:val="1D241031"/>
    <w:rsid w:val="1D24546F"/>
    <w:rsid w:val="1D29296E"/>
    <w:rsid w:val="1D31AB83"/>
    <w:rsid w:val="1D32090B"/>
    <w:rsid w:val="1D43CE18"/>
    <w:rsid w:val="1D582CA7"/>
    <w:rsid w:val="1D5C2F06"/>
    <w:rsid w:val="1D5D2DF1"/>
    <w:rsid w:val="1D62EB69"/>
    <w:rsid w:val="1D7808D8"/>
    <w:rsid w:val="1D877C04"/>
    <w:rsid w:val="1D895E53"/>
    <w:rsid w:val="1D8FF7BD"/>
    <w:rsid w:val="1D9622C4"/>
    <w:rsid w:val="1D9DFD17"/>
    <w:rsid w:val="1DA5F61F"/>
    <w:rsid w:val="1DA6D024"/>
    <w:rsid w:val="1DA6DFCF"/>
    <w:rsid w:val="1DA75EE6"/>
    <w:rsid w:val="1DA860EE"/>
    <w:rsid w:val="1DAD8D98"/>
    <w:rsid w:val="1DB1022D"/>
    <w:rsid w:val="1DB43048"/>
    <w:rsid w:val="1DB57979"/>
    <w:rsid w:val="1DC16321"/>
    <w:rsid w:val="1DC8309E"/>
    <w:rsid w:val="1DD637A9"/>
    <w:rsid w:val="1DE547DD"/>
    <w:rsid w:val="1DEAA546"/>
    <w:rsid w:val="1DFDFEB2"/>
    <w:rsid w:val="1E0952AF"/>
    <w:rsid w:val="1E26F049"/>
    <w:rsid w:val="1E32E883"/>
    <w:rsid w:val="1E3B82F7"/>
    <w:rsid w:val="1E3E399D"/>
    <w:rsid w:val="1E45C86E"/>
    <w:rsid w:val="1E528D94"/>
    <w:rsid w:val="1E59EF73"/>
    <w:rsid w:val="1E664A35"/>
    <w:rsid w:val="1E67424B"/>
    <w:rsid w:val="1E6FAA47"/>
    <w:rsid w:val="1E75F896"/>
    <w:rsid w:val="1E7B1C59"/>
    <w:rsid w:val="1E871932"/>
    <w:rsid w:val="1E8C5C88"/>
    <w:rsid w:val="1E8D7F3B"/>
    <w:rsid w:val="1E8E9020"/>
    <w:rsid w:val="1E96FB69"/>
    <w:rsid w:val="1E9802BF"/>
    <w:rsid w:val="1E9C6656"/>
    <w:rsid w:val="1EA57B9F"/>
    <w:rsid w:val="1EA58C21"/>
    <w:rsid w:val="1EB3C11E"/>
    <w:rsid w:val="1ECB213E"/>
    <w:rsid w:val="1ECBCE0E"/>
    <w:rsid w:val="1ECD80F3"/>
    <w:rsid w:val="1ED151CD"/>
    <w:rsid w:val="1EDD19B9"/>
    <w:rsid w:val="1EE6C0B7"/>
    <w:rsid w:val="1EE96379"/>
    <w:rsid w:val="1EEA5580"/>
    <w:rsid w:val="1EEAEA26"/>
    <w:rsid w:val="1EEF8BEC"/>
    <w:rsid w:val="1EF8D73E"/>
    <w:rsid w:val="1EFEBBCA"/>
    <w:rsid w:val="1F07A2F5"/>
    <w:rsid w:val="1F1116F7"/>
    <w:rsid w:val="1F14602A"/>
    <w:rsid w:val="1F15C8EF"/>
    <w:rsid w:val="1F17DD50"/>
    <w:rsid w:val="1F1FE7DC"/>
    <w:rsid w:val="1F269CF5"/>
    <w:rsid w:val="1F26D56E"/>
    <w:rsid w:val="1F29311A"/>
    <w:rsid w:val="1F316589"/>
    <w:rsid w:val="1F378018"/>
    <w:rsid w:val="1F380347"/>
    <w:rsid w:val="1F38C4D9"/>
    <w:rsid w:val="1F394DD9"/>
    <w:rsid w:val="1F3ED3C1"/>
    <w:rsid w:val="1F3F153A"/>
    <w:rsid w:val="1F422DC0"/>
    <w:rsid w:val="1F470428"/>
    <w:rsid w:val="1F4B266E"/>
    <w:rsid w:val="1F528D56"/>
    <w:rsid w:val="1F5A8300"/>
    <w:rsid w:val="1F677EB8"/>
    <w:rsid w:val="1F6D1C66"/>
    <w:rsid w:val="1F768385"/>
    <w:rsid w:val="1F7B1F4D"/>
    <w:rsid w:val="1F7D0C1A"/>
    <w:rsid w:val="1F7D2265"/>
    <w:rsid w:val="1F7F25FF"/>
    <w:rsid w:val="1F7F550D"/>
    <w:rsid w:val="1F849AE3"/>
    <w:rsid w:val="1F949FDE"/>
    <w:rsid w:val="1FA7D64C"/>
    <w:rsid w:val="1FAF0BF5"/>
    <w:rsid w:val="1FC6931A"/>
    <w:rsid w:val="1FCB7F5A"/>
    <w:rsid w:val="1FCD5280"/>
    <w:rsid w:val="1FCF9CD4"/>
    <w:rsid w:val="1FE30211"/>
    <w:rsid w:val="1FE43843"/>
    <w:rsid w:val="1FEA2E1B"/>
    <w:rsid w:val="1FEE4D09"/>
    <w:rsid w:val="1FEFF8CE"/>
    <w:rsid w:val="1FF563AA"/>
    <w:rsid w:val="1FF84B37"/>
    <w:rsid w:val="1FF9A293"/>
    <w:rsid w:val="20062589"/>
    <w:rsid w:val="2028B932"/>
    <w:rsid w:val="202946A7"/>
    <w:rsid w:val="202D5E0C"/>
    <w:rsid w:val="20381869"/>
    <w:rsid w:val="203FBBFE"/>
    <w:rsid w:val="204647BF"/>
    <w:rsid w:val="2051B0D4"/>
    <w:rsid w:val="20552452"/>
    <w:rsid w:val="2056C42C"/>
    <w:rsid w:val="2064DF59"/>
    <w:rsid w:val="207244CC"/>
    <w:rsid w:val="207F40AF"/>
    <w:rsid w:val="2085AEC5"/>
    <w:rsid w:val="20863085"/>
    <w:rsid w:val="208638D8"/>
    <w:rsid w:val="208CD8D3"/>
    <w:rsid w:val="2093A239"/>
    <w:rsid w:val="20A4F05E"/>
    <w:rsid w:val="20B29A77"/>
    <w:rsid w:val="20BF5BF3"/>
    <w:rsid w:val="20C9B925"/>
    <w:rsid w:val="20CF4AC4"/>
    <w:rsid w:val="20DBF24F"/>
    <w:rsid w:val="20DDFDE2"/>
    <w:rsid w:val="20E122F2"/>
    <w:rsid w:val="20E20360"/>
    <w:rsid w:val="21037485"/>
    <w:rsid w:val="2111C9F7"/>
    <w:rsid w:val="21142F6B"/>
    <w:rsid w:val="2115F4EB"/>
    <w:rsid w:val="211D671D"/>
    <w:rsid w:val="2126AF85"/>
    <w:rsid w:val="2128B1F6"/>
    <w:rsid w:val="212BA240"/>
    <w:rsid w:val="212E4678"/>
    <w:rsid w:val="2135D841"/>
    <w:rsid w:val="213A4067"/>
    <w:rsid w:val="213CE5E8"/>
    <w:rsid w:val="21455CCD"/>
    <w:rsid w:val="21488230"/>
    <w:rsid w:val="214F9C78"/>
    <w:rsid w:val="215283C8"/>
    <w:rsid w:val="2153823B"/>
    <w:rsid w:val="21548761"/>
    <w:rsid w:val="2154B294"/>
    <w:rsid w:val="2158EFFF"/>
    <w:rsid w:val="21597866"/>
    <w:rsid w:val="215FBEB2"/>
    <w:rsid w:val="216B63A0"/>
    <w:rsid w:val="2173A3B4"/>
    <w:rsid w:val="2174D6FC"/>
    <w:rsid w:val="218B8474"/>
    <w:rsid w:val="218F6E9E"/>
    <w:rsid w:val="21990912"/>
    <w:rsid w:val="2199B7FE"/>
    <w:rsid w:val="219B7BB2"/>
    <w:rsid w:val="21ABAF29"/>
    <w:rsid w:val="21AD3BC7"/>
    <w:rsid w:val="21B0027D"/>
    <w:rsid w:val="21B293B2"/>
    <w:rsid w:val="21B98C99"/>
    <w:rsid w:val="21BD825B"/>
    <w:rsid w:val="21C9D466"/>
    <w:rsid w:val="21C9F299"/>
    <w:rsid w:val="21D5A100"/>
    <w:rsid w:val="21DBE6E6"/>
    <w:rsid w:val="21DEB747"/>
    <w:rsid w:val="21DEFF66"/>
    <w:rsid w:val="21E2784E"/>
    <w:rsid w:val="21E92DFD"/>
    <w:rsid w:val="21EA9098"/>
    <w:rsid w:val="21EC40D6"/>
    <w:rsid w:val="21F0AC3E"/>
    <w:rsid w:val="21F3386B"/>
    <w:rsid w:val="21FD3E00"/>
    <w:rsid w:val="22066C5A"/>
    <w:rsid w:val="222953A0"/>
    <w:rsid w:val="22365C8C"/>
    <w:rsid w:val="2239D23B"/>
    <w:rsid w:val="223CE28D"/>
    <w:rsid w:val="2248A60F"/>
    <w:rsid w:val="22497327"/>
    <w:rsid w:val="22501BA4"/>
    <w:rsid w:val="2254FC14"/>
    <w:rsid w:val="2256B28C"/>
    <w:rsid w:val="225B4138"/>
    <w:rsid w:val="225CAC11"/>
    <w:rsid w:val="226D30EA"/>
    <w:rsid w:val="22714DD8"/>
    <w:rsid w:val="227737B2"/>
    <w:rsid w:val="2279886D"/>
    <w:rsid w:val="22834004"/>
    <w:rsid w:val="2287D2B3"/>
    <w:rsid w:val="228A5E44"/>
    <w:rsid w:val="228B671A"/>
    <w:rsid w:val="22AAB3B8"/>
    <w:rsid w:val="22BEFB64"/>
    <w:rsid w:val="22C094F0"/>
    <w:rsid w:val="22CC4C02"/>
    <w:rsid w:val="22EA56F9"/>
    <w:rsid w:val="22EB00FD"/>
    <w:rsid w:val="22F540F9"/>
    <w:rsid w:val="22F9317C"/>
    <w:rsid w:val="22FE50EE"/>
    <w:rsid w:val="230140CC"/>
    <w:rsid w:val="230E63FC"/>
    <w:rsid w:val="2314F504"/>
    <w:rsid w:val="232B126E"/>
    <w:rsid w:val="232EFD1E"/>
    <w:rsid w:val="23303558"/>
    <w:rsid w:val="2330B440"/>
    <w:rsid w:val="2355ED02"/>
    <w:rsid w:val="236065A0"/>
    <w:rsid w:val="2368E7D8"/>
    <w:rsid w:val="236FE4AD"/>
    <w:rsid w:val="23750DC6"/>
    <w:rsid w:val="237F27A9"/>
    <w:rsid w:val="23851850"/>
    <w:rsid w:val="238B5C2F"/>
    <w:rsid w:val="238BDA6E"/>
    <w:rsid w:val="239237A3"/>
    <w:rsid w:val="239EB347"/>
    <w:rsid w:val="23A4FC9A"/>
    <w:rsid w:val="23AC4401"/>
    <w:rsid w:val="23AE3B92"/>
    <w:rsid w:val="23AE910C"/>
    <w:rsid w:val="23B4723B"/>
    <w:rsid w:val="23B4E292"/>
    <w:rsid w:val="23BC1C6A"/>
    <w:rsid w:val="23BFB032"/>
    <w:rsid w:val="23C0F216"/>
    <w:rsid w:val="23C66197"/>
    <w:rsid w:val="23C7DEE2"/>
    <w:rsid w:val="23D8201A"/>
    <w:rsid w:val="23EE76C7"/>
    <w:rsid w:val="23FB97B4"/>
    <w:rsid w:val="2406B9E1"/>
    <w:rsid w:val="2411EA68"/>
    <w:rsid w:val="241F10EA"/>
    <w:rsid w:val="2420C580"/>
    <w:rsid w:val="242C460D"/>
    <w:rsid w:val="242F62AD"/>
    <w:rsid w:val="24580DB5"/>
    <w:rsid w:val="24705DE7"/>
    <w:rsid w:val="2473E3CA"/>
    <w:rsid w:val="247436BA"/>
    <w:rsid w:val="24748F8B"/>
    <w:rsid w:val="247AE835"/>
    <w:rsid w:val="247BFBAB"/>
    <w:rsid w:val="247C48DF"/>
    <w:rsid w:val="247DBDD8"/>
    <w:rsid w:val="24815B07"/>
    <w:rsid w:val="2483D7A0"/>
    <w:rsid w:val="24B30252"/>
    <w:rsid w:val="24BC3E92"/>
    <w:rsid w:val="24C383D0"/>
    <w:rsid w:val="24D80537"/>
    <w:rsid w:val="24DD16AE"/>
    <w:rsid w:val="24FF8E50"/>
    <w:rsid w:val="250187D3"/>
    <w:rsid w:val="25108240"/>
    <w:rsid w:val="25116051"/>
    <w:rsid w:val="2512CCA1"/>
    <w:rsid w:val="251D1388"/>
    <w:rsid w:val="251EA814"/>
    <w:rsid w:val="252E8EA9"/>
    <w:rsid w:val="2533CD34"/>
    <w:rsid w:val="253778D3"/>
    <w:rsid w:val="25410693"/>
    <w:rsid w:val="254DDD6B"/>
    <w:rsid w:val="25544D15"/>
    <w:rsid w:val="255B4E15"/>
    <w:rsid w:val="25607301"/>
    <w:rsid w:val="25623280"/>
    <w:rsid w:val="2568BD5E"/>
    <w:rsid w:val="256D9305"/>
    <w:rsid w:val="2572C32E"/>
    <w:rsid w:val="257A79C4"/>
    <w:rsid w:val="257D1308"/>
    <w:rsid w:val="257FE0F3"/>
    <w:rsid w:val="2580F8BF"/>
    <w:rsid w:val="25848BCB"/>
    <w:rsid w:val="258571D2"/>
    <w:rsid w:val="25869775"/>
    <w:rsid w:val="2590AC66"/>
    <w:rsid w:val="25949E30"/>
    <w:rsid w:val="2596482E"/>
    <w:rsid w:val="25985503"/>
    <w:rsid w:val="25A8AF7F"/>
    <w:rsid w:val="25BC3959"/>
    <w:rsid w:val="25BD7ADF"/>
    <w:rsid w:val="25CC7A8F"/>
    <w:rsid w:val="25CC9ED6"/>
    <w:rsid w:val="25D31A0A"/>
    <w:rsid w:val="25D3482E"/>
    <w:rsid w:val="25DA4EDC"/>
    <w:rsid w:val="25E71ED6"/>
    <w:rsid w:val="2600E8D0"/>
    <w:rsid w:val="2605CC54"/>
    <w:rsid w:val="2614792F"/>
    <w:rsid w:val="261E3E6B"/>
    <w:rsid w:val="2627277B"/>
    <w:rsid w:val="26407167"/>
    <w:rsid w:val="265413D6"/>
    <w:rsid w:val="265D0585"/>
    <w:rsid w:val="265E2C60"/>
    <w:rsid w:val="266C0F86"/>
    <w:rsid w:val="266CB2A5"/>
    <w:rsid w:val="266DD7FC"/>
    <w:rsid w:val="266F8013"/>
    <w:rsid w:val="2672669C"/>
    <w:rsid w:val="26748730"/>
    <w:rsid w:val="267B0B04"/>
    <w:rsid w:val="26819253"/>
    <w:rsid w:val="26827383"/>
    <w:rsid w:val="2687ED4B"/>
    <w:rsid w:val="268F72C8"/>
    <w:rsid w:val="26944B8E"/>
    <w:rsid w:val="26968898"/>
    <w:rsid w:val="269D6465"/>
    <w:rsid w:val="26AB6585"/>
    <w:rsid w:val="26AF2ABF"/>
    <w:rsid w:val="26B533E0"/>
    <w:rsid w:val="26C97A92"/>
    <w:rsid w:val="26D56F93"/>
    <w:rsid w:val="26DB458C"/>
    <w:rsid w:val="26E61B8F"/>
    <w:rsid w:val="26EE6B1E"/>
    <w:rsid w:val="26F51D3B"/>
    <w:rsid w:val="26FA58C8"/>
    <w:rsid w:val="26FDB866"/>
    <w:rsid w:val="2700BCAA"/>
    <w:rsid w:val="27017C4B"/>
    <w:rsid w:val="271318DA"/>
    <w:rsid w:val="2717F66D"/>
    <w:rsid w:val="271AD810"/>
    <w:rsid w:val="2722A025"/>
    <w:rsid w:val="272E999E"/>
    <w:rsid w:val="27311701"/>
    <w:rsid w:val="273DC22C"/>
    <w:rsid w:val="273EA2AE"/>
    <w:rsid w:val="274DD39A"/>
    <w:rsid w:val="27599999"/>
    <w:rsid w:val="275C1FBE"/>
    <w:rsid w:val="2772FBDC"/>
    <w:rsid w:val="27731197"/>
    <w:rsid w:val="2774A09A"/>
    <w:rsid w:val="278817BD"/>
    <w:rsid w:val="278FC180"/>
    <w:rsid w:val="2797B0D8"/>
    <w:rsid w:val="279E432F"/>
    <w:rsid w:val="27A6F833"/>
    <w:rsid w:val="27AC0A31"/>
    <w:rsid w:val="27AEE193"/>
    <w:rsid w:val="27B97FEE"/>
    <w:rsid w:val="27C911AF"/>
    <w:rsid w:val="27D621CB"/>
    <w:rsid w:val="27D859C5"/>
    <w:rsid w:val="27DFBB67"/>
    <w:rsid w:val="27F01AF9"/>
    <w:rsid w:val="27F7733E"/>
    <w:rsid w:val="27FD4DAD"/>
    <w:rsid w:val="2800D644"/>
    <w:rsid w:val="2804085F"/>
    <w:rsid w:val="280408DD"/>
    <w:rsid w:val="2822495F"/>
    <w:rsid w:val="2834213C"/>
    <w:rsid w:val="283B0F55"/>
    <w:rsid w:val="284080BA"/>
    <w:rsid w:val="2845EE2F"/>
    <w:rsid w:val="2848314B"/>
    <w:rsid w:val="2849F2CC"/>
    <w:rsid w:val="284C7E4C"/>
    <w:rsid w:val="2854F5F7"/>
    <w:rsid w:val="2855DC32"/>
    <w:rsid w:val="28631389"/>
    <w:rsid w:val="286E8E8B"/>
    <w:rsid w:val="286FCCD0"/>
    <w:rsid w:val="28740670"/>
    <w:rsid w:val="2879E239"/>
    <w:rsid w:val="288298B9"/>
    <w:rsid w:val="2884E539"/>
    <w:rsid w:val="288EDC89"/>
    <w:rsid w:val="28946339"/>
    <w:rsid w:val="289981EB"/>
    <w:rsid w:val="28A4DED1"/>
    <w:rsid w:val="28AD3064"/>
    <w:rsid w:val="28B57344"/>
    <w:rsid w:val="28B6321B"/>
    <w:rsid w:val="28BD5128"/>
    <w:rsid w:val="28CD2260"/>
    <w:rsid w:val="28D1126F"/>
    <w:rsid w:val="28D660CB"/>
    <w:rsid w:val="28E773D1"/>
    <w:rsid w:val="28E82D07"/>
    <w:rsid w:val="28EA5B9D"/>
    <w:rsid w:val="28EDF940"/>
    <w:rsid w:val="28F76BD7"/>
    <w:rsid w:val="28FFF1FC"/>
    <w:rsid w:val="2902D468"/>
    <w:rsid w:val="290BFE1D"/>
    <w:rsid w:val="290C215D"/>
    <w:rsid w:val="29228A53"/>
    <w:rsid w:val="292528F5"/>
    <w:rsid w:val="2926C71C"/>
    <w:rsid w:val="292ADA8B"/>
    <w:rsid w:val="292D71F5"/>
    <w:rsid w:val="2936D54F"/>
    <w:rsid w:val="293A2F13"/>
    <w:rsid w:val="2941819E"/>
    <w:rsid w:val="29425206"/>
    <w:rsid w:val="2947058A"/>
    <w:rsid w:val="29478092"/>
    <w:rsid w:val="294F41DC"/>
    <w:rsid w:val="295CAFB5"/>
    <w:rsid w:val="295DBA72"/>
    <w:rsid w:val="296C8681"/>
    <w:rsid w:val="297D82AF"/>
    <w:rsid w:val="297FD94F"/>
    <w:rsid w:val="2980A66E"/>
    <w:rsid w:val="2982954D"/>
    <w:rsid w:val="298F7AB3"/>
    <w:rsid w:val="299E1415"/>
    <w:rsid w:val="299F8550"/>
    <w:rsid w:val="29B2C3F3"/>
    <w:rsid w:val="29C0F240"/>
    <w:rsid w:val="29CADF12"/>
    <w:rsid w:val="29CE058F"/>
    <w:rsid w:val="29D130F8"/>
    <w:rsid w:val="29D95498"/>
    <w:rsid w:val="29EDC59D"/>
    <w:rsid w:val="29F7865C"/>
    <w:rsid w:val="29F8E5F2"/>
    <w:rsid w:val="2A02853F"/>
    <w:rsid w:val="2A05B8F8"/>
    <w:rsid w:val="2A120C06"/>
    <w:rsid w:val="2A14C626"/>
    <w:rsid w:val="2A2E976D"/>
    <w:rsid w:val="2A3787C0"/>
    <w:rsid w:val="2A45BE62"/>
    <w:rsid w:val="2A45DC12"/>
    <w:rsid w:val="2A47E8F9"/>
    <w:rsid w:val="2A4893F5"/>
    <w:rsid w:val="2A4E18F7"/>
    <w:rsid w:val="2A561C3A"/>
    <w:rsid w:val="2A670EFD"/>
    <w:rsid w:val="2A73CBD6"/>
    <w:rsid w:val="2A745ED5"/>
    <w:rsid w:val="2A75E70E"/>
    <w:rsid w:val="2A7AEB67"/>
    <w:rsid w:val="2A7B6DBC"/>
    <w:rsid w:val="2A7F0510"/>
    <w:rsid w:val="2A7F9CFD"/>
    <w:rsid w:val="2A841273"/>
    <w:rsid w:val="2A8ED9F3"/>
    <w:rsid w:val="2AA8A25E"/>
    <w:rsid w:val="2AAF54C5"/>
    <w:rsid w:val="2AB3EEF3"/>
    <w:rsid w:val="2AB45D26"/>
    <w:rsid w:val="2AC30831"/>
    <w:rsid w:val="2AC890E4"/>
    <w:rsid w:val="2ACEC46D"/>
    <w:rsid w:val="2AD4BD7F"/>
    <w:rsid w:val="2AD4D24B"/>
    <w:rsid w:val="2AD4FA51"/>
    <w:rsid w:val="2ADC542C"/>
    <w:rsid w:val="2ADFC0F5"/>
    <w:rsid w:val="2AE71D9D"/>
    <w:rsid w:val="2AE7B7A4"/>
    <w:rsid w:val="2AFB4263"/>
    <w:rsid w:val="2AFE9043"/>
    <w:rsid w:val="2B130AD9"/>
    <w:rsid w:val="2B1D8B46"/>
    <w:rsid w:val="2B2BF35B"/>
    <w:rsid w:val="2B342C67"/>
    <w:rsid w:val="2B43CD15"/>
    <w:rsid w:val="2B4C6A23"/>
    <w:rsid w:val="2B5B6820"/>
    <w:rsid w:val="2B5FA54E"/>
    <w:rsid w:val="2B601F54"/>
    <w:rsid w:val="2B66374C"/>
    <w:rsid w:val="2B7D6491"/>
    <w:rsid w:val="2B85FFF8"/>
    <w:rsid w:val="2B877AB0"/>
    <w:rsid w:val="2B9B2A87"/>
    <w:rsid w:val="2B9D738F"/>
    <w:rsid w:val="2BB51F2D"/>
    <w:rsid w:val="2BB5C7B7"/>
    <w:rsid w:val="2BBB0849"/>
    <w:rsid w:val="2BBB7A66"/>
    <w:rsid w:val="2BD06E76"/>
    <w:rsid w:val="2BDD5892"/>
    <w:rsid w:val="2BEB19CE"/>
    <w:rsid w:val="2BED4081"/>
    <w:rsid w:val="2C036512"/>
    <w:rsid w:val="2C06DDC1"/>
    <w:rsid w:val="2C0D9F31"/>
    <w:rsid w:val="2C15E1D3"/>
    <w:rsid w:val="2C16B58F"/>
    <w:rsid w:val="2C1C43C5"/>
    <w:rsid w:val="2C1DFBBF"/>
    <w:rsid w:val="2C300CFD"/>
    <w:rsid w:val="2C326509"/>
    <w:rsid w:val="2C47F129"/>
    <w:rsid w:val="2C4B0A28"/>
    <w:rsid w:val="2C5B3C3D"/>
    <w:rsid w:val="2C663E60"/>
    <w:rsid w:val="2C70200A"/>
    <w:rsid w:val="2C719283"/>
    <w:rsid w:val="2C736E8A"/>
    <w:rsid w:val="2C74B77F"/>
    <w:rsid w:val="2C7E1721"/>
    <w:rsid w:val="2C7EA0DD"/>
    <w:rsid w:val="2C8B0B13"/>
    <w:rsid w:val="2C8B66A1"/>
    <w:rsid w:val="2C8ED3AA"/>
    <w:rsid w:val="2C92682A"/>
    <w:rsid w:val="2CA24A28"/>
    <w:rsid w:val="2CA42CCA"/>
    <w:rsid w:val="2CBAB82E"/>
    <w:rsid w:val="2CC8D2F9"/>
    <w:rsid w:val="2CCDA1D5"/>
    <w:rsid w:val="2CD05EDE"/>
    <w:rsid w:val="2CD1EC17"/>
    <w:rsid w:val="2CDFF2C5"/>
    <w:rsid w:val="2CEA4B6B"/>
    <w:rsid w:val="2CF85A3A"/>
    <w:rsid w:val="2D051033"/>
    <w:rsid w:val="2D11BC76"/>
    <w:rsid w:val="2D1DE439"/>
    <w:rsid w:val="2D327413"/>
    <w:rsid w:val="2D364A0B"/>
    <w:rsid w:val="2D47E6EF"/>
    <w:rsid w:val="2D55A5A0"/>
    <w:rsid w:val="2D57E9BF"/>
    <w:rsid w:val="2D6382BF"/>
    <w:rsid w:val="2D659146"/>
    <w:rsid w:val="2D6CAA29"/>
    <w:rsid w:val="2D6D3F5C"/>
    <w:rsid w:val="2D6F082E"/>
    <w:rsid w:val="2D7019FD"/>
    <w:rsid w:val="2D72E110"/>
    <w:rsid w:val="2D86063D"/>
    <w:rsid w:val="2D868E39"/>
    <w:rsid w:val="2D975224"/>
    <w:rsid w:val="2D9E7561"/>
    <w:rsid w:val="2DA00834"/>
    <w:rsid w:val="2DB5E074"/>
    <w:rsid w:val="2DC9FE93"/>
    <w:rsid w:val="2DCCAE80"/>
    <w:rsid w:val="2DCCDD3D"/>
    <w:rsid w:val="2DCD81EB"/>
    <w:rsid w:val="2DD3E4F8"/>
    <w:rsid w:val="2DD65268"/>
    <w:rsid w:val="2DDBD05F"/>
    <w:rsid w:val="2DE15177"/>
    <w:rsid w:val="2DE43412"/>
    <w:rsid w:val="2DF5A801"/>
    <w:rsid w:val="2DFD5E31"/>
    <w:rsid w:val="2E00273B"/>
    <w:rsid w:val="2E02938F"/>
    <w:rsid w:val="2E076D9E"/>
    <w:rsid w:val="2E0E5352"/>
    <w:rsid w:val="2E138E8E"/>
    <w:rsid w:val="2E180F63"/>
    <w:rsid w:val="2E1CC183"/>
    <w:rsid w:val="2E20CED1"/>
    <w:rsid w:val="2E2E1995"/>
    <w:rsid w:val="2E351C8C"/>
    <w:rsid w:val="2E3681DE"/>
    <w:rsid w:val="2E3CB4B0"/>
    <w:rsid w:val="2E5A7A28"/>
    <w:rsid w:val="2E60A4B7"/>
    <w:rsid w:val="2E619975"/>
    <w:rsid w:val="2E6359A2"/>
    <w:rsid w:val="2E695FDC"/>
    <w:rsid w:val="2E6F2706"/>
    <w:rsid w:val="2E70FC88"/>
    <w:rsid w:val="2E7D016E"/>
    <w:rsid w:val="2E854441"/>
    <w:rsid w:val="2E956F96"/>
    <w:rsid w:val="2E989D3C"/>
    <w:rsid w:val="2E9EC2E4"/>
    <w:rsid w:val="2EA6B687"/>
    <w:rsid w:val="2EAB54CD"/>
    <w:rsid w:val="2EAE1EF5"/>
    <w:rsid w:val="2EB12F76"/>
    <w:rsid w:val="2EB1B52C"/>
    <w:rsid w:val="2EBF0E08"/>
    <w:rsid w:val="2ECA3B61"/>
    <w:rsid w:val="2ED12E69"/>
    <w:rsid w:val="2ED2B164"/>
    <w:rsid w:val="2EE9F6B4"/>
    <w:rsid w:val="2F1E642F"/>
    <w:rsid w:val="2F2370B8"/>
    <w:rsid w:val="2F2A3856"/>
    <w:rsid w:val="2F36935D"/>
    <w:rsid w:val="2F3F7390"/>
    <w:rsid w:val="2F5E55D0"/>
    <w:rsid w:val="2F645DF5"/>
    <w:rsid w:val="2F738D20"/>
    <w:rsid w:val="2F752AA6"/>
    <w:rsid w:val="2F79385E"/>
    <w:rsid w:val="2F87856B"/>
    <w:rsid w:val="2F88ABF4"/>
    <w:rsid w:val="2F932FE4"/>
    <w:rsid w:val="2F93A2F5"/>
    <w:rsid w:val="2F985991"/>
    <w:rsid w:val="2FB6063A"/>
    <w:rsid w:val="2FC086AF"/>
    <w:rsid w:val="2FC46F0A"/>
    <w:rsid w:val="2FC8CFC9"/>
    <w:rsid w:val="2FD509D0"/>
    <w:rsid w:val="2FDACC5B"/>
    <w:rsid w:val="2FE53C1F"/>
    <w:rsid w:val="2FF4A3B0"/>
    <w:rsid w:val="2FF984BD"/>
    <w:rsid w:val="30057642"/>
    <w:rsid w:val="3012D46D"/>
    <w:rsid w:val="301D022A"/>
    <w:rsid w:val="301ECCF6"/>
    <w:rsid w:val="301F90AA"/>
    <w:rsid w:val="302425F9"/>
    <w:rsid w:val="302AF620"/>
    <w:rsid w:val="30363906"/>
    <w:rsid w:val="303D10AA"/>
    <w:rsid w:val="30486698"/>
    <w:rsid w:val="3051574D"/>
    <w:rsid w:val="3061B3A2"/>
    <w:rsid w:val="30649832"/>
    <w:rsid w:val="306DCA7A"/>
    <w:rsid w:val="306F3444"/>
    <w:rsid w:val="3080011F"/>
    <w:rsid w:val="30800412"/>
    <w:rsid w:val="3081D788"/>
    <w:rsid w:val="30868DEF"/>
    <w:rsid w:val="308757FB"/>
    <w:rsid w:val="30889EA6"/>
    <w:rsid w:val="3095019A"/>
    <w:rsid w:val="309EA5A4"/>
    <w:rsid w:val="30A40882"/>
    <w:rsid w:val="30AC4EC9"/>
    <w:rsid w:val="30AF4D34"/>
    <w:rsid w:val="30BD50E0"/>
    <w:rsid w:val="30BDBDEE"/>
    <w:rsid w:val="30BEB3E0"/>
    <w:rsid w:val="30C2FD09"/>
    <w:rsid w:val="30CA1336"/>
    <w:rsid w:val="30D6AB82"/>
    <w:rsid w:val="30D89268"/>
    <w:rsid w:val="30E5C0BF"/>
    <w:rsid w:val="30E5EDF5"/>
    <w:rsid w:val="30E8C5CB"/>
    <w:rsid w:val="30F01C9A"/>
    <w:rsid w:val="3109EE5D"/>
    <w:rsid w:val="312C3B83"/>
    <w:rsid w:val="31443E08"/>
    <w:rsid w:val="3147B39B"/>
    <w:rsid w:val="3152EB6A"/>
    <w:rsid w:val="315383EF"/>
    <w:rsid w:val="315AC1B7"/>
    <w:rsid w:val="315CBEEB"/>
    <w:rsid w:val="315DC3E6"/>
    <w:rsid w:val="31678423"/>
    <w:rsid w:val="31706C34"/>
    <w:rsid w:val="317C845E"/>
    <w:rsid w:val="318B4A8B"/>
    <w:rsid w:val="3190FEDB"/>
    <w:rsid w:val="31911FEB"/>
    <w:rsid w:val="31916F0B"/>
    <w:rsid w:val="31930F02"/>
    <w:rsid w:val="319D09FE"/>
    <w:rsid w:val="31A757A6"/>
    <w:rsid w:val="31A8DDDC"/>
    <w:rsid w:val="31C39A97"/>
    <w:rsid w:val="31C47825"/>
    <w:rsid w:val="31D6953A"/>
    <w:rsid w:val="31E3661A"/>
    <w:rsid w:val="31F62E10"/>
    <w:rsid w:val="3208C9F4"/>
    <w:rsid w:val="320BE0D1"/>
    <w:rsid w:val="320C0FF7"/>
    <w:rsid w:val="320DCA30"/>
    <w:rsid w:val="3211510E"/>
    <w:rsid w:val="321891BB"/>
    <w:rsid w:val="32344DF9"/>
    <w:rsid w:val="324177F2"/>
    <w:rsid w:val="32444CFF"/>
    <w:rsid w:val="3249667A"/>
    <w:rsid w:val="324CCCFC"/>
    <w:rsid w:val="325AF997"/>
    <w:rsid w:val="3262CDA1"/>
    <w:rsid w:val="3265ACAE"/>
    <w:rsid w:val="3276B47E"/>
    <w:rsid w:val="32774B5D"/>
    <w:rsid w:val="32783EDF"/>
    <w:rsid w:val="3281CE87"/>
    <w:rsid w:val="32836E48"/>
    <w:rsid w:val="328D36C6"/>
    <w:rsid w:val="32986818"/>
    <w:rsid w:val="329B1834"/>
    <w:rsid w:val="32A00744"/>
    <w:rsid w:val="32A23EAD"/>
    <w:rsid w:val="32AD3B92"/>
    <w:rsid w:val="32B357EA"/>
    <w:rsid w:val="32B95184"/>
    <w:rsid w:val="32BC6F01"/>
    <w:rsid w:val="32CBEAF4"/>
    <w:rsid w:val="32D7466D"/>
    <w:rsid w:val="32D8FA2E"/>
    <w:rsid w:val="32FCCFBB"/>
    <w:rsid w:val="32FDF36A"/>
    <w:rsid w:val="3302523E"/>
    <w:rsid w:val="3303088E"/>
    <w:rsid w:val="3306799A"/>
    <w:rsid w:val="331485A5"/>
    <w:rsid w:val="3318E6D0"/>
    <w:rsid w:val="331ABC23"/>
    <w:rsid w:val="3327A0B5"/>
    <w:rsid w:val="33299ADA"/>
    <w:rsid w:val="333BBF6C"/>
    <w:rsid w:val="333C324D"/>
    <w:rsid w:val="333D01CE"/>
    <w:rsid w:val="334F31B1"/>
    <w:rsid w:val="33559435"/>
    <w:rsid w:val="3356CAA8"/>
    <w:rsid w:val="335800BA"/>
    <w:rsid w:val="33593427"/>
    <w:rsid w:val="33595879"/>
    <w:rsid w:val="3359DA8B"/>
    <w:rsid w:val="335B1050"/>
    <w:rsid w:val="335B43D1"/>
    <w:rsid w:val="335F1D49"/>
    <w:rsid w:val="336F853B"/>
    <w:rsid w:val="33764CD6"/>
    <w:rsid w:val="3379F66B"/>
    <w:rsid w:val="33804DA4"/>
    <w:rsid w:val="33847A9D"/>
    <w:rsid w:val="33873769"/>
    <w:rsid w:val="3387AF15"/>
    <w:rsid w:val="33885263"/>
    <w:rsid w:val="33906FB8"/>
    <w:rsid w:val="3391809B"/>
    <w:rsid w:val="339ABFAA"/>
    <w:rsid w:val="33A4C167"/>
    <w:rsid w:val="33AB9AEE"/>
    <w:rsid w:val="33CF018F"/>
    <w:rsid w:val="33E4D83A"/>
    <w:rsid w:val="33E8F1A7"/>
    <w:rsid w:val="33F12DF4"/>
    <w:rsid w:val="33F4028F"/>
    <w:rsid w:val="33F5C00A"/>
    <w:rsid w:val="340AE15D"/>
    <w:rsid w:val="341F51FF"/>
    <w:rsid w:val="341FDB52"/>
    <w:rsid w:val="342603D8"/>
    <w:rsid w:val="3428A09C"/>
    <w:rsid w:val="3438235E"/>
    <w:rsid w:val="34439A18"/>
    <w:rsid w:val="345251CF"/>
    <w:rsid w:val="3452C9E3"/>
    <w:rsid w:val="3453363B"/>
    <w:rsid w:val="345554FF"/>
    <w:rsid w:val="345A46AE"/>
    <w:rsid w:val="3465F91A"/>
    <w:rsid w:val="346877CE"/>
    <w:rsid w:val="346CCC13"/>
    <w:rsid w:val="34717535"/>
    <w:rsid w:val="34730E93"/>
    <w:rsid w:val="34775806"/>
    <w:rsid w:val="3477C9BF"/>
    <w:rsid w:val="347A332A"/>
    <w:rsid w:val="34829B58"/>
    <w:rsid w:val="34845126"/>
    <w:rsid w:val="348455E6"/>
    <w:rsid w:val="34859FA3"/>
    <w:rsid w:val="3488CE29"/>
    <w:rsid w:val="34901C49"/>
    <w:rsid w:val="349C0618"/>
    <w:rsid w:val="349C518F"/>
    <w:rsid w:val="34BF2977"/>
    <w:rsid w:val="34D3EDCB"/>
    <w:rsid w:val="34DAF587"/>
    <w:rsid w:val="34DB93CB"/>
    <w:rsid w:val="34EB5845"/>
    <w:rsid w:val="34F51685"/>
    <w:rsid w:val="3500DCAF"/>
    <w:rsid w:val="350462BE"/>
    <w:rsid w:val="350A0274"/>
    <w:rsid w:val="351185BF"/>
    <w:rsid w:val="35121BB7"/>
    <w:rsid w:val="351409A2"/>
    <w:rsid w:val="351E1A58"/>
    <w:rsid w:val="3529CAEA"/>
    <w:rsid w:val="352C5EE4"/>
    <w:rsid w:val="35308466"/>
    <w:rsid w:val="35318A46"/>
    <w:rsid w:val="3534171D"/>
    <w:rsid w:val="3548BE08"/>
    <w:rsid w:val="3554B7D2"/>
    <w:rsid w:val="355E3CD0"/>
    <w:rsid w:val="35616E51"/>
    <w:rsid w:val="356D846D"/>
    <w:rsid w:val="3570BBFB"/>
    <w:rsid w:val="35724633"/>
    <w:rsid w:val="3586A7C9"/>
    <w:rsid w:val="358D847C"/>
    <w:rsid w:val="358FA80F"/>
    <w:rsid w:val="35946C4B"/>
    <w:rsid w:val="35995B7E"/>
    <w:rsid w:val="359EAC3D"/>
    <w:rsid w:val="35A60351"/>
    <w:rsid w:val="35B20047"/>
    <w:rsid w:val="35B83FD6"/>
    <w:rsid w:val="35C2387A"/>
    <w:rsid w:val="35C96D5A"/>
    <w:rsid w:val="35CF556C"/>
    <w:rsid w:val="35D641DF"/>
    <w:rsid w:val="35DBA26E"/>
    <w:rsid w:val="35FA79EB"/>
    <w:rsid w:val="35FAF936"/>
    <w:rsid w:val="35FEEB62"/>
    <w:rsid w:val="3601EB2F"/>
    <w:rsid w:val="3604E055"/>
    <w:rsid w:val="36155FD6"/>
    <w:rsid w:val="3620A349"/>
    <w:rsid w:val="3635254F"/>
    <w:rsid w:val="3645AEC4"/>
    <w:rsid w:val="36461C7E"/>
    <w:rsid w:val="3659B50B"/>
    <w:rsid w:val="365F178A"/>
    <w:rsid w:val="365F559C"/>
    <w:rsid w:val="36639BBC"/>
    <w:rsid w:val="366D8012"/>
    <w:rsid w:val="367BDBE1"/>
    <w:rsid w:val="368062E9"/>
    <w:rsid w:val="368834DF"/>
    <w:rsid w:val="36921AA3"/>
    <w:rsid w:val="3698FE74"/>
    <w:rsid w:val="36A04850"/>
    <w:rsid w:val="36A983DD"/>
    <w:rsid w:val="36B7F8C7"/>
    <w:rsid w:val="36B9E69C"/>
    <w:rsid w:val="36BC8C2D"/>
    <w:rsid w:val="36BCC711"/>
    <w:rsid w:val="36CF206E"/>
    <w:rsid w:val="36D82E10"/>
    <w:rsid w:val="36DC2099"/>
    <w:rsid w:val="36EE2E68"/>
    <w:rsid w:val="36F57A1C"/>
    <w:rsid w:val="36F71CA8"/>
    <w:rsid w:val="36FD467F"/>
    <w:rsid w:val="3702EE51"/>
    <w:rsid w:val="370EFCCB"/>
    <w:rsid w:val="371B08E2"/>
    <w:rsid w:val="372BDBBB"/>
    <w:rsid w:val="372C5B46"/>
    <w:rsid w:val="3737DF27"/>
    <w:rsid w:val="373C8AF3"/>
    <w:rsid w:val="37413ECF"/>
    <w:rsid w:val="374290B9"/>
    <w:rsid w:val="37455118"/>
    <w:rsid w:val="374D5972"/>
    <w:rsid w:val="37501155"/>
    <w:rsid w:val="37512920"/>
    <w:rsid w:val="375415CA"/>
    <w:rsid w:val="3754ED10"/>
    <w:rsid w:val="3758DBD4"/>
    <w:rsid w:val="375D8C7E"/>
    <w:rsid w:val="37603E73"/>
    <w:rsid w:val="37639F1C"/>
    <w:rsid w:val="37640523"/>
    <w:rsid w:val="3764BD7E"/>
    <w:rsid w:val="376878FD"/>
    <w:rsid w:val="3768F443"/>
    <w:rsid w:val="3769D1EF"/>
    <w:rsid w:val="37726C4B"/>
    <w:rsid w:val="3778D9F0"/>
    <w:rsid w:val="3785CB48"/>
    <w:rsid w:val="3787F2FE"/>
    <w:rsid w:val="3791E931"/>
    <w:rsid w:val="37929181"/>
    <w:rsid w:val="3796663A"/>
    <w:rsid w:val="3796770E"/>
    <w:rsid w:val="3798623F"/>
    <w:rsid w:val="3799498D"/>
    <w:rsid w:val="37ACFD52"/>
    <w:rsid w:val="37B861C0"/>
    <w:rsid w:val="37C6F358"/>
    <w:rsid w:val="37CB3B2A"/>
    <w:rsid w:val="37D338D7"/>
    <w:rsid w:val="37E2A2C4"/>
    <w:rsid w:val="37F66C3A"/>
    <w:rsid w:val="37FBA687"/>
    <w:rsid w:val="3801C10D"/>
    <w:rsid w:val="38022A22"/>
    <w:rsid w:val="3807E370"/>
    <w:rsid w:val="380C7E36"/>
    <w:rsid w:val="381C8BD2"/>
    <w:rsid w:val="381DF125"/>
    <w:rsid w:val="381F7DB4"/>
    <w:rsid w:val="382686BA"/>
    <w:rsid w:val="382AFBAA"/>
    <w:rsid w:val="382C91F5"/>
    <w:rsid w:val="38539110"/>
    <w:rsid w:val="38556BAC"/>
    <w:rsid w:val="38558BAA"/>
    <w:rsid w:val="38606D38"/>
    <w:rsid w:val="3866E4C3"/>
    <w:rsid w:val="3879172A"/>
    <w:rsid w:val="38795993"/>
    <w:rsid w:val="3889F8D8"/>
    <w:rsid w:val="389EFC25"/>
    <w:rsid w:val="38A24723"/>
    <w:rsid w:val="38AAF07C"/>
    <w:rsid w:val="38B1B6D8"/>
    <w:rsid w:val="38D051D8"/>
    <w:rsid w:val="38D16B77"/>
    <w:rsid w:val="38D48039"/>
    <w:rsid w:val="38D6A3B7"/>
    <w:rsid w:val="38EBED34"/>
    <w:rsid w:val="38ECD7A7"/>
    <w:rsid w:val="38F0E5D7"/>
    <w:rsid w:val="38F3512D"/>
    <w:rsid w:val="38F5FF4E"/>
    <w:rsid w:val="38FFC339"/>
    <w:rsid w:val="3903D538"/>
    <w:rsid w:val="3908DBE0"/>
    <w:rsid w:val="390B6245"/>
    <w:rsid w:val="3913B81D"/>
    <w:rsid w:val="391687A9"/>
    <w:rsid w:val="391AA760"/>
    <w:rsid w:val="391DFF9B"/>
    <w:rsid w:val="39287C93"/>
    <w:rsid w:val="3928907E"/>
    <w:rsid w:val="392CCA2A"/>
    <w:rsid w:val="392F7525"/>
    <w:rsid w:val="3932039F"/>
    <w:rsid w:val="393DF772"/>
    <w:rsid w:val="39486B92"/>
    <w:rsid w:val="3949BC45"/>
    <w:rsid w:val="395B99EA"/>
    <w:rsid w:val="39693DE8"/>
    <w:rsid w:val="3976672B"/>
    <w:rsid w:val="397BE335"/>
    <w:rsid w:val="39852199"/>
    <w:rsid w:val="398651DE"/>
    <w:rsid w:val="39975DBE"/>
    <w:rsid w:val="3998EFDA"/>
    <w:rsid w:val="399AF659"/>
    <w:rsid w:val="399EA533"/>
    <w:rsid w:val="39A6419F"/>
    <w:rsid w:val="39A83ADA"/>
    <w:rsid w:val="39B1D33D"/>
    <w:rsid w:val="39BD266F"/>
    <w:rsid w:val="39C15D54"/>
    <w:rsid w:val="39C355ED"/>
    <w:rsid w:val="39DCD7E7"/>
    <w:rsid w:val="39E4DA2B"/>
    <w:rsid w:val="39E6E6E2"/>
    <w:rsid w:val="39F2326D"/>
    <w:rsid w:val="3A07E113"/>
    <w:rsid w:val="3A0BCBC9"/>
    <w:rsid w:val="3A0F1DBB"/>
    <w:rsid w:val="3A14AF2E"/>
    <w:rsid w:val="3A2D032E"/>
    <w:rsid w:val="3A2DA2F2"/>
    <w:rsid w:val="3A2E6F37"/>
    <w:rsid w:val="3A3420D8"/>
    <w:rsid w:val="3A4C4037"/>
    <w:rsid w:val="3A610733"/>
    <w:rsid w:val="3A624118"/>
    <w:rsid w:val="3A6519B2"/>
    <w:rsid w:val="3A67F307"/>
    <w:rsid w:val="3A7A55BD"/>
    <w:rsid w:val="3A7C62AD"/>
    <w:rsid w:val="3A89E832"/>
    <w:rsid w:val="3A95A792"/>
    <w:rsid w:val="3A967DC8"/>
    <w:rsid w:val="3A96BBB8"/>
    <w:rsid w:val="3A999562"/>
    <w:rsid w:val="3A9FFAD2"/>
    <w:rsid w:val="3AA186A1"/>
    <w:rsid w:val="3AA4948F"/>
    <w:rsid w:val="3AA92615"/>
    <w:rsid w:val="3AAE7A21"/>
    <w:rsid w:val="3AB35DCF"/>
    <w:rsid w:val="3ABCD492"/>
    <w:rsid w:val="3ABFC02F"/>
    <w:rsid w:val="3AC4A1C0"/>
    <w:rsid w:val="3AD39B5B"/>
    <w:rsid w:val="3AE1AA49"/>
    <w:rsid w:val="3AE34408"/>
    <w:rsid w:val="3AF57F79"/>
    <w:rsid w:val="3AFAFDC8"/>
    <w:rsid w:val="3B062F25"/>
    <w:rsid w:val="3B074E15"/>
    <w:rsid w:val="3B0A27E4"/>
    <w:rsid w:val="3B0C6D12"/>
    <w:rsid w:val="3B1925E0"/>
    <w:rsid w:val="3B278BDE"/>
    <w:rsid w:val="3B279A54"/>
    <w:rsid w:val="3B2AA7B0"/>
    <w:rsid w:val="3B2B262C"/>
    <w:rsid w:val="3B34493A"/>
    <w:rsid w:val="3B37E05F"/>
    <w:rsid w:val="3B478DF7"/>
    <w:rsid w:val="3B47F207"/>
    <w:rsid w:val="3B4B552E"/>
    <w:rsid w:val="3B4C72D3"/>
    <w:rsid w:val="3B52C3DD"/>
    <w:rsid w:val="3B589456"/>
    <w:rsid w:val="3B82D3CF"/>
    <w:rsid w:val="3B97E22A"/>
    <w:rsid w:val="3B9BC939"/>
    <w:rsid w:val="3B9E7DD4"/>
    <w:rsid w:val="3BA5B504"/>
    <w:rsid w:val="3BA71182"/>
    <w:rsid w:val="3BAADB39"/>
    <w:rsid w:val="3BAC4D3C"/>
    <w:rsid w:val="3BB058CE"/>
    <w:rsid w:val="3BC15FFA"/>
    <w:rsid w:val="3BCC33D1"/>
    <w:rsid w:val="3BDE25A1"/>
    <w:rsid w:val="3BEACE9E"/>
    <w:rsid w:val="3BED4FCE"/>
    <w:rsid w:val="3BF20D89"/>
    <w:rsid w:val="3BF39756"/>
    <w:rsid w:val="3BF9112D"/>
    <w:rsid w:val="3BF93E64"/>
    <w:rsid w:val="3BFA7577"/>
    <w:rsid w:val="3C037F9D"/>
    <w:rsid w:val="3C1DAB04"/>
    <w:rsid w:val="3C2D99E4"/>
    <w:rsid w:val="3C34C89B"/>
    <w:rsid w:val="3C39ACB3"/>
    <w:rsid w:val="3C4256E1"/>
    <w:rsid w:val="3C44CB45"/>
    <w:rsid w:val="3C4C2E0D"/>
    <w:rsid w:val="3C543FEA"/>
    <w:rsid w:val="3C6F6032"/>
    <w:rsid w:val="3C729E8E"/>
    <w:rsid w:val="3C7A7266"/>
    <w:rsid w:val="3C885B63"/>
    <w:rsid w:val="3C8C4878"/>
    <w:rsid w:val="3C8CB331"/>
    <w:rsid w:val="3C91C673"/>
    <w:rsid w:val="3C923B99"/>
    <w:rsid w:val="3C95E705"/>
    <w:rsid w:val="3C9A1640"/>
    <w:rsid w:val="3C9C09AF"/>
    <w:rsid w:val="3C9F5B35"/>
    <w:rsid w:val="3CA1D5C6"/>
    <w:rsid w:val="3CAC81C8"/>
    <w:rsid w:val="3CB6D490"/>
    <w:rsid w:val="3CB7A45F"/>
    <w:rsid w:val="3CC5B9A3"/>
    <w:rsid w:val="3CCB6D0D"/>
    <w:rsid w:val="3CCCB875"/>
    <w:rsid w:val="3CCE2178"/>
    <w:rsid w:val="3CE2BDC2"/>
    <w:rsid w:val="3CF7D048"/>
    <w:rsid w:val="3CFA1D0C"/>
    <w:rsid w:val="3CFE306C"/>
    <w:rsid w:val="3D052E4C"/>
    <w:rsid w:val="3D107D54"/>
    <w:rsid w:val="3D13EB1B"/>
    <w:rsid w:val="3D149E7D"/>
    <w:rsid w:val="3D15EBB3"/>
    <w:rsid w:val="3D16AA71"/>
    <w:rsid w:val="3D1A11BF"/>
    <w:rsid w:val="3D1DA458"/>
    <w:rsid w:val="3D26D979"/>
    <w:rsid w:val="3D285701"/>
    <w:rsid w:val="3D39A5DA"/>
    <w:rsid w:val="3D3CA697"/>
    <w:rsid w:val="3D3E0C82"/>
    <w:rsid w:val="3D426960"/>
    <w:rsid w:val="3D488944"/>
    <w:rsid w:val="3D603C13"/>
    <w:rsid w:val="3D60C36D"/>
    <w:rsid w:val="3D75D677"/>
    <w:rsid w:val="3D811EA3"/>
    <w:rsid w:val="3D8B28E6"/>
    <w:rsid w:val="3D9A9979"/>
    <w:rsid w:val="3D9EFB56"/>
    <w:rsid w:val="3DA789F7"/>
    <w:rsid w:val="3DAD995D"/>
    <w:rsid w:val="3DAF9E5E"/>
    <w:rsid w:val="3DB56259"/>
    <w:rsid w:val="3DC152FB"/>
    <w:rsid w:val="3DCC9298"/>
    <w:rsid w:val="3DD2B8D7"/>
    <w:rsid w:val="3DDEB047"/>
    <w:rsid w:val="3DE07A53"/>
    <w:rsid w:val="3DEB1CE9"/>
    <w:rsid w:val="3DF6CD93"/>
    <w:rsid w:val="3DFEA995"/>
    <w:rsid w:val="3E051502"/>
    <w:rsid w:val="3E063470"/>
    <w:rsid w:val="3E095B2C"/>
    <w:rsid w:val="3E128E9F"/>
    <w:rsid w:val="3E14AC06"/>
    <w:rsid w:val="3E19C398"/>
    <w:rsid w:val="3E1D8E23"/>
    <w:rsid w:val="3E2637E7"/>
    <w:rsid w:val="3E2BB52E"/>
    <w:rsid w:val="3E31DBF4"/>
    <w:rsid w:val="3E38E777"/>
    <w:rsid w:val="3E3A1EC9"/>
    <w:rsid w:val="3E3E9262"/>
    <w:rsid w:val="3E46D4C0"/>
    <w:rsid w:val="3E48F3C9"/>
    <w:rsid w:val="3E7274F7"/>
    <w:rsid w:val="3E7911B8"/>
    <w:rsid w:val="3E7CEA11"/>
    <w:rsid w:val="3E8521B6"/>
    <w:rsid w:val="3E8E6048"/>
    <w:rsid w:val="3EA7B6E2"/>
    <w:rsid w:val="3EB77933"/>
    <w:rsid w:val="3EC15FB7"/>
    <w:rsid w:val="3EC29A58"/>
    <w:rsid w:val="3EC694FF"/>
    <w:rsid w:val="3ECAEE84"/>
    <w:rsid w:val="3ECF4E3A"/>
    <w:rsid w:val="3EDBCC74"/>
    <w:rsid w:val="3EE9DB30"/>
    <w:rsid w:val="3F009308"/>
    <w:rsid w:val="3F01F955"/>
    <w:rsid w:val="3F05644B"/>
    <w:rsid w:val="3F1B1709"/>
    <w:rsid w:val="3F2290D6"/>
    <w:rsid w:val="3F3D2DD6"/>
    <w:rsid w:val="3F457367"/>
    <w:rsid w:val="3F48D0F9"/>
    <w:rsid w:val="3F4B6ED4"/>
    <w:rsid w:val="3F539802"/>
    <w:rsid w:val="3F93CCE4"/>
    <w:rsid w:val="3FA0DA89"/>
    <w:rsid w:val="3FA11B62"/>
    <w:rsid w:val="3FA39D10"/>
    <w:rsid w:val="3FAAA6E7"/>
    <w:rsid w:val="3FB0E874"/>
    <w:rsid w:val="3FB85E83"/>
    <w:rsid w:val="3FC15675"/>
    <w:rsid w:val="3FD3FD80"/>
    <w:rsid w:val="3FDE5DBA"/>
    <w:rsid w:val="3FE1E668"/>
    <w:rsid w:val="3FF96223"/>
    <w:rsid w:val="3FFA4FCE"/>
    <w:rsid w:val="400E3AE0"/>
    <w:rsid w:val="400F6F5D"/>
    <w:rsid w:val="40284863"/>
    <w:rsid w:val="4028BB65"/>
    <w:rsid w:val="403A18AD"/>
    <w:rsid w:val="403F651A"/>
    <w:rsid w:val="40436E4B"/>
    <w:rsid w:val="406F6694"/>
    <w:rsid w:val="40739794"/>
    <w:rsid w:val="408AC8E5"/>
    <w:rsid w:val="408CF74D"/>
    <w:rsid w:val="4099C1B4"/>
    <w:rsid w:val="409A4724"/>
    <w:rsid w:val="40A1DF2B"/>
    <w:rsid w:val="40A78AA7"/>
    <w:rsid w:val="40AB30D4"/>
    <w:rsid w:val="40B92702"/>
    <w:rsid w:val="40BF9D94"/>
    <w:rsid w:val="40D32293"/>
    <w:rsid w:val="40DACCDE"/>
    <w:rsid w:val="40FFECB9"/>
    <w:rsid w:val="411714F9"/>
    <w:rsid w:val="411D54FF"/>
    <w:rsid w:val="412AC761"/>
    <w:rsid w:val="41300F02"/>
    <w:rsid w:val="41317F28"/>
    <w:rsid w:val="4138B8C0"/>
    <w:rsid w:val="41464802"/>
    <w:rsid w:val="414BFE15"/>
    <w:rsid w:val="414D775B"/>
    <w:rsid w:val="41581066"/>
    <w:rsid w:val="41581A5B"/>
    <w:rsid w:val="41585571"/>
    <w:rsid w:val="4161EDED"/>
    <w:rsid w:val="416AED5E"/>
    <w:rsid w:val="417777D3"/>
    <w:rsid w:val="417CFC95"/>
    <w:rsid w:val="41830F1F"/>
    <w:rsid w:val="4185BFFA"/>
    <w:rsid w:val="41882916"/>
    <w:rsid w:val="418C3694"/>
    <w:rsid w:val="418E27E2"/>
    <w:rsid w:val="41918827"/>
    <w:rsid w:val="4199666A"/>
    <w:rsid w:val="419F73A1"/>
    <w:rsid w:val="41AB663F"/>
    <w:rsid w:val="41AD915C"/>
    <w:rsid w:val="41B54C0F"/>
    <w:rsid w:val="41B61A40"/>
    <w:rsid w:val="41CBEB42"/>
    <w:rsid w:val="41CD2FFE"/>
    <w:rsid w:val="41E2DB50"/>
    <w:rsid w:val="41E8CFDB"/>
    <w:rsid w:val="42013AA2"/>
    <w:rsid w:val="4205D725"/>
    <w:rsid w:val="420C5E74"/>
    <w:rsid w:val="4214CF15"/>
    <w:rsid w:val="4222C8C0"/>
    <w:rsid w:val="42282E2E"/>
    <w:rsid w:val="422BDAAE"/>
    <w:rsid w:val="4233C2C6"/>
    <w:rsid w:val="42367BC6"/>
    <w:rsid w:val="424235F1"/>
    <w:rsid w:val="424DED43"/>
    <w:rsid w:val="424F1FB9"/>
    <w:rsid w:val="424F8430"/>
    <w:rsid w:val="42623695"/>
    <w:rsid w:val="42648E7E"/>
    <w:rsid w:val="4267D78F"/>
    <w:rsid w:val="4269B7ED"/>
    <w:rsid w:val="427BB2E2"/>
    <w:rsid w:val="428428B4"/>
    <w:rsid w:val="428C1B65"/>
    <w:rsid w:val="429A9B6F"/>
    <w:rsid w:val="429D0991"/>
    <w:rsid w:val="42A33B50"/>
    <w:rsid w:val="42B13AFD"/>
    <w:rsid w:val="42C6C50C"/>
    <w:rsid w:val="42C87E1E"/>
    <w:rsid w:val="42D44FBB"/>
    <w:rsid w:val="42DB05AF"/>
    <w:rsid w:val="42DC7EEA"/>
    <w:rsid w:val="42E49D42"/>
    <w:rsid w:val="42E83BE0"/>
    <w:rsid w:val="42EB00D1"/>
    <w:rsid w:val="42F59038"/>
    <w:rsid w:val="42FC8B59"/>
    <w:rsid w:val="42FF4BEF"/>
    <w:rsid w:val="4302E68C"/>
    <w:rsid w:val="431755CA"/>
    <w:rsid w:val="4318D5FA"/>
    <w:rsid w:val="432160B1"/>
    <w:rsid w:val="433118AC"/>
    <w:rsid w:val="4331852A"/>
    <w:rsid w:val="43332017"/>
    <w:rsid w:val="4334AA0A"/>
    <w:rsid w:val="43389CBA"/>
    <w:rsid w:val="43468640"/>
    <w:rsid w:val="435546DA"/>
    <w:rsid w:val="4364B1ED"/>
    <w:rsid w:val="43661E58"/>
    <w:rsid w:val="436AEB4B"/>
    <w:rsid w:val="4383B2CE"/>
    <w:rsid w:val="4386D0C6"/>
    <w:rsid w:val="43898CC6"/>
    <w:rsid w:val="43ADC4BF"/>
    <w:rsid w:val="43AFB328"/>
    <w:rsid w:val="43CB2399"/>
    <w:rsid w:val="43CDAC0C"/>
    <w:rsid w:val="43D9E408"/>
    <w:rsid w:val="43E04581"/>
    <w:rsid w:val="43E0AB2B"/>
    <w:rsid w:val="43EE969D"/>
    <w:rsid w:val="43F6A7DD"/>
    <w:rsid w:val="43FA73C0"/>
    <w:rsid w:val="440C69DB"/>
    <w:rsid w:val="440EA6D1"/>
    <w:rsid w:val="4421DF04"/>
    <w:rsid w:val="4425DCAB"/>
    <w:rsid w:val="44356B51"/>
    <w:rsid w:val="4439731E"/>
    <w:rsid w:val="4440CD18"/>
    <w:rsid w:val="444721C0"/>
    <w:rsid w:val="444A4961"/>
    <w:rsid w:val="445631AC"/>
    <w:rsid w:val="446522EB"/>
    <w:rsid w:val="44695A05"/>
    <w:rsid w:val="44791056"/>
    <w:rsid w:val="448709F5"/>
    <w:rsid w:val="4495CACA"/>
    <w:rsid w:val="44A0F871"/>
    <w:rsid w:val="44BDA59F"/>
    <w:rsid w:val="44C13FE5"/>
    <w:rsid w:val="44CBB606"/>
    <w:rsid w:val="44D61E39"/>
    <w:rsid w:val="44D90C59"/>
    <w:rsid w:val="44E583E8"/>
    <w:rsid w:val="44E99F22"/>
    <w:rsid w:val="44EC322F"/>
    <w:rsid w:val="44EE1763"/>
    <w:rsid w:val="44EF4DF8"/>
    <w:rsid w:val="44F37625"/>
    <w:rsid w:val="4506484D"/>
    <w:rsid w:val="450E216B"/>
    <w:rsid w:val="4511B1B7"/>
    <w:rsid w:val="45202731"/>
    <w:rsid w:val="4520554B"/>
    <w:rsid w:val="4525142D"/>
    <w:rsid w:val="453B4D13"/>
    <w:rsid w:val="453D38FF"/>
    <w:rsid w:val="45495F09"/>
    <w:rsid w:val="454C7C93"/>
    <w:rsid w:val="455C5472"/>
    <w:rsid w:val="4563211F"/>
    <w:rsid w:val="45756F6A"/>
    <w:rsid w:val="457B4B99"/>
    <w:rsid w:val="4581A75B"/>
    <w:rsid w:val="4581E56F"/>
    <w:rsid w:val="4583AF2D"/>
    <w:rsid w:val="4587F0AD"/>
    <w:rsid w:val="45945C78"/>
    <w:rsid w:val="459B2FBF"/>
    <w:rsid w:val="45A07B4C"/>
    <w:rsid w:val="45A72E86"/>
    <w:rsid w:val="45A90C5F"/>
    <w:rsid w:val="45AA7498"/>
    <w:rsid w:val="45AD0554"/>
    <w:rsid w:val="45B00127"/>
    <w:rsid w:val="45B02232"/>
    <w:rsid w:val="45B0AF14"/>
    <w:rsid w:val="45B7F251"/>
    <w:rsid w:val="45B94873"/>
    <w:rsid w:val="45BE1C8E"/>
    <w:rsid w:val="45CA9061"/>
    <w:rsid w:val="45D47941"/>
    <w:rsid w:val="45E3F8D8"/>
    <w:rsid w:val="45E4EDF9"/>
    <w:rsid w:val="45E5C4A1"/>
    <w:rsid w:val="45F44670"/>
    <w:rsid w:val="461AFF9F"/>
    <w:rsid w:val="461F9157"/>
    <w:rsid w:val="46252649"/>
    <w:rsid w:val="4646175C"/>
    <w:rsid w:val="4649DCBF"/>
    <w:rsid w:val="465318A7"/>
    <w:rsid w:val="465841F2"/>
    <w:rsid w:val="4663A4A1"/>
    <w:rsid w:val="4667A12B"/>
    <w:rsid w:val="4670881E"/>
    <w:rsid w:val="46787C28"/>
    <w:rsid w:val="467BBB4A"/>
    <w:rsid w:val="4690E538"/>
    <w:rsid w:val="469C9C67"/>
    <w:rsid w:val="469FCAD5"/>
    <w:rsid w:val="46A17122"/>
    <w:rsid w:val="46A7E245"/>
    <w:rsid w:val="46B5B315"/>
    <w:rsid w:val="46CEE85B"/>
    <w:rsid w:val="46D97F10"/>
    <w:rsid w:val="46E66813"/>
    <w:rsid w:val="46EB0F76"/>
    <w:rsid w:val="46F7C5D3"/>
    <w:rsid w:val="46F800B1"/>
    <w:rsid w:val="46FA848B"/>
    <w:rsid w:val="46FCC28D"/>
    <w:rsid w:val="46FEF180"/>
    <w:rsid w:val="470DBB42"/>
    <w:rsid w:val="470F3FB1"/>
    <w:rsid w:val="471C5140"/>
    <w:rsid w:val="471DA7F6"/>
    <w:rsid w:val="472ABBCB"/>
    <w:rsid w:val="4734ADE5"/>
    <w:rsid w:val="4739346A"/>
    <w:rsid w:val="473D8DB7"/>
    <w:rsid w:val="473DB92C"/>
    <w:rsid w:val="47422122"/>
    <w:rsid w:val="474B3D00"/>
    <w:rsid w:val="474E3507"/>
    <w:rsid w:val="4754BC74"/>
    <w:rsid w:val="47585070"/>
    <w:rsid w:val="475A9A25"/>
    <w:rsid w:val="475FDE85"/>
    <w:rsid w:val="4771AC04"/>
    <w:rsid w:val="47748C84"/>
    <w:rsid w:val="4776D4FC"/>
    <w:rsid w:val="477BAD50"/>
    <w:rsid w:val="477E7192"/>
    <w:rsid w:val="4797A843"/>
    <w:rsid w:val="479B6385"/>
    <w:rsid w:val="479EBBEB"/>
    <w:rsid w:val="47AF29C5"/>
    <w:rsid w:val="47B04ADF"/>
    <w:rsid w:val="47BE12EC"/>
    <w:rsid w:val="47C95047"/>
    <w:rsid w:val="47CB44D3"/>
    <w:rsid w:val="47D4177B"/>
    <w:rsid w:val="47E7000D"/>
    <w:rsid w:val="47ED70CE"/>
    <w:rsid w:val="48010287"/>
    <w:rsid w:val="4810AFD9"/>
    <w:rsid w:val="481266D1"/>
    <w:rsid w:val="48169040"/>
    <w:rsid w:val="4818D921"/>
    <w:rsid w:val="481A8886"/>
    <w:rsid w:val="481AE23E"/>
    <w:rsid w:val="48240B7C"/>
    <w:rsid w:val="482CA4CA"/>
    <w:rsid w:val="483BB4E0"/>
    <w:rsid w:val="4848E398"/>
    <w:rsid w:val="484F5CF0"/>
    <w:rsid w:val="4854C61E"/>
    <w:rsid w:val="485661A1"/>
    <w:rsid w:val="485DE985"/>
    <w:rsid w:val="48711EDD"/>
    <w:rsid w:val="48744F5B"/>
    <w:rsid w:val="4875EB03"/>
    <w:rsid w:val="4877C5E7"/>
    <w:rsid w:val="487B773E"/>
    <w:rsid w:val="488E9FFA"/>
    <w:rsid w:val="48ADC05A"/>
    <w:rsid w:val="48B3003B"/>
    <w:rsid w:val="48B3CE0C"/>
    <w:rsid w:val="48BB1678"/>
    <w:rsid w:val="48BF69DD"/>
    <w:rsid w:val="48C36F6C"/>
    <w:rsid w:val="48D4077B"/>
    <w:rsid w:val="48D55CF6"/>
    <w:rsid w:val="48D93DF0"/>
    <w:rsid w:val="48DA4C93"/>
    <w:rsid w:val="48DEE35C"/>
    <w:rsid w:val="48FABD1F"/>
    <w:rsid w:val="49027E6D"/>
    <w:rsid w:val="4905F6D9"/>
    <w:rsid w:val="490FE2D9"/>
    <w:rsid w:val="49174935"/>
    <w:rsid w:val="49189A04"/>
    <w:rsid w:val="49210832"/>
    <w:rsid w:val="4921DCCD"/>
    <w:rsid w:val="49284C3D"/>
    <w:rsid w:val="492E3DA9"/>
    <w:rsid w:val="4937685D"/>
    <w:rsid w:val="49377523"/>
    <w:rsid w:val="49399DA9"/>
    <w:rsid w:val="4943CAB3"/>
    <w:rsid w:val="494FDBD9"/>
    <w:rsid w:val="49565FB1"/>
    <w:rsid w:val="495BC662"/>
    <w:rsid w:val="495C0D32"/>
    <w:rsid w:val="4964A6BD"/>
    <w:rsid w:val="49729D8B"/>
    <w:rsid w:val="49734335"/>
    <w:rsid w:val="497E7162"/>
    <w:rsid w:val="49803D14"/>
    <w:rsid w:val="4986EC92"/>
    <w:rsid w:val="498BFDF5"/>
    <w:rsid w:val="499052F7"/>
    <w:rsid w:val="4993CDA2"/>
    <w:rsid w:val="499D3782"/>
    <w:rsid w:val="499DD53E"/>
    <w:rsid w:val="49A0B750"/>
    <w:rsid w:val="49A10A5F"/>
    <w:rsid w:val="49B34D19"/>
    <w:rsid w:val="49BA798B"/>
    <w:rsid w:val="49BAB744"/>
    <w:rsid w:val="49C781D7"/>
    <w:rsid w:val="49C90567"/>
    <w:rsid w:val="49CB5198"/>
    <w:rsid w:val="49CC8993"/>
    <w:rsid w:val="49CE8D9C"/>
    <w:rsid w:val="49DD2923"/>
    <w:rsid w:val="49E3D1F5"/>
    <w:rsid w:val="49E90C6A"/>
    <w:rsid w:val="49EAFFA9"/>
    <w:rsid w:val="4A0E8290"/>
    <w:rsid w:val="4A1C8799"/>
    <w:rsid w:val="4A23EA76"/>
    <w:rsid w:val="4A2949FB"/>
    <w:rsid w:val="4A2B68DA"/>
    <w:rsid w:val="4A3005B4"/>
    <w:rsid w:val="4A30E3AA"/>
    <w:rsid w:val="4A458D45"/>
    <w:rsid w:val="4A471EF1"/>
    <w:rsid w:val="4A5BA8DB"/>
    <w:rsid w:val="4A5DD32D"/>
    <w:rsid w:val="4A5F626C"/>
    <w:rsid w:val="4A62CD4B"/>
    <w:rsid w:val="4A6562A8"/>
    <w:rsid w:val="4A6F61FB"/>
    <w:rsid w:val="4A7DC41D"/>
    <w:rsid w:val="4A80B9D6"/>
    <w:rsid w:val="4A84C81B"/>
    <w:rsid w:val="4A8C8A70"/>
    <w:rsid w:val="4AA004C8"/>
    <w:rsid w:val="4AA26D41"/>
    <w:rsid w:val="4AA86B46"/>
    <w:rsid w:val="4AA9CAED"/>
    <w:rsid w:val="4ABAAB1A"/>
    <w:rsid w:val="4AC47E01"/>
    <w:rsid w:val="4ACB57F0"/>
    <w:rsid w:val="4AD4F6BF"/>
    <w:rsid w:val="4ADAC1D7"/>
    <w:rsid w:val="4AE0048A"/>
    <w:rsid w:val="4AE47C01"/>
    <w:rsid w:val="4AEAD282"/>
    <w:rsid w:val="4AEFF709"/>
    <w:rsid w:val="4AFDF8D0"/>
    <w:rsid w:val="4B109390"/>
    <w:rsid w:val="4B16E43C"/>
    <w:rsid w:val="4B18DD7C"/>
    <w:rsid w:val="4B23721D"/>
    <w:rsid w:val="4B248AE6"/>
    <w:rsid w:val="4B273769"/>
    <w:rsid w:val="4B4944B6"/>
    <w:rsid w:val="4B5A19FA"/>
    <w:rsid w:val="4B6548BD"/>
    <w:rsid w:val="4B696638"/>
    <w:rsid w:val="4B7FE6B4"/>
    <w:rsid w:val="4B843961"/>
    <w:rsid w:val="4B93C49F"/>
    <w:rsid w:val="4B9524C1"/>
    <w:rsid w:val="4BA2B072"/>
    <w:rsid w:val="4BACDFC8"/>
    <w:rsid w:val="4BAE4C24"/>
    <w:rsid w:val="4BBF9977"/>
    <w:rsid w:val="4BC4547C"/>
    <w:rsid w:val="4BCBC998"/>
    <w:rsid w:val="4BCDC8DB"/>
    <w:rsid w:val="4BCF914E"/>
    <w:rsid w:val="4BD116C3"/>
    <w:rsid w:val="4BDFDB38"/>
    <w:rsid w:val="4BE3B1CB"/>
    <w:rsid w:val="4BE75819"/>
    <w:rsid w:val="4BEE746E"/>
    <w:rsid w:val="4BF0BEAC"/>
    <w:rsid w:val="4BF2978B"/>
    <w:rsid w:val="4BF3317D"/>
    <w:rsid w:val="4BFD361D"/>
    <w:rsid w:val="4C06CA00"/>
    <w:rsid w:val="4C14AFB0"/>
    <w:rsid w:val="4C1BDA72"/>
    <w:rsid w:val="4C208276"/>
    <w:rsid w:val="4C239F67"/>
    <w:rsid w:val="4C3768A5"/>
    <w:rsid w:val="4C3A8E79"/>
    <w:rsid w:val="4C3B9C51"/>
    <w:rsid w:val="4C4B6234"/>
    <w:rsid w:val="4C7195EB"/>
    <w:rsid w:val="4C7E86FC"/>
    <w:rsid w:val="4C8024D0"/>
    <w:rsid w:val="4C97C146"/>
    <w:rsid w:val="4CA6F5D1"/>
    <w:rsid w:val="4CAA8FC6"/>
    <w:rsid w:val="4CB4D093"/>
    <w:rsid w:val="4CBA5B64"/>
    <w:rsid w:val="4CC87C2D"/>
    <w:rsid w:val="4CCEC798"/>
    <w:rsid w:val="4CDA5A7F"/>
    <w:rsid w:val="4CE1E5A3"/>
    <w:rsid w:val="4CE977F5"/>
    <w:rsid w:val="4CEA6E03"/>
    <w:rsid w:val="4CEEFDA9"/>
    <w:rsid w:val="4CF35250"/>
    <w:rsid w:val="4CF88063"/>
    <w:rsid w:val="4D0D2A6D"/>
    <w:rsid w:val="4D1584EE"/>
    <w:rsid w:val="4D2C981A"/>
    <w:rsid w:val="4D417D59"/>
    <w:rsid w:val="4D424371"/>
    <w:rsid w:val="4D49E3E2"/>
    <w:rsid w:val="4D4C5B1B"/>
    <w:rsid w:val="4D57B3C9"/>
    <w:rsid w:val="4D593A24"/>
    <w:rsid w:val="4D5EDD1B"/>
    <w:rsid w:val="4D5F328C"/>
    <w:rsid w:val="4D6667EF"/>
    <w:rsid w:val="4D6F054C"/>
    <w:rsid w:val="4D7DFCA4"/>
    <w:rsid w:val="4D7F3A97"/>
    <w:rsid w:val="4D9D9F2D"/>
    <w:rsid w:val="4D9E9ED4"/>
    <w:rsid w:val="4DA251C1"/>
    <w:rsid w:val="4DB075E1"/>
    <w:rsid w:val="4DBD328A"/>
    <w:rsid w:val="4DBF7148"/>
    <w:rsid w:val="4DC2FB9B"/>
    <w:rsid w:val="4DD560D6"/>
    <w:rsid w:val="4DD93561"/>
    <w:rsid w:val="4DD9DE2F"/>
    <w:rsid w:val="4DEA8183"/>
    <w:rsid w:val="4DEF0ABD"/>
    <w:rsid w:val="4DFAE0FF"/>
    <w:rsid w:val="4E08D902"/>
    <w:rsid w:val="4E0E408D"/>
    <w:rsid w:val="4E1C7A97"/>
    <w:rsid w:val="4E20723E"/>
    <w:rsid w:val="4E2099D2"/>
    <w:rsid w:val="4E239ABD"/>
    <w:rsid w:val="4E2762B2"/>
    <w:rsid w:val="4E2A0532"/>
    <w:rsid w:val="4E39ABF4"/>
    <w:rsid w:val="4E3CC007"/>
    <w:rsid w:val="4E41B22D"/>
    <w:rsid w:val="4E516294"/>
    <w:rsid w:val="4E5C7C47"/>
    <w:rsid w:val="4E6559FC"/>
    <w:rsid w:val="4E6A0FE9"/>
    <w:rsid w:val="4E766587"/>
    <w:rsid w:val="4E794CE4"/>
    <w:rsid w:val="4E7F2F23"/>
    <w:rsid w:val="4E82E8E4"/>
    <w:rsid w:val="4E88ADDD"/>
    <w:rsid w:val="4E8F98A0"/>
    <w:rsid w:val="4E90D225"/>
    <w:rsid w:val="4E99B5BA"/>
    <w:rsid w:val="4EB1343B"/>
    <w:rsid w:val="4EB7DDE9"/>
    <w:rsid w:val="4EC0C294"/>
    <w:rsid w:val="4EC2BF5F"/>
    <w:rsid w:val="4EC3552E"/>
    <w:rsid w:val="4EDBC147"/>
    <w:rsid w:val="4EED5D74"/>
    <w:rsid w:val="4EF09606"/>
    <w:rsid w:val="4EFEB644"/>
    <w:rsid w:val="4F002DEE"/>
    <w:rsid w:val="4F016DCC"/>
    <w:rsid w:val="4F01D120"/>
    <w:rsid w:val="4F03CE62"/>
    <w:rsid w:val="4F257A08"/>
    <w:rsid w:val="4F305B1E"/>
    <w:rsid w:val="4F35CDB0"/>
    <w:rsid w:val="4F386951"/>
    <w:rsid w:val="4F487314"/>
    <w:rsid w:val="4F58DF15"/>
    <w:rsid w:val="4F5D24B3"/>
    <w:rsid w:val="4F621A72"/>
    <w:rsid w:val="4F6DDD0D"/>
    <w:rsid w:val="4F70394B"/>
    <w:rsid w:val="4F72A8C1"/>
    <w:rsid w:val="4F7863BD"/>
    <w:rsid w:val="4F8D191B"/>
    <w:rsid w:val="4F982A1E"/>
    <w:rsid w:val="4F9B6E29"/>
    <w:rsid w:val="4FA8BA18"/>
    <w:rsid w:val="4FBC9347"/>
    <w:rsid w:val="4FC5FC52"/>
    <w:rsid w:val="4FC7B3E0"/>
    <w:rsid w:val="4FC85D17"/>
    <w:rsid w:val="4FDB4174"/>
    <w:rsid w:val="4FE6CF5B"/>
    <w:rsid w:val="4FEA9A00"/>
    <w:rsid w:val="4FF33D93"/>
    <w:rsid w:val="4FF83B1C"/>
    <w:rsid w:val="500556F8"/>
    <w:rsid w:val="5006F9E5"/>
    <w:rsid w:val="50077761"/>
    <w:rsid w:val="500B0B1B"/>
    <w:rsid w:val="502C97D1"/>
    <w:rsid w:val="50457BB5"/>
    <w:rsid w:val="504B32FA"/>
    <w:rsid w:val="505622CC"/>
    <w:rsid w:val="505FDF10"/>
    <w:rsid w:val="5063A78B"/>
    <w:rsid w:val="5098B863"/>
    <w:rsid w:val="509904CB"/>
    <w:rsid w:val="509E7D0B"/>
    <w:rsid w:val="50A1E9D6"/>
    <w:rsid w:val="50D14F63"/>
    <w:rsid w:val="50DB5118"/>
    <w:rsid w:val="50E8A462"/>
    <w:rsid w:val="50F03DEE"/>
    <w:rsid w:val="50F1642E"/>
    <w:rsid w:val="50F30433"/>
    <w:rsid w:val="50F65611"/>
    <w:rsid w:val="511D04BF"/>
    <w:rsid w:val="5121787F"/>
    <w:rsid w:val="5121F68E"/>
    <w:rsid w:val="512D7D73"/>
    <w:rsid w:val="513496BC"/>
    <w:rsid w:val="5135E6FE"/>
    <w:rsid w:val="513FF057"/>
    <w:rsid w:val="51454A48"/>
    <w:rsid w:val="51488069"/>
    <w:rsid w:val="514BB7BC"/>
    <w:rsid w:val="5158DEAF"/>
    <w:rsid w:val="515F03B6"/>
    <w:rsid w:val="5167C7EB"/>
    <w:rsid w:val="517BAAC5"/>
    <w:rsid w:val="5182A313"/>
    <w:rsid w:val="5189F6F5"/>
    <w:rsid w:val="518E6AF8"/>
    <w:rsid w:val="5195447C"/>
    <w:rsid w:val="519D21EF"/>
    <w:rsid w:val="519DC79A"/>
    <w:rsid w:val="51B6AF98"/>
    <w:rsid w:val="51C8FF75"/>
    <w:rsid w:val="51D6690D"/>
    <w:rsid w:val="51DA2C84"/>
    <w:rsid w:val="51DF7E93"/>
    <w:rsid w:val="51EE7809"/>
    <w:rsid w:val="51F1CB6F"/>
    <w:rsid w:val="51FEE120"/>
    <w:rsid w:val="5208435C"/>
    <w:rsid w:val="520D4686"/>
    <w:rsid w:val="520E5F6D"/>
    <w:rsid w:val="5214D96C"/>
    <w:rsid w:val="5214F540"/>
    <w:rsid w:val="5218E0C4"/>
    <w:rsid w:val="523BF120"/>
    <w:rsid w:val="523C3D17"/>
    <w:rsid w:val="523DFBE7"/>
    <w:rsid w:val="5244494A"/>
    <w:rsid w:val="52483E4F"/>
    <w:rsid w:val="525408AC"/>
    <w:rsid w:val="526275C3"/>
    <w:rsid w:val="52668FB4"/>
    <w:rsid w:val="5266F108"/>
    <w:rsid w:val="526BACBF"/>
    <w:rsid w:val="526FAC2E"/>
    <w:rsid w:val="527169C6"/>
    <w:rsid w:val="5277317A"/>
    <w:rsid w:val="527B6BF7"/>
    <w:rsid w:val="529372EB"/>
    <w:rsid w:val="52A18E95"/>
    <w:rsid w:val="52A287D0"/>
    <w:rsid w:val="52A5A53C"/>
    <w:rsid w:val="52A5CDEB"/>
    <w:rsid w:val="52A88CB6"/>
    <w:rsid w:val="52A8BE85"/>
    <w:rsid w:val="52BC8C7F"/>
    <w:rsid w:val="52C3207A"/>
    <w:rsid w:val="52C3C380"/>
    <w:rsid w:val="52CC09FF"/>
    <w:rsid w:val="52CD0CB4"/>
    <w:rsid w:val="52E71461"/>
    <w:rsid w:val="52FA8F1A"/>
    <w:rsid w:val="5307FBDA"/>
    <w:rsid w:val="530EF494"/>
    <w:rsid w:val="5310CD4A"/>
    <w:rsid w:val="53113B6D"/>
    <w:rsid w:val="5323B704"/>
    <w:rsid w:val="5325FC42"/>
    <w:rsid w:val="532E2339"/>
    <w:rsid w:val="533C10A6"/>
    <w:rsid w:val="534227A9"/>
    <w:rsid w:val="5347377D"/>
    <w:rsid w:val="5362D48A"/>
    <w:rsid w:val="5366FF89"/>
    <w:rsid w:val="536EA302"/>
    <w:rsid w:val="537DAC19"/>
    <w:rsid w:val="5389BC66"/>
    <w:rsid w:val="538BC7CD"/>
    <w:rsid w:val="53BCBDAD"/>
    <w:rsid w:val="53C7A6BF"/>
    <w:rsid w:val="53D20850"/>
    <w:rsid w:val="53D5A0C2"/>
    <w:rsid w:val="53D61DCD"/>
    <w:rsid w:val="53EDB610"/>
    <w:rsid w:val="53FEBBEC"/>
    <w:rsid w:val="540C2ECE"/>
    <w:rsid w:val="540D55F2"/>
    <w:rsid w:val="5411979C"/>
    <w:rsid w:val="54150CAF"/>
    <w:rsid w:val="5419E7DF"/>
    <w:rsid w:val="5428E3D2"/>
    <w:rsid w:val="542BBE5F"/>
    <w:rsid w:val="542BE9E1"/>
    <w:rsid w:val="543192F4"/>
    <w:rsid w:val="54347A50"/>
    <w:rsid w:val="543687E6"/>
    <w:rsid w:val="5437D36A"/>
    <w:rsid w:val="543FCAED"/>
    <w:rsid w:val="5445E636"/>
    <w:rsid w:val="54467B6D"/>
    <w:rsid w:val="54516F0D"/>
    <w:rsid w:val="545D6AA0"/>
    <w:rsid w:val="54634E6D"/>
    <w:rsid w:val="5463A82D"/>
    <w:rsid w:val="546B3612"/>
    <w:rsid w:val="546C0C54"/>
    <w:rsid w:val="546D25A0"/>
    <w:rsid w:val="54767767"/>
    <w:rsid w:val="5479D12E"/>
    <w:rsid w:val="547A8346"/>
    <w:rsid w:val="548469B6"/>
    <w:rsid w:val="54921D65"/>
    <w:rsid w:val="5495932E"/>
    <w:rsid w:val="54976CCD"/>
    <w:rsid w:val="54989A9C"/>
    <w:rsid w:val="54A1D75A"/>
    <w:rsid w:val="54A86019"/>
    <w:rsid w:val="54A98149"/>
    <w:rsid w:val="54BD426B"/>
    <w:rsid w:val="54EA641C"/>
    <w:rsid w:val="54FD76E5"/>
    <w:rsid w:val="54FFAC17"/>
    <w:rsid w:val="5503C3A9"/>
    <w:rsid w:val="55085804"/>
    <w:rsid w:val="55085FCE"/>
    <w:rsid w:val="550D032E"/>
    <w:rsid w:val="551B64C9"/>
    <w:rsid w:val="55287FB6"/>
    <w:rsid w:val="552A3FB7"/>
    <w:rsid w:val="552EF0C9"/>
    <w:rsid w:val="5535E72D"/>
    <w:rsid w:val="554236FF"/>
    <w:rsid w:val="55435C20"/>
    <w:rsid w:val="554A38A2"/>
    <w:rsid w:val="55516680"/>
    <w:rsid w:val="555655F9"/>
    <w:rsid w:val="555786C5"/>
    <w:rsid w:val="55601716"/>
    <w:rsid w:val="55642683"/>
    <w:rsid w:val="5572835C"/>
    <w:rsid w:val="557E8E17"/>
    <w:rsid w:val="557F1A76"/>
    <w:rsid w:val="558A2C01"/>
    <w:rsid w:val="5593F31C"/>
    <w:rsid w:val="55ABD185"/>
    <w:rsid w:val="55ACD9C9"/>
    <w:rsid w:val="55B62624"/>
    <w:rsid w:val="55BDDAF8"/>
    <w:rsid w:val="55C85876"/>
    <w:rsid w:val="55C87B3D"/>
    <w:rsid w:val="55DB521B"/>
    <w:rsid w:val="55DBA5FE"/>
    <w:rsid w:val="55E013BB"/>
    <w:rsid w:val="55E8551C"/>
    <w:rsid w:val="55EDEA40"/>
    <w:rsid w:val="56049680"/>
    <w:rsid w:val="561210D9"/>
    <w:rsid w:val="5613944D"/>
    <w:rsid w:val="561A9304"/>
    <w:rsid w:val="562BF432"/>
    <w:rsid w:val="562CB5A9"/>
    <w:rsid w:val="5634F064"/>
    <w:rsid w:val="5640D714"/>
    <w:rsid w:val="56500B4D"/>
    <w:rsid w:val="565C0F4C"/>
    <w:rsid w:val="565DB4B2"/>
    <w:rsid w:val="56713B37"/>
    <w:rsid w:val="5687EE8E"/>
    <w:rsid w:val="5696D0FD"/>
    <w:rsid w:val="56982714"/>
    <w:rsid w:val="56983402"/>
    <w:rsid w:val="5698EF01"/>
    <w:rsid w:val="569C1571"/>
    <w:rsid w:val="56A2134B"/>
    <w:rsid w:val="56AA219F"/>
    <w:rsid w:val="56C7F8C8"/>
    <w:rsid w:val="56D09BDE"/>
    <w:rsid w:val="56D857BD"/>
    <w:rsid w:val="56DA1DFB"/>
    <w:rsid w:val="56E3B471"/>
    <w:rsid w:val="56EB6594"/>
    <w:rsid w:val="570134EC"/>
    <w:rsid w:val="57038820"/>
    <w:rsid w:val="57097747"/>
    <w:rsid w:val="571795BC"/>
    <w:rsid w:val="571B39CA"/>
    <w:rsid w:val="5725E2D9"/>
    <w:rsid w:val="57285B7F"/>
    <w:rsid w:val="57300CE3"/>
    <w:rsid w:val="57312744"/>
    <w:rsid w:val="573175B1"/>
    <w:rsid w:val="573517B6"/>
    <w:rsid w:val="5743AA79"/>
    <w:rsid w:val="574F950E"/>
    <w:rsid w:val="57531FFD"/>
    <w:rsid w:val="57566E56"/>
    <w:rsid w:val="57625D03"/>
    <w:rsid w:val="577B1114"/>
    <w:rsid w:val="578CDEE3"/>
    <w:rsid w:val="5792851B"/>
    <w:rsid w:val="5792D910"/>
    <w:rsid w:val="5799F26E"/>
    <w:rsid w:val="579BD14C"/>
    <w:rsid w:val="57A0054A"/>
    <w:rsid w:val="57A11369"/>
    <w:rsid w:val="57BCA9A8"/>
    <w:rsid w:val="57BF53A6"/>
    <w:rsid w:val="57CC4A45"/>
    <w:rsid w:val="57CEE865"/>
    <w:rsid w:val="57E933F7"/>
    <w:rsid w:val="57EC9080"/>
    <w:rsid w:val="57ECF56E"/>
    <w:rsid w:val="57F17F22"/>
    <w:rsid w:val="57FC2154"/>
    <w:rsid w:val="581606CF"/>
    <w:rsid w:val="58253935"/>
    <w:rsid w:val="58271A5D"/>
    <w:rsid w:val="5829575F"/>
    <w:rsid w:val="582A03A0"/>
    <w:rsid w:val="58490025"/>
    <w:rsid w:val="5855EB62"/>
    <w:rsid w:val="585C4D25"/>
    <w:rsid w:val="58628DDF"/>
    <w:rsid w:val="5873C967"/>
    <w:rsid w:val="587CB61E"/>
    <w:rsid w:val="5895FA65"/>
    <w:rsid w:val="589647B6"/>
    <w:rsid w:val="589FAA0B"/>
    <w:rsid w:val="58B024D6"/>
    <w:rsid w:val="58B62742"/>
    <w:rsid w:val="58BF33F5"/>
    <w:rsid w:val="58D3720A"/>
    <w:rsid w:val="58E752B0"/>
    <w:rsid w:val="58EB672E"/>
    <w:rsid w:val="58EED525"/>
    <w:rsid w:val="58F046B5"/>
    <w:rsid w:val="58F18E7A"/>
    <w:rsid w:val="58F37DF1"/>
    <w:rsid w:val="58F4FB00"/>
    <w:rsid w:val="58F65ABF"/>
    <w:rsid w:val="58F93D9B"/>
    <w:rsid w:val="590780C2"/>
    <w:rsid w:val="590AA35E"/>
    <w:rsid w:val="590D0FCA"/>
    <w:rsid w:val="591B48CB"/>
    <w:rsid w:val="591BE8E7"/>
    <w:rsid w:val="5920A63B"/>
    <w:rsid w:val="592B0AC9"/>
    <w:rsid w:val="593229DB"/>
    <w:rsid w:val="593C6C28"/>
    <w:rsid w:val="593E3A97"/>
    <w:rsid w:val="59466FB8"/>
    <w:rsid w:val="594C7DAB"/>
    <w:rsid w:val="5958E4AE"/>
    <w:rsid w:val="595BFAD9"/>
    <w:rsid w:val="59607A50"/>
    <w:rsid w:val="596472A7"/>
    <w:rsid w:val="5964D751"/>
    <w:rsid w:val="596B5D85"/>
    <w:rsid w:val="596DA2DE"/>
    <w:rsid w:val="596FBCCD"/>
    <w:rsid w:val="5971BB52"/>
    <w:rsid w:val="5974245D"/>
    <w:rsid w:val="5977BC3B"/>
    <w:rsid w:val="597A2410"/>
    <w:rsid w:val="597A2D0C"/>
    <w:rsid w:val="597D78AF"/>
    <w:rsid w:val="5988D60F"/>
    <w:rsid w:val="59892872"/>
    <w:rsid w:val="5993FBED"/>
    <w:rsid w:val="59949418"/>
    <w:rsid w:val="5996A1F6"/>
    <w:rsid w:val="599C0595"/>
    <w:rsid w:val="59A0912C"/>
    <w:rsid w:val="59BF28FF"/>
    <w:rsid w:val="59C070BB"/>
    <w:rsid w:val="59D316F8"/>
    <w:rsid w:val="59EB0BD2"/>
    <w:rsid w:val="59F0D777"/>
    <w:rsid w:val="59F5D20D"/>
    <w:rsid w:val="59FE0B61"/>
    <w:rsid w:val="59FEF072"/>
    <w:rsid w:val="5A030835"/>
    <w:rsid w:val="5A03B032"/>
    <w:rsid w:val="5A0867E0"/>
    <w:rsid w:val="5A0C1CF1"/>
    <w:rsid w:val="5A13DDF1"/>
    <w:rsid w:val="5A1DA9A0"/>
    <w:rsid w:val="5A22C202"/>
    <w:rsid w:val="5A2704D7"/>
    <w:rsid w:val="5A2FDD96"/>
    <w:rsid w:val="5A301123"/>
    <w:rsid w:val="5A4160DA"/>
    <w:rsid w:val="5A4955C1"/>
    <w:rsid w:val="5A4B21AC"/>
    <w:rsid w:val="5A4F95BA"/>
    <w:rsid w:val="5A57A0A3"/>
    <w:rsid w:val="5A590D2A"/>
    <w:rsid w:val="5A637FED"/>
    <w:rsid w:val="5A692779"/>
    <w:rsid w:val="5A6D50F7"/>
    <w:rsid w:val="5A6E6866"/>
    <w:rsid w:val="5A7B0D7E"/>
    <w:rsid w:val="5A7F582A"/>
    <w:rsid w:val="5A8AD448"/>
    <w:rsid w:val="5A8EEF2F"/>
    <w:rsid w:val="5A955648"/>
    <w:rsid w:val="5A963DE1"/>
    <w:rsid w:val="5A995D59"/>
    <w:rsid w:val="5A99A848"/>
    <w:rsid w:val="5A9F50ED"/>
    <w:rsid w:val="5AA30AE6"/>
    <w:rsid w:val="5AA4DFF0"/>
    <w:rsid w:val="5AA7DF37"/>
    <w:rsid w:val="5AA99E94"/>
    <w:rsid w:val="5AB624D2"/>
    <w:rsid w:val="5AB837F7"/>
    <w:rsid w:val="5ABDCB68"/>
    <w:rsid w:val="5ACDC96F"/>
    <w:rsid w:val="5AD2999B"/>
    <w:rsid w:val="5AD5A702"/>
    <w:rsid w:val="5ADD60BF"/>
    <w:rsid w:val="5ADEF8EA"/>
    <w:rsid w:val="5AE2F8FB"/>
    <w:rsid w:val="5AE41E29"/>
    <w:rsid w:val="5AFC032A"/>
    <w:rsid w:val="5B06A672"/>
    <w:rsid w:val="5B07B49D"/>
    <w:rsid w:val="5B08159E"/>
    <w:rsid w:val="5B0AACBF"/>
    <w:rsid w:val="5B0CB380"/>
    <w:rsid w:val="5B137ED1"/>
    <w:rsid w:val="5B15D61B"/>
    <w:rsid w:val="5B1E6D0E"/>
    <w:rsid w:val="5B2AC7A1"/>
    <w:rsid w:val="5B2FC72E"/>
    <w:rsid w:val="5B347D81"/>
    <w:rsid w:val="5B41AF43"/>
    <w:rsid w:val="5B43CDFD"/>
    <w:rsid w:val="5B45B955"/>
    <w:rsid w:val="5B45EECB"/>
    <w:rsid w:val="5B464208"/>
    <w:rsid w:val="5B5FA5D2"/>
    <w:rsid w:val="5B655F20"/>
    <w:rsid w:val="5B672C3D"/>
    <w:rsid w:val="5B6EA4BF"/>
    <w:rsid w:val="5B7392AB"/>
    <w:rsid w:val="5B90DF31"/>
    <w:rsid w:val="5B926E46"/>
    <w:rsid w:val="5B99DAE3"/>
    <w:rsid w:val="5B9DF398"/>
    <w:rsid w:val="5BA7B4D7"/>
    <w:rsid w:val="5BABEDAA"/>
    <w:rsid w:val="5BB5E2FA"/>
    <w:rsid w:val="5BBE764A"/>
    <w:rsid w:val="5BCEEA95"/>
    <w:rsid w:val="5BDBE7F8"/>
    <w:rsid w:val="5BE38034"/>
    <w:rsid w:val="5BE5B915"/>
    <w:rsid w:val="5BFE60BD"/>
    <w:rsid w:val="5C29F629"/>
    <w:rsid w:val="5C2A873B"/>
    <w:rsid w:val="5C33671C"/>
    <w:rsid w:val="5C458FC7"/>
    <w:rsid w:val="5C56D35E"/>
    <w:rsid w:val="5C5E6077"/>
    <w:rsid w:val="5C640D09"/>
    <w:rsid w:val="5C697ABE"/>
    <w:rsid w:val="5C7015A2"/>
    <w:rsid w:val="5C7126CA"/>
    <w:rsid w:val="5C731B71"/>
    <w:rsid w:val="5C76493E"/>
    <w:rsid w:val="5C7A81DA"/>
    <w:rsid w:val="5C7D0E2B"/>
    <w:rsid w:val="5C87FB42"/>
    <w:rsid w:val="5C8A9CE0"/>
    <w:rsid w:val="5C953A38"/>
    <w:rsid w:val="5C958144"/>
    <w:rsid w:val="5CB6D6D4"/>
    <w:rsid w:val="5CBB8A63"/>
    <w:rsid w:val="5CC3E051"/>
    <w:rsid w:val="5CD52ED0"/>
    <w:rsid w:val="5CD75CF2"/>
    <w:rsid w:val="5CDAE841"/>
    <w:rsid w:val="5CE909EF"/>
    <w:rsid w:val="5CEA544A"/>
    <w:rsid w:val="5CFC88E4"/>
    <w:rsid w:val="5CFE29C5"/>
    <w:rsid w:val="5D058920"/>
    <w:rsid w:val="5D0D00DC"/>
    <w:rsid w:val="5D1EEA3F"/>
    <w:rsid w:val="5D43ADA5"/>
    <w:rsid w:val="5D446751"/>
    <w:rsid w:val="5D481C22"/>
    <w:rsid w:val="5D4A4315"/>
    <w:rsid w:val="5D4B8CFC"/>
    <w:rsid w:val="5D506192"/>
    <w:rsid w:val="5D512046"/>
    <w:rsid w:val="5D563CC9"/>
    <w:rsid w:val="5D60EB96"/>
    <w:rsid w:val="5D632F39"/>
    <w:rsid w:val="5D63DF75"/>
    <w:rsid w:val="5D686C5F"/>
    <w:rsid w:val="5D903A85"/>
    <w:rsid w:val="5D91DAF5"/>
    <w:rsid w:val="5D98A964"/>
    <w:rsid w:val="5D9994F0"/>
    <w:rsid w:val="5D9A07AF"/>
    <w:rsid w:val="5D9A12CC"/>
    <w:rsid w:val="5DA2291B"/>
    <w:rsid w:val="5DA3D5AA"/>
    <w:rsid w:val="5DA61209"/>
    <w:rsid w:val="5DB7E047"/>
    <w:rsid w:val="5DD12D04"/>
    <w:rsid w:val="5DD3909A"/>
    <w:rsid w:val="5DD9C992"/>
    <w:rsid w:val="5DDCCCE2"/>
    <w:rsid w:val="5DDF3180"/>
    <w:rsid w:val="5DEAA534"/>
    <w:rsid w:val="5DFCF7D9"/>
    <w:rsid w:val="5E120777"/>
    <w:rsid w:val="5E25D8BE"/>
    <w:rsid w:val="5E2E8A09"/>
    <w:rsid w:val="5E2EDE00"/>
    <w:rsid w:val="5E3C431F"/>
    <w:rsid w:val="5E419FCC"/>
    <w:rsid w:val="5E51F842"/>
    <w:rsid w:val="5E5210CB"/>
    <w:rsid w:val="5E61891F"/>
    <w:rsid w:val="5E6303DD"/>
    <w:rsid w:val="5E63248F"/>
    <w:rsid w:val="5E6FAC24"/>
    <w:rsid w:val="5E7D563E"/>
    <w:rsid w:val="5E817B05"/>
    <w:rsid w:val="5E86CDEA"/>
    <w:rsid w:val="5E88EE09"/>
    <w:rsid w:val="5E8A666C"/>
    <w:rsid w:val="5E94B52A"/>
    <w:rsid w:val="5E94BFFA"/>
    <w:rsid w:val="5E97D293"/>
    <w:rsid w:val="5EAC7BB3"/>
    <w:rsid w:val="5EADEA4A"/>
    <w:rsid w:val="5EB2F3BB"/>
    <w:rsid w:val="5EC3F07C"/>
    <w:rsid w:val="5ECB2B8E"/>
    <w:rsid w:val="5ECE2087"/>
    <w:rsid w:val="5ED048BC"/>
    <w:rsid w:val="5EE3D127"/>
    <w:rsid w:val="5EF3B675"/>
    <w:rsid w:val="5F0369C5"/>
    <w:rsid w:val="5F0DC379"/>
    <w:rsid w:val="5F134C42"/>
    <w:rsid w:val="5F1B28F4"/>
    <w:rsid w:val="5F2A58CE"/>
    <w:rsid w:val="5F30791F"/>
    <w:rsid w:val="5F32EB58"/>
    <w:rsid w:val="5F37D5DE"/>
    <w:rsid w:val="5F3A2D2C"/>
    <w:rsid w:val="5F3E9BE8"/>
    <w:rsid w:val="5F46635C"/>
    <w:rsid w:val="5F4BF17A"/>
    <w:rsid w:val="5F645328"/>
    <w:rsid w:val="5F7A0FD4"/>
    <w:rsid w:val="5F7E3774"/>
    <w:rsid w:val="5F7FF4B4"/>
    <w:rsid w:val="5F887238"/>
    <w:rsid w:val="5F8F3F1F"/>
    <w:rsid w:val="5F940792"/>
    <w:rsid w:val="5F9EF5C9"/>
    <w:rsid w:val="5FA01462"/>
    <w:rsid w:val="5FA33CE5"/>
    <w:rsid w:val="5FA8CA82"/>
    <w:rsid w:val="5FAA8211"/>
    <w:rsid w:val="5FB7B329"/>
    <w:rsid w:val="5FBF621D"/>
    <w:rsid w:val="5FC1B086"/>
    <w:rsid w:val="5FC36588"/>
    <w:rsid w:val="5FD59CDA"/>
    <w:rsid w:val="5FDF9CD9"/>
    <w:rsid w:val="5FE3647D"/>
    <w:rsid w:val="5FE38D62"/>
    <w:rsid w:val="5FF69F41"/>
    <w:rsid w:val="5FF90526"/>
    <w:rsid w:val="5FFF5F37"/>
    <w:rsid w:val="60024940"/>
    <w:rsid w:val="601AE903"/>
    <w:rsid w:val="601D5851"/>
    <w:rsid w:val="60248AE3"/>
    <w:rsid w:val="602D77AB"/>
    <w:rsid w:val="602FDED6"/>
    <w:rsid w:val="60369DAB"/>
    <w:rsid w:val="6037897E"/>
    <w:rsid w:val="603C498E"/>
    <w:rsid w:val="606105C6"/>
    <w:rsid w:val="606325D8"/>
    <w:rsid w:val="60719AA2"/>
    <w:rsid w:val="60783E6F"/>
    <w:rsid w:val="607DC220"/>
    <w:rsid w:val="60845615"/>
    <w:rsid w:val="60A05836"/>
    <w:rsid w:val="60A7E8C3"/>
    <w:rsid w:val="60ABC9C9"/>
    <w:rsid w:val="60AEF436"/>
    <w:rsid w:val="60B30B7D"/>
    <w:rsid w:val="60CA7FD0"/>
    <w:rsid w:val="60D5A75E"/>
    <w:rsid w:val="60D88A0E"/>
    <w:rsid w:val="60F0E3FB"/>
    <w:rsid w:val="60F1CF77"/>
    <w:rsid w:val="60F501FA"/>
    <w:rsid w:val="60F907DD"/>
    <w:rsid w:val="60FB4547"/>
    <w:rsid w:val="6102683F"/>
    <w:rsid w:val="6109EF99"/>
    <w:rsid w:val="6117B5AF"/>
    <w:rsid w:val="611E6842"/>
    <w:rsid w:val="61229210"/>
    <w:rsid w:val="6125990B"/>
    <w:rsid w:val="613A8945"/>
    <w:rsid w:val="614361B4"/>
    <w:rsid w:val="6151997B"/>
    <w:rsid w:val="61549DAF"/>
    <w:rsid w:val="6156AAD2"/>
    <w:rsid w:val="61650B0F"/>
    <w:rsid w:val="617D78FA"/>
    <w:rsid w:val="617E5642"/>
    <w:rsid w:val="61846175"/>
    <w:rsid w:val="6187C665"/>
    <w:rsid w:val="618F0883"/>
    <w:rsid w:val="61914761"/>
    <w:rsid w:val="61950BC7"/>
    <w:rsid w:val="61A82619"/>
    <w:rsid w:val="61A84DCC"/>
    <w:rsid w:val="61A85A43"/>
    <w:rsid w:val="61A9634E"/>
    <w:rsid w:val="61A9AB08"/>
    <w:rsid w:val="61AA89E9"/>
    <w:rsid w:val="61BDFCDB"/>
    <w:rsid w:val="61C248CA"/>
    <w:rsid w:val="61C6D3E4"/>
    <w:rsid w:val="61CF1F4D"/>
    <w:rsid w:val="61D75EF1"/>
    <w:rsid w:val="61D96B3E"/>
    <w:rsid w:val="61F69301"/>
    <w:rsid w:val="61FCF1A3"/>
    <w:rsid w:val="61FD86C0"/>
    <w:rsid w:val="6201B6EE"/>
    <w:rsid w:val="6214CA42"/>
    <w:rsid w:val="6217C788"/>
    <w:rsid w:val="6218B578"/>
    <w:rsid w:val="621C3130"/>
    <w:rsid w:val="62235C14"/>
    <w:rsid w:val="6224BABD"/>
    <w:rsid w:val="622C5B26"/>
    <w:rsid w:val="622E380E"/>
    <w:rsid w:val="62476078"/>
    <w:rsid w:val="624E78DC"/>
    <w:rsid w:val="624EA75A"/>
    <w:rsid w:val="625BFDA6"/>
    <w:rsid w:val="626254D0"/>
    <w:rsid w:val="62635482"/>
    <w:rsid w:val="6269486A"/>
    <w:rsid w:val="626AE8E2"/>
    <w:rsid w:val="62735F9B"/>
    <w:rsid w:val="6279ED84"/>
    <w:rsid w:val="62867A0B"/>
    <w:rsid w:val="6288C952"/>
    <w:rsid w:val="6291141E"/>
    <w:rsid w:val="62947AED"/>
    <w:rsid w:val="6295FA05"/>
    <w:rsid w:val="62968B27"/>
    <w:rsid w:val="629D3CAD"/>
    <w:rsid w:val="62A2A44D"/>
    <w:rsid w:val="62AD6C5E"/>
    <w:rsid w:val="62C4D431"/>
    <w:rsid w:val="62C5E253"/>
    <w:rsid w:val="62C9F438"/>
    <w:rsid w:val="62CCA868"/>
    <w:rsid w:val="62DEF431"/>
    <w:rsid w:val="62DF1AC2"/>
    <w:rsid w:val="62E1C0E5"/>
    <w:rsid w:val="62E26671"/>
    <w:rsid w:val="62E8A572"/>
    <w:rsid w:val="62E8E0E4"/>
    <w:rsid w:val="62F5EFCD"/>
    <w:rsid w:val="62F9689A"/>
    <w:rsid w:val="6304A356"/>
    <w:rsid w:val="6304DE66"/>
    <w:rsid w:val="63065450"/>
    <w:rsid w:val="6313CD26"/>
    <w:rsid w:val="63178138"/>
    <w:rsid w:val="631C0689"/>
    <w:rsid w:val="6322F0F4"/>
    <w:rsid w:val="632CC6A2"/>
    <w:rsid w:val="63382DE1"/>
    <w:rsid w:val="633EE658"/>
    <w:rsid w:val="63403D99"/>
    <w:rsid w:val="6344CB84"/>
    <w:rsid w:val="634F1800"/>
    <w:rsid w:val="635153ED"/>
    <w:rsid w:val="6359E139"/>
    <w:rsid w:val="63671D8F"/>
    <w:rsid w:val="636DBE22"/>
    <w:rsid w:val="637954E1"/>
    <w:rsid w:val="6380AD1A"/>
    <w:rsid w:val="638AACBF"/>
    <w:rsid w:val="63947451"/>
    <w:rsid w:val="63C44E73"/>
    <w:rsid w:val="63D075B1"/>
    <w:rsid w:val="63D29912"/>
    <w:rsid w:val="63E30B17"/>
    <w:rsid w:val="63E50149"/>
    <w:rsid w:val="63EC744C"/>
    <w:rsid w:val="63F09978"/>
    <w:rsid w:val="64035887"/>
    <w:rsid w:val="6406E1DA"/>
    <w:rsid w:val="640F43F5"/>
    <w:rsid w:val="64141F90"/>
    <w:rsid w:val="641BDA97"/>
    <w:rsid w:val="64243313"/>
    <w:rsid w:val="6425D56E"/>
    <w:rsid w:val="6428CC6F"/>
    <w:rsid w:val="6430D8AE"/>
    <w:rsid w:val="64357642"/>
    <w:rsid w:val="64382221"/>
    <w:rsid w:val="643F3C00"/>
    <w:rsid w:val="64418F75"/>
    <w:rsid w:val="644F0AFB"/>
    <w:rsid w:val="64515668"/>
    <w:rsid w:val="6459D341"/>
    <w:rsid w:val="645AB0AD"/>
    <w:rsid w:val="6466609B"/>
    <w:rsid w:val="646EA305"/>
    <w:rsid w:val="64725EE4"/>
    <w:rsid w:val="647FA203"/>
    <w:rsid w:val="647FC3EE"/>
    <w:rsid w:val="6481115D"/>
    <w:rsid w:val="64816B82"/>
    <w:rsid w:val="64838D52"/>
    <w:rsid w:val="6488A399"/>
    <w:rsid w:val="64926C75"/>
    <w:rsid w:val="64928CF6"/>
    <w:rsid w:val="64991DDA"/>
    <w:rsid w:val="64AE47AE"/>
    <w:rsid w:val="64B94F73"/>
    <w:rsid w:val="64C0E129"/>
    <w:rsid w:val="64C19224"/>
    <w:rsid w:val="64CC5956"/>
    <w:rsid w:val="64DCCBB8"/>
    <w:rsid w:val="64F75FC8"/>
    <w:rsid w:val="64FB1B69"/>
    <w:rsid w:val="65148542"/>
    <w:rsid w:val="651E2121"/>
    <w:rsid w:val="652B546D"/>
    <w:rsid w:val="6541D1A5"/>
    <w:rsid w:val="6553CB66"/>
    <w:rsid w:val="656773E3"/>
    <w:rsid w:val="65744BB1"/>
    <w:rsid w:val="65755B55"/>
    <w:rsid w:val="6583FE3F"/>
    <w:rsid w:val="65856293"/>
    <w:rsid w:val="65860210"/>
    <w:rsid w:val="658DD453"/>
    <w:rsid w:val="65944F89"/>
    <w:rsid w:val="65A025E6"/>
    <w:rsid w:val="65A33673"/>
    <w:rsid w:val="65AE8494"/>
    <w:rsid w:val="65B146CB"/>
    <w:rsid w:val="65BB931F"/>
    <w:rsid w:val="65C10688"/>
    <w:rsid w:val="65C7437C"/>
    <w:rsid w:val="65CB559C"/>
    <w:rsid w:val="65CEB20A"/>
    <w:rsid w:val="65EBD3FA"/>
    <w:rsid w:val="65ED55B0"/>
    <w:rsid w:val="65F3D48F"/>
    <w:rsid w:val="6608FC57"/>
    <w:rsid w:val="660E71B0"/>
    <w:rsid w:val="661A6BEF"/>
    <w:rsid w:val="661D8355"/>
    <w:rsid w:val="661DD2DB"/>
    <w:rsid w:val="66399BEE"/>
    <w:rsid w:val="663C81F0"/>
    <w:rsid w:val="66623E9B"/>
    <w:rsid w:val="666939F5"/>
    <w:rsid w:val="666D43AA"/>
    <w:rsid w:val="66744801"/>
    <w:rsid w:val="6678EE85"/>
    <w:rsid w:val="667CC481"/>
    <w:rsid w:val="66809E35"/>
    <w:rsid w:val="6684EBBA"/>
    <w:rsid w:val="66853523"/>
    <w:rsid w:val="66908476"/>
    <w:rsid w:val="66A88578"/>
    <w:rsid w:val="66A890EC"/>
    <w:rsid w:val="66AB0891"/>
    <w:rsid w:val="66B78A09"/>
    <w:rsid w:val="66D71C7E"/>
    <w:rsid w:val="66E07B5E"/>
    <w:rsid w:val="66ECC08F"/>
    <w:rsid w:val="66EDBBF4"/>
    <w:rsid w:val="66EFEFEF"/>
    <w:rsid w:val="66F31B6B"/>
    <w:rsid w:val="66F716FF"/>
    <w:rsid w:val="670AB491"/>
    <w:rsid w:val="670CD857"/>
    <w:rsid w:val="67155602"/>
    <w:rsid w:val="671B5E56"/>
    <w:rsid w:val="671E7C0B"/>
    <w:rsid w:val="67238BCF"/>
    <w:rsid w:val="67271D97"/>
    <w:rsid w:val="673B0D86"/>
    <w:rsid w:val="674D58E8"/>
    <w:rsid w:val="674E23B8"/>
    <w:rsid w:val="67528D48"/>
    <w:rsid w:val="6764BF2B"/>
    <w:rsid w:val="676800CD"/>
    <w:rsid w:val="676A65AA"/>
    <w:rsid w:val="676B15AD"/>
    <w:rsid w:val="676B46B6"/>
    <w:rsid w:val="67714EC0"/>
    <w:rsid w:val="6773B677"/>
    <w:rsid w:val="67859AF6"/>
    <w:rsid w:val="6785A733"/>
    <w:rsid w:val="6785E804"/>
    <w:rsid w:val="67865199"/>
    <w:rsid w:val="67A7CB84"/>
    <w:rsid w:val="67B4CA73"/>
    <w:rsid w:val="67B5898D"/>
    <w:rsid w:val="67BF5204"/>
    <w:rsid w:val="67C17BEE"/>
    <w:rsid w:val="67C450D4"/>
    <w:rsid w:val="67CC3B5E"/>
    <w:rsid w:val="67D8E58D"/>
    <w:rsid w:val="67E054C7"/>
    <w:rsid w:val="67EB4394"/>
    <w:rsid w:val="67F51C39"/>
    <w:rsid w:val="67FDE656"/>
    <w:rsid w:val="67FF471C"/>
    <w:rsid w:val="68076CC2"/>
    <w:rsid w:val="680E777E"/>
    <w:rsid w:val="6820631E"/>
    <w:rsid w:val="6830BBC5"/>
    <w:rsid w:val="6831608C"/>
    <w:rsid w:val="6835A1F5"/>
    <w:rsid w:val="68362B8C"/>
    <w:rsid w:val="6840CE3B"/>
    <w:rsid w:val="684462A2"/>
    <w:rsid w:val="685B824C"/>
    <w:rsid w:val="685BF301"/>
    <w:rsid w:val="6863034A"/>
    <w:rsid w:val="68790B97"/>
    <w:rsid w:val="6879B4F4"/>
    <w:rsid w:val="687A287C"/>
    <w:rsid w:val="68850863"/>
    <w:rsid w:val="6890D50B"/>
    <w:rsid w:val="68995025"/>
    <w:rsid w:val="68A55E52"/>
    <w:rsid w:val="68A8A203"/>
    <w:rsid w:val="68B3B63A"/>
    <w:rsid w:val="68B8EAFF"/>
    <w:rsid w:val="68C989E4"/>
    <w:rsid w:val="68CD61A0"/>
    <w:rsid w:val="68D10B1C"/>
    <w:rsid w:val="68D61956"/>
    <w:rsid w:val="68D8E6F3"/>
    <w:rsid w:val="68DC4E1F"/>
    <w:rsid w:val="68DEDB1B"/>
    <w:rsid w:val="68E451D2"/>
    <w:rsid w:val="68ED15C2"/>
    <w:rsid w:val="68F6B23B"/>
    <w:rsid w:val="6901CCB5"/>
    <w:rsid w:val="690C93CD"/>
    <w:rsid w:val="690CF4CF"/>
    <w:rsid w:val="6916B86F"/>
    <w:rsid w:val="6917A3F1"/>
    <w:rsid w:val="69202866"/>
    <w:rsid w:val="692A435F"/>
    <w:rsid w:val="693D8A11"/>
    <w:rsid w:val="694F28D9"/>
    <w:rsid w:val="69620302"/>
    <w:rsid w:val="69902371"/>
    <w:rsid w:val="69A9CD71"/>
    <w:rsid w:val="69ADE59D"/>
    <w:rsid w:val="69B06340"/>
    <w:rsid w:val="69B6664D"/>
    <w:rsid w:val="69BC200D"/>
    <w:rsid w:val="69BE348E"/>
    <w:rsid w:val="69BF9B1F"/>
    <w:rsid w:val="69C2881C"/>
    <w:rsid w:val="69C3FAF1"/>
    <w:rsid w:val="69D7EF10"/>
    <w:rsid w:val="69E0EEE7"/>
    <w:rsid w:val="69E1C58A"/>
    <w:rsid w:val="69E782F0"/>
    <w:rsid w:val="69EB845A"/>
    <w:rsid w:val="69EF6ADB"/>
    <w:rsid w:val="6A084042"/>
    <w:rsid w:val="6A1322FA"/>
    <w:rsid w:val="6A168D0B"/>
    <w:rsid w:val="6A1DE406"/>
    <w:rsid w:val="6A4C2966"/>
    <w:rsid w:val="6A5137E5"/>
    <w:rsid w:val="6A62B1A3"/>
    <w:rsid w:val="6A6A8D84"/>
    <w:rsid w:val="6A6DC7FF"/>
    <w:rsid w:val="6A79A9AC"/>
    <w:rsid w:val="6A7B409D"/>
    <w:rsid w:val="6A8FFE4E"/>
    <w:rsid w:val="6AA6E536"/>
    <w:rsid w:val="6AAF0004"/>
    <w:rsid w:val="6AB067CB"/>
    <w:rsid w:val="6AB625B4"/>
    <w:rsid w:val="6ABAF31A"/>
    <w:rsid w:val="6ABCB311"/>
    <w:rsid w:val="6AC048C5"/>
    <w:rsid w:val="6ACA34A1"/>
    <w:rsid w:val="6AD232E0"/>
    <w:rsid w:val="6AE3E20E"/>
    <w:rsid w:val="6AFB03E6"/>
    <w:rsid w:val="6B002233"/>
    <w:rsid w:val="6B0C69CC"/>
    <w:rsid w:val="6B1D8DAB"/>
    <w:rsid w:val="6B30F725"/>
    <w:rsid w:val="6B39A6F8"/>
    <w:rsid w:val="6B45226E"/>
    <w:rsid w:val="6B4CD062"/>
    <w:rsid w:val="6B515C6F"/>
    <w:rsid w:val="6B53A854"/>
    <w:rsid w:val="6B74747C"/>
    <w:rsid w:val="6B7AA0C9"/>
    <w:rsid w:val="6B930DF1"/>
    <w:rsid w:val="6B9E8117"/>
    <w:rsid w:val="6BB43285"/>
    <w:rsid w:val="6BC965D1"/>
    <w:rsid w:val="6BCF907F"/>
    <w:rsid w:val="6BD4FD53"/>
    <w:rsid w:val="6BD87343"/>
    <w:rsid w:val="6BEDB1CA"/>
    <w:rsid w:val="6BEE9691"/>
    <w:rsid w:val="6BFA3EF3"/>
    <w:rsid w:val="6BFFD531"/>
    <w:rsid w:val="6C00D2A5"/>
    <w:rsid w:val="6C049A08"/>
    <w:rsid w:val="6C0528BA"/>
    <w:rsid w:val="6C1D4035"/>
    <w:rsid w:val="6C26DE88"/>
    <w:rsid w:val="6C2FE07B"/>
    <w:rsid w:val="6C3266C8"/>
    <w:rsid w:val="6C3B2DD7"/>
    <w:rsid w:val="6C436768"/>
    <w:rsid w:val="6C46FB8C"/>
    <w:rsid w:val="6C4749EE"/>
    <w:rsid w:val="6C4B1F02"/>
    <w:rsid w:val="6C4CBA16"/>
    <w:rsid w:val="6C5BBDCE"/>
    <w:rsid w:val="6C6A033A"/>
    <w:rsid w:val="6C72BE1F"/>
    <w:rsid w:val="6C74F9E5"/>
    <w:rsid w:val="6C771EA3"/>
    <w:rsid w:val="6C7E204A"/>
    <w:rsid w:val="6C95D055"/>
    <w:rsid w:val="6C9674B6"/>
    <w:rsid w:val="6C9CD134"/>
    <w:rsid w:val="6CA32A28"/>
    <w:rsid w:val="6CADA5A7"/>
    <w:rsid w:val="6CAE7C75"/>
    <w:rsid w:val="6CBFF6CF"/>
    <w:rsid w:val="6CC26959"/>
    <w:rsid w:val="6CC428D8"/>
    <w:rsid w:val="6CC6B52E"/>
    <w:rsid w:val="6CCBC205"/>
    <w:rsid w:val="6CD2E820"/>
    <w:rsid w:val="6CD7F685"/>
    <w:rsid w:val="6CDD2592"/>
    <w:rsid w:val="6CEFA9DA"/>
    <w:rsid w:val="6CF03990"/>
    <w:rsid w:val="6CF12981"/>
    <w:rsid w:val="6D069BB5"/>
    <w:rsid w:val="6D089594"/>
    <w:rsid w:val="6D0A1F28"/>
    <w:rsid w:val="6D0EE1F8"/>
    <w:rsid w:val="6D2269E3"/>
    <w:rsid w:val="6D238E82"/>
    <w:rsid w:val="6D37A3C7"/>
    <w:rsid w:val="6D37D0BA"/>
    <w:rsid w:val="6D3E5C98"/>
    <w:rsid w:val="6D3FE472"/>
    <w:rsid w:val="6D45B446"/>
    <w:rsid w:val="6D49224F"/>
    <w:rsid w:val="6D4A051A"/>
    <w:rsid w:val="6D4A9DAF"/>
    <w:rsid w:val="6D5915CF"/>
    <w:rsid w:val="6D6114FA"/>
    <w:rsid w:val="6D6703B9"/>
    <w:rsid w:val="6D68F0A2"/>
    <w:rsid w:val="6D6A8EC1"/>
    <w:rsid w:val="6D6E53A5"/>
    <w:rsid w:val="6D70C464"/>
    <w:rsid w:val="6D78D2BE"/>
    <w:rsid w:val="6D8071D8"/>
    <w:rsid w:val="6D8193F0"/>
    <w:rsid w:val="6D8970EA"/>
    <w:rsid w:val="6D91083F"/>
    <w:rsid w:val="6D96A666"/>
    <w:rsid w:val="6DA45E60"/>
    <w:rsid w:val="6DADA3B8"/>
    <w:rsid w:val="6DB0C27C"/>
    <w:rsid w:val="6DB27D44"/>
    <w:rsid w:val="6DB84CE5"/>
    <w:rsid w:val="6DC45482"/>
    <w:rsid w:val="6DC8F98A"/>
    <w:rsid w:val="6DDC9811"/>
    <w:rsid w:val="6DDF80ED"/>
    <w:rsid w:val="6DE5A0E6"/>
    <w:rsid w:val="6DEA0CE7"/>
    <w:rsid w:val="6DEDEF3F"/>
    <w:rsid w:val="6DF528ED"/>
    <w:rsid w:val="6DF76F02"/>
    <w:rsid w:val="6E0C4707"/>
    <w:rsid w:val="6E1C75C2"/>
    <w:rsid w:val="6E260262"/>
    <w:rsid w:val="6E27CD4F"/>
    <w:rsid w:val="6E2AABE9"/>
    <w:rsid w:val="6E308318"/>
    <w:rsid w:val="6E366480"/>
    <w:rsid w:val="6E44ADD3"/>
    <w:rsid w:val="6E6A4010"/>
    <w:rsid w:val="6E7140FC"/>
    <w:rsid w:val="6E7792D2"/>
    <w:rsid w:val="6E95C4A6"/>
    <w:rsid w:val="6EA531BF"/>
    <w:rsid w:val="6EA5803A"/>
    <w:rsid w:val="6EBF0857"/>
    <w:rsid w:val="6EC40A0D"/>
    <w:rsid w:val="6EC512CE"/>
    <w:rsid w:val="6ECA5150"/>
    <w:rsid w:val="6ECB31C7"/>
    <w:rsid w:val="6ED4EE12"/>
    <w:rsid w:val="6EE4B135"/>
    <w:rsid w:val="6EE7243C"/>
    <w:rsid w:val="6EEE1A1F"/>
    <w:rsid w:val="6EF1C5F2"/>
    <w:rsid w:val="6EF5BC90"/>
    <w:rsid w:val="6EFCD734"/>
    <w:rsid w:val="6EFCE975"/>
    <w:rsid w:val="6F06ADA8"/>
    <w:rsid w:val="6F073C54"/>
    <w:rsid w:val="6F09A43A"/>
    <w:rsid w:val="6F0A5BFE"/>
    <w:rsid w:val="6F0FE4F2"/>
    <w:rsid w:val="6F12EC41"/>
    <w:rsid w:val="6F1AAAEE"/>
    <w:rsid w:val="6F23872C"/>
    <w:rsid w:val="6F27AA82"/>
    <w:rsid w:val="6F3D14C5"/>
    <w:rsid w:val="6F42C4F0"/>
    <w:rsid w:val="6F4E7C97"/>
    <w:rsid w:val="6F4FB82B"/>
    <w:rsid w:val="6F4FE447"/>
    <w:rsid w:val="6F535CB3"/>
    <w:rsid w:val="6F5E73C1"/>
    <w:rsid w:val="6F6522C7"/>
    <w:rsid w:val="6F661D6A"/>
    <w:rsid w:val="6F68D821"/>
    <w:rsid w:val="6F6B5425"/>
    <w:rsid w:val="6F712985"/>
    <w:rsid w:val="6F7241F9"/>
    <w:rsid w:val="6F84C96E"/>
    <w:rsid w:val="6F8ECA1D"/>
    <w:rsid w:val="6F8F3168"/>
    <w:rsid w:val="6FA26033"/>
    <w:rsid w:val="6FA57236"/>
    <w:rsid w:val="6FA8F30E"/>
    <w:rsid w:val="6FAAF7EA"/>
    <w:rsid w:val="6FAF8181"/>
    <w:rsid w:val="6FBB7FD1"/>
    <w:rsid w:val="6FC38756"/>
    <w:rsid w:val="6FC95415"/>
    <w:rsid w:val="6FD1EC71"/>
    <w:rsid w:val="6FDA02AE"/>
    <w:rsid w:val="6FE435B5"/>
    <w:rsid w:val="6FE43F7E"/>
    <w:rsid w:val="6FE92339"/>
    <w:rsid w:val="70066264"/>
    <w:rsid w:val="700E0137"/>
    <w:rsid w:val="70237A5F"/>
    <w:rsid w:val="7027C043"/>
    <w:rsid w:val="702823C2"/>
    <w:rsid w:val="702A0703"/>
    <w:rsid w:val="702A5C81"/>
    <w:rsid w:val="7032311E"/>
    <w:rsid w:val="7033C083"/>
    <w:rsid w:val="70360AF5"/>
    <w:rsid w:val="7040D7A0"/>
    <w:rsid w:val="70492F0F"/>
    <w:rsid w:val="704DAD48"/>
    <w:rsid w:val="70502272"/>
    <w:rsid w:val="706912B5"/>
    <w:rsid w:val="70799496"/>
    <w:rsid w:val="707A4071"/>
    <w:rsid w:val="707EFB62"/>
    <w:rsid w:val="7080B10C"/>
    <w:rsid w:val="7097B439"/>
    <w:rsid w:val="70A6EC5F"/>
    <w:rsid w:val="70BD25BA"/>
    <w:rsid w:val="70D1882F"/>
    <w:rsid w:val="70D42FFA"/>
    <w:rsid w:val="70E05477"/>
    <w:rsid w:val="70E78402"/>
    <w:rsid w:val="70F545FB"/>
    <w:rsid w:val="7106A378"/>
    <w:rsid w:val="710873A0"/>
    <w:rsid w:val="7109EC29"/>
    <w:rsid w:val="710F737E"/>
    <w:rsid w:val="7112B923"/>
    <w:rsid w:val="71154943"/>
    <w:rsid w:val="711BE388"/>
    <w:rsid w:val="7123AC13"/>
    <w:rsid w:val="71281E9A"/>
    <w:rsid w:val="712FE754"/>
    <w:rsid w:val="713209E2"/>
    <w:rsid w:val="713ABE09"/>
    <w:rsid w:val="713C3DD9"/>
    <w:rsid w:val="713EEFFB"/>
    <w:rsid w:val="713F1179"/>
    <w:rsid w:val="71496BD7"/>
    <w:rsid w:val="7156DE5E"/>
    <w:rsid w:val="7158D493"/>
    <w:rsid w:val="717BE1CF"/>
    <w:rsid w:val="718FCC21"/>
    <w:rsid w:val="71927D6B"/>
    <w:rsid w:val="7197C54C"/>
    <w:rsid w:val="71B08406"/>
    <w:rsid w:val="71B366C6"/>
    <w:rsid w:val="71B3A75B"/>
    <w:rsid w:val="71C1A6D3"/>
    <w:rsid w:val="71C2D942"/>
    <w:rsid w:val="71C7844C"/>
    <w:rsid w:val="71CB0788"/>
    <w:rsid w:val="71E7FC74"/>
    <w:rsid w:val="71EF9601"/>
    <w:rsid w:val="71F6963F"/>
    <w:rsid w:val="71FCFA9D"/>
    <w:rsid w:val="720FC192"/>
    <w:rsid w:val="7213BC50"/>
    <w:rsid w:val="7216DF22"/>
    <w:rsid w:val="721A2886"/>
    <w:rsid w:val="72266C4B"/>
    <w:rsid w:val="7228437F"/>
    <w:rsid w:val="7229EA50"/>
    <w:rsid w:val="722D2789"/>
    <w:rsid w:val="724C73C1"/>
    <w:rsid w:val="724D943E"/>
    <w:rsid w:val="7250027F"/>
    <w:rsid w:val="7257FAD3"/>
    <w:rsid w:val="72582147"/>
    <w:rsid w:val="72598E03"/>
    <w:rsid w:val="726C045A"/>
    <w:rsid w:val="726EEE2E"/>
    <w:rsid w:val="72775402"/>
    <w:rsid w:val="727FD12E"/>
    <w:rsid w:val="7288992C"/>
    <w:rsid w:val="72911790"/>
    <w:rsid w:val="7296D1DF"/>
    <w:rsid w:val="729956BF"/>
    <w:rsid w:val="729E4132"/>
    <w:rsid w:val="729F58D6"/>
    <w:rsid w:val="72A5E525"/>
    <w:rsid w:val="72AA408F"/>
    <w:rsid w:val="72AA6C28"/>
    <w:rsid w:val="72B526F8"/>
    <w:rsid w:val="72B662CC"/>
    <w:rsid w:val="72B9F658"/>
    <w:rsid w:val="72C309E2"/>
    <w:rsid w:val="72C4E718"/>
    <w:rsid w:val="72C6CD0B"/>
    <w:rsid w:val="72C90D5D"/>
    <w:rsid w:val="72CE89E8"/>
    <w:rsid w:val="72CF1E43"/>
    <w:rsid w:val="72DE3C45"/>
    <w:rsid w:val="72E10A31"/>
    <w:rsid w:val="72E2C597"/>
    <w:rsid w:val="72ED0EF9"/>
    <w:rsid w:val="72F57F2B"/>
    <w:rsid w:val="73176D95"/>
    <w:rsid w:val="731D0BF1"/>
    <w:rsid w:val="732561D0"/>
    <w:rsid w:val="732785A8"/>
    <w:rsid w:val="7344D84C"/>
    <w:rsid w:val="735CE767"/>
    <w:rsid w:val="735FBDF0"/>
    <w:rsid w:val="735FE41F"/>
    <w:rsid w:val="7367532B"/>
    <w:rsid w:val="736C6316"/>
    <w:rsid w:val="737644A3"/>
    <w:rsid w:val="73876643"/>
    <w:rsid w:val="7390BA7C"/>
    <w:rsid w:val="739E440B"/>
    <w:rsid w:val="73A21878"/>
    <w:rsid w:val="73A40D03"/>
    <w:rsid w:val="73A72224"/>
    <w:rsid w:val="73B063A4"/>
    <w:rsid w:val="73BDA8A0"/>
    <w:rsid w:val="73BEE2B3"/>
    <w:rsid w:val="73C19D36"/>
    <w:rsid w:val="73C1EC8E"/>
    <w:rsid w:val="73C847A7"/>
    <w:rsid w:val="73CAF363"/>
    <w:rsid w:val="73D27220"/>
    <w:rsid w:val="73DCBA1A"/>
    <w:rsid w:val="73E34CBD"/>
    <w:rsid w:val="73E69FF1"/>
    <w:rsid w:val="73EE58AA"/>
    <w:rsid w:val="74044629"/>
    <w:rsid w:val="74062A77"/>
    <w:rsid w:val="740FDFD9"/>
    <w:rsid w:val="7411B4B2"/>
    <w:rsid w:val="7412A632"/>
    <w:rsid w:val="741438B2"/>
    <w:rsid w:val="7424F247"/>
    <w:rsid w:val="7425BC14"/>
    <w:rsid w:val="742CF49B"/>
    <w:rsid w:val="743BD6FA"/>
    <w:rsid w:val="743DF50E"/>
    <w:rsid w:val="743E3E81"/>
    <w:rsid w:val="74432674"/>
    <w:rsid w:val="744F4971"/>
    <w:rsid w:val="7457A890"/>
    <w:rsid w:val="7462DE37"/>
    <w:rsid w:val="746AE987"/>
    <w:rsid w:val="746F43FE"/>
    <w:rsid w:val="74793AC2"/>
    <w:rsid w:val="747F5732"/>
    <w:rsid w:val="749688C6"/>
    <w:rsid w:val="74A3FDE8"/>
    <w:rsid w:val="74B8026E"/>
    <w:rsid w:val="74C55B6A"/>
    <w:rsid w:val="74CCFCA4"/>
    <w:rsid w:val="74E06CCE"/>
    <w:rsid w:val="74E2283C"/>
    <w:rsid w:val="74EC836C"/>
    <w:rsid w:val="74F4A375"/>
    <w:rsid w:val="74F74EAB"/>
    <w:rsid w:val="74FC3CD0"/>
    <w:rsid w:val="750AB559"/>
    <w:rsid w:val="750F1F2C"/>
    <w:rsid w:val="75154045"/>
    <w:rsid w:val="7535722A"/>
    <w:rsid w:val="7539650A"/>
    <w:rsid w:val="753BB733"/>
    <w:rsid w:val="753BD992"/>
    <w:rsid w:val="753F6306"/>
    <w:rsid w:val="75537C4D"/>
    <w:rsid w:val="7554B9A7"/>
    <w:rsid w:val="7558C125"/>
    <w:rsid w:val="755B476F"/>
    <w:rsid w:val="7564BB3F"/>
    <w:rsid w:val="75668C56"/>
    <w:rsid w:val="756D05A3"/>
    <w:rsid w:val="756D2C6B"/>
    <w:rsid w:val="75762CC8"/>
    <w:rsid w:val="75780A90"/>
    <w:rsid w:val="75785592"/>
    <w:rsid w:val="75878013"/>
    <w:rsid w:val="758E0727"/>
    <w:rsid w:val="758F9693"/>
    <w:rsid w:val="759002C8"/>
    <w:rsid w:val="7592AD76"/>
    <w:rsid w:val="75957FCD"/>
    <w:rsid w:val="75A12E98"/>
    <w:rsid w:val="75A45255"/>
    <w:rsid w:val="75B92A3B"/>
    <w:rsid w:val="75CA5062"/>
    <w:rsid w:val="75E27285"/>
    <w:rsid w:val="75E4705C"/>
    <w:rsid w:val="75E7994A"/>
    <w:rsid w:val="75FA6463"/>
    <w:rsid w:val="76005B59"/>
    <w:rsid w:val="7624094D"/>
    <w:rsid w:val="762A218A"/>
    <w:rsid w:val="762F60DE"/>
    <w:rsid w:val="7630EEDB"/>
    <w:rsid w:val="7640CB20"/>
    <w:rsid w:val="765548EC"/>
    <w:rsid w:val="765AAC19"/>
    <w:rsid w:val="765D8587"/>
    <w:rsid w:val="7663B982"/>
    <w:rsid w:val="76648ABE"/>
    <w:rsid w:val="766C8057"/>
    <w:rsid w:val="7674CE88"/>
    <w:rsid w:val="7679CAF1"/>
    <w:rsid w:val="76854893"/>
    <w:rsid w:val="768DEEF4"/>
    <w:rsid w:val="76901B16"/>
    <w:rsid w:val="769C5470"/>
    <w:rsid w:val="76A158DA"/>
    <w:rsid w:val="76A78421"/>
    <w:rsid w:val="76B2C0CC"/>
    <w:rsid w:val="76B38135"/>
    <w:rsid w:val="76BA231E"/>
    <w:rsid w:val="76C0B8DD"/>
    <w:rsid w:val="76C5B4B1"/>
    <w:rsid w:val="76C8F160"/>
    <w:rsid w:val="76D8B774"/>
    <w:rsid w:val="76D92C09"/>
    <w:rsid w:val="76DCE985"/>
    <w:rsid w:val="76DE3388"/>
    <w:rsid w:val="76F6BFED"/>
    <w:rsid w:val="76FEAB06"/>
    <w:rsid w:val="7701E34D"/>
    <w:rsid w:val="770273DF"/>
    <w:rsid w:val="770279EF"/>
    <w:rsid w:val="77062B40"/>
    <w:rsid w:val="770633C4"/>
    <w:rsid w:val="7706C506"/>
    <w:rsid w:val="7709E173"/>
    <w:rsid w:val="77118BCA"/>
    <w:rsid w:val="771B64D5"/>
    <w:rsid w:val="771E7529"/>
    <w:rsid w:val="7725170E"/>
    <w:rsid w:val="77303B3D"/>
    <w:rsid w:val="77426E03"/>
    <w:rsid w:val="77626FD3"/>
    <w:rsid w:val="776F6FBE"/>
    <w:rsid w:val="777558A4"/>
    <w:rsid w:val="7775FCE7"/>
    <w:rsid w:val="77807E39"/>
    <w:rsid w:val="7785344D"/>
    <w:rsid w:val="7791F659"/>
    <w:rsid w:val="779D7CBC"/>
    <w:rsid w:val="77A02FDE"/>
    <w:rsid w:val="77A9F63E"/>
    <w:rsid w:val="77B337BD"/>
    <w:rsid w:val="77CB8180"/>
    <w:rsid w:val="77E3E854"/>
    <w:rsid w:val="77F52745"/>
    <w:rsid w:val="77F58338"/>
    <w:rsid w:val="780DF721"/>
    <w:rsid w:val="78115123"/>
    <w:rsid w:val="7828BA92"/>
    <w:rsid w:val="782FFF6A"/>
    <w:rsid w:val="78300AEA"/>
    <w:rsid w:val="7852A7AC"/>
    <w:rsid w:val="786328C7"/>
    <w:rsid w:val="786CCE57"/>
    <w:rsid w:val="787D14EC"/>
    <w:rsid w:val="78982F3E"/>
    <w:rsid w:val="78A24892"/>
    <w:rsid w:val="78A27B4D"/>
    <w:rsid w:val="78AD54E3"/>
    <w:rsid w:val="78B6CC03"/>
    <w:rsid w:val="78CB5A27"/>
    <w:rsid w:val="78CC6DA3"/>
    <w:rsid w:val="78EAA8C3"/>
    <w:rsid w:val="78ECEF08"/>
    <w:rsid w:val="790D646D"/>
    <w:rsid w:val="791677CF"/>
    <w:rsid w:val="7917F93A"/>
    <w:rsid w:val="79278F9E"/>
    <w:rsid w:val="792CFD39"/>
    <w:rsid w:val="793DD4CB"/>
    <w:rsid w:val="7949C923"/>
    <w:rsid w:val="7950B2E8"/>
    <w:rsid w:val="79550AFB"/>
    <w:rsid w:val="795F2B0B"/>
    <w:rsid w:val="79624A06"/>
    <w:rsid w:val="79698A27"/>
    <w:rsid w:val="7972185B"/>
    <w:rsid w:val="7982F087"/>
    <w:rsid w:val="7987D45E"/>
    <w:rsid w:val="798DB74C"/>
    <w:rsid w:val="79967E76"/>
    <w:rsid w:val="79975076"/>
    <w:rsid w:val="799A64D9"/>
    <w:rsid w:val="799DA2AC"/>
    <w:rsid w:val="79A46A38"/>
    <w:rsid w:val="79B72DA2"/>
    <w:rsid w:val="79BB16DB"/>
    <w:rsid w:val="79BECD1E"/>
    <w:rsid w:val="79C25C25"/>
    <w:rsid w:val="79C47D89"/>
    <w:rsid w:val="79C7E301"/>
    <w:rsid w:val="79D4A12D"/>
    <w:rsid w:val="79DF0312"/>
    <w:rsid w:val="79E723A3"/>
    <w:rsid w:val="79FA308A"/>
    <w:rsid w:val="79FA30A3"/>
    <w:rsid w:val="79FF0312"/>
    <w:rsid w:val="7A02A81D"/>
    <w:rsid w:val="7A28B0CB"/>
    <w:rsid w:val="7A2C1F75"/>
    <w:rsid w:val="7A43495A"/>
    <w:rsid w:val="7A436408"/>
    <w:rsid w:val="7A438087"/>
    <w:rsid w:val="7A4D1B18"/>
    <w:rsid w:val="7A5045B6"/>
    <w:rsid w:val="7A51B9A1"/>
    <w:rsid w:val="7A68115E"/>
    <w:rsid w:val="7A7358CD"/>
    <w:rsid w:val="7A78FEE5"/>
    <w:rsid w:val="7A7AABE1"/>
    <w:rsid w:val="7A81BF0C"/>
    <w:rsid w:val="7A8DBDD1"/>
    <w:rsid w:val="7A9270CA"/>
    <w:rsid w:val="7A9712E8"/>
    <w:rsid w:val="7A9D7557"/>
    <w:rsid w:val="7AAF5A17"/>
    <w:rsid w:val="7AB49BD0"/>
    <w:rsid w:val="7ABDE7F7"/>
    <w:rsid w:val="7ACD6865"/>
    <w:rsid w:val="7ADEE855"/>
    <w:rsid w:val="7AE21DA7"/>
    <w:rsid w:val="7AFE5F6C"/>
    <w:rsid w:val="7B08D7C7"/>
    <w:rsid w:val="7B162BE1"/>
    <w:rsid w:val="7B1B1FA8"/>
    <w:rsid w:val="7B2B94D0"/>
    <w:rsid w:val="7B2E590D"/>
    <w:rsid w:val="7B2F0B49"/>
    <w:rsid w:val="7B39ECB0"/>
    <w:rsid w:val="7B3AAA93"/>
    <w:rsid w:val="7B4DDC50"/>
    <w:rsid w:val="7B4E3237"/>
    <w:rsid w:val="7B62D8B9"/>
    <w:rsid w:val="7B663A24"/>
    <w:rsid w:val="7B79A410"/>
    <w:rsid w:val="7B7A2EDB"/>
    <w:rsid w:val="7B8E783E"/>
    <w:rsid w:val="7B922F8D"/>
    <w:rsid w:val="7B9AD373"/>
    <w:rsid w:val="7B9F2B41"/>
    <w:rsid w:val="7BA44ED6"/>
    <w:rsid w:val="7BA716E5"/>
    <w:rsid w:val="7BB88C45"/>
    <w:rsid w:val="7BD6D71D"/>
    <w:rsid w:val="7BD7AEE7"/>
    <w:rsid w:val="7BE314A5"/>
    <w:rsid w:val="7BE4CCD7"/>
    <w:rsid w:val="7BFA64D7"/>
    <w:rsid w:val="7BFDEEB0"/>
    <w:rsid w:val="7BFFB72E"/>
    <w:rsid w:val="7C04EB9D"/>
    <w:rsid w:val="7C0588EE"/>
    <w:rsid w:val="7C069AFD"/>
    <w:rsid w:val="7C0C6250"/>
    <w:rsid w:val="7C11FA0B"/>
    <w:rsid w:val="7C157612"/>
    <w:rsid w:val="7C167A6C"/>
    <w:rsid w:val="7C1DB385"/>
    <w:rsid w:val="7C2C6FF6"/>
    <w:rsid w:val="7C2F0C6A"/>
    <w:rsid w:val="7C335B2C"/>
    <w:rsid w:val="7C378FE6"/>
    <w:rsid w:val="7C3A40A2"/>
    <w:rsid w:val="7C42F20B"/>
    <w:rsid w:val="7C4A6394"/>
    <w:rsid w:val="7C4ED944"/>
    <w:rsid w:val="7C5C093E"/>
    <w:rsid w:val="7C60E186"/>
    <w:rsid w:val="7C61952F"/>
    <w:rsid w:val="7C6815A6"/>
    <w:rsid w:val="7C6D0558"/>
    <w:rsid w:val="7CB2721B"/>
    <w:rsid w:val="7CBE70F3"/>
    <w:rsid w:val="7CC91F5A"/>
    <w:rsid w:val="7CD1C479"/>
    <w:rsid w:val="7CD67ADB"/>
    <w:rsid w:val="7CE4A129"/>
    <w:rsid w:val="7CE51D1E"/>
    <w:rsid w:val="7CEB28A6"/>
    <w:rsid w:val="7CF76B3D"/>
    <w:rsid w:val="7CF7FC0A"/>
    <w:rsid w:val="7CFAA87F"/>
    <w:rsid w:val="7CFC6D09"/>
    <w:rsid w:val="7CFC8578"/>
    <w:rsid w:val="7CFF5C6A"/>
    <w:rsid w:val="7D01EE21"/>
    <w:rsid w:val="7D058200"/>
    <w:rsid w:val="7D090178"/>
    <w:rsid w:val="7D09B5C2"/>
    <w:rsid w:val="7D0A7E31"/>
    <w:rsid w:val="7D0AED60"/>
    <w:rsid w:val="7D0C4A5B"/>
    <w:rsid w:val="7D163EEF"/>
    <w:rsid w:val="7D183243"/>
    <w:rsid w:val="7D1CB40D"/>
    <w:rsid w:val="7D24E538"/>
    <w:rsid w:val="7D29EBF2"/>
    <w:rsid w:val="7D393C8A"/>
    <w:rsid w:val="7D566937"/>
    <w:rsid w:val="7D582C33"/>
    <w:rsid w:val="7D5BAC02"/>
    <w:rsid w:val="7D6980B5"/>
    <w:rsid w:val="7D70FEEC"/>
    <w:rsid w:val="7D7429CF"/>
    <w:rsid w:val="7D782F4A"/>
    <w:rsid w:val="7D7AA4A1"/>
    <w:rsid w:val="7D7AEF5D"/>
    <w:rsid w:val="7D7B4304"/>
    <w:rsid w:val="7D816CA4"/>
    <w:rsid w:val="7D98598D"/>
    <w:rsid w:val="7DAB26F6"/>
    <w:rsid w:val="7DABECD0"/>
    <w:rsid w:val="7DB7EC57"/>
    <w:rsid w:val="7DCB16DC"/>
    <w:rsid w:val="7DDE3EE2"/>
    <w:rsid w:val="7DE1D0EE"/>
    <w:rsid w:val="7DE3613A"/>
    <w:rsid w:val="7DF3E14E"/>
    <w:rsid w:val="7DFDB89A"/>
    <w:rsid w:val="7E01161D"/>
    <w:rsid w:val="7E08A05F"/>
    <w:rsid w:val="7E0C6909"/>
    <w:rsid w:val="7E132E12"/>
    <w:rsid w:val="7E14E69A"/>
    <w:rsid w:val="7E181193"/>
    <w:rsid w:val="7E1DDEBD"/>
    <w:rsid w:val="7E1FCFF3"/>
    <w:rsid w:val="7E3D8DCD"/>
    <w:rsid w:val="7E3E6C2B"/>
    <w:rsid w:val="7E4BA37A"/>
    <w:rsid w:val="7E6BCAA4"/>
    <w:rsid w:val="7E76E3AE"/>
    <w:rsid w:val="7E7A10AA"/>
    <w:rsid w:val="7E810AA3"/>
    <w:rsid w:val="7E829807"/>
    <w:rsid w:val="7E867474"/>
    <w:rsid w:val="7E935EC9"/>
    <w:rsid w:val="7E9EAEAB"/>
    <w:rsid w:val="7EAD3B31"/>
    <w:rsid w:val="7EBDCFAF"/>
    <w:rsid w:val="7EC72D10"/>
    <w:rsid w:val="7ECB30E2"/>
    <w:rsid w:val="7ECDA662"/>
    <w:rsid w:val="7ED97E8D"/>
    <w:rsid w:val="7EEB5A01"/>
    <w:rsid w:val="7F043F73"/>
    <w:rsid w:val="7F23D136"/>
    <w:rsid w:val="7F4E1AAB"/>
    <w:rsid w:val="7F6CE064"/>
    <w:rsid w:val="7F73DA62"/>
    <w:rsid w:val="7F76D6B7"/>
    <w:rsid w:val="7F80D405"/>
    <w:rsid w:val="7F81B407"/>
    <w:rsid w:val="7F821244"/>
    <w:rsid w:val="7F84FD60"/>
    <w:rsid w:val="7F8D9B66"/>
    <w:rsid w:val="7F945BA1"/>
    <w:rsid w:val="7F98C30A"/>
    <w:rsid w:val="7F9917EE"/>
    <w:rsid w:val="7F9D58AB"/>
    <w:rsid w:val="7FA8669F"/>
    <w:rsid w:val="7FABD196"/>
    <w:rsid w:val="7FAF2DB6"/>
    <w:rsid w:val="7FB0AFDC"/>
    <w:rsid w:val="7FC0CF04"/>
    <w:rsid w:val="7FC441A9"/>
    <w:rsid w:val="7FC53170"/>
    <w:rsid w:val="7FC61D20"/>
    <w:rsid w:val="7FCE70EB"/>
    <w:rsid w:val="7FD0462C"/>
    <w:rsid w:val="7FD63B95"/>
    <w:rsid w:val="7FDF7372"/>
    <w:rsid w:val="7FE62AD8"/>
    <w:rsid w:val="7FECE1BC"/>
    <w:rsid w:val="7FF7956B"/>
    <w:rsid w:val="7FFB4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6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55"/>
    <w:pPr>
      <w:spacing w:line="256" w:lineRule="auto"/>
    </w:pPr>
  </w:style>
  <w:style w:type="paragraph" w:styleId="Heading1">
    <w:name w:val="heading 1"/>
    <w:basedOn w:val="Normal"/>
    <w:next w:val="Normal"/>
    <w:link w:val="Heading1Char"/>
    <w:uiPriority w:val="9"/>
    <w:qFormat/>
    <w:rsid w:val="006C429C"/>
    <w:pPr>
      <w:keepNext/>
      <w:numPr>
        <w:numId w:val="18"/>
      </w:numPr>
      <w:spacing w:after="0" w:line="240" w:lineRule="auto"/>
      <w:ind w:left="360"/>
      <w:outlineLvl w:val="0"/>
    </w:pPr>
    <w:rPr>
      <w:caps/>
      <w:color w:val="2F5496" w:themeColor="accent1" w:themeShade="BF"/>
      <w:sz w:val="28"/>
      <w:szCs w:val="28"/>
    </w:rPr>
  </w:style>
  <w:style w:type="paragraph" w:styleId="Heading2">
    <w:name w:val="heading 2"/>
    <w:basedOn w:val="Normal"/>
    <w:next w:val="Normal"/>
    <w:link w:val="Heading2Char"/>
    <w:uiPriority w:val="9"/>
    <w:unhideWhenUsed/>
    <w:qFormat/>
    <w:rsid w:val="00FE63DF"/>
    <w:pPr>
      <w:keepNext/>
      <w:outlineLvl w:val="1"/>
    </w:pPr>
    <w:rPr>
      <w:rFonts w:ascii="Calibri" w:eastAsia="Calibri" w:hAnsi="Calibri" w:cs="Calibri"/>
      <w:color w:val="2F5496" w:themeColor="accent1" w:themeShade="BF"/>
      <w:sz w:val="28"/>
      <w:szCs w:val="28"/>
    </w:rPr>
  </w:style>
  <w:style w:type="paragraph" w:styleId="Heading3">
    <w:name w:val="heading 3"/>
    <w:basedOn w:val="Normal"/>
    <w:next w:val="Normal"/>
    <w:link w:val="Heading3Char"/>
    <w:uiPriority w:val="9"/>
    <w:unhideWhenUsed/>
    <w:qFormat/>
    <w:rsid w:val="00F36826"/>
    <w:pPr>
      <w:keepNext/>
      <w:keepLines/>
      <w:spacing w:before="40" w:after="0"/>
      <w:ind w:firstLine="720"/>
      <w:outlineLvl w:val="2"/>
    </w:pPr>
    <w:rPr>
      <w:rFonts w:asciiTheme="majorHAnsi" w:eastAsiaTheme="majorEastAsia" w:hAnsiTheme="majorHAnsi" w:cstheme="majorBidi"/>
      <w:color w:val="1F3763"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55"/>
    <w:pPr>
      <w:ind w:left="720"/>
      <w:contextualSpacing/>
    </w:pPr>
  </w:style>
  <w:style w:type="paragraph" w:customStyle="1" w:styleId="Default">
    <w:name w:val="Default"/>
    <w:rsid w:val="003B3370"/>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M16">
    <w:name w:val="CM16"/>
    <w:basedOn w:val="Default"/>
    <w:next w:val="Default"/>
    <w:uiPriority w:val="99"/>
    <w:rsid w:val="003B3370"/>
    <w:rPr>
      <w:color w:val="auto"/>
    </w:rPr>
  </w:style>
  <w:style w:type="paragraph" w:customStyle="1" w:styleId="CM17">
    <w:name w:val="CM17"/>
    <w:basedOn w:val="Default"/>
    <w:next w:val="Default"/>
    <w:uiPriority w:val="99"/>
    <w:rsid w:val="003B3370"/>
    <w:pPr>
      <w:spacing w:line="323" w:lineRule="atLeast"/>
    </w:pPr>
    <w:rPr>
      <w:color w:val="auto"/>
    </w:rPr>
  </w:style>
  <w:style w:type="paragraph" w:customStyle="1" w:styleId="CM26">
    <w:name w:val="CM26"/>
    <w:basedOn w:val="Default"/>
    <w:next w:val="Default"/>
    <w:uiPriority w:val="99"/>
    <w:rsid w:val="003B3370"/>
    <w:rPr>
      <w:color w:val="auto"/>
    </w:rPr>
  </w:style>
  <w:style w:type="paragraph" w:customStyle="1" w:styleId="CM27">
    <w:name w:val="CM27"/>
    <w:basedOn w:val="Default"/>
    <w:next w:val="Default"/>
    <w:uiPriority w:val="99"/>
    <w:rsid w:val="003B3370"/>
    <w:rPr>
      <w:color w:val="auto"/>
    </w:rPr>
  </w:style>
  <w:style w:type="character" w:customStyle="1" w:styleId="Heading1Char">
    <w:name w:val="Heading 1 Char"/>
    <w:basedOn w:val="DefaultParagraphFont"/>
    <w:link w:val="Heading1"/>
    <w:uiPriority w:val="9"/>
    <w:rsid w:val="006C429C"/>
    <w:rPr>
      <w:caps/>
      <w:color w:val="2F5496" w:themeColor="accent1" w:themeShade="BF"/>
      <w:sz w:val="28"/>
      <w:szCs w:val="28"/>
    </w:rPr>
  </w:style>
  <w:style w:type="paragraph" w:styleId="TOCHeading">
    <w:name w:val="TOC Heading"/>
    <w:basedOn w:val="Heading1"/>
    <w:next w:val="Normal"/>
    <w:uiPriority w:val="39"/>
    <w:unhideWhenUsed/>
    <w:qFormat/>
    <w:rsid w:val="00EB64D4"/>
    <w:pPr>
      <w:spacing w:line="259" w:lineRule="auto"/>
      <w:outlineLvl w:val="9"/>
    </w:pPr>
    <w:rPr>
      <w:kern w:val="0"/>
      <w14:ligatures w14:val="none"/>
    </w:rPr>
  </w:style>
  <w:style w:type="character" w:styleId="CommentReference">
    <w:name w:val="annotation reference"/>
    <w:basedOn w:val="DefaultParagraphFont"/>
    <w:uiPriority w:val="99"/>
    <w:semiHidden/>
    <w:unhideWhenUsed/>
    <w:rsid w:val="00EB64D4"/>
    <w:rPr>
      <w:sz w:val="16"/>
      <w:szCs w:val="16"/>
    </w:rPr>
  </w:style>
  <w:style w:type="paragraph" w:styleId="CommentText">
    <w:name w:val="annotation text"/>
    <w:basedOn w:val="Normal"/>
    <w:link w:val="CommentTextChar"/>
    <w:uiPriority w:val="99"/>
    <w:unhideWhenUsed/>
    <w:rsid w:val="00EB64D4"/>
    <w:pPr>
      <w:spacing w:line="240" w:lineRule="auto"/>
    </w:pPr>
    <w:rPr>
      <w:sz w:val="20"/>
      <w:szCs w:val="20"/>
    </w:rPr>
  </w:style>
  <w:style w:type="character" w:customStyle="1" w:styleId="CommentTextChar">
    <w:name w:val="Comment Text Char"/>
    <w:basedOn w:val="DefaultParagraphFont"/>
    <w:link w:val="CommentText"/>
    <w:uiPriority w:val="99"/>
    <w:rsid w:val="00EB64D4"/>
    <w:rPr>
      <w:sz w:val="20"/>
      <w:szCs w:val="20"/>
    </w:rPr>
  </w:style>
  <w:style w:type="paragraph" w:styleId="CommentSubject">
    <w:name w:val="annotation subject"/>
    <w:basedOn w:val="CommentText"/>
    <w:next w:val="CommentText"/>
    <w:link w:val="CommentSubjectChar"/>
    <w:uiPriority w:val="99"/>
    <w:semiHidden/>
    <w:unhideWhenUsed/>
    <w:rsid w:val="00EB64D4"/>
    <w:rPr>
      <w:b/>
      <w:bCs/>
    </w:rPr>
  </w:style>
  <w:style w:type="character" w:customStyle="1" w:styleId="CommentSubjectChar">
    <w:name w:val="Comment Subject Char"/>
    <w:basedOn w:val="CommentTextChar"/>
    <w:link w:val="CommentSubject"/>
    <w:uiPriority w:val="99"/>
    <w:semiHidden/>
    <w:rsid w:val="00EB64D4"/>
    <w:rPr>
      <w:b/>
      <w:bCs/>
      <w:sz w:val="20"/>
      <w:szCs w:val="20"/>
    </w:rPr>
  </w:style>
  <w:style w:type="character" w:styleId="Hyperlink">
    <w:name w:val="Hyperlink"/>
    <w:basedOn w:val="DefaultParagraphFont"/>
    <w:uiPriority w:val="99"/>
    <w:unhideWhenUsed/>
    <w:rsid w:val="00946944"/>
    <w:rPr>
      <w:color w:val="0563C1" w:themeColor="hyperlink"/>
      <w:u w:val="single"/>
    </w:rPr>
  </w:style>
  <w:style w:type="character" w:styleId="UnresolvedMention">
    <w:name w:val="Unresolved Mention"/>
    <w:basedOn w:val="DefaultParagraphFont"/>
    <w:uiPriority w:val="99"/>
    <w:semiHidden/>
    <w:unhideWhenUsed/>
    <w:rsid w:val="00946944"/>
    <w:rPr>
      <w:color w:val="605E5C"/>
      <w:shd w:val="clear" w:color="auto" w:fill="E1DFDD"/>
    </w:rPr>
  </w:style>
  <w:style w:type="table" w:styleId="TableGrid">
    <w:name w:val="Table Grid"/>
    <w:basedOn w:val="TableNormal"/>
    <w:uiPriority w:val="39"/>
    <w:rsid w:val="00A40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07CB"/>
  </w:style>
  <w:style w:type="character" w:customStyle="1" w:styleId="contextualspellingandgrammarerror">
    <w:name w:val="contextualspellingandgrammarerror"/>
    <w:basedOn w:val="DefaultParagraphFont"/>
    <w:rsid w:val="009F07CB"/>
  </w:style>
  <w:style w:type="character" w:customStyle="1" w:styleId="eop">
    <w:name w:val="eop"/>
    <w:basedOn w:val="DefaultParagraphFont"/>
    <w:rsid w:val="009F07CB"/>
  </w:style>
  <w:style w:type="paragraph" w:customStyle="1" w:styleId="paragraph">
    <w:name w:val="paragraph"/>
    <w:basedOn w:val="Normal"/>
    <w:rsid w:val="009F07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F7960"/>
    <w:pPr>
      <w:spacing w:after="0" w:line="240" w:lineRule="auto"/>
    </w:pPr>
  </w:style>
  <w:style w:type="character" w:styleId="FollowedHyperlink">
    <w:name w:val="FollowedHyperlink"/>
    <w:basedOn w:val="DefaultParagraphFont"/>
    <w:uiPriority w:val="99"/>
    <w:semiHidden/>
    <w:unhideWhenUsed/>
    <w:rsid w:val="00525F5B"/>
    <w:rPr>
      <w:color w:val="954F72" w:themeColor="followedHyperlink"/>
      <w:u w:val="single"/>
    </w:rPr>
  </w:style>
  <w:style w:type="paragraph" w:styleId="NormalWeb">
    <w:name w:val="Normal (Web)"/>
    <w:basedOn w:val="Normal"/>
    <w:uiPriority w:val="99"/>
    <w:semiHidden/>
    <w:unhideWhenUsed/>
    <w:rsid w:val="002F38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1D3075"/>
    <w:rPr>
      <w:rFonts w:ascii="Segoe UI" w:hAnsi="Segoe UI" w:cs="Segoe UI" w:hint="default"/>
      <w:sz w:val="18"/>
      <w:szCs w:val="18"/>
    </w:rPr>
  </w:style>
  <w:style w:type="paragraph" w:styleId="Header">
    <w:name w:val="header"/>
    <w:basedOn w:val="Normal"/>
    <w:link w:val="HeaderChar"/>
    <w:uiPriority w:val="99"/>
    <w:unhideWhenUsed/>
    <w:rsid w:val="00D4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38"/>
  </w:style>
  <w:style w:type="paragraph" w:styleId="Footer">
    <w:name w:val="footer"/>
    <w:basedOn w:val="Normal"/>
    <w:link w:val="FooterChar"/>
    <w:uiPriority w:val="99"/>
    <w:unhideWhenUsed/>
    <w:rsid w:val="00D4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38"/>
  </w:style>
  <w:style w:type="paragraph" w:styleId="FootnoteText">
    <w:name w:val="footnote text"/>
    <w:basedOn w:val="Normal"/>
    <w:link w:val="FootnoteTextChar"/>
    <w:uiPriority w:val="99"/>
    <w:semiHidden/>
    <w:unhideWhenUsed/>
    <w:rsid w:val="00BA4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1E6"/>
    <w:rPr>
      <w:sz w:val="20"/>
      <w:szCs w:val="20"/>
    </w:rPr>
  </w:style>
  <w:style w:type="character" w:styleId="FootnoteReference">
    <w:name w:val="footnote reference"/>
    <w:basedOn w:val="DefaultParagraphFont"/>
    <w:uiPriority w:val="99"/>
    <w:semiHidden/>
    <w:unhideWhenUsed/>
    <w:rsid w:val="00BA41E6"/>
    <w:rPr>
      <w:vertAlign w:val="superscript"/>
    </w:rPr>
  </w:style>
  <w:style w:type="character" w:customStyle="1" w:styleId="Heading2Char">
    <w:name w:val="Heading 2 Char"/>
    <w:basedOn w:val="DefaultParagraphFont"/>
    <w:link w:val="Heading2"/>
    <w:uiPriority w:val="9"/>
    <w:rsid w:val="00FE63DF"/>
    <w:rPr>
      <w:rFonts w:ascii="Calibri" w:eastAsia="Calibri" w:hAnsi="Calibri" w:cs="Calibri"/>
      <w:color w:val="2F5496" w:themeColor="accent1" w:themeShade="BF"/>
      <w:sz w:val="28"/>
      <w:szCs w:val="28"/>
    </w:rPr>
  </w:style>
  <w:style w:type="character" w:customStyle="1" w:styleId="Heading3Char">
    <w:name w:val="Heading 3 Char"/>
    <w:basedOn w:val="DefaultParagraphFont"/>
    <w:link w:val="Heading3"/>
    <w:uiPriority w:val="9"/>
    <w:rsid w:val="006F78DA"/>
    <w:rPr>
      <w:rFonts w:asciiTheme="majorHAnsi" w:eastAsiaTheme="majorEastAsia" w:hAnsiTheme="majorHAnsi" w:cstheme="majorBidi"/>
      <w:color w:val="1F3763"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375">
      <w:bodyDiv w:val="1"/>
      <w:marLeft w:val="0"/>
      <w:marRight w:val="0"/>
      <w:marTop w:val="0"/>
      <w:marBottom w:val="0"/>
      <w:divBdr>
        <w:top w:val="none" w:sz="0" w:space="0" w:color="auto"/>
        <w:left w:val="none" w:sz="0" w:space="0" w:color="auto"/>
        <w:bottom w:val="none" w:sz="0" w:space="0" w:color="auto"/>
        <w:right w:val="none" w:sz="0" w:space="0" w:color="auto"/>
      </w:divBdr>
    </w:div>
    <w:div w:id="8340557">
      <w:bodyDiv w:val="1"/>
      <w:marLeft w:val="0"/>
      <w:marRight w:val="0"/>
      <w:marTop w:val="0"/>
      <w:marBottom w:val="0"/>
      <w:divBdr>
        <w:top w:val="none" w:sz="0" w:space="0" w:color="auto"/>
        <w:left w:val="none" w:sz="0" w:space="0" w:color="auto"/>
        <w:bottom w:val="none" w:sz="0" w:space="0" w:color="auto"/>
        <w:right w:val="none" w:sz="0" w:space="0" w:color="auto"/>
      </w:divBdr>
    </w:div>
    <w:div w:id="14117925">
      <w:bodyDiv w:val="1"/>
      <w:marLeft w:val="0"/>
      <w:marRight w:val="0"/>
      <w:marTop w:val="0"/>
      <w:marBottom w:val="0"/>
      <w:divBdr>
        <w:top w:val="none" w:sz="0" w:space="0" w:color="auto"/>
        <w:left w:val="none" w:sz="0" w:space="0" w:color="auto"/>
        <w:bottom w:val="none" w:sz="0" w:space="0" w:color="auto"/>
        <w:right w:val="none" w:sz="0" w:space="0" w:color="auto"/>
      </w:divBdr>
    </w:div>
    <w:div w:id="20669854">
      <w:bodyDiv w:val="1"/>
      <w:marLeft w:val="0"/>
      <w:marRight w:val="0"/>
      <w:marTop w:val="0"/>
      <w:marBottom w:val="0"/>
      <w:divBdr>
        <w:top w:val="none" w:sz="0" w:space="0" w:color="auto"/>
        <w:left w:val="none" w:sz="0" w:space="0" w:color="auto"/>
        <w:bottom w:val="none" w:sz="0" w:space="0" w:color="auto"/>
        <w:right w:val="none" w:sz="0" w:space="0" w:color="auto"/>
      </w:divBdr>
    </w:div>
    <w:div w:id="132214578">
      <w:bodyDiv w:val="1"/>
      <w:marLeft w:val="0"/>
      <w:marRight w:val="0"/>
      <w:marTop w:val="0"/>
      <w:marBottom w:val="0"/>
      <w:divBdr>
        <w:top w:val="none" w:sz="0" w:space="0" w:color="auto"/>
        <w:left w:val="none" w:sz="0" w:space="0" w:color="auto"/>
        <w:bottom w:val="none" w:sz="0" w:space="0" w:color="auto"/>
        <w:right w:val="none" w:sz="0" w:space="0" w:color="auto"/>
      </w:divBdr>
    </w:div>
    <w:div w:id="156850272">
      <w:bodyDiv w:val="1"/>
      <w:marLeft w:val="0"/>
      <w:marRight w:val="0"/>
      <w:marTop w:val="0"/>
      <w:marBottom w:val="0"/>
      <w:divBdr>
        <w:top w:val="none" w:sz="0" w:space="0" w:color="auto"/>
        <w:left w:val="none" w:sz="0" w:space="0" w:color="auto"/>
        <w:bottom w:val="none" w:sz="0" w:space="0" w:color="auto"/>
        <w:right w:val="none" w:sz="0" w:space="0" w:color="auto"/>
      </w:divBdr>
    </w:div>
    <w:div w:id="254633055">
      <w:bodyDiv w:val="1"/>
      <w:marLeft w:val="0"/>
      <w:marRight w:val="0"/>
      <w:marTop w:val="0"/>
      <w:marBottom w:val="0"/>
      <w:divBdr>
        <w:top w:val="none" w:sz="0" w:space="0" w:color="auto"/>
        <w:left w:val="none" w:sz="0" w:space="0" w:color="auto"/>
        <w:bottom w:val="none" w:sz="0" w:space="0" w:color="auto"/>
        <w:right w:val="none" w:sz="0" w:space="0" w:color="auto"/>
      </w:divBdr>
    </w:div>
    <w:div w:id="264969037">
      <w:bodyDiv w:val="1"/>
      <w:marLeft w:val="0"/>
      <w:marRight w:val="0"/>
      <w:marTop w:val="0"/>
      <w:marBottom w:val="0"/>
      <w:divBdr>
        <w:top w:val="none" w:sz="0" w:space="0" w:color="auto"/>
        <w:left w:val="none" w:sz="0" w:space="0" w:color="auto"/>
        <w:bottom w:val="none" w:sz="0" w:space="0" w:color="auto"/>
        <w:right w:val="none" w:sz="0" w:space="0" w:color="auto"/>
      </w:divBdr>
    </w:div>
    <w:div w:id="281153778">
      <w:bodyDiv w:val="1"/>
      <w:marLeft w:val="0"/>
      <w:marRight w:val="0"/>
      <w:marTop w:val="0"/>
      <w:marBottom w:val="0"/>
      <w:divBdr>
        <w:top w:val="none" w:sz="0" w:space="0" w:color="auto"/>
        <w:left w:val="none" w:sz="0" w:space="0" w:color="auto"/>
        <w:bottom w:val="none" w:sz="0" w:space="0" w:color="auto"/>
        <w:right w:val="none" w:sz="0" w:space="0" w:color="auto"/>
      </w:divBdr>
    </w:div>
    <w:div w:id="290012678">
      <w:bodyDiv w:val="1"/>
      <w:marLeft w:val="0"/>
      <w:marRight w:val="0"/>
      <w:marTop w:val="0"/>
      <w:marBottom w:val="0"/>
      <w:divBdr>
        <w:top w:val="none" w:sz="0" w:space="0" w:color="auto"/>
        <w:left w:val="none" w:sz="0" w:space="0" w:color="auto"/>
        <w:bottom w:val="none" w:sz="0" w:space="0" w:color="auto"/>
        <w:right w:val="none" w:sz="0" w:space="0" w:color="auto"/>
      </w:divBdr>
    </w:div>
    <w:div w:id="316691374">
      <w:bodyDiv w:val="1"/>
      <w:marLeft w:val="0"/>
      <w:marRight w:val="0"/>
      <w:marTop w:val="0"/>
      <w:marBottom w:val="0"/>
      <w:divBdr>
        <w:top w:val="none" w:sz="0" w:space="0" w:color="auto"/>
        <w:left w:val="none" w:sz="0" w:space="0" w:color="auto"/>
        <w:bottom w:val="none" w:sz="0" w:space="0" w:color="auto"/>
        <w:right w:val="none" w:sz="0" w:space="0" w:color="auto"/>
      </w:divBdr>
    </w:div>
    <w:div w:id="356657097">
      <w:bodyDiv w:val="1"/>
      <w:marLeft w:val="0"/>
      <w:marRight w:val="0"/>
      <w:marTop w:val="0"/>
      <w:marBottom w:val="0"/>
      <w:divBdr>
        <w:top w:val="none" w:sz="0" w:space="0" w:color="auto"/>
        <w:left w:val="none" w:sz="0" w:space="0" w:color="auto"/>
        <w:bottom w:val="none" w:sz="0" w:space="0" w:color="auto"/>
        <w:right w:val="none" w:sz="0" w:space="0" w:color="auto"/>
      </w:divBdr>
      <w:divsChild>
        <w:div w:id="692464163">
          <w:marLeft w:val="0"/>
          <w:marRight w:val="0"/>
          <w:marTop w:val="0"/>
          <w:marBottom w:val="0"/>
          <w:divBdr>
            <w:top w:val="none" w:sz="0" w:space="0" w:color="auto"/>
            <w:left w:val="none" w:sz="0" w:space="0" w:color="auto"/>
            <w:bottom w:val="none" w:sz="0" w:space="0" w:color="auto"/>
            <w:right w:val="none" w:sz="0" w:space="0" w:color="auto"/>
          </w:divBdr>
        </w:div>
      </w:divsChild>
    </w:div>
    <w:div w:id="410156906">
      <w:bodyDiv w:val="1"/>
      <w:marLeft w:val="0"/>
      <w:marRight w:val="0"/>
      <w:marTop w:val="0"/>
      <w:marBottom w:val="0"/>
      <w:divBdr>
        <w:top w:val="none" w:sz="0" w:space="0" w:color="auto"/>
        <w:left w:val="none" w:sz="0" w:space="0" w:color="auto"/>
        <w:bottom w:val="none" w:sz="0" w:space="0" w:color="auto"/>
        <w:right w:val="none" w:sz="0" w:space="0" w:color="auto"/>
      </w:divBdr>
    </w:div>
    <w:div w:id="429350239">
      <w:bodyDiv w:val="1"/>
      <w:marLeft w:val="0"/>
      <w:marRight w:val="0"/>
      <w:marTop w:val="0"/>
      <w:marBottom w:val="0"/>
      <w:divBdr>
        <w:top w:val="none" w:sz="0" w:space="0" w:color="auto"/>
        <w:left w:val="none" w:sz="0" w:space="0" w:color="auto"/>
        <w:bottom w:val="none" w:sz="0" w:space="0" w:color="auto"/>
        <w:right w:val="none" w:sz="0" w:space="0" w:color="auto"/>
      </w:divBdr>
    </w:div>
    <w:div w:id="433791734">
      <w:bodyDiv w:val="1"/>
      <w:marLeft w:val="0"/>
      <w:marRight w:val="0"/>
      <w:marTop w:val="0"/>
      <w:marBottom w:val="0"/>
      <w:divBdr>
        <w:top w:val="none" w:sz="0" w:space="0" w:color="auto"/>
        <w:left w:val="none" w:sz="0" w:space="0" w:color="auto"/>
        <w:bottom w:val="none" w:sz="0" w:space="0" w:color="auto"/>
        <w:right w:val="none" w:sz="0" w:space="0" w:color="auto"/>
      </w:divBdr>
    </w:div>
    <w:div w:id="463891262">
      <w:bodyDiv w:val="1"/>
      <w:marLeft w:val="0"/>
      <w:marRight w:val="0"/>
      <w:marTop w:val="0"/>
      <w:marBottom w:val="0"/>
      <w:divBdr>
        <w:top w:val="none" w:sz="0" w:space="0" w:color="auto"/>
        <w:left w:val="none" w:sz="0" w:space="0" w:color="auto"/>
        <w:bottom w:val="none" w:sz="0" w:space="0" w:color="auto"/>
        <w:right w:val="none" w:sz="0" w:space="0" w:color="auto"/>
      </w:divBdr>
    </w:div>
    <w:div w:id="478303377">
      <w:bodyDiv w:val="1"/>
      <w:marLeft w:val="0"/>
      <w:marRight w:val="0"/>
      <w:marTop w:val="0"/>
      <w:marBottom w:val="0"/>
      <w:divBdr>
        <w:top w:val="none" w:sz="0" w:space="0" w:color="auto"/>
        <w:left w:val="none" w:sz="0" w:space="0" w:color="auto"/>
        <w:bottom w:val="none" w:sz="0" w:space="0" w:color="auto"/>
        <w:right w:val="none" w:sz="0" w:space="0" w:color="auto"/>
      </w:divBdr>
    </w:div>
    <w:div w:id="478427999">
      <w:bodyDiv w:val="1"/>
      <w:marLeft w:val="0"/>
      <w:marRight w:val="0"/>
      <w:marTop w:val="0"/>
      <w:marBottom w:val="0"/>
      <w:divBdr>
        <w:top w:val="none" w:sz="0" w:space="0" w:color="auto"/>
        <w:left w:val="none" w:sz="0" w:space="0" w:color="auto"/>
        <w:bottom w:val="none" w:sz="0" w:space="0" w:color="auto"/>
        <w:right w:val="none" w:sz="0" w:space="0" w:color="auto"/>
      </w:divBdr>
    </w:div>
    <w:div w:id="479536081">
      <w:bodyDiv w:val="1"/>
      <w:marLeft w:val="0"/>
      <w:marRight w:val="0"/>
      <w:marTop w:val="0"/>
      <w:marBottom w:val="0"/>
      <w:divBdr>
        <w:top w:val="none" w:sz="0" w:space="0" w:color="auto"/>
        <w:left w:val="none" w:sz="0" w:space="0" w:color="auto"/>
        <w:bottom w:val="none" w:sz="0" w:space="0" w:color="auto"/>
        <w:right w:val="none" w:sz="0" w:space="0" w:color="auto"/>
      </w:divBdr>
    </w:div>
    <w:div w:id="492064618">
      <w:bodyDiv w:val="1"/>
      <w:marLeft w:val="0"/>
      <w:marRight w:val="0"/>
      <w:marTop w:val="0"/>
      <w:marBottom w:val="0"/>
      <w:divBdr>
        <w:top w:val="none" w:sz="0" w:space="0" w:color="auto"/>
        <w:left w:val="none" w:sz="0" w:space="0" w:color="auto"/>
        <w:bottom w:val="none" w:sz="0" w:space="0" w:color="auto"/>
        <w:right w:val="none" w:sz="0" w:space="0" w:color="auto"/>
      </w:divBdr>
    </w:div>
    <w:div w:id="584344755">
      <w:bodyDiv w:val="1"/>
      <w:marLeft w:val="0"/>
      <w:marRight w:val="0"/>
      <w:marTop w:val="0"/>
      <w:marBottom w:val="0"/>
      <w:divBdr>
        <w:top w:val="none" w:sz="0" w:space="0" w:color="auto"/>
        <w:left w:val="none" w:sz="0" w:space="0" w:color="auto"/>
        <w:bottom w:val="none" w:sz="0" w:space="0" w:color="auto"/>
        <w:right w:val="none" w:sz="0" w:space="0" w:color="auto"/>
      </w:divBdr>
    </w:div>
    <w:div w:id="587621508">
      <w:bodyDiv w:val="1"/>
      <w:marLeft w:val="0"/>
      <w:marRight w:val="0"/>
      <w:marTop w:val="0"/>
      <w:marBottom w:val="0"/>
      <w:divBdr>
        <w:top w:val="none" w:sz="0" w:space="0" w:color="auto"/>
        <w:left w:val="none" w:sz="0" w:space="0" w:color="auto"/>
        <w:bottom w:val="none" w:sz="0" w:space="0" w:color="auto"/>
        <w:right w:val="none" w:sz="0" w:space="0" w:color="auto"/>
      </w:divBdr>
    </w:div>
    <w:div w:id="613050425">
      <w:bodyDiv w:val="1"/>
      <w:marLeft w:val="0"/>
      <w:marRight w:val="0"/>
      <w:marTop w:val="0"/>
      <w:marBottom w:val="0"/>
      <w:divBdr>
        <w:top w:val="none" w:sz="0" w:space="0" w:color="auto"/>
        <w:left w:val="none" w:sz="0" w:space="0" w:color="auto"/>
        <w:bottom w:val="none" w:sz="0" w:space="0" w:color="auto"/>
        <w:right w:val="none" w:sz="0" w:space="0" w:color="auto"/>
      </w:divBdr>
    </w:div>
    <w:div w:id="635838434">
      <w:bodyDiv w:val="1"/>
      <w:marLeft w:val="0"/>
      <w:marRight w:val="0"/>
      <w:marTop w:val="0"/>
      <w:marBottom w:val="0"/>
      <w:divBdr>
        <w:top w:val="none" w:sz="0" w:space="0" w:color="auto"/>
        <w:left w:val="none" w:sz="0" w:space="0" w:color="auto"/>
        <w:bottom w:val="none" w:sz="0" w:space="0" w:color="auto"/>
        <w:right w:val="none" w:sz="0" w:space="0" w:color="auto"/>
      </w:divBdr>
    </w:div>
    <w:div w:id="639192703">
      <w:bodyDiv w:val="1"/>
      <w:marLeft w:val="0"/>
      <w:marRight w:val="0"/>
      <w:marTop w:val="0"/>
      <w:marBottom w:val="0"/>
      <w:divBdr>
        <w:top w:val="none" w:sz="0" w:space="0" w:color="auto"/>
        <w:left w:val="none" w:sz="0" w:space="0" w:color="auto"/>
        <w:bottom w:val="none" w:sz="0" w:space="0" w:color="auto"/>
        <w:right w:val="none" w:sz="0" w:space="0" w:color="auto"/>
      </w:divBdr>
      <w:divsChild>
        <w:div w:id="2060976316">
          <w:marLeft w:val="0"/>
          <w:marRight w:val="0"/>
          <w:marTop w:val="0"/>
          <w:marBottom w:val="0"/>
          <w:divBdr>
            <w:top w:val="none" w:sz="0" w:space="0" w:color="auto"/>
            <w:left w:val="none" w:sz="0" w:space="0" w:color="auto"/>
            <w:bottom w:val="none" w:sz="0" w:space="0" w:color="auto"/>
            <w:right w:val="none" w:sz="0" w:space="0" w:color="auto"/>
          </w:divBdr>
        </w:div>
      </w:divsChild>
    </w:div>
    <w:div w:id="693731251">
      <w:bodyDiv w:val="1"/>
      <w:marLeft w:val="0"/>
      <w:marRight w:val="0"/>
      <w:marTop w:val="0"/>
      <w:marBottom w:val="0"/>
      <w:divBdr>
        <w:top w:val="none" w:sz="0" w:space="0" w:color="auto"/>
        <w:left w:val="none" w:sz="0" w:space="0" w:color="auto"/>
        <w:bottom w:val="none" w:sz="0" w:space="0" w:color="auto"/>
        <w:right w:val="none" w:sz="0" w:space="0" w:color="auto"/>
      </w:divBdr>
    </w:div>
    <w:div w:id="748429677">
      <w:bodyDiv w:val="1"/>
      <w:marLeft w:val="0"/>
      <w:marRight w:val="0"/>
      <w:marTop w:val="0"/>
      <w:marBottom w:val="0"/>
      <w:divBdr>
        <w:top w:val="none" w:sz="0" w:space="0" w:color="auto"/>
        <w:left w:val="none" w:sz="0" w:space="0" w:color="auto"/>
        <w:bottom w:val="none" w:sz="0" w:space="0" w:color="auto"/>
        <w:right w:val="none" w:sz="0" w:space="0" w:color="auto"/>
      </w:divBdr>
    </w:div>
    <w:div w:id="768041908">
      <w:bodyDiv w:val="1"/>
      <w:marLeft w:val="0"/>
      <w:marRight w:val="0"/>
      <w:marTop w:val="0"/>
      <w:marBottom w:val="0"/>
      <w:divBdr>
        <w:top w:val="none" w:sz="0" w:space="0" w:color="auto"/>
        <w:left w:val="none" w:sz="0" w:space="0" w:color="auto"/>
        <w:bottom w:val="none" w:sz="0" w:space="0" w:color="auto"/>
        <w:right w:val="none" w:sz="0" w:space="0" w:color="auto"/>
      </w:divBdr>
    </w:div>
    <w:div w:id="775634846">
      <w:bodyDiv w:val="1"/>
      <w:marLeft w:val="0"/>
      <w:marRight w:val="0"/>
      <w:marTop w:val="0"/>
      <w:marBottom w:val="0"/>
      <w:divBdr>
        <w:top w:val="none" w:sz="0" w:space="0" w:color="auto"/>
        <w:left w:val="none" w:sz="0" w:space="0" w:color="auto"/>
        <w:bottom w:val="none" w:sz="0" w:space="0" w:color="auto"/>
        <w:right w:val="none" w:sz="0" w:space="0" w:color="auto"/>
      </w:divBdr>
    </w:div>
    <w:div w:id="842745526">
      <w:bodyDiv w:val="1"/>
      <w:marLeft w:val="0"/>
      <w:marRight w:val="0"/>
      <w:marTop w:val="0"/>
      <w:marBottom w:val="0"/>
      <w:divBdr>
        <w:top w:val="none" w:sz="0" w:space="0" w:color="auto"/>
        <w:left w:val="none" w:sz="0" w:space="0" w:color="auto"/>
        <w:bottom w:val="none" w:sz="0" w:space="0" w:color="auto"/>
        <w:right w:val="none" w:sz="0" w:space="0" w:color="auto"/>
      </w:divBdr>
    </w:div>
    <w:div w:id="843664362">
      <w:bodyDiv w:val="1"/>
      <w:marLeft w:val="0"/>
      <w:marRight w:val="0"/>
      <w:marTop w:val="0"/>
      <w:marBottom w:val="0"/>
      <w:divBdr>
        <w:top w:val="none" w:sz="0" w:space="0" w:color="auto"/>
        <w:left w:val="none" w:sz="0" w:space="0" w:color="auto"/>
        <w:bottom w:val="none" w:sz="0" w:space="0" w:color="auto"/>
        <w:right w:val="none" w:sz="0" w:space="0" w:color="auto"/>
      </w:divBdr>
    </w:div>
    <w:div w:id="859247677">
      <w:bodyDiv w:val="1"/>
      <w:marLeft w:val="0"/>
      <w:marRight w:val="0"/>
      <w:marTop w:val="0"/>
      <w:marBottom w:val="0"/>
      <w:divBdr>
        <w:top w:val="none" w:sz="0" w:space="0" w:color="auto"/>
        <w:left w:val="none" w:sz="0" w:space="0" w:color="auto"/>
        <w:bottom w:val="none" w:sz="0" w:space="0" w:color="auto"/>
        <w:right w:val="none" w:sz="0" w:space="0" w:color="auto"/>
      </w:divBdr>
    </w:div>
    <w:div w:id="859930422">
      <w:bodyDiv w:val="1"/>
      <w:marLeft w:val="0"/>
      <w:marRight w:val="0"/>
      <w:marTop w:val="0"/>
      <w:marBottom w:val="0"/>
      <w:divBdr>
        <w:top w:val="none" w:sz="0" w:space="0" w:color="auto"/>
        <w:left w:val="none" w:sz="0" w:space="0" w:color="auto"/>
        <w:bottom w:val="none" w:sz="0" w:space="0" w:color="auto"/>
        <w:right w:val="none" w:sz="0" w:space="0" w:color="auto"/>
      </w:divBdr>
    </w:div>
    <w:div w:id="951519668">
      <w:bodyDiv w:val="1"/>
      <w:marLeft w:val="0"/>
      <w:marRight w:val="0"/>
      <w:marTop w:val="0"/>
      <w:marBottom w:val="0"/>
      <w:divBdr>
        <w:top w:val="none" w:sz="0" w:space="0" w:color="auto"/>
        <w:left w:val="none" w:sz="0" w:space="0" w:color="auto"/>
        <w:bottom w:val="none" w:sz="0" w:space="0" w:color="auto"/>
        <w:right w:val="none" w:sz="0" w:space="0" w:color="auto"/>
      </w:divBdr>
    </w:div>
    <w:div w:id="971135651">
      <w:bodyDiv w:val="1"/>
      <w:marLeft w:val="0"/>
      <w:marRight w:val="0"/>
      <w:marTop w:val="0"/>
      <w:marBottom w:val="0"/>
      <w:divBdr>
        <w:top w:val="none" w:sz="0" w:space="0" w:color="auto"/>
        <w:left w:val="none" w:sz="0" w:space="0" w:color="auto"/>
        <w:bottom w:val="none" w:sz="0" w:space="0" w:color="auto"/>
        <w:right w:val="none" w:sz="0" w:space="0" w:color="auto"/>
      </w:divBdr>
    </w:div>
    <w:div w:id="995114689">
      <w:bodyDiv w:val="1"/>
      <w:marLeft w:val="0"/>
      <w:marRight w:val="0"/>
      <w:marTop w:val="0"/>
      <w:marBottom w:val="0"/>
      <w:divBdr>
        <w:top w:val="none" w:sz="0" w:space="0" w:color="auto"/>
        <w:left w:val="none" w:sz="0" w:space="0" w:color="auto"/>
        <w:bottom w:val="none" w:sz="0" w:space="0" w:color="auto"/>
        <w:right w:val="none" w:sz="0" w:space="0" w:color="auto"/>
      </w:divBdr>
    </w:div>
    <w:div w:id="1023675941">
      <w:bodyDiv w:val="1"/>
      <w:marLeft w:val="0"/>
      <w:marRight w:val="0"/>
      <w:marTop w:val="0"/>
      <w:marBottom w:val="0"/>
      <w:divBdr>
        <w:top w:val="none" w:sz="0" w:space="0" w:color="auto"/>
        <w:left w:val="none" w:sz="0" w:space="0" w:color="auto"/>
        <w:bottom w:val="none" w:sz="0" w:space="0" w:color="auto"/>
        <w:right w:val="none" w:sz="0" w:space="0" w:color="auto"/>
      </w:divBdr>
    </w:div>
    <w:div w:id="1042705711">
      <w:bodyDiv w:val="1"/>
      <w:marLeft w:val="0"/>
      <w:marRight w:val="0"/>
      <w:marTop w:val="0"/>
      <w:marBottom w:val="0"/>
      <w:divBdr>
        <w:top w:val="none" w:sz="0" w:space="0" w:color="auto"/>
        <w:left w:val="none" w:sz="0" w:space="0" w:color="auto"/>
        <w:bottom w:val="none" w:sz="0" w:space="0" w:color="auto"/>
        <w:right w:val="none" w:sz="0" w:space="0" w:color="auto"/>
      </w:divBdr>
    </w:div>
    <w:div w:id="1044909548">
      <w:bodyDiv w:val="1"/>
      <w:marLeft w:val="0"/>
      <w:marRight w:val="0"/>
      <w:marTop w:val="0"/>
      <w:marBottom w:val="0"/>
      <w:divBdr>
        <w:top w:val="none" w:sz="0" w:space="0" w:color="auto"/>
        <w:left w:val="none" w:sz="0" w:space="0" w:color="auto"/>
        <w:bottom w:val="none" w:sz="0" w:space="0" w:color="auto"/>
        <w:right w:val="none" w:sz="0" w:space="0" w:color="auto"/>
      </w:divBdr>
    </w:div>
    <w:div w:id="1054159211">
      <w:bodyDiv w:val="1"/>
      <w:marLeft w:val="0"/>
      <w:marRight w:val="0"/>
      <w:marTop w:val="0"/>
      <w:marBottom w:val="0"/>
      <w:divBdr>
        <w:top w:val="none" w:sz="0" w:space="0" w:color="auto"/>
        <w:left w:val="none" w:sz="0" w:space="0" w:color="auto"/>
        <w:bottom w:val="none" w:sz="0" w:space="0" w:color="auto"/>
        <w:right w:val="none" w:sz="0" w:space="0" w:color="auto"/>
      </w:divBdr>
    </w:div>
    <w:div w:id="1106852692">
      <w:bodyDiv w:val="1"/>
      <w:marLeft w:val="0"/>
      <w:marRight w:val="0"/>
      <w:marTop w:val="0"/>
      <w:marBottom w:val="0"/>
      <w:divBdr>
        <w:top w:val="none" w:sz="0" w:space="0" w:color="auto"/>
        <w:left w:val="none" w:sz="0" w:space="0" w:color="auto"/>
        <w:bottom w:val="none" w:sz="0" w:space="0" w:color="auto"/>
        <w:right w:val="none" w:sz="0" w:space="0" w:color="auto"/>
      </w:divBdr>
    </w:div>
    <w:div w:id="1181622904">
      <w:bodyDiv w:val="1"/>
      <w:marLeft w:val="0"/>
      <w:marRight w:val="0"/>
      <w:marTop w:val="0"/>
      <w:marBottom w:val="0"/>
      <w:divBdr>
        <w:top w:val="none" w:sz="0" w:space="0" w:color="auto"/>
        <w:left w:val="none" w:sz="0" w:space="0" w:color="auto"/>
        <w:bottom w:val="none" w:sz="0" w:space="0" w:color="auto"/>
        <w:right w:val="none" w:sz="0" w:space="0" w:color="auto"/>
      </w:divBdr>
    </w:div>
    <w:div w:id="1207066968">
      <w:bodyDiv w:val="1"/>
      <w:marLeft w:val="0"/>
      <w:marRight w:val="0"/>
      <w:marTop w:val="0"/>
      <w:marBottom w:val="0"/>
      <w:divBdr>
        <w:top w:val="none" w:sz="0" w:space="0" w:color="auto"/>
        <w:left w:val="none" w:sz="0" w:space="0" w:color="auto"/>
        <w:bottom w:val="none" w:sz="0" w:space="0" w:color="auto"/>
        <w:right w:val="none" w:sz="0" w:space="0" w:color="auto"/>
      </w:divBdr>
    </w:div>
    <w:div w:id="1247151530">
      <w:bodyDiv w:val="1"/>
      <w:marLeft w:val="0"/>
      <w:marRight w:val="0"/>
      <w:marTop w:val="0"/>
      <w:marBottom w:val="0"/>
      <w:divBdr>
        <w:top w:val="none" w:sz="0" w:space="0" w:color="auto"/>
        <w:left w:val="none" w:sz="0" w:space="0" w:color="auto"/>
        <w:bottom w:val="none" w:sz="0" w:space="0" w:color="auto"/>
        <w:right w:val="none" w:sz="0" w:space="0" w:color="auto"/>
      </w:divBdr>
    </w:div>
    <w:div w:id="1263564848">
      <w:bodyDiv w:val="1"/>
      <w:marLeft w:val="0"/>
      <w:marRight w:val="0"/>
      <w:marTop w:val="0"/>
      <w:marBottom w:val="0"/>
      <w:divBdr>
        <w:top w:val="none" w:sz="0" w:space="0" w:color="auto"/>
        <w:left w:val="none" w:sz="0" w:space="0" w:color="auto"/>
        <w:bottom w:val="none" w:sz="0" w:space="0" w:color="auto"/>
        <w:right w:val="none" w:sz="0" w:space="0" w:color="auto"/>
      </w:divBdr>
      <w:divsChild>
        <w:div w:id="1205677915">
          <w:marLeft w:val="0"/>
          <w:marRight w:val="0"/>
          <w:marTop w:val="0"/>
          <w:marBottom w:val="0"/>
          <w:divBdr>
            <w:top w:val="none" w:sz="0" w:space="0" w:color="auto"/>
            <w:left w:val="none" w:sz="0" w:space="0" w:color="auto"/>
            <w:bottom w:val="none" w:sz="0" w:space="0" w:color="auto"/>
            <w:right w:val="none" w:sz="0" w:space="0" w:color="auto"/>
          </w:divBdr>
        </w:div>
      </w:divsChild>
    </w:div>
    <w:div w:id="1266622145">
      <w:bodyDiv w:val="1"/>
      <w:marLeft w:val="0"/>
      <w:marRight w:val="0"/>
      <w:marTop w:val="0"/>
      <w:marBottom w:val="0"/>
      <w:divBdr>
        <w:top w:val="none" w:sz="0" w:space="0" w:color="auto"/>
        <w:left w:val="none" w:sz="0" w:space="0" w:color="auto"/>
        <w:bottom w:val="none" w:sz="0" w:space="0" w:color="auto"/>
        <w:right w:val="none" w:sz="0" w:space="0" w:color="auto"/>
      </w:divBdr>
    </w:div>
    <w:div w:id="1271622782">
      <w:bodyDiv w:val="1"/>
      <w:marLeft w:val="0"/>
      <w:marRight w:val="0"/>
      <w:marTop w:val="0"/>
      <w:marBottom w:val="0"/>
      <w:divBdr>
        <w:top w:val="none" w:sz="0" w:space="0" w:color="auto"/>
        <w:left w:val="none" w:sz="0" w:space="0" w:color="auto"/>
        <w:bottom w:val="none" w:sz="0" w:space="0" w:color="auto"/>
        <w:right w:val="none" w:sz="0" w:space="0" w:color="auto"/>
      </w:divBdr>
    </w:div>
    <w:div w:id="1299342955">
      <w:bodyDiv w:val="1"/>
      <w:marLeft w:val="0"/>
      <w:marRight w:val="0"/>
      <w:marTop w:val="0"/>
      <w:marBottom w:val="0"/>
      <w:divBdr>
        <w:top w:val="none" w:sz="0" w:space="0" w:color="auto"/>
        <w:left w:val="none" w:sz="0" w:space="0" w:color="auto"/>
        <w:bottom w:val="none" w:sz="0" w:space="0" w:color="auto"/>
        <w:right w:val="none" w:sz="0" w:space="0" w:color="auto"/>
      </w:divBdr>
    </w:div>
    <w:div w:id="1362628530">
      <w:bodyDiv w:val="1"/>
      <w:marLeft w:val="0"/>
      <w:marRight w:val="0"/>
      <w:marTop w:val="0"/>
      <w:marBottom w:val="0"/>
      <w:divBdr>
        <w:top w:val="none" w:sz="0" w:space="0" w:color="auto"/>
        <w:left w:val="none" w:sz="0" w:space="0" w:color="auto"/>
        <w:bottom w:val="none" w:sz="0" w:space="0" w:color="auto"/>
        <w:right w:val="none" w:sz="0" w:space="0" w:color="auto"/>
      </w:divBdr>
    </w:div>
    <w:div w:id="1375811486">
      <w:bodyDiv w:val="1"/>
      <w:marLeft w:val="0"/>
      <w:marRight w:val="0"/>
      <w:marTop w:val="0"/>
      <w:marBottom w:val="0"/>
      <w:divBdr>
        <w:top w:val="none" w:sz="0" w:space="0" w:color="auto"/>
        <w:left w:val="none" w:sz="0" w:space="0" w:color="auto"/>
        <w:bottom w:val="none" w:sz="0" w:space="0" w:color="auto"/>
        <w:right w:val="none" w:sz="0" w:space="0" w:color="auto"/>
      </w:divBdr>
    </w:div>
    <w:div w:id="1396661788">
      <w:bodyDiv w:val="1"/>
      <w:marLeft w:val="0"/>
      <w:marRight w:val="0"/>
      <w:marTop w:val="0"/>
      <w:marBottom w:val="0"/>
      <w:divBdr>
        <w:top w:val="none" w:sz="0" w:space="0" w:color="auto"/>
        <w:left w:val="none" w:sz="0" w:space="0" w:color="auto"/>
        <w:bottom w:val="none" w:sz="0" w:space="0" w:color="auto"/>
        <w:right w:val="none" w:sz="0" w:space="0" w:color="auto"/>
      </w:divBdr>
    </w:div>
    <w:div w:id="1424644646">
      <w:bodyDiv w:val="1"/>
      <w:marLeft w:val="0"/>
      <w:marRight w:val="0"/>
      <w:marTop w:val="0"/>
      <w:marBottom w:val="0"/>
      <w:divBdr>
        <w:top w:val="none" w:sz="0" w:space="0" w:color="auto"/>
        <w:left w:val="none" w:sz="0" w:space="0" w:color="auto"/>
        <w:bottom w:val="none" w:sz="0" w:space="0" w:color="auto"/>
        <w:right w:val="none" w:sz="0" w:space="0" w:color="auto"/>
      </w:divBdr>
    </w:div>
    <w:div w:id="1432890913">
      <w:bodyDiv w:val="1"/>
      <w:marLeft w:val="0"/>
      <w:marRight w:val="0"/>
      <w:marTop w:val="0"/>
      <w:marBottom w:val="0"/>
      <w:divBdr>
        <w:top w:val="none" w:sz="0" w:space="0" w:color="auto"/>
        <w:left w:val="none" w:sz="0" w:space="0" w:color="auto"/>
        <w:bottom w:val="none" w:sz="0" w:space="0" w:color="auto"/>
        <w:right w:val="none" w:sz="0" w:space="0" w:color="auto"/>
      </w:divBdr>
    </w:div>
    <w:div w:id="1455715397">
      <w:bodyDiv w:val="1"/>
      <w:marLeft w:val="0"/>
      <w:marRight w:val="0"/>
      <w:marTop w:val="0"/>
      <w:marBottom w:val="0"/>
      <w:divBdr>
        <w:top w:val="none" w:sz="0" w:space="0" w:color="auto"/>
        <w:left w:val="none" w:sz="0" w:space="0" w:color="auto"/>
        <w:bottom w:val="none" w:sz="0" w:space="0" w:color="auto"/>
        <w:right w:val="none" w:sz="0" w:space="0" w:color="auto"/>
      </w:divBdr>
      <w:divsChild>
        <w:div w:id="975991228">
          <w:marLeft w:val="0"/>
          <w:marRight w:val="0"/>
          <w:marTop w:val="0"/>
          <w:marBottom w:val="0"/>
          <w:divBdr>
            <w:top w:val="none" w:sz="0" w:space="0" w:color="auto"/>
            <w:left w:val="none" w:sz="0" w:space="0" w:color="auto"/>
            <w:bottom w:val="none" w:sz="0" w:space="0" w:color="auto"/>
            <w:right w:val="none" w:sz="0" w:space="0" w:color="auto"/>
          </w:divBdr>
        </w:div>
      </w:divsChild>
    </w:div>
    <w:div w:id="1462766445">
      <w:bodyDiv w:val="1"/>
      <w:marLeft w:val="0"/>
      <w:marRight w:val="0"/>
      <w:marTop w:val="0"/>
      <w:marBottom w:val="0"/>
      <w:divBdr>
        <w:top w:val="none" w:sz="0" w:space="0" w:color="auto"/>
        <w:left w:val="none" w:sz="0" w:space="0" w:color="auto"/>
        <w:bottom w:val="none" w:sz="0" w:space="0" w:color="auto"/>
        <w:right w:val="none" w:sz="0" w:space="0" w:color="auto"/>
      </w:divBdr>
    </w:div>
    <w:div w:id="1494835344">
      <w:bodyDiv w:val="1"/>
      <w:marLeft w:val="0"/>
      <w:marRight w:val="0"/>
      <w:marTop w:val="0"/>
      <w:marBottom w:val="0"/>
      <w:divBdr>
        <w:top w:val="none" w:sz="0" w:space="0" w:color="auto"/>
        <w:left w:val="none" w:sz="0" w:space="0" w:color="auto"/>
        <w:bottom w:val="none" w:sz="0" w:space="0" w:color="auto"/>
        <w:right w:val="none" w:sz="0" w:space="0" w:color="auto"/>
      </w:divBdr>
    </w:div>
    <w:div w:id="1515997642">
      <w:bodyDiv w:val="1"/>
      <w:marLeft w:val="0"/>
      <w:marRight w:val="0"/>
      <w:marTop w:val="0"/>
      <w:marBottom w:val="0"/>
      <w:divBdr>
        <w:top w:val="none" w:sz="0" w:space="0" w:color="auto"/>
        <w:left w:val="none" w:sz="0" w:space="0" w:color="auto"/>
        <w:bottom w:val="none" w:sz="0" w:space="0" w:color="auto"/>
        <w:right w:val="none" w:sz="0" w:space="0" w:color="auto"/>
      </w:divBdr>
    </w:div>
    <w:div w:id="1525557429">
      <w:bodyDiv w:val="1"/>
      <w:marLeft w:val="0"/>
      <w:marRight w:val="0"/>
      <w:marTop w:val="0"/>
      <w:marBottom w:val="0"/>
      <w:divBdr>
        <w:top w:val="none" w:sz="0" w:space="0" w:color="auto"/>
        <w:left w:val="none" w:sz="0" w:space="0" w:color="auto"/>
        <w:bottom w:val="none" w:sz="0" w:space="0" w:color="auto"/>
        <w:right w:val="none" w:sz="0" w:space="0" w:color="auto"/>
      </w:divBdr>
    </w:div>
    <w:div w:id="1543521911">
      <w:bodyDiv w:val="1"/>
      <w:marLeft w:val="0"/>
      <w:marRight w:val="0"/>
      <w:marTop w:val="0"/>
      <w:marBottom w:val="0"/>
      <w:divBdr>
        <w:top w:val="none" w:sz="0" w:space="0" w:color="auto"/>
        <w:left w:val="none" w:sz="0" w:space="0" w:color="auto"/>
        <w:bottom w:val="none" w:sz="0" w:space="0" w:color="auto"/>
        <w:right w:val="none" w:sz="0" w:space="0" w:color="auto"/>
      </w:divBdr>
    </w:div>
    <w:div w:id="1577127390">
      <w:bodyDiv w:val="1"/>
      <w:marLeft w:val="0"/>
      <w:marRight w:val="0"/>
      <w:marTop w:val="0"/>
      <w:marBottom w:val="0"/>
      <w:divBdr>
        <w:top w:val="none" w:sz="0" w:space="0" w:color="auto"/>
        <w:left w:val="none" w:sz="0" w:space="0" w:color="auto"/>
        <w:bottom w:val="none" w:sz="0" w:space="0" w:color="auto"/>
        <w:right w:val="none" w:sz="0" w:space="0" w:color="auto"/>
      </w:divBdr>
      <w:divsChild>
        <w:div w:id="1571496428">
          <w:marLeft w:val="0"/>
          <w:marRight w:val="0"/>
          <w:marTop w:val="0"/>
          <w:marBottom w:val="0"/>
          <w:divBdr>
            <w:top w:val="none" w:sz="0" w:space="0" w:color="auto"/>
            <w:left w:val="none" w:sz="0" w:space="0" w:color="auto"/>
            <w:bottom w:val="none" w:sz="0" w:space="0" w:color="auto"/>
            <w:right w:val="none" w:sz="0" w:space="0" w:color="auto"/>
          </w:divBdr>
        </w:div>
      </w:divsChild>
    </w:div>
    <w:div w:id="1602256041">
      <w:bodyDiv w:val="1"/>
      <w:marLeft w:val="0"/>
      <w:marRight w:val="0"/>
      <w:marTop w:val="0"/>
      <w:marBottom w:val="0"/>
      <w:divBdr>
        <w:top w:val="none" w:sz="0" w:space="0" w:color="auto"/>
        <w:left w:val="none" w:sz="0" w:space="0" w:color="auto"/>
        <w:bottom w:val="none" w:sz="0" w:space="0" w:color="auto"/>
        <w:right w:val="none" w:sz="0" w:space="0" w:color="auto"/>
      </w:divBdr>
    </w:div>
    <w:div w:id="1689916000">
      <w:bodyDiv w:val="1"/>
      <w:marLeft w:val="0"/>
      <w:marRight w:val="0"/>
      <w:marTop w:val="0"/>
      <w:marBottom w:val="0"/>
      <w:divBdr>
        <w:top w:val="none" w:sz="0" w:space="0" w:color="auto"/>
        <w:left w:val="none" w:sz="0" w:space="0" w:color="auto"/>
        <w:bottom w:val="none" w:sz="0" w:space="0" w:color="auto"/>
        <w:right w:val="none" w:sz="0" w:space="0" w:color="auto"/>
      </w:divBdr>
    </w:div>
    <w:div w:id="1744181460">
      <w:bodyDiv w:val="1"/>
      <w:marLeft w:val="0"/>
      <w:marRight w:val="0"/>
      <w:marTop w:val="0"/>
      <w:marBottom w:val="0"/>
      <w:divBdr>
        <w:top w:val="none" w:sz="0" w:space="0" w:color="auto"/>
        <w:left w:val="none" w:sz="0" w:space="0" w:color="auto"/>
        <w:bottom w:val="none" w:sz="0" w:space="0" w:color="auto"/>
        <w:right w:val="none" w:sz="0" w:space="0" w:color="auto"/>
      </w:divBdr>
    </w:div>
    <w:div w:id="1822654340">
      <w:bodyDiv w:val="1"/>
      <w:marLeft w:val="0"/>
      <w:marRight w:val="0"/>
      <w:marTop w:val="0"/>
      <w:marBottom w:val="0"/>
      <w:divBdr>
        <w:top w:val="none" w:sz="0" w:space="0" w:color="auto"/>
        <w:left w:val="none" w:sz="0" w:space="0" w:color="auto"/>
        <w:bottom w:val="none" w:sz="0" w:space="0" w:color="auto"/>
        <w:right w:val="none" w:sz="0" w:space="0" w:color="auto"/>
      </w:divBdr>
    </w:div>
    <w:div w:id="1824616577">
      <w:bodyDiv w:val="1"/>
      <w:marLeft w:val="0"/>
      <w:marRight w:val="0"/>
      <w:marTop w:val="0"/>
      <w:marBottom w:val="0"/>
      <w:divBdr>
        <w:top w:val="none" w:sz="0" w:space="0" w:color="auto"/>
        <w:left w:val="none" w:sz="0" w:space="0" w:color="auto"/>
        <w:bottom w:val="none" w:sz="0" w:space="0" w:color="auto"/>
        <w:right w:val="none" w:sz="0" w:space="0" w:color="auto"/>
      </w:divBdr>
    </w:div>
    <w:div w:id="1873764400">
      <w:bodyDiv w:val="1"/>
      <w:marLeft w:val="0"/>
      <w:marRight w:val="0"/>
      <w:marTop w:val="0"/>
      <w:marBottom w:val="0"/>
      <w:divBdr>
        <w:top w:val="none" w:sz="0" w:space="0" w:color="auto"/>
        <w:left w:val="none" w:sz="0" w:space="0" w:color="auto"/>
        <w:bottom w:val="none" w:sz="0" w:space="0" w:color="auto"/>
        <w:right w:val="none" w:sz="0" w:space="0" w:color="auto"/>
      </w:divBdr>
    </w:div>
    <w:div w:id="1956790994">
      <w:bodyDiv w:val="1"/>
      <w:marLeft w:val="0"/>
      <w:marRight w:val="0"/>
      <w:marTop w:val="0"/>
      <w:marBottom w:val="0"/>
      <w:divBdr>
        <w:top w:val="none" w:sz="0" w:space="0" w:color="auto"/>
        <w:left w:val="none" w:sz="0" w:space="0" w:color="auto"/>
        <w:bottom w:val="none" w:sz="0" w:space="0" w:color="auto"/>
        <w:right w:val="none" w:sz="0" w:space="0" w:color="auto"/>
      </w:divBdr>
      <w:divsChild>
        <w:div w:id="876089705">
          <w:marLeft w:val="0"/>
          <w:marRight w:val="0"/>
          <w:marTop w:val="0"/>
          <w:marBottom w:val="0"/>
          <w:divBdr>
            <w:top w:val="none" w:sz="0" w:space="0" w:color="auto"/>
            <w:left w:val="none" w:sz="0" w:space="0" w:color="auto"/>
            <w:bottom w:val="none" w:sz="0" w:space="0" w:color="auto"/>
            <w:right w:val="none" w:sz="0" w:space="0" w:color="auto"/>
          </w:divBdr>
        </w:div>
      </w:divsChild>
    </w:div>
    <w:div w:id="1971547184">
      <w:bodyDiv w:val="1"/>
      <w:marLeft w:val="0"/>
      <w:marRight w:val="0"/>
      <w:marTop w:val="0"/>
      <w:marBottom w:val="0"/>
      <w:divBdr>
        <w:top w:val="none" w:sz="0" w:space="0" w:color="auto"/>
        <w:left w:val="none" w:sz="0" w:space="0" w:color="auto"/>
        <w:bottom w:val="none" w:sz="0" w:space="0" w:color="auto"/>
        <w:right w:val="none" w:sz="0" w:space="0" w:color="auto"/>
      </w:divBdr>
    </w:div>
    <w:div w:id="1971982539">
      <w:bodyDiv w:val="1"/>
      <w:marLeft w:val="0"/>
      <w:marRight w:val="0"/>
      <w:marTop w:val="0"/>
      <w:marBottom w:val="0"/>
      <w:divBdr>
        <w:top w:val="none" w:sz="0" w:space="0" w:color="auto"/>
        <w:left w:val="none" w:sz="0" w:space="0" w:color="auto"/>
        <w:bottom w:val="none" w:sz="0" w:space="0" w:color="auto"/>
        <w:right w:val="none" w:sz="0" w:space="0" w:color="auto"/>
      </w:divBdr>
    </w:div>
    <w:div w:id="2019886807">
      <w:bodyDiv w:val="1"/>
      <w:marLeft w:val="0"/>
      <w:marRight w:val="0"/>
      <w:marTop w:val="0"/>
      <w:marBottom w:val="0"/>
      <w:divBdr>
        <w:top w:val="none" w:sz="0" w:space="0" w:color="auto"/>
        <w:left w:val="none" w:sz="0" w:space="0" w:color="auto"/>
        <w:bottom w:val="none" w:sz="0" w:space="0" w:color="auto"/>
        <w:right w:val="none" w:sz="0" w:space="0" w:color="auto"/>
      </w:divBdr>
      <w:divsChild>
        <w:div w:id="346489028">
          <w:marLeft w:val="0"/>
          <w:marRight w:val="0"/>
          <w:marTop w:val="0"/>
          <w:marBottom w:val="0"/>
          <w:divBdr>
            <w:top w:val="none" w:sz="0" w:space="0" w:color="auto"/>
            <w:left w:val="none" w:sz="0" w:space="0" w:color="auto"/>
            <w:bottom w:val="none" w:sz="0" w:space="0" w:color="auto"/>
            <w:right w:val="none" w:sz="0" w:space="0" w:color="auto"/>
          </w:divBdr>
        </w:div>
      </w:divsChild>
    </w:div>
    <w:div w:id="2026246376">
      <w:bodyDiv w:val="1"/>
      <w:marLeft w:val="0"/>
      <w:marRight w:val="0"/>
      <w:marTop w:val="0"/>
      <w:marBottom w:val="0"/>
      <w:divBdr>
        <w:top w:val="none" w:sz="0" w:space="0" w:color="auto"/>
        <w:left w:val="none" w:sz="0" w:space="0" w:color="auto"/>
        <w:bottom w:val="none" w:sz="0" w:space="0" w:color="auto"/>
        <w:right w:val="none" w:sz="0" w:space="0" w:color="auto"/>
      </w:divBdr>
    </w:div>
    <w:div w:id="2047749942">
      <w:bodyDiv w:val="1"/>
      <w:marLeft w:val="0"/>
      <w:marRight w:val="0"/>
      <w:marTop w:val="0"/>
      <w:marBottom w:val="0"/>
      <w:divBdr>
        <w:top w:val="none" w:sz="0" w:space="0" w:color="auto"/>
        <w:left w:val="none" w:sz="0" w:space="0" w:color="auto"/>
        <w:bottom w:val="none" w:sz="0" w:space="0" w:color="auto"/>
        <w:right w:val="none" w:sz="0" w:space="0" w:color="auto"/>
      </w:divBdr>
    </w:div>
    <w:div w:id="2050641817">
      <w:bodyDiv w:val="1"/>
      <w:marLeft w:val="0"/>
      <w:marRight w:val="0"/>
      <w:marTop w:val="0"/>
      <w:marBottom w:val="0"/>
      <w:divBdr>
        <w:top w:val="none" w:sz="0" w:space="0" w:color="auto"/>
        <w:left w:val="none" w:sz="0" w:space="0" w:color="auto"/>
        <w:bottom w:val="none" w:sz="0" w:space="0" w:color="auto"/>
        <w:right w:val="none" w:sz="0" w:space="0" w:color="auto"/>
      </w:divBdr>
    </w:div>
    <w:div w:id="2107651025">
      <w:bodyDiv w:val="1"/>
      <w:marLeft w:val="0"/>
      <w:marRight w:val="0"/>
      <w:marTop w:val="0"/>
      <w:marBottom w:val="0"/>
      <w:divBdr>
        <w:top w:val="none" w:sz="0" w:space="0" w:color="auto"/>
        <w:left w:val="none" w:sz="0" w:space="0" w:color="auto"/>
        <w:bottom w:val="none" w:sz="0" w:space="0" w:color="auto"/>
        <w:right w:val="none" w:sz="0" w:space="0" w:color="auto"/>
      </w:divBdr>
    </w:div>
    <w:div w:id="2123499969">
      <w:bodyDiv w:val="1"/>
      <w:marLeft w:val="0"/>
      <w:marRight w:val="0"/>
      <w:marTop w:val="0"/>
      <w:marBottom w:val="0"/>
      <w:divBdr>
        <w:top w:val="none" w:sz="0" w:space="0" w:color="auto"/>
        <w:left w:val="none" w:sz="0" w:space="0" w:color="auto"/>
        <w:bottom w:val="none" w:sz="0" w:space="0" w:color="auto"/>
        <w:right w:val="none" w:sz="0" w:space="0" w:color="auto"/>
      </w:divBdr>
      <w:divsChild>
        <w:div w:id="309091625">
          <w:marLeft w:val="0"/>
          <w:marRight w:val="0"/>
          <w:marTop w:val="0"/>
          <w:marBottom w:val="0"/>
          <w:divBdr>
            <w:top w:val="none" w:sz="0" w:space="0" w:color="auto"/>
            <w:left w:val="none" w:sz="0" w:space="0" w:color="auto"/>
            <w:bottom w:val="none" w:sz="0" w:space="0" w:color="auto"/>
            <w:right w:val="none" w:sz="0" w:space="0" w:color="auto"/>
          </w:divBdr>
        </w:div>
      </w:divsChild>
    </w:div>
    <w:div w:id="21330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qmd.gov/docs/default-source/aq-spec/summary/purpleair-pa-ii---summary-report.pdf?sfvrsn=16" TargetMode="External"/><Relationship Id="rId18" Type="http://schemas.openxmlformats.org/officeDocument/2006/relationships/hyperlink" Target="https://www.mass.gov/service-details/environmental-justice-policy" TargetMode="External"/><Relationship Id="rId26" Type="http://schemas.openxmlformats.org/officeDocument/2006/relationships/hyperlink" Target="https://Www.mass.gov/Info-Details/Massgis-Data-Massdep-Wellhead-Protection-Areas-Zone-Ii-Zone-i-Iwpa" TargetMode="External"/><Relationship Id="rId39" Type="http://schemas.openxmlformats.org/officeDocument/2006/relationships/hyperlink" Target="https://www.epa.gov/naaqs" TargetMode="External"/><Relationship Id="rId3" Type="http://schemas.openxmlformats.org/officeDocument/2006/relationships/styles" Target="styles.xml"/><Relationship Id="rId21" Type="http://schemas.openxmlformats.org/officeDocument/2006/relationships/hyperlink" Target="https://www.greenfacts.org/glossary/abc/aerodynamic-diameter.htm" TargetMode="External"/><Relationship Id="rId34" Type="http://schemas.openxmlformats.org/officeDocument/2006/relationships/hyperlink" Target="https://hpvchemicals.oecd.org/ui/handler.axd?id=11f46903-9226-4233-a9db-36a4c2a81e28" TargetMode="External"/><Relationship Id="rId42" Type="http://schemas.openxmlformats.org/officeDocument/2006/relationships/hyperlink" Target="https://www.epa.gov/indoor-air-quality-iaq/volatile-organic-compounds-impact-indoor-air-quality" TargetMode="External"/><Relationship Id="rId47" Type="http://schemas.openxmlformats.org/officeDocument/2006/relationships/hyperlink" Target="https://www.epa.gov/air-sensor-toolbox/resource-guide-air-sensors-and-related-educational-activities"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tsdr.cdc.gov/pha-guidance/conducting_scientific_evaluations/screening_analysis/screening_levels_used_by_ATSDR.html" TargetMode="External"/><Relationship Id="rId17" Type="http://schemas.openxmlformats.org/officeDocument/2006/relationships/hyperlink" Target="https://oehha.ca.gov/media/downloads/crnr/noncancertsdfinal.pdf" TargetMode="External"/><Relationship Id="rId25" Type="http://schemas.openxmlformats.org/officeDocument/2006/relationships/hyperlink" Target="https://www.mass.gov/service-details/clean-harbors-fire-in-braintree-ma" TargetMode="External"/><Relationship Id="rId33" Type="http://schemas.openxmlformats.org/officeDocument/2006/relationships/hyperlink" Target="https://nj.gov/health/eoh/rtkweb/documents/fs/0052.pdf" TargetMode="External"/><Relationship Id="rId38" Type="http://schemas.openxmlformats.org/officeDocument/2006/relationships/hyperlink" Target="https://www.epa.gov/risk/regional-screening-levels-frequent-questions" TargetMode="External"/><Relationship Id="rId46" Type="http://schemas.openxmlformats.org/officeDocument/2006/relationships/hyperlink" Target="https://www.epa.gov/pmcourse/what-particle-pollution" TargetMode="External"/><Relationship Id="rId2" Type="http://schemas.openxmlformats.org/officeDocument/2006/relationships/numbering" Target="numbering.xml"/><Relationship Id="rId16" Type="http://schemas.openxmlformats.org/officeDocument/2006/relationships/hyperlink" Target="https://braintreema.gov/DocumentCenter/View/9775/2021-Water-Quality-Report" TargetMode="External"/><Relationship Id="rId20" Type="http://schemas.openxmlformats.org/officeDocument/2006/relationships/hyperlink" Target="https://www.google.com/maps/@42.2185289,-71.0111847,12.81z?entry=ttu" TargetMode="External"/><Relationship Id="rId29" Type="http://schemas.openxmlformats.org/officeDocument/2006/relationships/hyperlink" Target="https://www.mass.gov/doc/health-impact-assessment-weymouth-proposed-natural-gas-compressor-station-final-report/download" TargetMode="External"/><Relationship Id="rId41" Type="http://schemas.openxmlformats.org/officeDocument/2006/relationships/hyperlink" Target="https://www.epa.gov/ground-level-ozone-pollution/health-effects-ozone-pollu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sdr.cdc.gov/pha-guidance/resources/ATSDR-Particulate-Matter-Guidance-508.pdf" TargetMode="External"/><Relationship Id="rId24" Type="http://schemas.openxmlformats.org/officeDocument/2006/relationships/hyperlink" Target="https://www.mass.gov/doc/2022-annual-ambient-air-quality-monitoring-network-plan/download" TargetMode="External"/><Relationship Id="rId32" Type="http://schemas.openxmlformats.org/officeDocument/2006/relationships/hyperlink" Target="https://nj.gov/health/eoh/rtkweb/documents/fs/0273.pdf" TargetMode="External"/><Relationship Id="rId37" Type="http://schemas.openxmlformats.org/officeDocument/2006/relationships/hyperlink" Target="https://www.epa.gov/sites/default/files/2017-12/documents/air-quality-guide_ozone_2015.pdf" TargetMode="External"/><Relationship Id="rId40" Type="http://schemas.openxmlformats.org/officeDocument/2006/relationships/hyperlink" Target="https://www.epa.gov/no2-pollution/basic-information-about-no2" TargetMode="External"/><Relationship Id="rId45" Type="http://schemas.openxmlformats.org/officeDocument/2006/relationships/hyperlink" Target="https://www.epa.gov/isa/integrated-science-assessment-isa-particulate-matter" TargetMode="External"/><Relationship Id="rId5" Type="http://schemas.openxmlformats.org/officeDocument/2006/relationships/webSettings" Target="webSettings.xml"/><Relationship Id="rId15" Type="http://schemas.openxmlformats.org/officeDocument/2006/relationships/hyperlink" Target="https://braintreema.gov/DocumentCenter/View/10802/Clean_Harbors_Preliminary-Public_Inquiry_Report_03-08-2023" TargetMode="External"/><Relationship Id="rId23" Type="http://schemas.openxmlformats.org/officeDocument/2006/relationships/hyperlink" Target="https://www.mass.gov/doc/testing-requirements-for-public-water-systems-summary-0/download" TargetMode="External"/><Relationship Id="rId28" Type="http://schemas.openxmlformats.org/officeDocument/2006/relationships/hyperlink" Target="https://www.mass.gov/doc/air-monitoring-data-summary/download" TargetMode="External"/><Relationship Id="rId36" Type="http://schemas.openxmlformats.org/officeDocument/2006/relationships/hyperlink" Target="https://www.epa.gov/sites/default/files/2015-07/documents/tanks05.pdf" TargetMode="External"/><Relationship Id="rId49" Type="http://schemas.openxmlformats.org/officeDocument/2006/relationships/hyperlink" Target="https://apps.who.int/iris/handle/10665/345329" TargetMode="External"/><Relationship Id="rId10" Type="http://schemas.openxmlformats.org/officeDocument/2006/relationships/image" Target="media/image2.emf"/><Relationship Id="rId19" Type="http://schemas.openxmlformats.org/officeDocument/2006/relationships/hyperlink" Target="https://eeaonline.eea.state.ma.us/EEA/fileviewer/Default.aspx?formdataid=0&amp;documentid=756758" TargetMode="External"/><Relationship Id="rId31" Type="http://schemas.openxmlformats.org/officeDocument/2006/relationships/hyperlink" Target="http://medbox.iiab.me/modules/en-cdc/www.cdc.gov/niosh/ipcsneng/neng0496.html" TargetMode="External"/><Relationship Id="rId44" Type="http://schemas.openxmlformats.org/officeDocument/2006/relationships/hyperlink" Target="https://www.epa.gov/indoor-air-quality-iaq/technical-overview-volatile-organic-compound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leanharbors.com/location/braintree-facility" TargetMode="External"/><Relationship Id="rId22" Type="http://schemas.openxmlformats.org/officeDocument/2006/relationships/hyperlink" Target="https://www.mass.gov/doc/wscors-95-141-guidance-for-disposal-site-risk-characterization-chapter-7-0/download" TargetMode="External"/><Relationship Id="rId27" Type="http://schemas.openxmlformats.org/officeDocument/2006/relationships/hyperlink" Target="https://www.mass.gov/info-details/massgis-data-massdep-wellhead-protection-areas-zone-ii-zone-i-iwpa" TargetMode="External"/><Relationship Id="rId30" Type="http://schemas.openxmlformats.org/officeDocument/2006/relationships/hyperlink" Target="https://www.pca.state.mn.us/sites/default/files/wq-iw3-21.pdf" TargetMode="External"/><Relationship Id="rId35" Type="http://schemas.openxmlformats.org/officeDocument/2006/relationships/hyperlink" Target="https://eeaonline.eea.state.ma.us/EEA/fileviewer/Default.aspx?formdataid=0&amp;documentid=749934" TargetMode="External"/><Relationship Id="rId43" Type="http://schemas.openxmlformats.org/officeDocument/2006/relationships/hyperlink" Target="https://www.epa.gov/pm-pollution/particulate-matter-pm-basics" TargetMode="External"/><Relationship Id="rId48" Type="http://schemas.openxmlformats.org/officeDocument/2006/relationships/hyperlink" Target="https://cfpub.epa.gov/ncea/isa/recordisplay.cfm?deid=354490"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4F04-75C1-4EAD-A156-8B270512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10085</Words>
  <Characters>57490</Characters>
  <Application>Microsoft Office Word</Application>
  <DocSecurity>0</DocSecurity>
  <Lines>479</Lines>
  <Paragraphs>134</Paragraphs>
  <ScaleCrop>false</ScaleCrop>
  <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2023-07-21T16:36:00Z</dcterms:created>
  <dcterms:modified xsi:type="dcterms:W3CDTF">2023-07-21T16:43:00Z</dcterms:modified>
</cp:coreProperties>
</file>