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4388" w14:textId="77777777" w:rsidR="00C23646" w:rsidRDefault="00000000" w:rsidP="00F2382E">
      <w:pPr>
        <w:pStyle w:val="Title"/>
        <w:ind w:left="0" w:right="0"/>
      </w:pPr>
      <w:r>
        <w:rPr>
          <w:rFonts w:hint="eastAsia"/>
          <w:color w:val="0070C0"/>
        </w:rPr>
        <w:t>适应策略层级</w:t>
      </w:r>
    </w:p>
    <w:p w14:paraId="6897A367" w14:textId="77777777" w:rsidR="00C23646" w:rsidRDefault="00000000" w:rsidP="00F2382E">
      <w:pPr>
        <w:spacing w:before="140"/>
        <w:jc w:val="center"/>
        <w:rPr>
          <w:b/>
          <w:sz w:val="28"/>
        </w:rPr>
      </w:pPr>
      <w:r>
        <w:rPr>
          <w:rFonts w:hint="eastAsia"/>
          <w:b/>
          <w:color w:val="0070C0"/>
          <w:sz w:val="28"/>
        </w:rPr>
        <w:t>改编自</w:t>
      </w:r>
      <w:r>
        <w:rPr>
          <w:rFonts w:hint="eastAsia"/>
          <w:b/>
          <w:color w:val="0070C0"/>
          <w:sz w:val="28"/>
        </w:rPr>
        <w:t xml:space="preserve"> C40 </w:t>
      </w:r>
      <w:r>
        <w:rPr>
          <w:rFonts w:hint="eastAsia"/>
          <w:b/>
          <w:color w:val="0070C0"/>
          <w:sz w:val="28"/>
        </w:rPr>
        <w:t>知识中心</w:t>
      </w:r>
    </w:p>
    <w:p w14:paraId="1C648EF2" w14:textId="77777777" w:rsidR="00C23646" w:rsidRDefault="00C23646">
      <w:pPr>
        <w:pStyle w:val="BodyText"/>
        <w:ind w:left="0" w:firstLine="0"/>
        <w:rPr>
          <w:b/>
          <w:sz w:val="20"/>
        </w:rPr>
      </w:pPr>
    </w:p>
    <w:p w14:paraId="58CC9C4D" w14:textId="77777777" w:rsidR="00C23646" w:rsidRDefault="00C23646">
      <w:pPr>
        <w:pStyle w:val="BodyText"/>
        <w:ind w:left="0" w:firstLine="0"/>
        <w:rPr>
          <w:b/>
          <w:sz w:val="20"/>
        </w:rPr>
      </w:pPr>
    </w:p>
    <w:p w14:paraId="3C950D44" w14:textId="77777777" w:rsidR="00C23646" w:rsidRDefault="00C23646">
      <w:pPr>
        <w:pStyle w:val="BodyText"/>
        <w:spacing w:before="2"/>
        <w:ind w:left="0" w:firstLine="0"/>
        <w:rPr>
          <w:b/>
          <w:sz w:val="19"/>
        </w:rPr>
      </w:pPr>
    </w:p>
    <w:p w14:paraId="3D2AB4A2" w14:textId="77777777" w:rsidR="00C23646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124"/>
        <w:rPr>
          <w:rFonts w:ascii="Trebuchet MS"/>
          <w:b/>
          <w:sz w:val="24"/>
        </w:rPr>
      </w:pPr>
      <w:r>
        <w:rPr>
          <w:rFonts w:hint="eastAsia"/>
          <w:b/>
          <w:color w:val="FFFFFF"/>
          <w:sz w:val="28"/>
          <w:shd w:val="clear" w:color="auto" w:fill="0070C0"/>
        </w:rPr>
        <w:t xml:space="preserve"> </w:t>
      </w:r>
      <w:r>
        <w:rPr>
          <w:rFonts w:hint="eastAsia"/>
          <w:b/>
          <w:color w:val="FFFFFF"/>
          <w:sz w:val="28"/>
          <w:shd w:val="clear" w:color="auto" w:fill="0070C0"/>
        </w:rPr>
        <w:t>反应性适应</w:t>
      </w:r>
      <w:r>
        <w:rPr>
          <w:rFonts w:hint="eastAsia"/>
          <w:b/>
          <w:color w:val="0070C0"/>
          <w:sz w:val="30"/>
          <w:shd w:val="clear" w:color="auto" w:fill="0070C0"/>
        </w:rPr>
        <w:t>。</w:t>
      </w:r>
      <w:r>
        <w:rPr>
          <w:rFonts w:ascii="Trebuchet MS" w:hint="eastAsia"/>
          <w:b/>
          <w:color w:val="F6874A"/>
          <w:sz w:val="24"/>
        </w:rPr>
        <w:t>（应急准备）</w:t>
      </w:r>
    </w:p>
    <w:p w14:paraId="2A6076E8" w14:textId="77777777" w:rsidR="00C23646" w:rsidRDefault="00000000" w:rsidP="00271C7B">
      <w:pPr>
        <w:pStyle w:val="BodyText"/>
        <w:spacing w:before="278" w:line="271" w:lineRule="auto"/>
        <w:ind w:left="730" w:firstLine="0"/>
        <w:jc w:val="both"/>
      </w:pPr>
      <w:r>
        <w:rPr>
          <w:rFonts w:hint="eastAsia"/>
          <w:color w:val="404040"/>
        </w:rPr>
        <w:t>反应性适应用于应对气候灾害的直接后果，在气候相关灾害发生</w:t>
      </w:r>
      <w:r>
        <w:rPr>
          <w:rFonts w:ascii="Arial" w:hAnsi="Arial" w:hint="eastAsia"/>
          <w:i/>
          <w:color w:val="404040"/>
        </w:rPr>
        <w:t>d</w:t>
      </w:r>
      <w:r>
        <w:rPr>
          <w:rFonts w:ascii="Arial" w:hAnsi="Arial" w:hint="eastAsia"/>
          <w:i/>
          <w:color w:val="404040"/>
        </w:rPr>
        <w:t>期间及刚结束后</w:t>
      </w:r>
      <w:r>
        <w:rPr>
          <w:rFonts w:ascii="Arial" w:hAnsi="Arial" w:hint="eastAsia"/>
          <w:i/>
          <w:color w:val="404040"/>
        </w:rPr>
        <w:t xml:space="preserve"> </w:t>
      </w:r>
      <w:r>
        <w:rPr>
          <w:rFonts w:hint="eastAsia"/>
          <w:color w:val="404040"/>
        </w:rPr>
        <w:t>,</w:t>
      </w:r>
      <w:r>
        <w:rPr>
          <w:rFonts w:hint="eastAsia"/>
          <w:color w:val="404040"/>
        </w:rPr>
        <w:t>保护并恢复人们的健康、生活质量以及城市或城镇系统。反应性适应措施例如可能包括：</w:t>
      </w:r>
    </w:p>
    <w:p w14:paraId="51BE63C5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239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在热浪期间临时增加一线医院服务，</w:t>
      </w:r>
    </w:p>
    <w:p w14:paraId="10064CF8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在洪水期间铺设沙袋以引导水流，</w:t>
      </w:r>
    </w:p>
    <w:p w14:paraId="5CC375BF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33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启用应急通信系统，或</w:t>
      </w:r>
    </w:p>
    <w:p w14:paraId="51890E4E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在干旱期间临时采购用水。</w:t>
      </w:r>
    </w:p>
    <w:p w14:paraId="11F6B216" w14:textId="77777777" w:rsidR="00C23646" w:rsidRDefault="00000000" w:rsidP="00271C7B">
      <w:pPr>
        <w:pStyle w:val="BodyText"/>
        <w:spacing w:before="273" w:line="271" w:lineRule="auto"/>
        <w:ind w:left="730" w:firstLine="0"/>
        <w:jc w:val="both"/>
      </w:pPr>
      <w:r>
        <w:rPr>
          <w:rFonts w:hint="eastAsia"/>
          <w:color w:val="404040"/>
        </w:rPr>
        <w:t>反应性适应在短期内可迅速见效，但其效益持续时间较短。如果需要反复干预，成本可能较高，且这些措施可能不足以应对未来的气候灾害。反应性适应在某种程度上可视为类似应急管理或应急准备。</w:t>
      </w:r>
    </w:p>
    <w:p w14:paraId="401AB11C" w14:textId="77777777" w:rsidR="00C23646" w:rsidRDefault="00C23646" w:rsidP="00271C7B">
      <w:pPr>
        <w:pStyle w:val="BodyText"/>
        <w:spacing w:before="8"/>
        <w:ind w:left="0" w:firstLine="0"/>
        <w:jc w:val="both"/>
        <w:rPr>
          <w:sz w:val="29"/>
        </w:rPr>
      </w:pPr>
    </w:p>
    <w:p w14:paraId="5B096513" w14:textId="77777777" w:rsidR="00C23646" w:rsidRDefault="00000000" w:rsidP="00271C7B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0"/>
        <w:jc w:val="both"/>
        <w:rPr>
          <w:rFonts w:ascii="Trebuchet MS"/>
          <w:b/>
          <w:sz w:val="24"/>
        </w:rPr>
      </w:pPr>
      <w:r>
        <w:rPr>
          <w:rFonts w:hint="eastAsia"/>
          <w:b/>
          <w:color w:val="FFFFFF"/>
          <w:sz w:val="28"/>
          <w:shd w:val="clear" w:color="auto" w:fill="0070C0"/>
        </w:rPr>
        <w:t xml:space="preserve"> </w:t>
      </w:r>
      <w:r>
        <w:rPr>
          <w:rFonts w:hint="eastAsia"/>
          <w:b/>
          <w:color w:val="FFFFFF"/>
          <w:sz w:val="28"/>
          <w:shd w:val="clear" w:color="auto" w:fill="0070C0"/>
        </w:rPr>
        <w:t>预防性适应</w:t>
      </w:r>
      <w:r>
        <w:rPr>
          <w:rFonts w:hint="eastAsia"/>
          <w:b/>
          <w:color w:val="FFFFFF"/>
          <w:sz w:val="28"/>
        </w:rPr>
        <w:t xml:space="preserve"> </w:t>
      </w:r>
      <w:r>
        <w:rPr>
          <w:rFonts w:ascii="Trebuchet MS" w:hint="eastAsia"/>
          <w:b/>
          <w:color w:val="F6874A"/>
          <w:sz w:val="24"/>
        </w:rPr>
        <w:t>（灾害缓解）</w:t>
      </w:r>
    </w:p>
    <w:p w14:paraId="127764F1" w14:textId="77777777" w:rsidR="00C23646" w:rsidRDefault="00000000" w:rsidP="00271C7B">
      <w:pPr>
        <w:pStyle w:val="BodyText"/>
        <w:spacing w:before="279" w:line="271" w:lineRule="auto"/>
        <w:ind w:left="730" w:firstLine="0"/>
        <w:jc w:val="both"/>
      </w:pPr>
      <w:r>
        <w:rPr>
          <w:rFonts w:hint="eastAsia"/>
          <w:color w:val="404040"/>
        </w:rPr>
        <w:t>预防性适应通过减少气候灾害的负面影响，旨在保护人们的健康、生活质量以及城市或城镇系统，从而</w:t>
      </w:r>
      <w:r>
        <w:rPr>
          <w:rFonts w:ascii="Arial" w:hAnsi="Arial" w:hint="eastAsia"/>
          <w:i/>
          <w:color w:val="404040"/>
        </w:rPr>
        <w:t>避免</w:t>
      </w:r>
      <w:r>
        <w:rPr>
          <w:rFonts w:hint="eastAsia"/>
          <w:color w:val="404040"/>
        </w:rPr>
        <w:t>灾害事件演变为灾难。预防性适应措施例如可能包括：</w:t>
      </w:r>
    </w:p>
    <w:p w14:paraId="09683FA1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238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建设沿海防洪设施，</w:t>
      </w:r>
    </w:p>
    <w:p w14:paraId="7F5DC14D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33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在社区空间增设高能效空调，</w:t>
      </w:r>
    </w:p>
    <w:p w14:paraId="4ACDA18E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line="266" w:lineRule="auto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在硬化铺装较多的区域种植树木或建设绿地，</w:t>
      </w:r>
    </w:p>
    <w:p w14:paraId="4DBBA4B8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5"/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开展与气候风险相关的宣传教育活动，或</w:t>
      </w:r>
    </w:p>
    <w:p w14:paraId="32AB0268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jc w:val="both"/>
        <w:rPr>
          <w:rFonts w:ascii="Symbol" w:hAnsi="Symbol" w:hint="eastAsia"/>
          <w:color w:val="404040"/>
          <w:sz w:val="24"/>
        </w:rPr>
      </w:pPr>
      <w:r>
        <w:rPr>
          <w:rFonts w:hint="eastAsia"/>
          <w:color w:val="404040"/>
          <w:sz w:val="24"/>
        </w:rPr>
        <w:t>实施节水政策。</w:t>
      </w:r>
    </w:p>
    <w:p w14:paraId="7C252BAE" w14:textId="7461CAA2" w:rsidR="00C23646" w:rsidRDefault="00000000" w:rsidP="00271C7B">
      <w:pPr>
        <w:pStyle w:val="BodyText"/>
        <w:spacing w:before="274" w:line="273" w:lineRule="auto"/>
        <w:ind w:left="730" w:firstLine="0"/>
        <w:jc w:val="both"/>
      </w:pPr>
      <w:r>
        <w:rPr>
          <w:rFonts w:hint="eastAsia"/>
          <w:color w:val="404040"/>
        </w:rPr>
        <w:t>从中长期来看，预防性适应方案通常成本较高，且可能不足以缓解社区未来的气候风险。然而，这些措施在降低近期风险方面是有效的，而且通常较易规划，因为它们采用的是成熟的方法和技术。从某种意义上说，预防性适应可被视为类似灾害缓解。</w:t>
      </w:r>
    </w:p>
    <w:p w14:paraId="3909A00E" w14:textId="77777777" w:rsidR="00C23646" w:rsidRDefault="00C23646">
      <w:pPr>
        <w:pStyle w:val="BodyText"/>
        <w:spacing w:before="8"/>
        <w:ind w:left="0" w:firstLine="0"/>
        <w:rPr>
          <w:sz w:val="29"/>
        </w:rPr>
      </w:pPr>
    </w:p>
    <w:p w14:paraId="414E1E04" w14:textId="77777777" w:rsidR="00C23646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643"/>
        </w:tabs>
        <w:spacing w:before="1"/>
        <w:rPr>
          <w:rFonts w:ascii="Trebuchet MS"/>
          <w:b/>
          <w:sz w:val="24"/>
        </w:rPr>
      </w:pPr>
      <w:r>
        <w:rPr>
          <w:rFonts w:hint="eastAsia"/>
          <w:b/>
          <w:color w:val="FFFFFF"/>
          <w:sz w:val="28"/>
          <w:shd w:val="clear" w:color="auto" w:fill="0070C0"/>
        </w:rPr>
        <w:t xml:space="preserve"> </w:t>
      </w:r>
      <w:r>
        <w:rPr>
          <w:rFonts w:hint="eastAsia"/>
          <w:b/>
          <w:color w:val="FFFFFF"/>
          <w:sz w:val="28"/>
          <w:shd w:val="clear" w:color="auto" w:fill="0070C0"/>
        </w:rPr>
        <w:t>变革性适应</w:t>
      </w:r>
      <w:r>
        <w:rPr>
          <w:rFonts w:hint="eastAsia"/>
          <w:b/>
          <w:color w:val="FFFFFF"/>
          <w:sz w:val="28"/>
        </w:rPr>
        <w:t xml:space="preserve"> </w:t>
      </w:r>
      <w:r>
        <w:rPr>
          <w:rFonts w:ascii="Trebuchet MS" w:hint="eastAsia"/>
          <w:b/>
          <w:color w:val="F6874A"/>
          <w:sz w:val="24"/>
        </w:rPr>
        <w:t>（建设气候韧性）</w:t>
      </w:r>
    </w:p>
    <w:p w14:paraId="6CE24CA0" w14:textId="77777777" w:rsidR="00C23646" w:rsidRDefault="00000000" w:rsidP="00271C7B">
      <w:pPr>
        <w:pStyle w:val="BodyText"/>
        <w:spacing w:before="278" w:line="271" w:lineRule="auto"/>
        <w:ind w:left="730" w:firstLine="0"/>
        <w:jc w:val="both"/>
      </w:pPr>
      <w:r>
        <w:rPr>
          <w:rFonts w:hint="eastAsia"/>
        </w:rPr>
        <w:lastRenderedPageBreak/>
        <w:t>变革性适应着眼于气候风险和脆弱性的根本原因，从而降低气候灾害发生或造成严重影响的可能性。这些措施着重于从根本上改变社区的设计或运行方式，以降低当前及未来的脆弱性。变革性适应措施例如可能包括：</w:t>
      </w:r>
    </w:p>
    <w:p w14:paraId="40A299C6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239" w:line="268" w:lineRule="auto"/>
        <w:jc w:val="both"/>
        <w:rPr>
          <w:rFonts w:ascii="Symbol" w:hAnsi="Symbol" w:hint="eastAsia"/>
          <w:sz w:val="24"/>
        </w:rPr>
      </w:pPr>
      <w:r>
        <w:rPr>
          <w:rFonts w:hint="eastAsia"/>
          <w:sz w:val="24"/>
        </w:rPr>
        <w:t>改变街道景观设计方式，在纳入更安全、更便捷交通选项的同时，融入可降低热风险和洪水风险的绿色基础设施，</w:t>
      </w:r>
    </w:p>
    <w:p w14:paraId="38F22050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1" w:line="266" w:lineRule="auto"/>
        <w:jc w:val="both"/>
        <w:rPr>
          <w:rFonts w:ascii="Symbol" w:hAnsi="Symbol" w:hint="eastAsia"/>
          <w:sz w:val="24"/>
        </w:rPr>
      </w:pPr>
      <w:r>
        <w:rPr>
          <w:rFonts w:hint="eastAsia"/>
          <w:sz w:val="24"/>
        </w:rPr>
        <w:t>通过扩大并保护具备韧性且可负担的住房选择，使社区居住更加安全且可负担，</w:t>
      </w:r>
    </w:p>
    <w:p w14:paraId="3BCE7FAB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5" w:line="266" w:lineRule="auto"/>
        <w:jc w:val="both"/>
        <w:rPr>
          <w:rFonts w:ascii="Symbol" w:hAnsi="Symbol" w:hint="eastAsia"/>
          <w:sz w:val="24"/>
        </w:rPr>
      </w:pPr>
      <w:r>
        <w:rPr>
          <w:rFonts w:hint="eastAsia"/>
          <w:sz w:val="24"/>
        </w:rPr>
        <w:t>利用公共空间建设社区花园和食物森林，以促进粮食公平，</w:t>
      </w:r>
    </w:p>
    <w:p w14:paraId="7C049E75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5" w:line="271" w:lineRule="auto"/>
        <w:jc w:val="both"/>
        <w:rPr>
          <w:rFonts w:ascii="Symbol" w:hAnsi="Symbol" w:hint="eastAsia"/>
          <w:sz w:val="24"/>
        </w:rPr>
      </w:pPr>
      <w:r>
        <w:rPr>
          <w:rFonts w:hint="eastAsia"/>
          <w:sz w:val="24"/>
        </w:rPr>
        <w:t>实施要求高能效和冷屋顶的建筑规范，或</w:t>
      </w:r>
    </w:p>
    <w:p w14:paraId="583FD874" w14:textId="77777777" w:rsidR="00C23646" w:rsidRDefault="00000000" w:rsidP="00271C7B">
      <w:pPr>
        <w:pStyle w:val="ListParagraph"/>
        <w:numPr>
          <w:ilvl w:val="1"/>
          <w:numId w:val="1"/>
        </w:numPr>
        <w:tabs>
          <w:tab w:val="left" w:pos="1449"/>
          <w:tab w:val="left" w:pos="1450"/>
        </w:tabs>
        <w:spacing w:before="0" w:line="266" w:lineRule="auto"/>
        <w:jc w:val="both"/>
        <w:rPr>
          <w:rFonts w:ascii="Symbol" w:hAnsi="Symbol" w:hint="eastAsia"/>
          <w:sz w:val="24"/>
        </w:rPr>
      </w:pPr>
      <w:r>
        <w:rPr>
          <w:rFonts w:hint="eastAsia"/>
          <w:sz w:val="24"/>
        </w:rPr>
        <w:t>扩大职业培训或劳动力发展，以培育气候韧性相关岗位的新能力。</w:t>
      </w:r>
    </w:p>
    <w:p w14:paraId="245FADFD" w14:textId="77777777" w:rsidR="00C23646" w:rsidRDefault="00000000" w:rsidP="00271C7B">
      <w:pPr>
        <w:pStyle w:val="BodyText"/>
        <w:spacing w:before="244" w:line="271" w:lineRule="auto"/>
        <w:ind w:left="730" w:firstLine="0"/>
        <w:jc w:val="both"/>
      </w:pPr>
      <w:r>
        <w:rPr>
          <w:rFonts w:hint="eastAsia"/>
        </w:rPr>
        <w:t>变革性适应措施最能有效应对气候风险，并减少对反应性和预防性措施的需求，同时为城市或城镇及其居民带来额外收益。由于变革性适应措施的设计和实施更为复杂，并需要广泛合作伙伴的参与，其前期实施成本通常较高，但从长期来看往往更具成本效益。变革性适应亦称为建设气候韧性。</w:t>
      </w:r>
    </w:p>
    <w:p w14:paraId="05A28035" w14:textId="77777777" w:rsidR="00C23646" w:rsidRDefault="00C23646" w:rsidP="00271C7B">
      <w:pPr>
        <w:pStyle w:val="BodyText"/>
        <w:spacing w:before="5"/>
        <w:ind w:left="0" w:firstLine="0"/>
        <w:jc w:val="both"/>
        <w:rPr>
          <w:sz w:val="34"/>
        </w:rPr>
      </w:pPr>
    </w:p>
    <w:p w14:paraId="461D14B2" w14:textId="77777777" w:rsidR="00C23646" w:rsidRDefault="00000000" w:rsidP="00271C7B">
      <w:pPr>
        <w:ind w:left="820"/>
        <w:jc w:val="both"/>
        <w:rPr>
          <w:rFonts w:ascii="Courier New" w:hAnsi="Courier New"/>
          <w:sz w:val="27"/>
        </w:rPr>
      </w:pPr>
      <w:r>
        <w:rPr>
          <w:rFonts w:ascii="Courier New" w:hAnsi="Courier New" w:hint="eastAsia"/>
          <w:sz w:val="27"/>
        </w:rPr>
        <w:t>—</w:t>
      </w:r>
    </w:p>
    <w:p w14:paraId="64AFC747" w14:textId="77777777" w:rsidR="00C23646" w:rsidRDefault="00000000" w:rsidP="00271C7B">
      <w:pPr>
        <w:spacing w:before="12" w:line="271" w:lineRule="auto"/>
        <w:ind w:left="820"/>
        <w:jc w:val="both"/>
        <w:rPr>
          <w:sz w:val="20"/>
        </w:rPr>
      </w:pPr>
      <w:r>
        <w:rPr>
          <w:rFonts w:hint="eastAsia"/>
          <w:sz w:val="20"/>
        </w:rPr>
        <w:t>上述定义改编自</w:t>
      </w:r>
      <w:r>
        <w:rPr>
          <w:rFonts w:hint="eastAsia"/>
          <w:sz w:val="20"/>
        </w:rPr>
        <w:t xml:space="preserve"> C40 </w:t>
      </w:r>
      <w:r>
        <w:rPr>
          <w:rFonts w:hint="eastAsia"/>
          <w:sz w:val="20"/>
        </w:rPr>
        <w:t>知识中心。</w:t>
      </w:r>
      <w:r>
        <w:rPr>
          <w:rFonts w:hint="eastAsia"/>
          <w:sz w:val="20"/>
        </w:rPr>
        <w:t xml:space="preserve">C40 </w:t>
      </w:r>
      <w:r>
        <w:rPr>
          <w:rFonts w:hint="eastAsia"/>
          <w:sz w:val="20"/>
        </w:rPr>
        <w:t>知识中心是为希望采取气候行动的市政政府提供的资源平台。该网站汇集了一系列资源、实用信息和工具，以支持决策者。该知识中心由</w:t>
      </w:r>
      <w:r>
        <w:rPr>
          <w:rFonts w:hint="eastAsia"/>
          <w:sz w:val="20"/>
        </w:rPr>
        <w:t xml:space="preserve"> C40 </w:t>
      </w:r>
      <w:r>
        <w:rPr>
          <w:rFonts w:hint="eastAsia"/>
          <w:sz w:val="20"/>
        </w:rPr>
        <w:t>城市气候领导联盟建设并维护。更多信息请参阅：</w:t>
      </w:r>
      <w:r>
        <w:rPr>
          <w:rFonts w:hint="eastAsia"/>
          <w:color w:val="0070C0"/>
          <w:sz w:val="20"/>
          <w:u w:val="single" w:color="0070C0"/>
        </w:rPr>
        <w:t>c40knowledgehub.org</w:t>
      </w:r>
    </w:p>
    <w:sectPr w:rsidR="00C23646" w:rsidSect="00F2382E">
      <w:footerReference w:type="default" r:id="rId7"/>
      <w:pgSz w:w="12240" w:h="15840"/>
      <w:pgMar w:top="1360" w:right="1340" w:bottom="1418" w:left="13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1FAE" w14:textId="77777777" w:rsidR="00FB5040" w:rsidRDefault="00FB5040">
      <w:r>
        <w:separator/>
      </w:r>
    </w:p>
  </w:endnote>
  <w:endnote w:type="continuationSeparator" w:id="0">
    <w:p w14:paraId="47FFDB40" w14:textId="77777777" w:rsidR="00FB5040" w:rsidRDefault="00FB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1F23" w14:textId="77777777" w:rsidR="00F2382E" w:rsidRDefault="00F2382E" w:rsidP="00F2382E">
    <w:pPr>
      <w:spacing w:before="15"/>
      <w:ind w:left="20"/>
      <w:jc w:val="right"/>
      <w:rPr>
        <w:rFonts w:ascii="Arial"/>
        <w:sz w:val="20"/>
      </w:rPr>
    </w:pPr>
    <w:r>
      <w:rPr>
        <w:rFonts w:ascii="Arial" w:hint="eastAsia"/>
        <w:b/>
        <w:color w:val="0070C0"/>
        <w:sz w:val="20"/>
      </w:rPr>
      <w:t xml:space="preserve">MVP 2.0 </w:t>
    </w:r>
    <w:r>
      <w:rPr>
        <w:rFonts w:ascii="Arial" w:hint="eastAsia"/>
        <w:color w:val="0070C0"/>
        <w:sz w:val="20"/>
      </w:rPr>
      <w:t>适应策略层级</w:t>
    </w:r>
    <w:r>
      <w:rPr>
        <w:rFonts w:ascii="Arial" w:hint="eastAsia"/>
        <w:color w:val="0070C0"/>
        <w:sz w:val="20"/>
      </w:rPr>
      <w:t xml:space="preserve"> | </w:t>
    </w:r>
    <w:r>
      <w:rPr>
        <w:rFonts w:ascii="Arial" w:hint="eastAsia"/>
        <w:color w:val="0070C0"/>
        <w:sz w:val="20"/>
      </w:rPr>
      <w:t>第</w:t>
    </w:r>
    <w:r>
      <w:rPr>
        <w:rFonts w:ascii="Arial" w:hint="eastAsia"/>
        <w:color w:val="0070C0"/>
        <w:sz w:val="20"/>
      </w:rPr>
      <w:t xml:space="preserve"> </w:t>
    </w:r>
    <w:r>
      <w:rPr>
        <w:rFonts w:ascii="Arial" w:hint="eastAsia"/>
        <w:color w:val="0070C0"/>
        <w:sz w:val="20"/>
      </w:rPr>
      <w:t>页</w:t>
    </w:r>
    <w:r>
      <w:fldChar w:fldCharType="begin"/>
    </w:r>
    <w:r>
      <w:rPr>
        <w:rFonts w:ascii="Arial" w:hint="eastAsia"/>
        <w:color w:val="0070C0"/>
        <w:sz w:val="20"/>
      </w:rPr>
      <w:instrText xml:space="preserve"> PAGE </w:instrText>
    </w:r>
    <w:r>
      <w:fldChar w:fldCharType="separate"/>
    </w:r>
    <w:r>
      <w:t>2</w:t>
    </w:r>
    <w:r>
      <w:fldChar w:fldCharType="end"/>
    </w:r>
  </w:p>
  <w:p w14:paraId="63EDD97C" w14:textId="47E282D6" w:rsidR="00C23646" w:rsidRDefault="00C23646" w:rsidP="00F2382E">
    <w:pPr>
      <w:pStyle w:val="BodyText"/>
      <w:spacing w:line="14" w:lineRule="auto"/>
      <w:ind w:left="0" w:firstLine="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45F9" w14:textId="77777777" w:rsidR="00FB5040" w:rsidRDefault="00FB5040">
      <w:r>
        <w:separator/>
      </w:r>
    </w:p>
  </w:footnote>
  <w:footnote w:type="continuationSeparator" w:id="0">
    <w:p w14:paraId="6500A879" w14:textId="77777777" w:rsidR="00FB5040" w:rsidRDefault="00FB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13D"/>
    <w:multiLevelType w:val="hybridMultilevel"/>
    <w:tmpl w:val="682E15CE"/>
    <w:lvl w:ilvl="0" w:tplc="C5C47B18">
      <w:start w:val="1"/>
      <w:numFmt w:val="decimal"/>
      <w:lvlText w:val="%1."/>
      <w:lvlJc w:val="left"/>
      <w:pPr>
        <w:ind w:left="642" w:hanging="543"/>
        <w:jc w:val="left"/>
      </w:pPr>
      <w:rPr>
        <w:rFonts w:ascii="Tahoma" w:eastAsia="Tahoma" w:hAnsi="Tahoma" w:cs="Tahoma" w:hint="default"/>
        <w:b/>
        <w:bCs/>
        <w:color w:val="0070C0"/>
        <w:spacing w:val="-2"/>
        <w:w w:val="91"/>
        <w:sz w:val="30"/>
        <w:szCs w:val="30"/>
      </w:rPr>
    </w:lvl>
    <w:lvl w:ilvl="1" w:tplc="AFCA7DA2">
      <w:numFmt w:val="bullet"/>
      <w:lvlText w:val=""/>
      <w:lvlJc w:val="left"/>
      <w:pPr>
        <w:ind w:left="1450" w:hanging="362"/>
      </w:pPr>
      <w:rPr>
        <w:rFonts w:hint="default"/>
        <w:w w:val="100"/>
      </w:rPr>
    </w:lvl>
    <w:lvl w:ilvl="2" w:tplc="477E041E">
      <w:numFmt w:val="bullet"/>
      <w:lvlText w:val="•"/>
      <w:lvlJc w:val="left"/>
      <w:pPr>
        <w:ind w:left="2360" w:hanging="362"/>
      </w:pPr>
      <w:rPr>
        <w:rFonts w:hint="default"/>
      </w:rPr>
    </w:lvl>
    <w:lvl w:ilvl="3" w:tplc="377613F0">
      <w:numFmt w:val="bullet"/>
      <w:lvlText w:val="•"/>
      <w:lvlJc w:val="left"/>
      <w:pPr>
        <w:ind w:left="3260" w:hanging="362"/>
      </w:pPr>
      <w:rPr>
        <w:rFonts w:hint="default"/>
      </w:rPr>
    </w:lvl>
    <w:lvl w:ilvl="4" w:tplc="4DF03FFE">
      <w:numFmt w:val="bullet"/>
      <w:lvlText w:val="•"/>
      <w:lvlJc w:val="left"/>
      <w:pPr>
        <w:ind w:left="4160" w:hanging="362"/>
      </w:pPr>
      <w:rPr>
        <w:rFonts w:hint="default"/>
      </w:rPr>
    </w:lvl>
    <w:lvl w:ilvl="5" w:tplc="493A9246">
      <w:numFmt w:val="bullet"/>
      <w:lvlText w:val="•"/>
      <w:lvlJc w:val="left"/>
      <w:pPr>
        <w:ind w:left="5060" w:hanging="362"/>
      </w:pPr>
      <w:rPr>
        <w:rFonts w:hint="default"/>
      </w:rPr>
    </w:lvl>
    <w:lvl w:ilvl="6" w:tplc="13AAD9AE">
      <w:numFmt w:val="bullet"/>
      <w:lvlText w:val="•"/>
      <w:lvlJc w:val="left"/>
      <w:pPr>
        <w:ind w:left="5960" w:hanging="362"/>
      </w:pPr>
      <w:rPr>
        <w:rFonts w:hint="default"/>
      </w:rPr>
    </w:lvl>
    <w:lvl w:ilvl="7" w:tplc="6BE490D6">
      <w:numFmt w:val="bullet"/>
      <w:lvlText w:val="•"/>
      <w:lvlJc w:val="left"/>
      <w:pPr>
        <w:ind w:left="6860" w:hanging="362"/>
      </w:pPr>
      <w:rPr>
        <w:rFonts w:hint="default"/>
      </w:rPr>
    </w:lvl>
    <w:lvl w:ilvl="8" w:tplc="03FC1264">
      <w:numFmt w:val="bullet"/>
      <w:lvlText w:val="•"/>
      <w:lvlJc w:val="left"/>
      <w:pPr>
        <w:ind w:left="7760" w:hanging="362"/>
      </w:pPr>
      <w:rPr>
        <w:rFonts w:hint="default"/>
      </w:rPr>
    </w:lvl>
  </w:abstractNum>
  <w:num w:numId="1" w16cid:durableId="176318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46"/>
    <w:rsid w:val="00207057"/>
    <w:rsid w:val="00271C7B"/>
    <w:rsid w:val="00383794"/>
    <w:rsid w:val="004C746A"/>
    <w:rsid w:val="00C23646"/>
    <w:rsid w:val="00F2382E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7119C"/>
  <w15:docId w15:val="{88F81141-921D-4B26-A898-439ECDC3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SimSun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0" w:hanging="36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7"/>
      <w:ind w:left="1391" w:right="1390"/>
      <w:jc w:val="center"/>
    </w:pPr>
    <w:rPr>
      <w:rFonts w:ascii="Trebuchet MS" w:hAnsi="Trebuchet MS" w:cs="Trebuchet MS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2"/>
      <w:ind w:left="145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82E"/>
    <w:rPr>
      <w:rFonts w:ascii="Tahoma" w:eastAsia="SimSun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23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82E"/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Goodexample_x003f_ xmlns="f4888985-777b-4b68-9fc3-6a4384cc4f29">true</Goodexample_x003f_>
    <_ip_UnifiedCompliancePolicyProperties xmlns="http://schemas.microsoft.com/sharepoint/v3" xsi:nil="true"/>
    <GrantType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848071-D87A-4F73-A2C3-1FF5A5E4B58C}"/>
</file>

<file path=customXml/itemProps2.xml><?xml version="1.0" encoding="utf-8"?>
<ds:datastoreItem xmlns:ds="http://schemas.openxmlformats.org/officeDocument/2006/customXml" ds:itemID="{CBFF460B-09A5-49A6-937A-BF6988B50166}"/>
</file>

<file path=customXml/itemProps3.xml><?xml version="1.0" encoding="utf-8"?>
<ds:datastoreItem xmlns:ds="http://schemas.openxmlformats.org/officeDocument/2006/customXml" ds:itemID="{C2179F8F-B472-45FD-98FA-472D470E3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Reviewer</cp:lastModifiedBy>
  <cp:revision>4</cp:revision>
  <dcterms:created xsi:type="dcterms:W3CDTF">2026-02-24T01:38:00Z</dcterms:created>
  <dcterms:modified xsi:type="dcterms:W3CDTF">2026-02-26T08:46:00Z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2026-02-24T00:00:00Z</vt:filetime>
  </property>
  <property fmtid="{D5CDD505-2E9C-101B-9397-08002B2CF9AE}" pid="4" name="ContentTypeId">
    <vt:lpwstr>0x01010082D4B72A2883A54B8CE9B4608E4F3D4C</vt:lpwstr>
  </property>
  <property fmtid="{D5CDD505-2E9C-101B-9397-08002B2CF9AE}" pid="5" name="Order">
    <vt:r8>362500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