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2B2" w14:textId="32D05AF2" w:rsidR="00BF25E9" w:rsidRPr="00713C64" w:rsidRDefault="00713C64" w:rsidP="00713C64">
      <w:pPr>
        <w:pStyle w:val="Title"/>
        <w:spacing w:before="0"/>
        <w:rPr>
          <w:lang w:val="es-US"/>
        </w:rPr>
      </w:pPr>
      <w:r w:rsidRPr="00713C64">
        <w:rPr>
          <w:color w:val="0070C0"/>
          <w:w w:val="90"/>
          <w:lang w:val="es-US"/>
        </w:rPr>
        <w:t xml:space="preserve">Niveles de </w:t>
      </w:r>
      <w:r>
        <w:rPr>
          <w:color w:val="0070C0"/>
          <w:w w:val="90"/>
          <w:lang w:val="es-US"/>
        </w:rPr>
        <w:t>e</w:t>
      </w:r>
      <w:r w:rsidRPr="00713C64">
        <w:rPr>
          <w:color w:val="0070C0"/>
          <w:w w:val="90"/>
          <w:lang w:val="es-US"/>
        </w:rPr>
        <w:t>strategias de</w:t>
      </w:r>
      <w:r>
        <w:rPr>
          <w:color w:val="0070C0"/>
          <w:w w:val="90"/>
          <w:lang w:val="es-US"/>
        </w:rPr>
        <w:t xml:space="preserve"> a</w:t>
      </w:r>
      <w:r w:rsidRPr="00713C64">
        <w:rPr>
          <w:color w:val="0070C0"/>
          <w:w w:val="90"/>
          <w:lang w:val="es-US"/>
        </w:rPr>
        <w:t>daptación</w:t>
      </w:r>
    </w:p>
    <w:p w14:paraId="77DB3AE9" w14:textId="6591EE2C" w:rsidR="00BF25E9" w:rsidRPr="00713C64" w:rsidRDefault="00713C64" w:rsidP="00713C64">
      <w:pPr>
        <w:ind w:left="73"/>
        <w:jc w:val="center"/>
        <w:rPr>
          <w:rFonts w:ascii="Arial Black"/>
          <w:sz w:val="28"/>
          <w:lang w:val="es-US"/>
        </w:rPr>
      </w:pPr>
      <w:r w:rsidRPr="00713C64">
        <w:rPr>
          <w:rFonts w:ascii="Arial Black"/>
          <w:color w:val="0070C0"/>
          <w:w w:val="90"/>
          <w:sz w:val="28"/>
          <w:lang w:val="es-US"/>
        </w:rPr>
        <w:t xml:space="preserve">Adaptado del </w:t>
      </w:r>
      <w:r>
        <w:rPr>
          <w:rFonts w:ascii="Arial Black"/>
          <w:color w:val="0070C0"/>
          <w:w w:val="90"/>
          <w:sz w:val="28"/>
          <w:lang w:val="es-US"/>
        </w:rPr>
        <w:t>centro de conocimiento</w:t>
      </w:r>
      <w:r w:rsidR="004D0687">
        <w:rPr>
          <w:rFonts w:ascii="Arial Black"/>
          <w:color w:val="0070C0"/>
          <w:w w:val="90"/>
          <w:sz w:val="28"/>
          <w:lang w:val="es-US"/>
        </w:rPr>
        <w:t xml:space="preserve"> C40</w:t>
      </w:r>
    </w:p>
    <w:p w14:paraId="306FED6A" w14:textId="77777777" w:rsidR="00BF25E9" w:rsidRPr="00713C64" w:rsidRDefault="00BF25E9" w:rsidP="00713C64">
      <w:pPr>
        <w:pStyle w:val="BodyText"/>
        <w:spacing w:before="0"/>
        <w:ind w:left="0"/>
        <w:rPr>
          <w:rFonts w:ascii="Arial Black"/>
          <w:lang w:val="es-US"/>
        </w:rPr>
      </w:pPr>
    </w:p>
    <w:p w14:paraId="50F3BD38" w14:textId="77777777" w:rsidR="00BF25E9" w:rsidRPr="00713C64" w:rsidRDefault="00BF25E9" w:rsidP="00713C64">
      <w:pPr>
        <w:pStyle w:val="BodyText"/>
        <w:spacing w:before="0"/>
        <w:ind w:left="0"/>
        <w:rPr>
          <w:rFonts w:ascii="Arial Black"/>
          <w:lang w:val="es-US"/>
        </w:rPr>
      </w:pPr>
    </w:p>
    <w:p w14:paraId="31AEF2A6" w14:textId="19068261" w:rsidR="00BF25E9" w:rsidRPr="00713C64" w:rsidRDefault="00000000" w:rsidP="00713C64">
      <w:pPr>
        <w:pStyle w:val="ListParagraph"/>
        <w:numPr>
          <w:ilvl w:val="0"/>
          <w:numId w:val="1"/>
        </w:numPr>
        <w:tabs>
          <w:tab w:val="left" w:pos="542"/>
        </w:tabs>
        <w:ind w:hanging="542"/>
        <w:rPr>
          <w:rFonts w:ascii="Arial Black"/>
          <w:sz w:val="24"/>
          <w:lang w:val="es-US"/>
        </w:rPr>
      </w:pPr>
      <w:r w:rsidRPr="00713C64">
        <w:rPr>
          <w:rFonts w:ascii="Arial Black"/>
          <w:color w:val="FFFFFF"/>
          <w:spacing w:val="-9"/>
          <w:w w:val="90"/>
          <w:sz w:val="28"/>
          <w:shd w:val="clear" w:color="auto" w:fill="0070C0"/>
          <w:lang w:val="es-US"/>
        </w:rPr>
        <w:t xml:space="preserve"> </w:t>
      </w:r>
      <w:r w:rsidR="00713C64" w:rsidRPr="00713C64">
        <w:rPr>
          <w:rFonts w:ascii="Arial Black" w:hAnsi="Arial Black"/>
          <w:color w:val="FFFFFF"/>
          <w:w w:val="90"/>
          <w:sz w:val="28"/>
          <w:shd w:val="clear" w:color="auto" w:fill="0070C0"/>
          <w:lang w:val="es-US"/>
        </w:rPr>
        <w:t>Adaptació</w:t>
      </w:r>
      <w:r w:rsidR="00713C64">
        <w:rPr>
          <w:rFonts w:ascii="Arial Black"/>
          <w:color w:val="FFFFFF"/>
          <w:w w:val="90"/>
          <w:sz w:val="28"/>
          <w:shd w:val="clear" w:color="auto" w:fill="0070C0"/>
          <w:lang w:val="es-US"/>
        </w:rPr>
        <w:t>n reactiva</w:t>
      </w:r>
      <w:r w:rsidRPr="00713C64">
        <w:rPr>
          <w:rFonts w:ascii="Arial Black"/>
          <w:color w:val="0070C0"/>
          <w:w w:val="90"/>
          <w:sz w:val="30"/>
          <w:shd w:val="clear" w:color="auto" w:fill="0070C0"/>
          <w:lang w:val="es-US"/>
        </w:rPr>
        <w:t>.</w:t>
      </w:r>
      <w:r w:rsidRPr="00713C64">
        <w:rPr>
          <w:rFonts w:ascii="Arial Black"/>
          <w:color w:val="0070C0"/>
          <w:spacing w:val="67"/>
          <w:sz w:val="30"/>
          <w:lang w:val="es-US"/>
        </w:rPr>
        <w:t xml:space="preserve"> </w:t>
      </w:r>
      <w:r w:rsidR="00713C64" w:rsidRPr="00713C64">
        <w:rPr>
          <w:rFonts w:ascii="Arial Black"/>
          <w:color w:val="F6874A"/>
          <w:w w:val="90"/>
          <w:sz w:val="24"/>
          <w:lang w:val="es-US"/>
        </w:rPr>
        <w:t>(</w:t>
      </w:r>
      <w:r w:rsidR="00713C64" w:rsidRPr="00713C64">
        <w:rPr>
          <w:rFonts w:ascii="Arial Black" w:hAnsi="Arial Black"/>
          <w:color w:val="F6874A"/>
          <w:w w:val="90"/>
          <w:sz w:val="24"/>
          <w:lang w:val="es-US"/>
        </w:rPr>
        <w:t>preparación para e</w:t>
      </w:r>
      <w:r w:rsidR="00713C64" w:rsidRPr="00713C64">
        <w:rPr>
          <w:rFonts w:ascii="Arial Black"/>
          <w:color w:val="F6874A"/>
          <w:w w:val="90"/>
          <w:sz w:val="24"/>
          <w:lang w:val="es-US"/>
        </w:rPr>
        <w:t>mergencias)</w:t>
      </w:r>
    </w:p>
    <w:p w14:paraId="277B12D6" w14:textId="378E5B52" w:rsidR="00713C64" w:rsidRPr="004D0687" w:rsidRDefault="00713C64" w:rsidP="00713C64">
      <w:pPr>
        <w:pStyle w:val="BodyText"/>
        <w:spacing w:before="0" w:line="271" w:lineRule="auto"/>
        <w:ind w:left="630" w:right="213"/>
        <w:rPr>
          <w:color w:val="404040"/>
          <w:lang w:val="es-US"/>
        </w:rPr>
      </w:pPr>
      <w:r w:rsidRPr="00713C64">
        <w:rPr>
          <w:color w:val="404040"/>
          <w:lang w:val="es-US"/>
        </w:rPr>
        <w:t xml:space="preserve">La adaptación reactiva combate las consecuencias inmediatas de los peligros climáticos, protegiendo y restaurando la salud de las personas, su calidad de vida y los sistemas de la ciudad o municipio </w:t>
      </w:r>
      <w:r w:rsidRPr="00713C64">
        <w:rPr>
          <w:i/>
          <w:iCs/>
          <w:color w:val="404040"/>
          <w:lang w:val="es-US"/>
        </w:rPr>
        <w:t>durante e inmediatamente después</w:t>
      </w:r>
      <w:r w:rsidRPr="00713C64">
        <w:rPr>
          <w:color w:val="404040"/>
          <w:lang w:val="es-US"/>
        </w:rPr>
        <w:t xml:space="preserve"> de desastres relacionados con el clima. </w:t>
      </w:r>
      <w:r w:rsidRPr="004D0687">
        <w:rPr>
          <w:color w:val="404040"/>
          <w:lang w:val="es-US"/>
        </w:rPr>
        <w:t>Las acciones de adaptación reactiva pueden incluir, por ejemplo:</w:t>
      </w:r>
    </w:p>
    <w:p w14:paraId="748A64DD" w14:textId="77777777" w:rsidR="00713C64" w:rsidRPr="00713C64" w:rsidRDefault="00713C64" w:rsidP="00713C64">
      <w:pPr>
        <w:pStyle w:val="BodyText"/>
        <w:spacing w:before="0" w:line="271" w:lineRule="auto"/>
        <w:ind w:left="1440"/>
        <w:rPr>
          <w:color w:val="404040"/>
          <w:szCs w:val="22"/>
          <w:lang w:val="es-US"/>
        </w:rPr>
      </w:pPr>
      <w:r w:rsidRPr="00713C64">
        <w:rPr>
          <w:color w:val="404040"/>
          <w:szCs w:val="22"/>
          <w:lang w:val="es-US"/>
        </w:rPr>
        <w:t>• Un aumento temporal en los servicios hospitalarios de primera línea durante una ola de calor,</w:t>
      </w:r>
    </w:p>
    <w:p w14:paraId="7C4C6286" w14:textId="77777777" w:rsidR="00713C64" w:rsidRPr="00713C64" w:rsidRDefault="00713C64" w:rsidP="00713C64">
      <w:pPr>
        <w:pStyle w:val="BodyText"/>
        <w:spacing w:before="0" w:line="271" w:lineRule="auto"/>
        <w:ind w:left="1440"/>
        <w:rPr>
          <w:color w:val="404040"/>
          <w:szCs w:val="22"/>
          <w:lang w:val="es-US"/>
        </w:rPr>
      </w:pPr>
      <w:r w:rsidRPr="00713C64">
        <w:rPr>
          <w:color w:val="404040"/>
          <w:szCs w:val="22"/>
          <w:lang w:val="es-US"/>
        </w:rPr>
        <w:t>• Colocar sacos de arena para desviar el agua durante una inundación,</w:t>
      </w:r>
    </w:p>
    <w:p w14:paraId="196CB2C8" w14:textId="77777777" w:rsidR="00713C64" w:rsidRPr="00713C64" w:rsidRDefault="00713C64" w:rsidP="00713C64">
      <w:pPr>
        <w:pStyle w:val="BodyText"/>
        <w:spacing w:before="0" w:line="271" w:lineRule="auto"/>
        <w:ind w:left="1440"/>
        <w:rPr>
          <w:color w:val="404040"/>
          <w:szCs w:val="22"/>
          <w:lang w:val="es-US"/>
        </w:rPr>
      </w:pPr>
      <w:r w:rsidRPr="00713C64">
        <w:rPr>
          <w:color w:val="404040"/>
          <w:szCs w:val="22"/>
          <w:lang w:val="es-US"/>
        </w:rPr>
        <w:t>• Emplear un sistema de comunicación de emergencia, o</w:t>
      </w:r>
    </w:p>
    <w:p w14:paraId="13F9EA9A" w14:textId="77777777" w:rsidR="00713C64" w:rsidRPr="004D0687" w:rsidRDefault="00713C64" w:rsidP="00713C64">
      <w:pPr>
        <w:pStyle w:val="BodyText"/>
        <w:spacing w:before="0" w:line="271" w:lineRule="auto"/>
        <w:ind w:left="1440"/>
        <w:rPr>
          <w:color w:val="404040"/>
          <w:szCs w:val="22"/>
          <w:lang w:val="es-US"/>
        </w:rPr>
      </w:pPr>
      <w:r w:rsidRPr="004D0687">
        <w:rPr>
          <w:color w:val="404040"/>
          <w:szCs w:val="22"/>
          <w:lang w:val="es-US"/>
        </w:rPr>
        <w:t>• Compra temporal de agua durante una sequía.</w:t>
      </w:r>
    </w:p>
    <w:p w14:paraId="408FA378" w14:textId="360B0C0E" w:rsidR="00BF25E9" w:rsidRPr="00713C64" w:rsidRDefault="00713C64" w:rsidP="00713C64">
      <w:pPr>
        <w:pStyle w:val="BodyText"/>
        <w:spacing w:before="0" w:line="271" w:lineRule="auto"/>
        <w:ind w:left="630"/>
        <w:rPr>
          <w:lang w:val="es-US"/>
        </w:rPr>
      </w:pPr>
      <w:r w:rsidRPr="00713C64">
        <w:rPr>
          <w:color w:val="404040"/>
          <w:w w:val="110"/>
          <w:lang w:val="es-US"/>
        </w:rPr>
        <w:t>La adaptación reactiva puede ser rápidamente efectiva a corto plazo, pero los beneficios son de corta duración. Los costos pueden ser altos si se necesitan intervenciones repetidas, y las intervenciones pueden ser insuficientes para enfrentar futuros peligros climáticos. La adaptación reactiva puede entenderse de manera similar a la gestión de emergencias o la preparación para emergencias.</w:t>
      </w:r>
    </w:p>
    <w:p w14:paraId="617EFE7F" w14:textId="77777777" w:rsidR="00BF25E9" w:rsidRPr="00713C64" w:rsidRDefault="00BF25E9" w:rsidP="00713C64">
      <w:pPr>
        <w:pStyle w:val="BodyText"/>
        <w:spacing w:before="0"/>
        <w:ind w:left="0"/>
        <w:rPr>
          <w:lang w:val="es-US"/>
        </w:rPr>
      </w:pPr>
    </w:p>
    <w:p w14:paraId="5FF6280D" w14:textId="68D31C29" w:rsidR="00BF25E9" w:rsidRPr="00713C64" w:rsidRDefault="00713C64" w:rsidP="00713C64">
      <w:pPr>
        <w:pStyle w:val="ListParagraph"/>
        <w:numPr>
          <w:ilvl w:val="0"/>
          <w:numId w:val="1"/>
        </w:numPr>
        <w:tabs>
          <w:tab w:val="left" w:pos="542"/>
        </w:tabs>
        <w:ind w:hanging="542"/>
        <w:rPr>
          <w:rFonts w:ascii="Arial Black"/>
          <w:sz w:val="24"/>
          <w:lang w:val="es-US"/>
        </w:rPr>
      </w:pPr>
      <w:r w:rsidRPr="004D0687">
        <w:rPr>
          <w:rFonts w:ascii="Arial Black" w:hAnsi="Arial Black"/>
          <w:color w:val="FFFFFF"/>
          <w:w w:val="90"/>
          <w:sz w:val="28"/>
          <w:shd w:val="clear" w:color="auto" w:fill="0070C0"/>
          <w:lang w:val="es-US"/>
        </w:rPr>
        <w:t>Adaptación presentativa</w:t>
      </w:r>
      <w:r w:rsidRPr="00713C64">
        <w:rPr>
          <w:rFonts w:ascii="Arial Black"/>
          <w:color w:val="FFFFFF"/>
          <w:w w:val="90"/>
          <w:sz w:val="28"/>
          <w:shd w:val="clear" w:color="auto" w:fill="0070C0"/>
          <w:lang w:val="es-US"/>
        </w:rPr>
        <w:t xml:space="preserve"> </w:t>
      </w:r>
      <w:r w:rsidRPr="00713C64">
        <w:rPr>
          <w:rFonts w:ascii="Arial Black"/>
          <w:color w:val="F6874A"/>
          <w:w w:val="90"/>
          <w:sz w:val="24"/>
          <w:lang w:val="es-US"/>
        </w:rPr>
        <w:t>(</w:t>
      </w:r>
      <w:r w:rsidRPr="00CC2142">
        <w:rPr>
          <w:rFonts w:ascii="Arial Black" w:hAnsi="Arial Black"/>
          <w:color w:val="F6874A"/>
          <w:w w:val="90"/>
          <w:sz w:val="24"/>
          <w:lang w:val="es-US"/>
        </w:rPr>
        <w:t>mitigación d</w:t>
      </w:r>
      <w:r w:rsidRPr="00713C64">
        <w:rPr>
          <w:rFonts w:ascii="Arial Black"/>
          <w:color w:val="F6874A"/>
          <w:w w:val="90"/>
          <w:sz w:val="24"/>
          <w:lang w:val="es-US"/>
        </w:rPr>
        <w:t>e riesgos</w:t>
      </w:r>
      <w:r w:rsidRPr="00713C64">
        <w:rPr>
          <w:rFonts w:ascii="Arial Black"/>
          <w:color w:val="F6874A"/>
          <w:spacing w:val="-2"/>
          <w:w w:val="90"/>
          <w:sz w:val="24"/>
          <w:lang w:val="es-US"/>
        </w:rPr>
        <w:t>)</w:t>
      </w:r>
    </w:p>
    <w:p w14:paraId="016B535E" w14:textId="5C53016D" w:rsidR="00BF25E9" w:rsidRPr="00713C64" w:rsidRDefault="00713C64" w:rsidP="00713C64">
      <w:pPr>
        <w:pStyle w:val="BodyText"/>
        <w:spacing w:before="0" w:line="271" w:lineRule="auto"/>
        <w:ind w:left="630"/>
        <w:rPr>
          <w:lang w:val="es-US"/>
        </w:rPr>
      </w:pPr>
      <w:r w:rsidRPr="00713C64">
        <w:rPr>
          <w:color w:val="404040"/>
          <w:w w:val="110"/>
          <w:lang w:val="es-US"/>
        </w:rPr>
        <w:t>La adaptación preventiva reduce las consecuencias negativas de los peligros climáticos, con el objetivo de proteger la salud de las personas, su calidad de vida y los sistemas de la ciudad o municipio para evitar que esos eventos peligrosos se conviertan en desastres. Las acciones de adaptación preventiva pueden incluir, por ejemplo:</w:t>
      </w:r>
    </w:p>
    <w:p w14:paraId="001D7616" w14:textId="77777777" w:rsidR="00713C64" w:rsidRPr="00713C64" w:rsidRDefault="00713C64" w:rsidP="00713C64">
      <w:pPr>
        <w:pStyle w:val="BodyText"/>
        <w:spacing w:before="0" w:line="273" w:lineRule="auto"/>
        <w:ind w:left="1440" w:right="213"/>
        <w:rPr>
          <w:color w:val="404040"/>
          <w:szCs w:val="22"/>
          <w:lang w:val="es-US"/>
        </w:rPr>
      </w:pPr>
      <w:r w:rsidRPr="00713C64">
        <w:rPr>
          <w:color w:val="404040"/>
          <w:szCs w:val="22"/>
          <w:lang w:val="es-US"/>
        </w:rPr>
        <w:t>• Construcción de protecciones contra inundaciones costeras,</w:t>
      </w:r>
    </w:p>
    <w:p w14:paraId="0547E4BD" w14:textId="77777777" w:rsidR="00713C64" w:rsidRPr="00713C64" w:rsidRDefault="00713C64" w:rsidP="00713C64">
      <w:pPr>
        <w:pStyle w:val="BodyText"/>
        <w:spacing w:before="0" w:line="273" w:lineRule="auto"/>
        <w:ind w:left="1440" w:right="213"/>
        <w:rPr>
          <w:color w:val="404040"/>
          <w:szCs w:val="22"/>
          <w:lang w:val="es-US"/>
        </w:rPr>
      </w:pPr>
      <w:r w:rsidRPr="00713C64">
        <w:rPr>
          <w:color w:val="404040"/>
          <w:szCs w:val="22"/>
          <w:lang w:val="es-US"/>
        </w:rPr>
        <w:t>• Añadir aire acondicionado energéticamente eficiente en espacios comunitarios,</w:t>
      </w:r>
    </w:p>
    <w:p w14:paraId="321EE9B9" w14:textId="77777777" w:rsidR="00713C64" w:rsidRPr="00713C64" w:rsidRDefault="00713C64" w:rsidP="00713C64">
      <w:pPr>
        <w:pStyle w:val="BodyText"/>
        <w:spacing w:before="0" w:line="273" w:lineRule="auto"/>
        <w:ind w:left="1440" w:right="213"/>
        <w:rPr>
          <w:color w:val="404040"/>
          <w:szCs w:val="22"/>
          <w:lang w:val="es-US"/>
        </w:rPr>
      </w:pPr>
      <w:r w:rsidRPr="00713C64">
        <w:rPr>
          <w:color w:val="404040"/>
          <w:szCs w:val="22"/>
          <w:lang w:val="es-US"/>
        </w:rPr>
        <w:t>• Plantar árboles o instalar espacios verdes en áreas con mucho pavimento,</w:t>
      </w:r>
    </w:p>
    <w:p w14:paraId="66F935DB" w14:textId="77777777" w:rsidR="00713C64" w:rsidRPr="00713C64" w:rsidRDefault="00713C64" w:rsidP="00713C64">
      <w:pPr>
        <w:pStyle w:val="BodyText"/>
        <w:spacing w:before="0" w:line="273" w:lineRule="auto"/>
        <w:ind w:left="1440" w:right="213"/>
        <w:rPr>
          <w:color w:val="404040"/>
          <w:szCs w:val="22"/>
          <w:lang w:val="es-US"/>
        </w:rPr>
      </w:pPr>
      <w:r w:rsidRPr="00713C64">
        <w:rPr>
          <w:color w:val="404040"/>
          <w:szCs w:val="22"/>
          <w:lang w:val="es-US"/>
        </w:rPr>
        <w:t>• Lanzar campañas educativas relacionadas con el riesgo climático, o</w:t>
      </w:r>
    </w:p>
    <w:p w14:paraId="2F8F785E" w14:textId="77777777" w:rsidR="00713C64" w:rsidRPr="004D0687" w:rsidRDefault="00713C64" w:rsidP="00713C64">
      <w:pPr>
        <w:pStyle w:val="BodyText"/>
        <w:spacing w:before="0" w:line="273" w:lineRule="auto"/>
        <w:ind w:left="1440" w:right="213"/>
        <w:rPr>
          <w:color w:val="404040"/>
          <w:szCs w:val="22"/>
          <w:lang w:val="es-US"/>
        </w:rPr>
      </w:pPr>
      <w:r w:rsidRPr="004D0687">
        <w:rPr>
          <w:color w:val="404040"/>
          <w:szCs w:val="22"/>
          <w:lang w:val="es-US"/>
        </w:rPr>
        <w:t>• Implementar políticas de conservación del agua.</w:t>
      </w:r>
    </w:p>
    <w:p w14:paraId="6069ACAA" w14:textId="607EA91B" w:rsidR="00BF25E9" w:rsidRPr="00713C64" w:rsidRDefault="00713C64" w:rsidP="00713C64">
      <w:pPr>
        <w:pStyle w:val="BodyText"/>
        <w:spacing w:before="0" w:line="271" w:lineRule="auto"/>
        <w:ind w:left="630"/>
        <w:rPr>
          <w:lang w:val="es-US"/>
        </w:rPr>
      </w:pPr>
      <w:r w:rsidRPr="00713C64">
        <w:rPr>
          <w:color w:val="404040"/>
          <w:w w:val="110"/>
          <w:lang w:val="es-US"/>
        </w:rPr>
        <w:t xml:space="preserve">Las opciones de adaptación preventiva tienden a ser relativamente costosas en el mediano y largo plazo y pueden no ser suficientes para mitigar los riesgos climáticos futuros de la comunidad. Sin embargo, son efectivas para reducir el riesgo a corto plazo y suelen ser relativamente </w:t>
      </w:r>
      <w:r w:rsidRPr="00713C64">
        <w:rPr>
          <w:color w:val="404040"/>
          <w:w w:val="110"/>
          <w:lang w:val="es-US"/>
        </w:rPr>
        <w:lastRenderedPageBreak/>
        <w:t>fáciles de planificar, ya que utilizan métodos y tecnologías bien establecidos. En cierto sentido, la adaptación preventiva puede entenderse de manera similar a la mitigación de riesgos.</w:t>
      </w:r>
    </w:p>
    <w:p w14:paraId="5111D225" w14:textId="77777777" w:rsidR="00BF25E9" w:rsidRPr="00713C64" w:rsidRDefault="00BF25E9" w:rsidP="00713C64">
      <w:pPr>
        <w:pStyle w:val="BodyText"/>
        <w:spacing w:before="0"/>
        <w:ind w:left="0"/>
        <w:rPr>
          <w:lang w:val="es-US"/>
        </w:rPr>
      </w:pPr>
    </w:p>
    <w:p w14:paraId="33B7ADDC" w14:textId="1857A84E" w:rsidR="00BF25E9" w:rsidRPr="004D0687" w:rsidRDefault="00000000" w:rsidP="00713C64">
      <w:pPr>
        <w:pStyle w:val="ListParagraph"/>
        <w:numPr>
          <w:ilvl w:val="0"/>
          <w:numId w:val="1"/>
        </w:numPr>
        <w:tabs>
          <w:tab w:val="left" w:pos="542"/>
        </w:tabs>
        <w:ind w:hanging="542"/>
        <w:rPr>
          <w:rFonts w:ascii="Arial Black" w:hAnsi="Arial Black"/>
          <w:sz w:val="24"/>
          <w:lang w:val="es-US"/>
        </w:rPr>
      </w:pPr>
      <w:r w:rsidRPr="00713C64">
        <w:rPr>
          <w:rFonts w:ascii="Arial Black"/>
          <w:color w:val="FFFFFF"/>
          <w:spacing w:val="1"/>
          <w:sz w:val="28"/>
          <w:shd w:val="clear" w:color="auto" w:fill="0070C0"/>
          <w:lang w:val="es-US"/>
        </w:rPr>
        <w:t xml:space="preserve"> </w:t>
      </w:r>
      <w:r w:rsidR="00713C64" w:rsidRPr="004D0687">
        <w:rPr>
          <w:rFonts w:ascii="Arial Black" w:hAnsi="Arial Black"/>
          <w:color w:val="FFFFFF"/>
          <w:spacing w:val="1"/>
          <w:sz w:val="28"/>
          <w:shd w:val="clear" w:color="auto" w:fill="0070C0"/>
          <w:lang w:val="es-US"/>
        </w:rPr>
        <w:t xml:space="preserve">Adaptación </w:t>
      </w:r>
      <w:proofErr w:type="gramStart"/>
      <w:r w:rsidR="00713C64" w:rsidRPr="004D0687">
        <w:rPr>
          <w:rFonts w:ascii="Arial Black" w:hAnsi="Arial Black"/>
          <w:color w:val="FFFFFF"/>
          <w:spacing w:val="1"/>
          <w:sz w:val="28"/>
          <w:shd w:val="clear" w:color="auto" w:fill="0070C0"/>
          <w:lang w:val="es-US"/>
        </w:rPr>
        <w:t>Tr</w:t>
      </w:r>
      <w:r w:rsidR="00713C64" w:rsidRPr="00713C64">
        <w:rPr>
          <w:rFonts w:ascii="Arial Black"/>
          <w:color w:val="FFFFFF"/>
          <w:spacing w:val="1"/>
          <w:sz w:val="28"/>
          <w:shd w:val="clear" w:color="auto" w:fill="0070C0"/>
          <w:lang w:val="es-US"/>
        </w:rPr>
        <w:t>ansformadora</w:t>
      </w:r>
      <w:r w:rsidRPr="00713C64">
        <w:rPr>
          <w:rFonts w:ascii="Arial Black"/>
          <w:color w:val="FFFFFF"/>
          <w:spacing w:val="13"/>
          <w:sz w:val="28"/>
          <w:shd w:val="clear" w:color="auto" w:fill="0070C0"/>
          <w:lang w:val="es-US"/>
        </w:rPr>
        <w:t xml:space="preserve"> </w:t>
      </w:r>
      <w:r w:rsidRPr="00713C64">
        <w:rPr>
          <w:rFonts w:ascii="Arial Black"/>
          <w:color w:val="FFFFFF"/>
          <w:spacing w:val="60"/>
          <w:w w:val="150"/>
          <w:sz w:val="28"/>
          <w:lang w:val="es-US"/>
        </w:rPr>
        <w:t xml:space="preserve"> </w:t>
      </w:r>
      <w:r w:rsidRPr="00713C64">
        <w:rPr>
          <w:rFonts w:ascii="Arial Black"/>
          <w:color w:val="F6874A"/>
          <w:w w:val="90"/>
          <w:sz w:val="24"/>
          <w:lang w:val="es-US"/>
        </w:rPr>
        <w:t>(</w:t>
      </w:r>
      <w:proofErr w:type="gramEnd"/>
      <w:r w:rsidR="00713C64" w:rsidRPr="004D0687">
        <w:rPr>
          <w:rFonts w:ascii="Arial Black" w:hAnsi="Arial Black"/>
          <w:color w:val="F6874A"/>
          <w:w w:val="90"/>
          <w:sz w:val="24"/>
          <w:lang w:val="es-US"/>
        </w:rPr>
        <w:t>construcción de resiliencia climática</w:t>
      </w:r>
      <w:r w:rsidRPr="004D0687">
        <w:rPr>
          <w:rFonts w:ascii="Arial Black" w:hAnsi="Arial Black"/>
          <w:color w:val="F6874A"/>
          <w:spacing w:val="-2"/>
          <w:w w:val="90"/>
          <w:sz w:val="24"/>
          <w:lang w:val="es-US"/>
        </w:rPr>
        <w:t>)</w:t>
      </w:r>
    </w:p>
    <w:p w14:paraId="28959149" w14:textId="57EF6C6F" w:rsidR="00BF25E9" w:rsidRDefault="00713C64" w:rsidP="00713C64">
      <w:pPr>
        <w:pStyle w:val="BodyText"/>
        <w:spacing w:before="0" w:line="271" w:lineRule="auto"/>
        <w:ind w:left="630" w:right="213"/>
      </w:pPr>
      <w:r w:rsidRPr="00713C64">
        <w:rPr>
          <w:w w:val="110"/>
          <w:lang w:val="es-US"/>
        </w:rPr>
        <w:t xml:space="preserve">La adaptación transformadora aborda las causas fundamentales del riesgo y la vulnerabilidad climática, haciendo que el impacto de los peligros climáticos sea </w:t>
      </w:r>
      <w:proofErr w:type="gramStart"/>
      <w:r w:rsidRPr="00713C64">
        <w:rPr>
          <w:w w:val="110"/>
          <w:lang w:val="es-US"/>
        </w:rPr>
        <w:t>menos probable o menos severo</w:t>
      </w:r>
      <w:proofErr w:type="gramEnd"/>
      <w:r w:rsidRPr="00713C64">
        <w:rPr>
          <w:w w:val="110"/>
          <w:lang w:val="es-US"/>
        </w:rPr>
        <w:t xml:space="preserve">. Estas acciones se centran en cambios fundamentales en la forma en que la comunidad está diseñada o funciona para reducir la vulnerabilidad tanto hoy como en el futuro. </w:t>
      </w:r>
      <w:r w:rsidRPr="00713C64">
        <w:rPr>
          <w:w w:val="110"/>
        </w:rPr>
        <w:t xml:space="preserve">Las </w:t>
      </w:r>
      <w:proofErr w:type="spellStart"/>
      <w:r w:rsidRPr="00713C64">
        <w:rPr>
          <w:w w:val="110"/>
        </w:rPr>
        <w:t>acciones</w:t>
      </w:r>
      <w:proofErr w:type="spellEnd"/>
      <w:r w:rsidRPr="00713C64">
        <w:rPr>
          <w:w w:val="110"/>
        </w:rPr>
        <w:t xml:space="preserve"> de </w:t>
      </w:r>
      <w:proofErr w:type="spellStart"/>
      <w:r w:rsidRPr="00713C64">
        <w:rPr>
          <w:w w:val="110"/>
        </w:rPr>
        <w:t>adaptación</w:t>
      </w:r>
      <w:proofErr w:type="spellEnd"/>
      <w:r w:rsidRPr="00713C64">
        <w:rPr>
          <w:w w:val="110"/>
        </w:rPr>
        <w:t xml:space="preserve"> </w:t>
      </w:r>
      <w:proofErr w:type="spellStart"/>
      <w:r w:rsidRPr="00713C64">
        <w:rPr>
          <w:w w:val="110"/>
        </w:rPr>
        <w:t>transformadora</w:t>
      </w:r>
      <w:proofErr w:type="spellEnd"/>
      <w:r w:rsidRPr="00713C64">
        <w:rPr>
          <w:w w:val="110"/>
        </w:rPr>
        <w:t xml:space="preserve"> </w:t>
      </w:r>
      <w:proofErr w:type="spellStart"/>
      <w:r w:rsidRPr="00713C64">
        <w:rPr>
          <w:w w:val="110"/>
        </w:rPr>
        <w:t>pueden</w:t>
      </w:r>
      <w:proofErr w:type="spellEnd"/>
      <w:r w:rsidRPr="00713C64">
        <w:rPr>
          <w:w w:val="110"/>
        </w:rPr>
        <w:t xml:space="preserve"> </w:t>
      </w:r>
      <w:proofErr w:type="spellStart"/>
      <w:r w:rsidRPr="00713C64">
        <w:rPr>
          <w:w w:val="110"/>
        </w:rPr>
        <w:t>incluir</w:t>
      </w:r>
      <w:proofErr w:type="spellEnd"/>
      <w:r w:rsidRPr="00713C64">
        <w:rPr>
          <w:w w:val="110"/>
        </w:rPr>
        <w:t xml:space="preserve">, </w:t>
      </w:r>
      <w:proofErr w:type="spellStart"/>
      <w:r w:rsidRPr="00713C64">
        <w:rPr>
          <w:w w:val="110"/>
        </w:rPr>
        <w:t>por</w:t>
      </w:r>
      <w:proofErr w:type="spellEnd"/>
      <w:r w:rsidRPr="00713C64">
        <w:rPr>
          <w:w w:val="110"/>
        </w:rPr>
        <w:t xml:space="preserve"> </w:t>
      </w:r>
      <w:proofErr w:type="spellStart"/>
      <w:r w:rsidRPr="00713C64">
        <w:rPr>
          <w:w w:val="110"/>
        </w:rPr>
        <w:t>ejemplo</w:t>
      </w:r>
      <w:proofErr w:type="spellEnd"/>
      <w:r w:rsidRPr="00713C64">
        <w:rPr>
          <w:w w:val="110"/>
        </w:rPr>
        <w:t>:</w:t>
      </w:r>
    </w:p>
    <w:p w14:paraId="15ABC15A" w14:textId="02A471F6" w:rsidR="00713C64" w:rsidRPr="00713C64" w:rsidRDefault="00713C64" w:rsidP="00713C64">
      <w:pPr>
        <w:pStyle w:val="ListParagraph"/>
        <w:numPr>
          <w:ilvl w:val="1"/>
          <w:numId w:val="1"/>
        </w:numPr>
        <w:tabs>
          <w:tab w:val="left" w:pos="1350"/>
        </w:tabs>
        <w:spacing w:line="266" w:lineRule="auto"/>
        <w:ind w:right="925"/>
        <w:rPr>
          <w:sz w:val="24"/>
          <w:lang w:val="es-US"/>
        </w:rPr>
      </w:pPr>
      <w:r w:rsidRPr="00713C64">
        <w:rPr>
          <w:sz w:val="24"/>
          <w:lang w:val="es-US"/>
        </w:rPr>
        <w:t>Cambiar la forma en que se diseñan los espacios urbanos para incluir opciones de transporte más seguras y accesibles, incorporando al mismo tiempo infraestructura verde que reduzca el calor y el riesgo de inundaciones,</w:t>
      </w:r>
    </w:p>
    <w:p w14:paraId="79255EC7" w14:textId="1E9A15DB" w:rsidR="00713C64" w:rsidRPr="00713C64" w:rsidRDefault="00713C64" w:rsidP="00713C64">
      <w:pPr>
        <w:pStyle w:val="ListParagraph"/>
        <w:numPr>
          <w:ilvl w:val="1"/>
          <w:numId w:val="1"/>
        </w:numPr>
        <w:tabs>
          <w:tab w:val="left" w:pos="1350"/>
        </w:tabs>
        <w:spacing w:line="266" w:lineRule="auto"/>
        <w:ind w:right="925"/>
        <w:rPr>
          <w:sz w:val="24"/>
          <w:lang w:val="es-US"/>
        </w:rPr>
      </w:pPr>
      <w:r w:rsidRPr="00713C64">
        <w:rPr>
          <w:sz w:val="24"/>
          <w:lang w:val="es-US"/>
        </w:rPr>
        <w:t>Hacer que vivir en la comunidad sea más seguro y asequible mediante la expansión y protección de opciones de vivienda resiliente y asequible,</w:t>
      </w:r>
    </w:p>
    <w:p w14:paraId="29B1E444" w14:textId="3254DBF9" w:rsidR="00713C64" w:rsidRPr="00713C64" w:rsidRDefault="00713C64" w:rsidP="00713C64">
      <w:pPr>
        <w:pStyle w:val="ListParagraph"/>
        <w:numPr>
          <w:ilvl w:val="1"/>
          <w:numId w:val="1"/>
        </w:numPr>
        <w:tabs>
          <w:tab w:val="left" w:pos="1350"/>
        </w:tabs>
        <w:spacing w:line="266" w:lineRule="auto"/>
        <w:ind w:right="925"/>
        <w:rPr>
          <w:sz w:val="24"/>
          <w:lang w:val="es-US"/>
        </w:rPr>
      </w:pPr>
      <w:r w:rsidRPr="00713C64">
        <w:rPr>
          <w:sz w:val="24"/>
          <w:lang w:val="es-US"/>
        </w:rPr>
        <w:t>Utilizar el espacio público para huertos comunitarios y bosques alimentarios que se enfoquen en ampliar la justicia alimentaria,</w:t>
      </w:r>
    </w:p>
    <w:p w14:paraId="288ED4CE" w14:textId="7D6F2F31" w:rsidR="00713C64" w:rsidRPr="00713C64" w:rsidRDefault="00713C64" w:rsidP="00713C64">
      <w:pPr>
        <w:pStyle w:val="ListParagraph"/>
        <w:numPr>
          <w:ilvl w:val="1"/>
          <w:numId w:val="1"/>
        </w:numPr>
        <w:tabs>
          <w:tab w:val="left" w:pos="1350"/>
        </w:tabs>
        <w:spacing w:line="266" w:lineRule="auto"/>
        <w:ind w:right="925"/>
        <w:rPr>
          <w:sz w:val="24"/>
          <w:lang w:val="es-US"/>
        </w:rPr>
      </w:pPr>
      <w:r w:rsidRPr="00713C64">
        <w:rPr>
          <w:sz w:val="24"/>
          <w:lang w:val="es-US"/>
        </w:rPr>
        <w:t>Implementar códigos de construcción que requieran alta eficiencia energética y techos fríos, o</w:t>
      </w:r>
    </w:p>
    <w:p w14:paraId="450B6358" w14:textId="19E75275" w:rsidR="00BF25E9" w:rsidRPr="00713C64" w:rsidRDefault="00713C64" w:rsidP="00713C64">
      <w:pPr>
        <w:pStyle w:val="ListParagraph"/>
        <w:numPr>
          <w:ilvl w:val="1"/>
          <w:numId w:val="1"/>
        </w:numPr>
        <w:tabs>
          <w:tab w:val="left" w:pos="1350"/>
        </w:tabs>
        <w:spacing w:line="266" w:lineRule="auto"/>
        <w:ind w:right="925"/>
        <w:rPr>
          <w:rFonts w:ascii="Symbol" w:hAnsi="Symbol"/>
          <w:sz w:val="24"/>
          <w:lang w:val="es-US"/>
        </w:rPr>
      </w:pPr>
      <w:r w:rsidRPr="00713C64">
        <w:rPr>
          <w:sz w:val="24"/>
          <w:lang w:val="es-US"/>
        </w:rPr>
        <w:t>Ampliar la capacitación laboral o el desarrollo de la fuerza laboral para construir nueva capacidad en empleos relacionados con la resiliencia climática.</w:t>
      </w:r>
    </w:p>
    <w:p w14:paraId="60EEF0C5" w14:textId="3D642AC2" w:rsidR="00BF25E9" w:rsidRPr="00713C64" w:rsidRDefault="00713C64" w:rsidP="00713C64">
      <w:pPr>
        <w:pStyle w:val="BodyText"/>
        <w:spacing w:before="0" w:line="271" w:lineRule="auto"/>
        <w:ind w:left="630" w:right="201"/>
        <w:rPr>
          <w:lang w:val="es-US"/>
        </w:rPr>
      </w:pPr>
      <w:r w:rsidRPr="00713C64">
        <w:rPr>
          <w:lang w:val="es-US"/>
        </w:rPr>
        <w:t>Las acciones de adaptación transformadora abordan de manera más efectiva el riesgo climático y reducen la necesidad de medidas reactivas y preventivas, con beneficios adicionales para la ciudad o municipio y sus residentes. Debido a que el diseño y la implementación de medidas de adaptación transformadora son más complejos y requieren aportes de una amplia gama de socios, los costos iniciales de implementación tienden a ser más altos, pero a menudo representan el enfoque más económico a largo plazo. La adaptación transformadora también se conoce como construcción de resiliencia climática.</w:t>
      </w:r>
    </w:p>
    <w:p w14:paraId="5BA97DCC" w14:textId="77777777" w:rsidR="00BF25E9" w:rsidRPr="004D0687" w:rsidRDefault="00000000" w:rsidP="00713C64">
      <w:pPr>
        <w:ind w:left="720"/>
        <w:rPr>
          <w:sz w:val="27"/>
          <w:lang w:val="es-US"/>
        </w:rPr>
      </w:pPr>
      <w:r w:rsidRPr="004D0687">
        <w:rPr>
          <w:spacing w:val="-10"/>
          <w:w w:val="110"/>
          <w:sz w:val="27"/>
          <w:lang w:val="es-US"/>
        </w:rPr>
        <w:t>—</w:t>
      </w:r>
    </w:p>
    <w:p w14:paraId="104BEC41" w14:textId="7194F973" w:rsidR="00BF25E9" w:rsidRPr="004D0687" w:rsidRDefault="00713C64" w:rsidP="00713C64">
      <w:pPr>
        <w:spacing w:line="271" w:lineRule="auto"/>
        <w:ind w:left="720"/>
        <w:rPr>
          <w:sz w:val="20"/>
          <w:lang w:val="es-US"/>
        </w:rPr>
      </w:pPr>
      <w:r w:rsidRPr="00713C64">
        <w:rPr>
          <w:sz w:val="20"/>
          <w:lang w:val="es-US"/>
        </w:rPr>
        <w:t xml:space="preserve">Las definiciones anteriores fueron adaptadas del </w:t>
      </w:r>
      <w:r w:rsidR="004D0687" w:rsidRPr="004D0687">
        <w:rPr>
          <w:sz w:val="20"/>
          <w:lang w:val="es-US"/>
        </w:rPr>
        <w:t>centro de conocimiento C40</w:t>
      </w:r>
      <w:r w:rsidRPr="00713C64">
        <w:rPr>
          <w:sz w:val="20"/>
          <w:lang w:val="es-US"/>
        </w:rPr>
        <w:t xml:space="preserve">. El </w:t>
      </w:r>
      <w:r w:rsidR="004D0687" w:rsidRPr="004D0687">
        <w:rPr>
          <w:sz w:val="20"/>
          <w:lang w:val="es-US"/>
        </w:rPr>
        <w:t>centro de conocimiento C40</w:t>
      </w:r>
      <w:r w:rsidR="004D0687">
        <w:rPr>
          <w:sz w:val="20"/>
          <w:lang w:val="es-US"/>
        </w:rPr>
        <w:t xml:space="preserve"> </w:t>
      </w:r>
      <w:r w:rsidRPr="00713C64">
        <w:rPr>
          <w:sz w:val="20"/>
          <w:lang w:val="es-US"/>
        </w:rPr>
        <w:t xml:space="preserve">es un recurso para gobiernos municipales que desean actuar frente al cambio climático. El sitio reúne un conjunto de recursos, información práctica y herramientas para apoyar a los responsables de la toma de decisiones. El </w:t>
      </w:r>
      <w:r w:rsidR="004D0687" w:rsidRPr="004D0687">
        <w:rPr>
          <w:sz w:val="20"/>
          <w:lang w:val="es-US"/>
        </w:rPr>
        <w:t xml:space="preserve">centro de conocimiento </w:t>
      </w:r>
      <w:r w:rsidRPr="00713C64">
        <w:rPr>
          <w:sz w:val="20"/>
          <w:lang w:val="es-US"/>
        </w:rPr>
        <w:t xml:space="preserve">es desarrollado y mantenido por el C40 </w:t>
      </w:r>
      <w:r w:rsidR="004D0687" w:rsidRPr="004D0687">
        <w:rPr>
          <w:sz w:val="20"/>
          <w:lang w:val="es-US"/>
        </w:rPr>
        <w:t>Grupo de Liderazgo Climático de las Ciudades</w:t>
      </w:r>
      <w:r w:rsidRPr="00713C64">
        <w:rPr>
          <w:sz w:val="20"/>
          <w:lang w:val="es-US"/>
        </w:rPr>
        <w:t xml:space="preserve">. </w:t>
      </w:r>
      <w:r w:rsidRPr="004D0687">
        <w:rPr>
          <w:sz w:val="20"/>
          <w:lang w:val="es-US"/>
        </w:rPr>
        <w:t>Para más información consulte: c40knowledgehub.org</w:t>
      </w:r>
    </w:p>
    <w:sectPr w:rsidR="00BF25E9" w:rsidRPr="004D0687" w:rsidSect="00713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60" w:right="1440" w:bottom="960" w:left="14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39D7" w14:textId="77777777" w:rsidR="00E276CF" w:rsidRDefault="00E276CF">
      <w:r>
        <w:separator/>
      </w:r>
    </w:p>
  </w:endnote>
  <w:endnote w:type="continuationSeparator" w:id="0">
    <w:p w14:paraId="1D26AB81" w14:textId="77777777" w:rsidR="00E276CF" w:rsidRDefault="00E2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F485" w14:textId="77777777" w:rsidR="00713C64" w:rsidRDefault="00713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6C6A" w14:textId="77777777" w:rsidR="00BF25E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582B8E9" wp14:editId="6C24FA51">
              <wp:simplePos x="0" y="0"/>
              <wp:positionH relativeFrom="page">
                <wp:posOffset>3676650</wp:posOffset>
              </wp:positionH>
              <wp:positionV relativeFrom="page">
                <wp:posOffset>9439275</wp:posOffset>
              </wp:positionV>
              <wp:extent cx="3235325" cy="238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532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D89C2" w14:textId="36B458FD" w:rsidR="00BF25E9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 w:rsidRPr="00713C64">
                            <w:rPr>
                              <w:rFonts w:ascii="Arial"/>
                              <w:b/>
                              <w:color w:val="0070C0"/>
                              <w:sz w:val="20"/>
                              <w:lang w:val="es-US"/>
                            </w:rPr>
                            <w:t>MVP</w:t>
                          </w:r>
                          <w:r w:rsidRPr="00713C64">
                            <w:rPr>
                              <w:rFonts w:ascii="Arial"/>
                              <w:b/>
                              <w:color w:val="0070C0"/>
                              <w:spacing w:val="-7"/>
                              <w:sz w:val="20"/>
                              <w:lang w:val="es-US"/>
                            </w:rPr>
                            <w:t xml:space="preserve"> </w:t>
                          </w:r>
                          <w:r w:rsidRPr="00713C64">
                            <w:rPr>
                              <w:rFonts w:ascii="Arial"/>
                              <w:b/>
                              <w:color w:val="0070C0"/>
                              <w:sz w:val="20"/>
                              <w:lang w:val="es-US"/>
                            </w:rPr>
                            <w:t>2.0</w:t>
                          </w:r>
                          <w:r w:rsidRPr="00713C64">
                            <w:rPr>
                              <w:rFonts w:ascii="Arial"/>
                              <w:b/>
                              <w:color w:val="0070C0"/>
                              <w:spacing w:val="-5"/>
                              <w:sz w:val="20"/>
                              <w:lang w:val="es-US"/>
                            </w:rPr>
                            <w:t xml:space="preserve"> </w:t>
                          </w:r>
                          <w:r w:rsidR="00713C64" w:rsidRPr="00713C64">
                            <w:rPr>
                              <w:rFonts w:ascii="Arial MT"/>
                              <w:color w:val="0070C0"/>
                              <w:sz w:val="20"/>
                              <w:lang w:val="es-US"/>
                            </w:rPr>
                            <w:t>Niveles de estrategias de adaptaci</w:t>
                          </w:r>
                          <w:r w:rsidR="00713C64" w:rsidRPr="00713C64">
                            <w:rPr>
                              <w:rFonts w:ascii="Arial MT"/>
                              <w:color w:val="0070C0"/>
                              <w:sz w:val="20"/>
                              <w:lang w:val="es-US"/>
                            </w:rPr>
                            <w:t>ó</w:t>
                          </w:r>
                          <w:r w:rsidR="00713C64" w:rsidRPr="00713C64">
                            <w:rPr>
                              <w:rFonts w:ascii="Arial MT"/>
                              <w:color w:val="0070C0"/>
                              <w:sz w:val="20"/>
                              <w:lang w:val="es-US"/>
                            </w:rPr>
                            <w:t>n</w:t>
                          </w:r>
                          <w:r w:rsidRPr="00713C64">
                            <w:rPr>
                              <w:rFonts w:ascii="Arial MT"/>
                              <w:color w:val="0070C0"/>
                              <w:sz w:val="20"/>
                              <w:lang w:val="es-US"/>
                            </w:rPr>
                            <w:t>|</w:t>
                          </w:r>
                          <w:r w:rsidRPr="00713C64">
                            <w:rPr>
                              <w:rFonts w:ascii="Arial MT"/>
                              <w:color w:val="0070C0"/>
                              <w:spacing w:val="-5"/>
                              <w:sz w:val="20"/>
                              <w:lang w:val="es-US"/>
                            </w:rPr>
                            <w:t xml:space="preserve"> </w:t>
                          </w:r>
                          <w:r w:rsidRPr="00713C64">
                            <w:rPr>
                              <w:rFonts w:ascii="Arial MT"/>
                              <w:color w:val="0070C0"/>
                              <w:sz w:val="20"/>
                              <w:lang w:val="es-US"/>
                            </w:rPr>
                            <w:t>pg.</w:t>
                          </w:r>
                          <w:r w:rsidRPr="00713C64">
                            <w:rPr>
                              <w:rFonts w:ascii="Arial MT"/>
                              <w:color w:val="0070C0"/>
                              <w:spacing w:val="-5"/>
                              <w:sz w:val="20"/>
                              <w:lang w:val="es-US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70C0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713C64">
                            <w:rPr>
                              <w:rFonts w:ascii="Arial MT"/>
                              <w:color w:val="0070C0"/>
                              <w:spacing w:val="-10"/>
                              <w:sz w:val="20"/>
                              <w:lang w:val="es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0070C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070C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0070C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2B8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5pt;margin-top:743.25pt;width:254.75pt;height:18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" filled="f" stroked="f">
              <v:textbox inset="0,0,0,0">
                <w:txbxContent>
                  <w:p w14:paraId="287D89C2" w14:textId="36B458FD" w:rsidR="00BF25E9" w:rsidRDefault="00000000">
                    <w:pPr>
                      <w:spacing w:before="15"/>
                      <w:ind w:left="20"/>
                      <w:rPr>
                        <w:rFonts w:ascii="Arial MT"/>
                        <w:sz w:val="20"/>
                      </w:rPr>
                    </w:pPr>
                    <w:r w:rsidRPr="00713C64">
                      <w:rPr>
                        <w:rFonts w:ascii="Arial"/>
                        <w:b/>
                        <w:color w:val="0070C0"/>
                        <w:sz w:val="20"/>
                        <w:lang w:val="es-US"/>
                      </w:rPr>
                      <w:t>MVP</w:t>
                    </w:r>
                    <w:r w:rsidRPr="00713C64">
                      <w:rPr>
                        <w:rFonts w:ascii="Arial"/>
                        <w:b/>
                        <w:color w:val="0070C0"/>
                        <w:spacing w:val="-7"/>
                        <w:sz w:val="20"/>
                        <w:lang w:val="es-US"/>
                      </w:rPr>
                      <w:t xml:space="preserve"> </w:t>
                    </w:r>
                    <w:r w:rsidRPr="00713C64">
                      <w:rPr>
                        <w:rFonts w:ascii="Arial"/>
                        <w:b/>
                        <w:color w:val="0070C0"/>
                        <w:sz w:val="20"/>
                        <w:lang w:val="es-US"/>
                      </w:rPr>
                      <w:t>2.0</w:t>
                    </w:r>
                    <w:r w:rsidRPr="00713C64">
                      <w:rPr>
                        <w:rFonts w:ascii="Arial"/>
                        <w:b/>
                        <w:color w:val="0070C0"/>
                        <w:spacing w:val="-5"/>
                        <w:sz w:val="20"/>
                        <w:lang w:val="es-US"/>
                      </w:rPr>
                      <w:t xml:space="preserve"> </w:t>
                    </w:r>
                    <w:r w:rsidR="00713C64" w:rsidRPr="00713C64">
                      <w:rPr>
                        <w:rFonts w:ascii="Arial MT"/>
                        <w:color w:val="0070C0"/>
                        <w:sz w:val="20"/>
                        <w:lang w:val="es-US"/>
                      </w:rPr>
                      <w:t>Niveles de estrategias de adaptaci</w:t>
                    </w:r>
                    <w:r w:rsidR="00713C64" w:rsidRPr="00713C64">
                      <w:rPr>
                        <w:rFonts w:ascii="Arial MT"/>
                        <w:color w:val="0070C0"/>
                        <w:sz w:val="20"/>
                        <w:lang w:val="es-US"/>
                      </w:rPr>
                      <w:t>ó</w:t>
                    </w:r>
                    <w:r w:rsidR="00713C64" w:rsidRPr="00713C64">
                      <w:rPr>
                        <w:rFonts w:ascii="Arial MT"/>
                        <w:color w:val="0070C0"/>
                        <w:sz w:val="20"/>
                        <w:lang w:val="es-US"/>
                      </w:rPr>
                      <w:t>n</w:t>
                    </w:r>
                    <w:r w:rsidRPr="00713C64">
                      <w:rPr>
                        <w:rFonts w:ascii="Arial MT"/>
                        <w:color w:val="0070C0"/>
                        <w:sz w:val="20"/>
                        <w:lang w:val="es-US"/>
                      </w:rPr>
                      <w:t>|</w:t>
                    </w:r>
                    <w:r w:rsidRPr="00713C64">
                      <w:rPr>
                        <w:rFonts w:ascii="Arial MT"/>
                        <w:color w:val="0070C0"/>
                        <w:spacing w:val="-5"/>
                        <w:sz w:val="20"/>
                        <w:lang w:val="es-US"/>
                      </w:rPr>
                      <w:t xml:space="preserve"> </w:t>
                    </w:r>
                    <w:r w:rsidRPr="00713C64">
                      <w:rPr>
                        <w:rFonts w:ascii="Arial MT"/>
                        <w:color w:val="0070C0"/>
                        <w:sz w:val="20"/>
                        <w:lang w:val="es-US"/>
                      </w:rPr>
                      <w:t>pg.</w:t>
                    </w:r>
                    <w:r w:rsidRPr="00713C64">
                      <w:rPr>
                        <w:rFonts w:ascii="Arial MT"/>
                        <w:color w:val="0070C0"/>
                        <w:spacing w:val="-5"/>
                        <w:sz w:val="20"/>
                        <w:lang w:val="es-US"/>
                      </w:rPr>
                      <w:t xml:space="preserve"> </w:t>
                    </w:r>
                    <w:r>
                      <w:rPr>
                        <w:rFonts w:ascii="Arial MT"/>
                        <w:color w:val="0070C0"/>
                        <w:spacing w:val="-10"/>
                        <w:sz w:val="20"/>
                      </w:rPr>
                      <w:fldChar w:fldCharType="begin"/>
                    </w:r>
                    <w:r w:rsidRPr="00713C64">
                      <w:rPr>
                        <w:rFonts w:ascii="Arial MT"/>
                        <w:color w:val="0070C0"/>
                        <w:spacing w:val="-10"/>
                        <w:sz w:val="20"/>
                        <w:lang w:val="es-US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0070C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0070C0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0070C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B8D3" w14:textId="77777777" w:rsidR="00713C64" w:rsidRDefault="00713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0D38" w14:textId="77777777" w:rsidR="00E276CF" w:rsidRDefault="00E276CF">
      <w:r>
        <w:separator/>
      </w:r>
    </w:p>
  </w:footnote>
  <w:footnote w:type="continuationSeparator" w:id="0">
    <w:p w14:paraId="35340078" w14:textId="77777777" w:rsidR="00E276CF" w:rsidRDefault="00E2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EB68" w14:textId="77777777" w:rsidR="00713C64" w:rsidRDefault="00713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297A" w14:textId="77777777" w:rsidR="00713C64" w:rsidRDefault="00713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F783" w14:textId="77777777" w:rsidR="00713C64" w:rsidRDefault="00713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7D2A"/>
    <w:multiLevelType w:val="hybridMultilevel"/>
    <w:tmpl w:val="2DC406CE"/>
    <w:lvl w:ilvl="0" w:tplc="851C0822">
      <w:start w:val="1"/>
      <w:numFmt w:val="decimal"/>
      <w:lvlText w:val="%1."/>
      <w:lvlJc w:val="left"/>
      <w:pPr>
        <w:ind w:left="542" w:hanging="543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070C0"/>
        <w:spacing w:val="-2"/>
        <w:w w:val="86"/>
        <w:sz w:val="30"/>
        <w:szCs w:val="30"/>
        <w:lang w:val="en-US" w:eastAsia="en-US" w:bidi="ar-SA"/>
      </w:rPr>
    </w:lvl>
    <w:lvl w:ilvl="1" w:tplc="55CAAFCE">
      <w:numFmt w:val="bullet"/>
      <w:lvlText w:val=""/>
      <w:lvlJc w:val="left"/>
      <w:pPr>
        <w:ind w:left="1350" w:hanging="3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97667A4">
      <w:numFmt w:val="bullet"/>
      <w:lvlText w:val="•"/>
      <w:lvlJc w:val="left"/>
      <w:pPr>
        <w:ind w:left="2248" w:hanging="362"/>
      </w:pPr>
      <w:rPr>
        <w:rFonts w:hint="default"/>
        <w:lang w:val="en-US" w:eastAsia="en-US" w:bidi="ar-SA"/>
      </w:rPr>
    </w:lvl>
    <w:lvl w:ilvl="3" w:tplc="77E04CD4">
      <w:numFmt w:val="bullet"/>
      <w:lvlText w:val="•"/>
      <w:lvlJc w:val="left"/>
      <w:pPr>
        <w:ind w:left="3137" w:hanging="362"/>
      </w:pPr>
      <w:rPr>
        <w:rFonts w:hint="default"/>
        <w:lang w:val="en-US" w:eastAsia="en-US" w:bidi="ar-SA"/>
      </w:rPr>
    </w:lvl>
    <w:lvl w:ilvl="4" w:tplc="C9540FD2">
      <w:numFmt w:val="bullet"/>
      <w:lvlText w:val="•"/>
      <w:lvlJc w:val="left"/>
      <w:pPr>
        <w:ind w:left="4026" w:hanging="362"/>
      </w:pPr>
      <w:rPr>
        <w:rFonts w:hint="default"/>
        <w:lang w:val="en-US" w:eastAsia="en-US" w:bidi="ar-SA"/>
      </w:rPr>
    </w:lvl>
    <w:lvl w:ilvl="5" w:tplc="6D76C326">
      <w:numFmt w:val="bullet"/>
      <w:lvlText w:val="•"/>
      <w:lvlJc w:val="left"/>
      <w:pPr>
        <w:ind w:left="4915" w:hanging="362"/>
      </w:pPr>
      <w:rPr>
        <w:rFonts w:hint="default"/>
        <w:lang w:val="en-US" w:eastAsia="en-US" w:bidi="ar-SA"/>
      </w:rPr>
    </w:lvl>
    <w:lvl w:ilvl="6" w:tplc="3510FAEE">
      <w:numFmt w:val="bullet"/>
      <w:lvlText w:val="•"/>
      <w:lvlJc w:val="left"/>
      <w:pPr>
        <w:ind w:left="5804" w:hanging="362"/>
      </w:pPr>
      <w:rPr>
        <w:rFonts w:hint="default"/>
        <w:lang w:val="en-US" w:eastAsia="en-US" w:bidi="ar-SA"/>
      </w:rPr>
    </w:lvl>
    <w:lvl w:ilvl="7" w:tplc="11449A34">
      <w:numFmt w:val="bullet"/>
      <w:lvlText w:val="•"/>
      <w:lvlJc w:val="left"/>
      <w:pPr>
        <w:ind w:left="6693" w:hanging="362"/>
      </w:pPr>
      <w:rPr>
        <w:rFonts w:hint="default"/>
        <w:lang w:val="en-US" w:eastAsia="en-US" w:bidi="ar-SA"/>
      </w:rPr>
    </w:lvl>
    <w:lvl w:ilvl="8" w:tplc="3C2CDD50">
      <w:numFmt w:val="bullet"/>
      <w:lvlText w:val="•"/>
      <w:lvlJc w:val="left"/>
      <w:pPr>
        <w:ind w:left="7582" w:hanging="362"/>
      </w:pPr>
      <w:rPr>
        <w:rFonts w:hint="default"/>
        <w:lang w:val="en-US" w:eastAsia="en-US" w:bidi="ar-SA"/>
      </w:rPr>
    </w:lvl>
  </w:abstractNum>
  <w:num w:numId="1" w16cid:durableId="206813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5E9"/>
    <w:rsid w:val="004D0687"/>
    <w:rsid w:val="00713C64"/>
    <w:rsid w:val="00764C0A"/>
    <w:rsid w:val="009D2A05"/>
    <w:rsid w:val="00BF25E9"/>
    <w:rsid w:val="00CC2142"/>
    <w:rsid w:val="00DD591B"/>
    <w:rsid w:val="00E276CF"/>
    <w:rsid w:val="00ED0C81"/>
    <w:rsid w:val="00F4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CBBF1"/>
  <w15:docId w15:val="{C0729E8B-C4DA-4CE1-9FB8-6822A066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134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73" w:right="72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34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3C6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C6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13C6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C6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Goodexample_x003f_ xmlns="f4888985-777b-4b68-9fc3-6a4384cc4f29">true</Goodexample_x003f_>
    <_ip_UnifiedCompliancePolicyProperties xmlns="http://schemas.microsoft.com/sharepoint/v3" xsi:nil="true"/>
    <GrantType xmlns="f4888985-777b-4b68-9fc3-6a4384cc4f29" xsi:nil="true"/>
    <lcf76f155ced4ddcb4097134ff3c332f xmlns="f4888985-777b-4b68-9fc3-6a4384cc4f29">
      <Terms xmlns="http://schemas.microsoft.com/office/infopath/2007/PartnerControls"/>
    </lcf76f155ced4ddcb4097134ff3c332f>
    <SharedWithUsers xmlns="89b213bb-812a-4895-99d0-a44ca20ff35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16F077-54D6-4F9F-B625-D5EDF951AC6C}"/>
</file>

<file path=customXml/itemProps2.xml><?xml version="1.0" encoding="utf-8"?>
<ds:datastoreItem xmlns:ds="http://schemas.openxmlformats.org/officeDocument/2006/customXml" ds:itemID="{98B48850-8FC3-4E1B-A80D-EE7C78DC2043}"/>
</file>

<file path=customXml/itemProps3.xml><?xml version="1.0" encoding="utf-8"?>
<ds:datastoreItem xmlns:ds="http://schemas.openxmlformats.org/officeDocument/2006/customXml" ds:itemID="{D9FC5C64-F103-45CC-A020-C22838BFF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3964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KC Schmitz</cp:lastModifiedBy>
  <cp:revision>5</cp:revision>
  <dcterms:created xsi:type="dcterms:W3CDTF">2026-02-26T21:48:00Z</dcterms:created>
  <dcterms:modified xsi:type="dcterms:W3CDTF">2026-02-27T03:47:00Z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macOS Version 13.0 (Build 22A380) Quartz PDFContext</vt:lpwstr>
  </property>
  <property fmtid="{D5CDD505-2E9C-101B-9397-08002B2CF9AE}" pid="5" name="ContentTypeId">
    <vt:lpwstr>0x01010082D4B72A2883A54B8CE9B4608E4F3D4C</vt:lpwstr>
  </property>
  <property fmtid="{D5CDD505-2E9C-101B-9397-08002B2CF9AE}" pid="6" name="Order">
    <vt:r8>364200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