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64" w:rsidRDefault="00A14064" w:rsidP="00A14064">
      <w:pPr>
        <w:pStyle w:val="Title"/>
      </w:pPr>
      <w:r>
        <w:t>COMMONWEALTH OF MASSACHUSETTS</w:t>
      </w:r>
    </w:p>
    <w:p w:rsidR="00A14064" w:rsidRDefault="00A14064" w:rsidP="00A14064">
      <w:pPr>
        <w:jc w:val="center"/>
        <w:rPr>
          <w:rFonts w:ascii="Courier New" w:hAnsi="Courier New" w:cs="Courier New"/>
          <w:b/>
          <w:bCs/>
        </w:rPr>
      </w:pPr>
    </w:p>
    <w:p w:rsidR="00A14064" w:rsidRDefault="00A14064" w:rsidP="00A14064">
      <w:pPr>
        <w:jc w:val="center"/>
        <w:rPr>
          <w:rFonts w:ascii="Courier New" w:hAnsi="Courier New" w:cs="Courier New"/>
          <w:b/>
          <w:bCs/>
        </w:rPr>
      </w:pPr>
      <w:r>
        <w:rPr>
          <w:rFonts w:ascii="Courier New" w:hAnsi="Courier New" w:cs="Courier New"/>
          <w:b/>
          <w:bCs/>
        </w:rPr>
        <w:t>APPELLATE TAX BOARD</w:t>
      </w:r>
    </w:p>
    <w:p w:rsidR="004949A3" w:rsidRDefault="004949A3" w:rsidP="00A14064">
      <w:pPr>
        <w:jc w:val="center"/>
        <w:rPr>
          <w:rFonts w:ascii="Courier New" w:hAnsi="Courier New" w:cs="Courier New"/>
          <w:b/>
          <w:bCs/>
        </w:rPr>
      </w:pPr>
    </w:p>
    <w:p w:rsidR="00A14064" w:rsidRDefault="00A14064" w:rsidP="00A14064">
      <w:pPr>
        <w:jc w:val="both"/>
        <w:rPr>
          <w:rFonts w:ascii="Courier New" w:hAnsi="Courier New" w:cs="Courier New"/>
          <w:b/>
          <w:bCs/>
        </w:rPr>
      </w:pPr>
    </w:p>
    <w:p w:rsidR="00A14064" w:rsidRDefault="00A14064" w:rsidP="00A14064">
      <w:pPr>
        <w:jc w:val="both"/>
        <w:rPr>
          <w:rFonts w:ascii="Courier New" w:hAnsi="Courier New" w:cs="Courier New"/>
          <w:b/>
          <w:bCs/>
        </w:rPr>
      </w:pPr>
    </w:p>
    <w:p w:rsidR="00A14064" w:rsidRPr="00AE247F" w:rsidRDefault="00A14064" w:rsidP="00A14064">
      <w:pPr>
        <w:pStyle w:val="Heading1"/>
        <w:tabs>
          <w:tab w:val="left" w:pos="4320"/>
        </w:tabs>
      </w:pPr>
      <w:r>
        <w:t>CHRISTOPHER G. LIBERTINI      v.</w:t>
      </w:r>
      <w:r>
        <w:tab/>
        <w:t xml:space="preserve">   COMMISSIONER OF REVENUE </w:t>
      </w:r>
    </w:p>
    <w:p w:rsidR="00A14064" w:rsidRDefault="00A14064" w:rsidP="00A14064">
      <w:pPr>
        <w:jc w:val="both"/>
        <w:rPr>
          <w:rFonts w:ascii="Courier New" w:hAnsi="Courier New" w:cs="Courier New"/>
        </w:rPr>
      </w:pPr>
    </w:p>
    <w:p w:rsidR="00765255" w:rsidRDefault="00765255" w:rsidP="00A14064">
      <w:pPr>
        <w:jc w:val="both"/>
        <w:rPr>
          <w:rFonts w:ascii="Courier New" w:hAnsi="Courier New" w:cs="Courier New"/>
        </w:rPr>
      </w:pPr>
    </w:p>
    <w:p w:rsidR="00A14064" w:rsidRDefault="00845028" w:rsidP="00A14064">
      <w:pPr>
        <w:jc w:val="both"/>
        <w:rPr>
          <w:rFonts w:ascii="Courier New" w:hAnsi="Courier New" w:cs="Courier New"/>
        </w:rPr>
      </w:pPr>
      <w:r>
        <w:rPr>
          <w:rFonts w:ascii="Courier New" w:hAnsi="Courier New" w:cs="Courier New"/>
        </w:rPr>
        <w:t>Docket No.</w:t>
      </w:r>
      <w:r w:rsidR="00A14064">
        <w:rPr>
          <w:rFonts w:ascii="Courier New" w:hAnsi="Courier New" w:cs="Courier New"/>
        </w:rPr>
        <w:t xml:space="preserve"> C331588</w:t>
      </w:r>
      <w:r w:rsidR="00A14064">
        <w:rPr>
          <w:rFonts w:ascii="Courier New" w:hAnsi="Courier New" w:cs="Courier New"/>
        </w:rPr>
        <w:tab/>
      </w:r>
      <w:r w:rsidR="00A14064">
        <w:rPr>
          <w:rFonts w:ascii="Courier New" w:hAnsi="Courier New" w:cs="Courier New"/>
        </w:rPr>
        <w:tab/>
      </w:r>
      <w:r w:rsidR="00A14064">
        <w:rPr>
          <w:rFonts w:ascii="Courier New" w:hAnsi="Courier New" w:cs="Courier New"/>
        </w:rPr>
        <w:tab/>
        <w:t xml:space="preserve">        Promulgated:</w:t>
      </w:r>
    </w:p>
    <w:p w:rsidR="00A14064" w:rsidRDefault="00A14064" w:rsidP="00A14064">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5764EE">
        <w:rPr>
          <w:rFonts w:ascii="Courier New" w:hAnsi="Courier New" w:cs="Courier New"/>
        </w:rPr>
        <w:t>March 23, 2018</w:t>
      </w:r>
      <w:bookmarkStart w:id="0" w:name="_GoBack"/>
      <w:bookmarkEnd w:id="0"/>
    </w:p>
    <w:p w:rsidR="00A14064" w:rsidRDefault="00A14064" w:rsidP="00A14064">
      <w:pPr>
        <w:jc w:val="both"/>
        <w:rPr>
          <w:rFonts w:ascii="Courier New" w:hAnsi="Courier New" w:cs="Courier New"/>
        </w:rPr>
      </w:pPr>
      <w:r>
        <w:rPr>
          <w:rFonts w:ascii="Courier New" w:hAnsi="Courier New" w:cs="Courier New"/>
        </w:rPr>
        <w:t xml:space="preserve"> </w:t>
      </w:r>
    </w:p>
    <w:p w:rsidR="00A14064" w:rsidRDefault="00A14064" w:rsidP="00A14064">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A14064" w:rsidRDefault="00A14064" w:rsidP="00AD31AD">
      <w:pPr>
        <w:spacing w:line="480" w:lineRule="auto"/>
        <w:jc w:val="both"/>
        <w:rPr>
          <w:rFonts w:ascii="Courier New" w:hAnsi="Courier New" w:cs="Courier New"/>
        </w:rPr>
      </w:pPr>
      <w:r>
        <w:rPr>
          <w:rFonts w:ascii="Courier New" w:hAnsi="Courier New" w:cs="Courier New"/>
        </w:rPr>
        <w:tab/>
        <w:t xml:space="preserve">This is an appeal under the </w:t>
      </w:r>
      <w:r w:rsidRPr="00676B87">
        <w:rPr>
          <w:rFonts w:ascii="Courier New" w:hAnsi="Courier New" w:cs="Courier New"/>
        </w:rPr>
        <w:t>formal</w:t>
      </w:r>
      <w:r>
        <w:rPr>
          <w:rFonts w:ascii="Courier New" w:hAnsi="Courier New" w:cs="Courier New"/>
        </w:rPr>
        <w:t xml:space="preserve"> procedure pursuant to G.L. c. 58A, </w:t>
      </w:r>
      <w:r w:rsidRPr="00676B87">
        <w:rPr>
          <w:rFonts w:ascii="Courier New" w:hAnsi="Courier New" w:cs="Courier New"/>
        </w:rPr>
        <w:t>§ 7</w:t>
      </w:r>
      <w:r w:rsidR="00994B8E">
        <w:rPr>
          <w:rFonts w:ascii="Courier New" w:hAnsi="Courier New" w:cs="Courier New"/>
        </w:rPr>
        <w:t xml:space="preserve"> and G.L. c. 62C, § 39</w:t>
      </w:r>
      <w:r>
        <w:rPr>
          <w:rFonts w:ascii="Courier New" w:hAnsi="Courier New" w:cs="Courier New"/>
        </w:rPr>
        <w:t xml:space="preserve"> fr</w:t>
      </w:r>
      <w:r w:rsidR="00994B8E">
        <w:rPr>
          <w:rFonts w:ascii="Courier New" w:hAnsi="Courier New" w:cs="Courier New"/>
        </w:rPr>
        <w:t>om the refusal of the Commissioner of Revenue (“Commissioner” or “appellee”), to abate income taxes</w:t>
      </w:r>
      <w:r>
        <w:rPr>
          <w:rFonts w:ascii="Courier New" w:hAnsi="Courier New" w:cs="Courier New"/>
        </w:rPr>
        <w:t xml:space="preserve"> owned by and assessed to the app</w:t>
      </w:r>
      <w:r w:rsidR="00994B8E">
        <w:rPr>
          <w:rFonts w:ascii="Courier New" w:hAnsi="Courier New" w:cs="Courier New"/>
        </w:rPr>
        <w:t>ellant, Christopher G. Libertini (“appellant</w:t>
      </w:r>
      <w:r>
        <w:rPr>
          <w:rFonts w:ascii="Courier New" w:hAnsi="Courier New" w:cs="Courier New"/>
        </w:rPr>
        <w:t>”)</w:t>
      </w:r>
      <w:r w:rsidR="00410E96">
        <w:rPr>
          <w:rFonts w:ascii="Courier New" w:hAnsi="Courier New" w:cs="Courier New"/>
        </w:rPr>
        <w:t xml:space="preserve">, </w:t>
      </w:r>
      <w:r w:rsidR="00553E73">
        <w:rPr>
          <w:rFonts w:ascii="Courier New" w:hAnsi="Courier New" w:cs="Courier New"/>
        </w:rPr>
        <w:t>for tax</w:t>
      </w:r>
      <w:r>
        <w:rPr>
          <w:rFonts w:ascii="Courier New" w:hAnsi="Courier New" w:cs="Courier New"/>
        </w:rPr>
        <w:t xml:space="preserve"> year</w:t>
      </w:r>
      <w:r w:rsidR="00553E73">
        <w:rPr>
          <w:rFonts w:ascii="Courier New" w:hAnsi="Courier New" w:cs="Courier New"/>
        </w:rPr>
        <w:t>s</w:t>
      </w:r>
      <w:r w:rsidR="00F539B9">
        <w:rPr>
          <w:rFonts w:ascii="Courier New" w:hAnsi="Courier New" w:cs="Courier New"/>
        </w:rPr>
        <w:t xml:space="preserve"> ending December 31</w:t>
      </w:r>
      <w:r w:rsidR="00752E28">
        <w:rPr>
          <w:rFonts w:ascii="Courier New" w:hAnsi="Courier New" w:cs="Courier New"/>
        </w:rPr>
        <w:t>,</w:t>
      </w:r>
      <w:r w:rsidR="00F539B9">
        <w:rPr>
          <w:rFonts w:ascii="Courier New" w:hAnsi="Courier New" w:cs="Courier New"/>
        </w:rPr>
        <w:t xml:space="preserve"> 2012 and December 31, 2013 </w:t>
      </w:r>
      <w:r w:rsidR="00553E73">
        <w:rPr>
          <w:rFonts w:ascii="Courier New" w:hAnsi="Courier New" w:cs="Courier New"/>
        </w:rPr>
        <w:t>(“tax</w:t>
      </w:r>
      <w:r>
        <w:rPr>
          <w:rFonts w:ascii="Courier New" w:hAnsi="Courier New" w:cs="Courier New"/>
        </w:rPr>
        <w:t xml:space="preserve"> year</w:t>
      </w:r>
      <w:r w:rsidR="00553E73">
        <w:rPr>
          <w:rFonts w:ascii="Courier New" w:hAnsi="Courier New" w:cs="Courier New"/>
        </w:rPr>
        <w:t>s</w:t>
      </w:r>
      <w:r>
        <w:rPr>
          <w:rFonts w:ascii="Courier New" w:hAnsi="Courier New" w:cs="Courier New"/>
        </w:rPr>
        <w:t xml:space="preserve"> at issue”).</w:t>
      </w:r>
    </w:p>
    <w:p w:rsidR="00AD31AD" w:rsidRDefault="00A14064" w:rsidP="00AD31AD">
      <w:pPr>
        <w:pStyle w:val="BodyText2"/>
        <w:spacing w:after="0"/>
        <w:jc w:val="both"/>
        <w:rPr>
          <w:rFonts w:ascii="Courier New" w:hAnsi="Courier New" w:cs="Courier New"/>
        </w:rPr>
      </w:pPr>
      <w:r>
        <w:tab/>
      </w:r>
      <w:r w:rsidR="00AD31AD">
        <w:rPr>
          <w:rFonts w:ascii="Courier New" w:hAnsi="Courier New" w:cs="Courier New"/>
        </w:rPr>
        <w:t>Commissioner Good</w:t>
      </w:r>
      <w:r w:rsidRPr="00B86AF5">
        <w:rPr>
          <w:rFonts w:ascii="Courier New" w:hAnsi="Courier New" w:cs="Courier New"/>
        </w:rPr>
        <w:t xml:space="preserve"> heard this appeal</w:t>
      </w:r>
      <w:r w:rsidR="004949A3">
        <w:rPr>
          <w:rFonts w:ascii="Courier New" w:hAnsi="Courier New" w:cs="Courier New"/>
        </w:rPr>
        <w:t>.</w:t>
      </w:r>
      <w:r w:rsidRPr="00B86AF5">
        <w:rPr>
          <w:rFonts w:ascii="Courier New" w:hAnsi="Courier New" w:cs="Courier New"/>
        </w:rPr>
        <w:t xml:space="preserve"> </w:t>
      </w:r>
      <w:r w:rsidR="00AD31AD">
        <w:rPr>
          <w:rFonts w:ascii="Courier New" w:hAnsi="Courier New" w:cs="Courier New"/>
        </w:rPr>
        <w:t>Chairman Hammond and Commissioners Scharaffa, Rose and Chmielinski</w:t>
      </w:r>
      <w:r w:rsidR="004949A3">
        <w:rPr>
          <w:rFonts w:ascii="Courier New" w:hAnsi="Courier New" w:cs="Courier New"/>
        </w:rPr>
        <w:t xml:space="preserve"> joined her in </w:t>
      </w:r>
      <w:r w:rsidR="00E515C6">
        <w:rPr>
          <w:rFonts w:ascii="Courier New" w:hAnsi="Courier New" w:cs="Courier New"/>
        </w:rPr>
        <w:t>the decision</w:t>
      </w:r>
      <w:r w:rsidR="00AD31AD">
        <w:rPr>
          <w:rFonts w:ascii="Courier New" w:hAnsi="Courier New" w:cs="Courier New"/>
        </w:rPr>
        <w:t xml:space="preserve"> for the appellee</w:t>
      </w:r>
      <w:r w:rsidRPr="00B86AF5">
        <w:rPr>
          <w:rFonts w:ascii="Courier New" w:hAnsi="Courier New" w:cs="Courier New"/>
        </w:rPr>
        <w:t>.</w:t>
      </w:r>
      <w:r>
        <w:rPr>
          <w:rFonts w:ascii="Courier New" w:hAnsi="Courier New" w:cs="Courier New"/>
        </w:rPr>
        <w:t xml:space="preserve"> </w:t>
      </w:r>
      <w:r w:rsidRPr="00B86AF5">
        <w:rPr>
          <w:rFonts w:ascii="Courier New" w:hAnsi="Courier New" w:cs="Courier New"/>
        </w:rPr>
        <w:t xml:space="preserve"> </w:t>
      </w:r>
    </w:p>
    <w:p w:rsidR="00A14064" w:rsidRDefault="00AD31AD" w:rsidP="00AD31AD">
      <w:pPr>
        <w:pStyle w:val="BodyText2"/>
        <w:spacing w:after="0"/>
        <w:jc w:val="both"/>
        <w:rPr>
          <w:rFonts w:ascii="Courier New" w:hAnsi="Courier New" w:cs="Courier New"/>
        </w:rPr>
      </w:pPr>
      <w:r>
        <w:rPr>
          <w:rFonts w:ascii="Courier New" w:hAnsi="Courier New" w:cs="Courier New"/>
        </w:rPr>
        <w:tab/>
      </w:r>
      <w:r w:rsidR="00A14064" w:rsidRPr="00B86AF5">
        <w:rPr>
          <w:rFonts w:ascii="Courier New" w:hAnsi="Courier New" w:cs="Courier New"/>
        </w:rPr>
        <w:t xml:space="preserve">These findings of fact and report are made pursuant to a request by the appellant under G.L. c. 58A, § 13 and 831 CMR 1.32. </w:t>
      </w:r>
    </w:p>
    <w:p w:rsidR="004949A3" w:rsidRPr="00B86AF5" w:rsidRDefault="004949A3" w:rsidP="00AD31AD">
      <w:pPr>
        <w:pStyle w:val="BodyText2"/>
        <w:spacing w:after="0"/>
        <w:jc w:val="both"/>
        <w:rPr>
          <w:rFonts w:ascii="Courier New" w:hAnsi="Courier New" w:cs="Courier New"/>
        </w:rPr>
      </w:pPr>
    </w:p>
    <w:p w:rsidR="00A14064" w:rsidRDefault="00A14064" w:rsidP="00A14064">
      <w:pPr>
        <w:jc w:val="both"/>
        <w:rPr>
          <w:rFonts w:ascii="Courier New" w:hAnsi="Courier New" w:cs="Courier New"/>
        </w:rPr>
      </w:pPr>
      <w:r>
        <w:rPr>
          <w:rFonts w:ascii="Courier New" w:hAnsi="Courier New" w:cs="Courier New"/>
        </w:rPr>
        <w:tab/>
      </w:r>
      <w:r w:rsidR="00410E96">
        <w:rPr>
          <w:rFonts w:ascii="Courier New" w:hAnsi="Courier New" w:cs="Courier New"/>
          <w:i/>
        </w:rPr>
        <w:t>Christopher G. Libertini</w:t>
      </w:r>
      <w:r w:rsidRPr="004705D0">
        <w:rPr>
          <w:rFonts w:ascii="Courier New" w:hAnsi="Courier New" w:cs="Courier New"/>
          <w:i/>
        </w:rPr>
        <w:t xml:space="preserve">, </w:t>
      </w:r>
      <w:r>
        <w:rPr>
          <w:rFonts w:ascii="Courier New" w:hAnsi="Courier New" w:cs="Courier New"/>
          <w:i/>
        </w:rPr>
        <w:t>p</w:t>
      </w:r>
      <w:r w:rsidRPr="004705D0">
        <w:rPr>
          <w:rFonts w:ascii="Courier New" w:hAnsi="Courier New" w:cs="Courier New"/>
          <w:i/>
        </w:rPr>
        <w:t xml:space="preserve">ro </w:t>
      </w:r>
      <w:r>
        <w:rPr>
          <w:rFonts w:ascii="Courier New" w:hAnsi="Courier New" w:cs="Courier New"/>
          <w:i/>
        </w:rPr>
        <w:t>s</w:t>
      </w:r>
      <w:r w:rsidRPr="004705D0">
        <w:rPr>
          <w:rFonts w:ascii="Courier New" w:hAnsi="Courier New" w:cs="Courier New"/>
          <w:i/>
        </w:rPr>
        <w:t>e</w:t>
      </w:r>
      <w:r w:rsidR="00410E96">
        <w:rPr>
          <w:rFonts w:ascii="Courier New" w:hAnsi="Courier New" w:cs="Courier New"/>
        </w:rPr>
        <w:t>, for the appellant</w:t>
      </w:r>
      <w:r>
        <w:rPr>
          <w:rFonts w:ascii="Courier New" w:hAnsi="Courier New" w:cs="Courier New"/>
        </w:rPr>
        <w:t>.</w:t>
      </w:r>
    </w:p>
    <w:p w:rsidR="00A14064" w:rsidRDefault="00A14064" w:rsidP="00A14064">
      <w:pPr>
        <w:jc w:val="both"/>
        <w:rPr>
          <w:rFonts w:ascii="Courier New" w:hAnsi="Courier New" w:cs="Courier New"/>
        </w:rPr>
      </w:pPr>
    </w:p>
    <w:p w:rsidR="00A14064" w:rsidRDefault="00A14064" w:rsidP="00A14064">
      <w:pPr>
        <w:spacing w:line="480" w:lineRule="auto"/>
        <w:jc w:val="both"/>
        <w:rPr>
          <w:rFonts w:ascii="Courier New" w:hAnsi="Courier New" w:cs="Courier New"/>
        </w:rPr>
      </w:pPr>
      <w:r>
        <w:rPr>
          <w:rFonts w:ascii="Courier New" w:hAnsi="Courier New" w:cs="Courier New"/>
        </w:rPr>
        <w:tab/>
      </w:r>
      <w:r w:rsidR="00AD31AD">
        <w:rPr>
          <w:rFonts w:ascii="Courier New" w:hAnsi="Courier New" w:cs="Courier New"/>
          <w:i/>
        </w:rPr>
        <w:t>Michael P. Clifford</w:t>
      </w:r>
      <w:r w:rsidR="00AD31AD">
        <w:rPr>
          <w:rFonts w:ascii="Courier New" w:hAnsi="Courier New" w:cs="Courier New"/>
        </w:rPr>
        <w:t xml:space="preserve">, </w:t>
      </w:r>
      <w:r w:rsidR="00AD31AD" w:rsidRPr="00BD6C9F">
        <w:rPr>
          <w:rFonts w:ascii="Courier New" w:hAnsi="Courier New" w:cs="Courier New"/>
        </w:rPr>
        <w:t>Esq</w:t>
      </w:r>
      <w:r w:rsidR="00AD31AD">
        <w:rPr>
          <w:rFonts w:ascii="Courier New" w:hAnsi="Courier New" w:cs="Courier New"/>
        </w:rPr>
        <w:t>.</w:t>
      </w:r>
      <w:r>
        <w:rPr>
          <w:rFonts w:ascii="Courier New" w:hAnsi="Courier New" w:cs="Courier New"/>
        </w:rPr>
        <w:t xml:space="preserve">, for the appellee.  </w:t>
      </w:r>
    </w:p>
    <w:p w:rsidR="00A14064" w:rsidRDefault="00A14064" w:rsidP="00A14064">
      <w:pPr>
        <w:spacing w:line="480" w:lineRule="auto"/>
        <w:jc w:val="both"/>
        <w:rPr>
          <w:rFonts w:ascii="Courier New" w:hAnsi="Courier New" w:cs="Courier New"/>
        </w:rPr>
      </w:pPr>
    </w:p>
    <w:p w:rsidR="00A14064" w:rsidRDefault="00A14064" w:rsidP="00A14064">
      <w:pPr>
        <w:pStyle w:val="Heading2"/>
        <w:spacing w:line="480" w:lineRule="auto"/>
      </w:pPr>
      <w:r>
        <w:lastRenderedPageBreak/>
        <w:t>FINDINGS OF FACT AND REPORT</w:t>
      </w:r>
    </w:p>
    <w:p w:rsidR="00A14064" w:rsidRDefault="00A14064" w:rsidP="00A14064">
      <w:pPr>
        <w:spacing w:line="480" w:lineRule="auto"/>
        <w:ind w:firstLine="720"/>
        <w:jc w:val="both"/>
        <w:rPr>
          <w:rFonts w:ascii="Courier New" w:hAnsi="Courier New" w:cs="Courier New"/>
        </w:rPr>
      </w:pPr>
      <w:r>
        <w:rPr>
          <w:rFonts w:ascii="Courier New" w:hAnsi="Courier New" w:cs="Courier New"/>
        </w:rPr>
        <w:t xml:space="preserve">On the basis of the testimony and exhibits offered into evidence at the hearing of this appeal, the </w:t>
      </w:r>
      <w:r w:rsidR="00C934C6">
        <w:rPr>
          <w:rFonts w:ascii="Courier New" w:hAnsi="Courier New" w:cs="Courier New"/>
        </w:rPr>
        <w:t>Appellate Tax Board (“Board”)</w:t>
      </w:r>
      <w:r>
        <w:rPr>
          <w:rFonts w:ascii="Courier New" w:hAnsi="Courier New" w:cs="Courier New"/>
        </w:rPr>
        <w:t xml:space="preserve"> made the following findings of fact.</w:t>
      </w:r>
    </w:p>
    <w:p w:rsidR="00462B20" w:rsidRDefault="000D4C5C" w:rsidP="004E59B1">
      <w:pPr>
        <w:spacing w:line="480" w:lineRule="auto"/>
        <w:ind w:firstLine="720"/>
        <w:jc w:val="both"/>
        <w:rPr>
          <w:rFonts w:ascii="Courier New" w:hAnsi="Courier New" w:cs="Courier New"/>
        </w:rPr>
      </w:pPr>
      <w:r>
        <w:rPr>
          <w:rFonts w:ascii="Courier New" w:hAnsi="Courier New" w:cs="Courier New"/>
        </w:rPr>
        <w:t xml:space="preserve">On April 15, 2013, the appellant filed his 2012 Form 1, Massachusetts </w:t>
      </w:r>
      <w:r w:rsidR="00367C49">
        <w:rPr>
          <w:rFonts w:ascii="Courier New" w:hAnsi="Courier New" w:cs="Courier New"/>
        </w:rPr>
        <w:t>Resident Income Tax Return (“income tax return”</w:t>
      </w:r>
      <w:r>
        <w:rPr>
          <w:rFonts w:ascii="Courier New" w:hAnsi="Courier New" w:cs="Courier New"/>
        </w:rPr>
        <w:t>).  On April 15, 2014, the appellant</w:t>
      </w:r>
      <w:r w:rsidR="00367C49">
        <w:rPr>
          <w:rFonts w:ascii="Courier New" w:hAnsi="Courier New" w:cs="Courier New"/>
        </w:rPr>
        <w:t xml:space="preserve"> filed his 2013 income tax return</w:t>
      </w:r>
      <w:r w:rsidR="00DF4B0C">
        <w:rPr>
          <w:rFonts w:ascii="Courier New" w:hAnsi="Courier New" w:cs="Courier New"/>
        </w:rPr>
        <w:t>.  In February of</w:t>
      </w:r>
      <w:r>
        <w:rPr>
          <w:rFonts w:ascii="Courier New" w:hAnsi="Courier New" w:cs="Courier New"/>
        </w:rPr>
        <w:t xml:space="preserve"> 2015, the Commissioner commenced an audit of </w:t>
      </w:r>
      <w:r w:rsidR="00DF4B0C">
        <w:rPr>
          <w:rFonts w:ascii="Courier New" w:hAnsi="Courier New" w:cs="Courier New"/>
        </w:rPr>
        <w:t xml:space="preserve">the </w:t>
      </w:r>
      <w:r>
        <w:rPr>
          <w:rFonts w:ascii="Courier New" w:hAnsi="Courier New" w:cs="Courier New"/>
        </w:rPr>
        <w:t xml:space="preserve">appellant’s income tax returns for the tax years at issue.  </w:t>
      </w:r>
      <w:r w:rsidR="00367C49">
        <w:rPr>
          <w:rFonts w:ascii="Courier New" w:hAnsi="Courier New" w:cs="Courier New"/>
        </w:rPr>
        <w:t xml:space="preserve">After a hearing with the </w:t>
      </w:r>
      <w:r w:rsidR="00BD6C9F">
        <w:rPr>
          <w:rFonts w:ascii="Courier New" w:hAnsi="Courier New" w:cs="Courier New"/>
        </w:rPr>
        <w:t xml:space="preserve">Department of Revenue </w:t>
      </w:r>
      <w:r w:rsidR="00367C49">
        <w:rPr>
          <w:rFonts w:ascii="Courier New" w:hAnsi="Courier New" w:cs="Courier New"/>
        </w:rPr>
        <w:t xml:space="preserve">Office of Appeals, the Commissioner determined that the appellant was not entitled to the employee business expense deductions that he had claimed on his </w:t>
      </w:r>
      <w:r w:rsidR="00DF4B0C">
        <w:rPr>
          <w:rFonts w:ascii="Courier New" w:hAnsi="Courier New" w:cs="Courier New"/>
        </w:rPr>
        <w:t xml:space="preserve">income </w:t>
      </w:r>
      <w:r w:rsidR="00367C49">
        <w:rPr>
          <w:rFonts w:ascii="Courier New" w:hAnsi="Courier New" w:cs="Courier New"/>
        </w:rPr>
        <w:t>tax returns for the tax ye</w:t>
      </w:r>
      <w:r w:rsidR="00C950FD">
        <w:rPr>
          <w:rFonts w:ascii="Courier New" w:hAnsi="Courier New" w:cs="Courier New"/>
        </w:rPr>
        <w:t>ars at issue, but further determin</w:t>
      </w:r>
      <w:r w:rsidR="00367C49">
        <w:rPr>
          <w:rFonts w:ascii="Courier New" w:hAnsi="Courier New" w:cs="Courier New"/>
        </w:rPr>
        <w:t xml:space="preserve">ed that the appellant had established reasonable cause for the waiver of penalties.  </w:t>
      </w:r>
    </w:p>
    <w:p w:rsidR="00462B20" w:rsidRDefault="00367C49" w:rsidP="004E59B1">
      <w:pPr>
        <w:spacing w:line="480" w:lineRule="auto"/>
        <w:ind w:firstLine="720"/>
        <w:jc w:val="both"/>
        <w:rPr>
          <w:rFonts w:ascii="Courier New" w:hAnsi="Courier New" w:cs="Courier New"/>
        </w:rPr>
      </w:pPr>
      <w:r>
        <w:rPr>
          <w:rFonts w:ascii="Courier New" w:hAnsi="Courier New" w:cs="Courier New"/>
        </w:rPr>
        <w:t>By Notice of Assessment</w:t>
      </w:r>
      <w:r w:rsidR="00F718BA">
        <w:rPr>
          <w:rFonts w:ascii="Courier New" w:hAnsi="Courier New" w:cs="Courier New"/>
        </w:rPr>
        <w:t xml:space="preserve"> (“NOA”)</w:t>
      </w:r>
      <w:r>
        <w:rPr>
          <w:rFonts w:ascii="Courier New" w:hAnsi="Courier New" w:cs="Courier New"/>
        </w:rPr>
        <w:t xml:space="preserve"> dated February 2, 2016, the Commissioner informed the appellant of the assessment</w:t>
      </w:r>
      <w:r w:rsidR="00F718BA">
        <w:rPr>
          <w:rFonts w:ascii="Courier New" w:hAnsi="Courier New" w:cs="Courier New"/>
        </w:rPr>
        <w:t>s</w:t>
      </w:r>
      <w:r>
        <w:rPr>
          <w:rFonts w:ascii="Courier New" w:hAnsi="Courier New" w:cs="Courier New"/>
        </w:rPr>
        <w:t xml:space="preserve"> of </w:t>
      </w:r>
      <w:r w:rsidR="00F718BA">
        <w:rPr>
          <w:rFonts w:ascii="Courier New" w:hAnsi="Courier New" w:cs="Courier New"/>
        </w:rPr>
        <w:t>tax of $1,470 and interest of $179.53 for the 2012 tax year and of tax of $2,039 and interest of $159.61 for the 2013 tax year.  Because the NOA also included tax and interes</w:t>
      </w:r>
      <w:r w:rsidR="007111AF">
        <w:rPr>
          <w:rFonts w:ascii="Courier New" w:hAnsi="Courier New" w:cs="Courier New"/>
        </w:rPr>
        <w:t>t resulting from</w:t>
      </w:r>
      <w:r w:rsidR="00F718BA">
        <w:rPr>
          <w:rFonts w:ascii="Courier New" w:hAnsi="Courier New" w:cs="Courier New"/>
        </w:rPr>
        <w:t xml:space="preserve"> another tax issue that the parties have agreed not to contest before the Board, the amounts of tax in dispute are $1,458 for tax year 2012 and $2,023 for tax year 2013, together with associated interest.  </w:t>
      </w:r>
    </w:p>
    <w:p w:rsidR="00087BDF" w:rsidRDefault="004E59B1" w:rsidP="004E59B1">
      <w:pPr>
        <w:spacing w:line="480" w:lineRule="auto"/>
        <w:ind w:firstLine="720"/>
        <w:jc w:val="both"/>
        <w:rPr>
          <w:rFonts w:ascii="Courier New" w:hAnsi="Courier New" w:cs="Courier New"/>
        </w:rPr>
      </w:pPr>
      <w:r>
        <w:rPr>
          <w:rFonts w:ascii="Courier New" w:hAnsi="Courier New" w:cs="Courier New"/>
        </w:rPr>
        <w:lastRenderedPageBreak/>
        <w:t xml:space="preserve">On February 11, 2016, the appellant </w:t>
      </w:r>
      <w:r w:rsidR="00825EB9">
        <w:rPr>
          <w:rFonts w:ascii="Courier New" w:hAnsi="Courier New" w:cs="Courier New"/>
        </w:rPr>
        <w:t xml:space="preserve">timely </w:t>
      </w:r>
      <w:r>
        <w:rPr>
          <w:rFonts w:ascii="Courier New" w:hAnsi="Courier New" w:cs="Courier New"/>
        </w:rPr>
        <w:t>filed an abatement application</w:t>
      </w:r>
      <w:r w:rsidR="00825EB9">
        <w:rPr>
          <w:rFonts w:ascii="Courier New" w:hAnsi="Courier New" w:cs="Courier New"/>
        </w:rPr>
        <w:t xml:space="preserve"> with the Commissioner</w:t>
      </w:r>
      <w:r>
        <w:rPr>
          <w:rFonts w:ascii="Courier New" w:hAnsi="Courier New" w:cs="Courier New"/>
        </w:rPr>
        <w:t>, which t</w:t>
      </w:r>
      <w:r w:rsidR="00FF5204">
        <w:rPr>
          <w:rFonts w:ascii="Courier New" w:hAnsi="Courier New" w:cs="Courier New"/>
        </w:rPr>
        <w:t>he Commissioner denied on May 31</w:t>
      </w:r>
      <w:r>
        <w:rPr>
          <w:rFonts w:ascii="Courier New" w:hAnsi="Courier New" w:cs="Courier New"/>
        </w:rPr>
        <w:t xml:space="preserve">, 2016.  </w:t>
      </w:r>
      <w:r w:rsidR="00635DE0">
        <w:rPr>
          <w:rFonts w:ascii="Courier New" w:hAnsi="Courier New" w:cs="Courier New"/>
        </w:rPr>
        <w:t>The appellant seasonably filed an appeal with the Board on July 20, 2016.  Based on the foregoing facts, the Board found and ruled that it had jurisdiction over the instant appeal.</w:t>
      </w:r>
    </w:p>
    <w:p w:rsidR="00635DE0" w:rsidRDefault="00043D4E" w:rsidP="00A14064">
      <w:pPr>
        <w:spacing w:line="480" w:lineRule="auto"/>
        <w:ind w:firstLine="720"/>
        <w:jc w:val="both"/>
        <w:rPr>
          <w:rFonts w:ascii="Courier New" w:hAnsi="Courier New" w:cs="Courier New"/>
        </w:rPr>
      </w:pPr>
      <w:r>
        <w:rPr>
          <w:rFonts w:ascii="Courier New" w:hAnsi="Courier New" w:cs="Courier New"/>
        </w:rPr>
        <w:t>During the tax years at issue, the</w:t>
      </w:r>
      <w:r w:rsidR="00934070">
        <w:rPr>
          <w:rFonts w:ascii="Courier New" w:hAnsi="Courier New" w:cs="Courier New"/>
        </w:rPr>
        <w:t xml:space="preserve"> appellant lived with his wife and children </w:t>
      </w:r>
      <w:r>
        <w:rPr>
          <w:rFonts w:ascii="Courier New" w:hAnsi="Courier New" w:cs="Courier New"/>
        </w:rPr>
        <w:t>at their h</w:t>
      </w:r>
      <w:r w:rsidR="00BD6C9F">
        <w:rPr>
          <w:rFonts w:ascii="Courier New" w:hAnsi="Courier New" w:cs="Courier New"/>
        </w:rPr>
        <w:t>ome in Lowell, Massachusetts.  In August of 2006, t</w:t>
      </w:r>
      <w:r>
        <w:rPr>
          <w:rFonts w:ascii="Courier New" w:hAnsi="Courier New" w:cs="Courier New"/>
        </w:rPr>
        <w:t xml:space="preserve">he appellant began working </w:t>
      </w:r>
      <w:r w:rsidR="00AB409F">
        <w:rPr>
          <w:rFonts w:ascii="Courier New" w:hAnsi="Courier New" w:cs="Courier New"/>
        </w:rPr>
        <w:t xml:space="preserve">as an Assistant Professor of History </w:t>
      </w:r>
      <w:r>
        <w:rPr>
          <w:rFonts w:ascii="Courier New" w:hAnsi="Courier New" w:cs="Courier New"/>
        </w:rPr>
        <w:t>for Dominican College (“Dominican”) in</w:t>
      </w:r>
      <w:r w:rsidR="00BD6C9F">
        <w:rPr>
          <w:rFonts w:ascii="Courier New" w:hAnsi="Courier New" w:cs="Courier New"/>
        </w:rPr>
        <w:t xml:space="preserve"> Orangeburg, New York</w:t>
      </w:r>
      <w:r w:rsidR="00DF4B0C">
        <w:rPr>
          <w:rFonts w:ascii="Courier New" w:hAnsi="Courier New" w:cs="Courier New"/>
        </w:rPr>
        <w:t>.  From August</w:t>
      </w:r>
      <w:r w:rsidR="007F36F9">
        <w:rPr>
          <w:rFonts w:ascii="Courier New" w:hAnsi="Courier New" w:cs="Courier New"/>
        </w:rPr>
        <w:t xml:space="preserve"> 2006 through the t</w:t>
      </w:r>
      <w:r w:rsidR="00DF4B0C">
        <w:rPr>
          <w:rFonts w:ascii="Courier New" w:hAnsi="Courier New" w:cs="Courier New"/>
        </w:rPr>
        <w:t xml:space="preserve">ax years at issue, Dominican offered, and the appellant accepted, </w:t>
      </w:r>
      <w:r w:rsidR="007F36F9">
        <w:rPr>
          <w:rFonts w:ascii="Courier New" w:hAnsi="Courier New" w:cs="Courier New"/>
        </w:rPr>
        <w:t>1-year contract</w:t>
      </w:r>
      <w:r w:rsidR="00DF4B0C">
        <w:rPr>
          <w:rFonts w:ascii="Courier New" w:hAnsi="Courier New" w:cs="Courier New"/>
        </w:rPr>
        <w:t>s</w:t>
      </w:r>
      <w:r w:rsidR="007F36F9">
        <w:rPr>
          <w:rFonts w:ascii="Courier New" w:hAnsi="Courier New" w:cs="Courier New"/>
        </w:rPr>
        <w:t xml:space="preserve"> to teach at Dominican.  The contracts each cover</w:t>
      </w:r>
      <w:r w:rsidR="00C67183">
        <w:rPr>
          <w:rFonts w:ascii="Courier New" w:hAnsi="Courier New" w:cs="Courier New"/>
        </w:rPr>
        <w:t>ed</w:t>
      </w:r>
      <w:r w:rsidR="007F36F9">
        <w:rPr>
          <w:rFonts w:ascii="Courier New" w:hAnsi="Courier New" w:cs="Courier New"/>
        </w:rPr>
        <w:t xml:space="preserve"> the academic year of </w:t>
      </w:r>
      <w:r w:rsidR="00AA477B">
        <w:rPr>
          <w:rFonts w:ascii="Courier New" w:hAnsi="Courier New" w:cs="Courier New"/>
        </w:rPr>
        <w:t xml:space="preserve">August </w:t>
      </w:r>
      <w:r w:rsidR="0067445C">
        <w:rPr>
          <w:rFonts w:ascii="Courier New" w:hAnsi="Courier New" w:cs="Courier New"/>
        </w:rPr>
        <w:t>15</w:t>
      </w:r>
      <w:r w:rsidR="0067445C" w:rsidRPr="0067445C">
        <w:rPr>
          <w:rFonts w:ascii="Courier New" w:hAnsi="Courier New" w:cs="Courier New"/>
          <w:vertAlign w:val="superscript"/>
        </w:rPr>
        <w:t>th</w:t>
      </w:r>
      <w:r w:rsidR="0067445C">
        <w:rPr>
          <w:rFonts w:ascii="Courier New" w:hAnsi="Courier New" w:cs="Courier New"/>
        </w:rPr>
        <w:t xml:space="preserve"> </w:t>
      </w:r>
      <w:r w:rsidR="00AA477B">
        <w:rPr>
          <w:rFonts w:ascii="Courier New" w:hAnsi="Courier New" w:cs="Courier New"/>
        </w:rPr>
        <w:t>through</w:t>
      </w:r>
      <w:r w:rsidR="0067445C">
        <w:rPr>
          <w:rFonts w:ascii="Courier New" w:hAnsi="Courier New" w:cs="Courier New"/>
        </w:rPr>
        <w:t xml:space="preserve"> August 14</w:t>
      </w:r>
      <w:r w:rsidR="0067445C" w:rsidRPr="0067445C">
        <w:rPr>
          <w:rFonts w:ascii="Courier New" w:hAnsi="Courier New" w:cs="Courier New"/>
          <w:vertAlign w:val="superscript"/>
        </w:rPr>
        <w:t>th</w:t>
      </w:r>
      <w:r w:rsidR="00AA477B" w:rsidRPr="00AA477B">
        <w:rPr>
          <w:rFonts w:ascii="Courier New" w:hAnsi="Courier New" w:cs="Courier New"/>
        </w:rPr>
        <w:t>.</w:t>
      </w:r>
      <w:r w:rsidR="00AA477B">
        <w:rPr>
          <w:rFonts w:ascii="Courier New" w:hAnsi="Courier New" w:cs="Courier New"/>
        </w:rPr>
        <w:t xml:space="preserve">  Each of the contracts for the tax years at issue were made by Dominican as of April 1</w:t>
      </w:r>
      <w:r w:rsidR="00AA477B" w:rsidRPr="00AA477B">
        <w:rPr>
          <w:rFonts w:ascii="Courier New" w:hAnsi="Courier New" w:cs="Courier New"/>
          <w:vertAlign w:val="superscript"/>
        </w:rPr>
        <w:t>st</w:t>
      </w:r>
      <w:r w:rsidR="00AA477B">
        <w:rPr>
          <w:rFonts w:ascii="Courier New" w:hAnsi="Courier New" w:cs="Courier New"/>
        </w:rPr>
        <w:t xml:space="preserve"> of that calendar year</w:t>
      </w:r>
      <w:r w:rsidR="002B757C">
        <w:rPr>
          <w:rFonts w:ascii="Courier New" w:hAnsi="Courier New" w:cs="Courier New"/>
        </w:rPr>
        <w:t xml:space="preserve">, </w:t>
      </w:r>
      <w:r w:rsidR="00E37582">
        <w:rPr>
          <w:rFonts w:ascii="Courier New" w:hAnsi="Courier New" w:cs="Courier New"/>
        </w:rPr>
        <w:t>and signed</w:t>
      </w:r>
      <w:r w:rsidR="00AA477B">
        <w:rPr>
          <w:rFonts w:ascii="Courier New" w:hAnsi="Courier New" w:cs="Courier New"/>
        </w:rPr>
        <w:t xml:space="preserve"> by the appellant no later than </w:t>
      </w:r>
      <w:r w:rsidR="002B757C">
        <w:rPr>
          <w:rFonts w:ascii="Courier New" w:hAnsi="Courier New" w:cs="Courier New"/>
        </w:rPr>
        <w:t>April 25</w:t>
      </w:r>
      <w:r w:rsidR="002B757C" w:rsidRPr="002B757C">
        <w:rPr>
          <w:rFonts w:ascii="Courier New" w:hAnsi="Courier New" w:cs="Courier New"/>
          <w:vertAlign w:val="superscript"/>
        </w:rPr>
        <w:t>th</w:t>
      </w:r>
      <w:r w:rsidR="002B757C">
        <w:rPr>
          <w:rFonts w:ascii="Courier New" w:hAnsi="Courier New" w:cs="Courier New"/>
        </w:rPr>
        <w:t xml:space="preserve"> and by the President of Dominican no later than </w:t>
      </w:r>
      <w:r w:rsidR="00AA477B">
        <w:rPr>
          <w:rFonts w:ascii="Courier New" w:hAnsi="Courier New" w:cs="Courier New"/>
        </w:rPr>
        <w:t>May 2</w:t>
      </w:r>
      <w:r w:rsidR="00AA477B" w:rsidRPr="00AA477B">
        <w:rPr>
          <w:rFonts w:ascii="Courier New" w:hAnsi="Courier New" w:cs="Courier New"/>
          <w:vertAlign w:val="superscript"/>
        </w:rPr>
        <w:t>nd</w:t>
      </w:r>
      <w:r w:rsidR="00BD6C9F">
        <w:rPr>
          <w:rFonts w:ascii="Courier New" w:hAnsi="Courier New" w:cs="Courier New"/>
        </w:rPr>
        <w:t xml:space="preserve"> of the</w:t>
      </w:r>
      <w:r w:rsidR="00AA477B">
        <w:rPr>
          <w:rFonts w:ascii="Courier New" w:hAnsi="Courier New" w:cs="Courier New"/>
        </w:rPr>
        <w:t xml:space="preserve"> same calendar year.  </w:t>
      </w:r>
    </w:p>
    <w:p w:rsidR="0067293B" w:rsidRDefault="00DF4B0C" w:rsidP="0000551D">
      <w:pPr>
        <w:spacing w:line="480" w:lineRule="auto"/>
        <w:ind w:firstLine="720"/>
        <w:jc w:val="both"/>
        <w:rPr>
          <w:rFonts w:ascii="Courier New" w:hAnsi="Courier New" w:cs="Courier New"/>
        </w:rPr>
      </w:pPr>
      <w:r>
        <w:rPr>
          <w:rFonts w:ascii="Courier New" w:hAnsi="Courier New" w:cs="Courier New"/>
        </w:rPr>
        <w:t>In August of</w:t>
      </w:r>
      <w:r w:rsidR="004A7E75">
        <w:rPr>
          <w:rFonts w:ascii="Courier New" w:hAnsi="Courier New" w:cs="Courier New"/>
        </w:rPr>
        <w:t xml:space="preserve"> 2006, the appellant purchased a condominium in Pomona, New York, located about 12 miles from Dominican.  The appellant owned the condominium during the tax years at issue</w:t>
      </w:r>
      <w:r w:rsidR="008B05F9">
        <w:rPr>
          <w:rFonts w:ascii="Courier New" w:hAnsi="Courier New" w:cs="Courier New"/>
        </w:rPr>
        <w:t>,</w:t>
      </w:r>
      <w:r w:rsidR="004A7E75">
        <w:rPr>
          <w:rFonts w:ascii="Courier New" w:hAnsi="Courier New" w:cs="Courier New"/>
        </w:rPr>
        <w:t xml:space="preserve"> and </w:t>
      </w:r>
      <w:r w:rsidR="008B05F9">
        <w:rPr>
          <w:rFonts w:ascii="Courier New" w:hAnsi="Courier New" w:cs="Courier New"/>
        </w:rPr>
        <w:t xml:space="preserve">he </w:t>
      </w:r>
      <w:r w:rsidR="004A7E75">
        <w:rPr>
          <w:rFonts w:ascii="Courier New" w:hAnsi="Courier New" w:cs="Courier New"/>
        </w:rPr>
        <w:t xml:space="preserve">continued to own </w:t>
      </w:r>
      <w:r w:rsidR="0053791F">
        <w:rPr>
          <w:rFonts w:ascii="Courier New" w:hAnsi="Courier New" w:cs="Courier New"/>
        </w:rPr>
        <w:t>it at</w:t>
      </w:r>
      <w:r w:rsidR="004A7E75">
        <w:rPr>
          <w:rFonts w:ascii="Courier New" w:hAnsi="Courier New" w:cs="Courier New"/>
        </w:rPr>
        <w:t xml:space="preserve"> the time of the hearing of this </w:t>
      </w:r>
      <w:r w:rsidR="004A7E75">
        <w:rPr>
          <w:rFonts w:ascii="Courier New" w:hAnsi="Courier New" w:cs="Courier New"/>
        </w:rPr>
        <w:lastRenderedPageBreak/>
        <w:t>appeal.</w:t>
      </w:r>
      <w:r w:rsidR="0053791F">
        <w:rPr>
          <w:rStyle w:val="FootnoteReference"/>
          <w:rFonts w:ascii="Courier New" w:hAnsi="Courier New" w:cs="Courier New"/>
        </w:rPr>
        <w:footnoteReference w:id="1"/>
      </w:r>
      <w:r w:rsidR="004A7E75">
        <w:rPr>
          <w:rFonts w:ascii="Courier New" w:hAnsi="Courier New" w:cs="Courier New"/>
        </w:rPr>
        <w:t xml:space="preserve"> </w:t>
      </w:r>
      <w:r w:rsidR="00462B20">
        <w:rPr>
          <w:rFonts w:ascii="Courier New" w:hAnsi="Courier New" w:cs="Courier New"/>
        </w:rPr>
        <w:t>In</w:t>
      </w:r>
      <w:r w:rsidR="0067293B">
        <w:rPr>
          <w:rFonts w:ascii="Courier New" w:hAnsi="Courier New" w:cs="Courier New"/>
        </w:rPr>
        <w:t xml:space="preserve"> both the Fall and Spring semesters during the tax years at issue, the appellant drove </w:t>
      </w:r>
      <w:r w:rsidR="00D96127">
        <w:rPr>
          <w:rFonts w:ascii="Courier New" w:hAnsi="Courier New" w:cs="Courier New"/>
        </w:rPr>
        <w:t>the 210</w:t>
      </w:r>
      <w:r w:rsidR="0067293B">
        <w:rPr>
          <w:rFonts w:ascii="Courier New" w:hAnsi="Courier New" w:cs="Courier New"/>
        </w:rPr>
        <w:t>-mile trip to Dominican from his home in Lowell, Massachusetts at the start of ea</w:t>
      </w:r>
      <w:r w:rsidR="0000551D">
        <w:rPr>
          <w:rFonts w:ascii="Courier New" w:hAnsi="Courier New" w:cs="Courier New"/>
        </w:rPr>
        <w:t xml:space="preserve">ch week.  He </w:t>
      </w:r>
      <w:r w:rsidR="0067293B">
        <w:rPr>
          <w:rFonts w:ascii="Courier New" w:hAnsi="Courier New" w:cs="Courier New"/>
        </w:rPr>
        <w:t>stayed at his condominium in</w:t>
      </w:r>
      <w:r w:rsidR="0000551D">
        <w:rPr>
          <w:rFonts w:ascii="Courier New" w:hAnsi="Courier New" w:cs="Courier New"/>
        </w:rPr>
        <w:t xml:space="preserve"> Pomona during the week, and </w:t>
      </w:r>
      <w:r w:rsidR="00321837">
        <w:rPr>
          <w:rFonts w:ascii="Courier New" w:hAnsi="Courier New" w:cs="Courier New"/>
        </w:rPr>
        <w:t>drove back to Lowell</w:t>
      </w:r>
      <w:r w:rsidR="0067293B">
        <w:rPr>
          <w:rFonts w:ascii="Courier New" w:hAnsi="Courier New" w:cs="Courier New"/>
        </w:rPr>
        <w:t xml:space="preserve"> at the end of each week so that he could spend his weekends in Lowell.  </w:t>
      </w:r>
    </w:p>
    <w:p w:rsidR="00F743A2" w:rsidRDefault="0067293B" w:rsidP="00A14064">
      <w:pPr>
        <w:spacing w:line="480" w:lineRule="auto"/>
        <w:ind w:firstLine="720"/>
        <w:jc w:val="both"/>
        <w:rPr>
          <w:rFonts w:ascii="Courier New" w:hAnsi="Courier New" w:cs="Courier New"/>
        </w:rPr>
      </w:pPr>
      <w:r>
        <w:rPr>
          <w:rFonts w:ascii="Courier New" w:hAnsi="Courier New" w:cs="Courier New"/>
        </w:rPr>
        <w:t>On his Massachusetts personal income tax returns for each of the tax years at issue, the appellant deducted employee business expenses associated with traveling between his home in Lowell and his place of employment in Orangeburg.  Specifically,</w:t>
      </w:r>
      <w:r w:rsidR="00AE330B">
        <w:rPr>
          <w:rFonts w:ascii="Courier New" w:hAnsi="Courier New" w:cs="Courier New"/>
        </w:rPr>
        <w:t xml:space="preserve"> the appellant included deductions for mi</w:t>
      </w:r>
      <w:r w:rsidR="0005621C">
        <w:rPr>
          <w:rFonts w:ascii="Courier New" w:hAnsi="Courier New" w:cs="Courier New"/>
        </w:rPr>
        <w:t xml:space="preserve">leage, tolls, meals, and lodging expenses, including amounts for mortgage interest, property tax, and condominium fees associated with the condominium in Pomona. </w:t>
      </w:r>
      <w:r>
        <w:rPr>
          <w:rFonts w:ascii="Courier New" w:hAnsi="Courier New" w:cs="Courier New"/>
        </w:rPr>
        <w:t xml:space="preserve"> </w:t>
      </w:r>
      <w:r w:rsidR="00F743A2">
        <w:rPr>
          <w:rFonts w:ascii="Courier New" w:hAnsi="Courier New" w:cs="Courier New"/>
        </w:rPr>
        <w:t xml:space="preserve">The Commissioner denied those expenses, determining that the appellant’s </w:t>
      </w:r>
      <w:r w:rsidR="00613CA8">
        <w:rPr>
          <w:rFonts w:ascii="Courier New" w:hAnsi="Courier New" w:cs="Courier New"/>
        </w:rPr>
        <w:t>so-called “</w:t>
      </w:r>
      <w:r w:rsidR="00F743A2">
        <w:rPr>
          <w:rFonts w:ascii="Courier New" w:hAnsi="Courier New" w:cs="Courier New"/>
        </w:rPr>
        <w:t>tax home</w:t>
      </w:r>
      <w:r w:rsidR="00613CA8">
        <w:rPr>
          <w:rFonts w:ascii="Courier New" w:hAnsi="Courier New" w:cs="Courier New"/>
        </w:rPr>
        <w:t>”</w:t>
      </w:r>
      <w:r w:rsidR="00F743A2">
        <w:rPr>
          <w:rFonts w:ascii="Courier New" w:hAnsi="Courier New" w:cs="Courier New"/>
        </w:rPr>
        <w:t xml:space="preserve"> was in Orangeburg, New York, at his place of business, not in Lowell, Massachusetts, at his family’s home.  The Commissioner’s determination of the appellant’s t</w:t>
      </w:r>
      <w:r w:rsidR="00AB409F">
        <w:rPr>
          <w:rFonts w:ascii="Courier New" w:hAnsi="Courier New" w:cs="Courier New"/>
        </w:rPr>
        <w:t>ax home is the issue</w:t>
      </w:r>
      <w:r w:rsidR="00F743A2">
        <w:rPr>
          <w:rFonts w:ascii="Courier New" w:hAnsi="Courier New" w:cs="Courier New"/>
        </w:rPr>
        <w:t xml:space="preserve"> in this appeal.</w:t>
      </w:r>
    </w:p>
    <w:p w:rsidR="00F32969" w:rsidRDefault="00AB409F" w:rsidP="00687414">
      <w:pPr>
        <w:spacing w:line="480" w:lineRule="auto"/>
        <w:ind w:firstLine="720"/>
        <w:jc w:val="both"/>
        <w:rPr>
          <w:rFonts w:ascii="Courier New" w:hAnsi="Courier New" w:cs="Courier New"/>
        </w:rPr>
      </w:pPr>
      <w:r>
        <w:rPr>
          <w:rFonts w:ascii="Courier New" w:hAnsi="Courier New" w:cs="Courier New"/>
        </w:rPr>
        <w:t xml:space="preserve">The appellant testified </w:t>
      </w:r>
      <w:r w:rsidR="00B5580A">
        <w:rPr>
          <w:rFonts w:ascii="Courier New" w:hAnsi="Courier New" w:cs="Courier New"/>
        </w:rPr>
        <w:t>about his</w:t>
      </w:r>
      <w:r>
        <w:rPr>
          <w:rFonts w:ascii="Courier New" w:hAnsi="Courier New" w:cs="Courier New"/>
        </w:rPr>
        <w:t xml:space="preserve"> duties as Assistant Professor of History at Dominican.</w:t>
      </w:r>
      <w:r w:rsidR="00F05BD8">
        <w:rPr>
          <w:rFonts w:ascii="Courier New" w:hAnsi="Courier New" w:cs="Courier New"/>
        </w:rPr>
        <w:t xml:space="preserve"> </w:t>
      </w:r>
      <w:r w:rsidR="007A6439">
        <w:rPr>
          <w:rFonts w:ascii="Courier New" w:hAnsi="Courier New" w:cs="Courier New"/>
        </w:rPr>
        <w:t xml:space="preserve"> </w:t>
      </w:r>
      <w:r w:rsidR="00DF4B0C">
        <w:rPr>
          <w:rFonts w:ascii="Courier New" w:hAnsi="Courier New" w:cs="Courier New"/>
        </w:rPr>
        <w:t>He taught 4</w:t>
      </w:r>
      <w:r w:rsidR="0000551D">
        <w:rPr>
          <w:rFonts w:ascii="Courier New" w:hAnsi="Courier New" w:cs="Courier New"/>
        </w:rPr>
        <w:t xml:space="preserve"> courses each semester</w:t>
      </w:r>
      <w:r w:rsidR="00206B4A">
        <w:rPr>
          <w:rFonts w:ascii="Courier New" w:hAnsi="Courier New" w:cs="Courier New"/>
        </w:rPr>
        <w:t xml:space="preserve">, including proctoring the final exams for </w:t>
      </w:r>
      <w:r w:rsidR="0000551D">
        <w:rPr>
          <w:rFonts w:ascii="Courier New" w:hAnsi="Courier New" w:cs="Courier New"/>
        </w:rPr>
        <w:t>each course</w:t>
      </w:r>
      <w:r w:rsidR="00687414">
        <w:rPr>
          <w:rFonts w:ascii="Courier New" w:hAnsi="Courier New" w:cs="Courier New"/>
        </w:rPr>
        <w:t xml:space="preserve">.  </w:t>
      </w:r>
      <w:r w:rsidR="00687414">
        <w:rPr>
          <w:rFonts w:ascii="Courier New" w:hAnsi="Courier New" w:cs="Courier New"/>
        </w:rPr>
        <w:lastRenderedPageBreak/>
        <w:t xml:space="preserve">In addition, the appellant </w:t>
      </w:r>
      <w:r w:rsidR="00206B4A">
        <w:rPr>
          <w:rFonts w:ascii="Courier New" w:hAnsi="Courier New" w:cs="Courier New"/>
        </w:rPr>
        <w:t xml:space="preserve">served as an advisor to about 15 to 20 students each semester, which involved reviewing the students’ programs of study, their degree requirements and their grades, and helping them </w:t>
      </w:r>
      <w:r w:rsidR="00687414">
        <w:rPr>
          <w:rFonts w:ascii="Courier New" w:hAnsi="Courier New" w:cs="Courier New"/>
        </w:rPr>
        <w:t xml:space="preserve">register for upcoming classes.  The appellant also held regular office hours in order to consult with students in his classes as well as those whom he was advising.  </w:t>
      </w:r>
    </w:p>
    <w:p w:rsidR="00687414" w:rsidRDefault="00DF4B0C" w:rsidP="00A14064">
      <w:pPr>
        <w:spacing w:line="480" w:lineRule="auto"/>
        <w:ind w:firstLine="720"/>
        <w:jc w:val="both"/>
        <w:rPr>
          <w:rFonts w:ascii="Courier New" w:hAnsi="Courier New" w:cs="Courier New"/>
        </w:rPr>
      </w:pPr>
      <w:r>
        <w:rPr>
          <w:rFonts w:ascii="Courier New" w:hAnsi="Courier New" w:cs="Courier New"/>
        </w:rPr>
        <w:t>During the tax years</w:t>
      </w:r>
      <w:r w:rsidR="00F32969">
        <w:rPr>
          <w:rFonts w:ascii="Courier New" w:hAnsi="Courier New" w:cs="Courier New"/>
        </w:rPr>
        <w:t xml:space="preserve"> at issue, the appellant also served as Coordinator of Dominican’s His</w:t>
      </w:r>
      <w:r w:rsidR="00687414">
        <w:rPr>
          <w:rFonts w:ascii="Courier New" w:hAnsi="Courier New" w:cs="Courier New"/>
        </w:rPr>
        <w:t xml:space="preserve">tory Department.  He </w:t>
      </w:r>
      <w:r w:rsidR="00C75FC7">
        <w:rPr>
          <w:rFonts w:ascii="Courier New" w:hAnsi="Courier New" w:cs="Courier New"/>
        </w:rPr>
        <w:t>testified that in this capacity</w:t>
      </w:r>
      <w:r w:rsidR="00F32969">
        <w:rPr>
          <w:rFonts w:ascii="Courier New" w:hAnsi="Courier New" w:cs="Courier New"/>
        </w:rPr>
        <w:t xml:space="preserve"> he</w:t>
      </w:r>
      <w:r>
        <w:rPr>
          <w:rFonts w:ascii="Courier New" w:hAnsi="Courier New" w:cs="Courier New"/>
        </w:rPr>
        <w:t xml:space="preserve"> did the following</w:t>
      </w:r>
      <w:r w:rsidR="00C75FC7">
        <w:rPr>
          <w:rFonts w:ascii="Courier New" w:hAnsi="Courier New" w:cs="Courier New"/>
        </w:rPr>
        <w:t>:</w:t>
      </w:r>
      <w:r w:rsidR="00F32969">
        <w:rPr>
          <w:rFonts w:ascii="Courier New" w:hAnsi="Courier New" w:cs="Courier New"/>
        </w:rPr>
        <w:t xml:space="preserve"> </w:t>
      </w:r>
      <w:r>
        <w:rPr>
          <w:rFonts w:ascii="Courier New" w:hAnsi="Courier New" w:cs="Courier New"/>
        </w:rPr>
        <w:t xml:space="preserve"> </w:t>
      </w:r>
      <w:r w:rsidR="00F32969">
        <w:rPr>
          <w:rFonts w:ascii="Courier New" w:hAnsi="Courier New" w:cs="Courier New"/>
        </w:rPr>
        <w:t xml:space="preserve">managed the history department staff, </w:t>
      </w:r>
      <w:r w:rsidR="00AF2B52">
        <w:rPr>
          <w:rFonts w:ascii="Courier New" w:hAnsi="Courier New" w:cs="Courier New"/>
        </w:rPr>
        <w:t>which included</w:t>
      </w:r>
      <w:r>
        <w:rPr>
          <w:rFonts w:ascii="Courier New" w:hAnsi="Courier New" w:cs="Courier New"/>
        </w:rPr>
        <w:t xml:space="preserve"> 2</w:t>
      </w:r>
      <w:r w:rsidR="006A74D5">
        <w:rPr>
          <w:rFonts w:ascii="Courier New" w:hAnsi="Courier New" w:cs="Courier New"/>
        </w:rPr>
        <w:t xml:space="preserve"> fu</w:t>
      </w:r>
      <w:r>
        <w:rPr>
          <w:rFonts w:ascii="Courier New" w:hAnsi="Courier New" w:cs="Courier New"/>
        </w:rPr>
        <w:t>ll-time faculty members and 4 to 5</w:t>
      </w:r>
      <w:r w:rsidR="006A74D5">
        <w:rPr>
          <w:rFonts w:ascii="Courier New" w:hAnsi="Courier New" w:cs="Courier New"/>
        </w:rPr>
        <w:t xml:space="preserve"> </w:t>
      </w:r>
      <w:r w:rsidR="00C75FC7">
        <w:rPr>
          <w:rFonts w:ascii="Courier New" w:hAnsi="Courier New" w:cs="Courier New"/>
        </w:rPr>
        <w:t>part-time faculty members;</w:t>
      </w:r>
      <w:r w:rsidR="00984C41">
        <w:rPr>
          <w:rFonts w:ascii="Courier New" w:hAnsi="Courier New" w:cs="Courier New"/>
        </w:rPr>
        <w:t xml:space="preserve"> de</w:t>
      </w:r>
      <w:r w:rsidR="00B9145F">
        <w:rPr>
          <w:rFonts w:ascii="Courier New" w:hAnsi="Courier New" w:cs="Courier New"/>
        </w:rPr>
        <w:t xml:space="preserve">signed course schedules for </w:t>
      </w:r>
      <w:r w:rsidR="00984C41">
        <w:rPr>
          <w:rFonts w:ascii="Courier New" w:hAnsi="Courier New" w:cs="Courier New"/>
        </w:rPr>
        <w:t xml:space="preserve">approximately 15 </w:t>
      </w:r>
      <w:r w:rsidR="006A74D5">
        <w:rPr>
          <w:rFonts w:ascii="Courier New" w:hAnsi="Courier New" w:cs="Courier New"/>
        </w:rPr>
        <w:t xml:space="preserve">history </w:t>
      </w:r>
      <w:r w:rsidR="00984C41">
        <w:rPr>
          <w:rFonts w:ascii="Courier New" w:hAnsi="Courier New" w:cs="Courier New"/>
        </w:rPr>
        <w:t>courses per se</w:t>
      </w:r>
      <w:r w:rsidR="006A74D5">
        <w:rPr>
          <w:rFonts w:ascii="Courier New" w:hAnsi="Courier New" w:cs="Courier New"/>
        </w:rPr>
        <w:t>mester</w:t>
      </w:r>
      <w:r w:rsidR="00D53F05">
        <w:rPr>
          <w:rFonts w:ascii="Courier New" w:hAnsi="Courier New" w:cs="Courier New"/>
        </w:rPr>
        <w:t xml:space="preserve">; and oversaw appeals </w:t>
      </w:r>
      <w:r>
        <w:rPr>
          <w:rFonts w:ascii="Courier New" w:hAnsi="Courier New" w:cs="Courier New"/>
        </w:rPr>
        <w:t>filed by students who wished to</w:t>
      </w:r>
      <w:r w:rsidR="00D53F05">
        <w:rPr>
          <w:rFonts w:ascii="Courier New" w:hAnsi="Courier New" w:cs="Courier New"/>
        </w:rPr>
        <w:t xml:space="preserve"> dispute a grade or other matters within the history department</w:t>
      </w:r>
      <w:r w:rsidR="00ED067D">
        <w:rPr>
          <w:rFonts w:ascii="Courier New" w:hAnsi="Courier New" w:cs="Courier New"/>
        </w:rPr>
        <w:t xml:space="preserve">.  </w:t>
      </w:r>
    </w:p>
    <w:p w:rsidR="00F743A2" w:rsidRDefault="00687414" w:rsidP="00A14064">
      <w:pPr>
        <w:spacing w:line="480" w:lineRule="auto"/>
        <w:ind w:firstLine="720"/>
        <w:jc w:val="both"/>
        <w:rPr>
          <w:rFonts w:ascii="Courier New" w:hAnsi="Courier New" w:cs="Courier New"/>
        </w:rPr>
      </w:pPr>
      <w:r>
        <w:rPr>
          <w:rFonts w:ascii="Courier New" w:hAnsi="Courier New" w:cs="Courier New"/>
        </w:rPr>
        <w:t xml:space="preserve">Lastly, </w:t>
      </w:r>
      <w:r w:rsidR="00ED067D">
        <w:rPr>
          <w:rFonts w:ascii="Courier New" w:hAnsi="Courier New" w:cs="Courier New"/>
        </w:rPr>
        <w:t xml:space="preserve">during the tax years at issue, the appellant </w:t>
      </w:r>
      <w:r>
        <w:rPr>
          <w:rFonts w:ascii="Courier New" w:hAnsi="Courier New" w:cs="Courier New"/>
        </w:rPr>
        <w:t xml:space="preserve">also served as coach of Dominican’s </w:t>
      </w:r>
      <w:r w:rsidR="00ED067D">
        <w:rPr>
          <w:rFonts w:ascii="Courier New" w:hAnsi="Courier New" w:cs="Courier New"/>
        </w:rPr>
        <w:t>debate team, which involved meeting w</w:t>
      </w:r>
      <w:r>
        <w:rPr>
          <w:rFonts w:ascii="Courier New" w:hAnsi="Courier New" w:cs="Courier New"/>
        </w:rPr>
        <w:t>ith t</w:t>
      </w:r>
      <w:r w:rsidR="00774811">
        <w:rPr>
          <w:rFonts w:ascii="Courier New" w:hAnsi="Courier New" w:cs="Courier New"/>
        </w:rPr>
        <w:t xml:space="preserve">he team for approximately </w:t>
      </w:r>
      <w:r>
        <w:rPr>
          <w:rFonts w:ascii="Courier New" w:hAnsi="Courier New" w:cs="Courier New"/>
        </w:rPr>
        <w:t xml:space="preserve">1.5 hours </w:t>
      </w:r>
      <w:r w:rsidR="00ED067D">
        <w:rPr>
          <w:rFonts w:ascii="Courier New" w:hAnsi="Courier New" w:cs="Courier New"/>
        </w:rPr>
        <w:t>each week and taking t</w:t>
      </w:r>
      <w:r>
        <w:rPr>
          <w:rFonts w:ascii="Courier New" w:hAnsi="Courier New" w:cs="Courier New"/>
        </w:rPr>
        <w:t>hem to t</w:t>
      </w:r>
      <w:r w:rsidR="00774811">
        <w:rPr>
          <w:rFonts w:ascii="Courier New" w:hAnsi="Courier New" w:cs="Courier New"/>
        </w:rPr>
        <w:t xml:space="preserve">ournaments </w:t>
      </w:r>
      <w:r w:rsidR="00DF4B0C">
        <w:rPr>
          <w:rFonts w:ascii="Courier New" w:hAnsi="Courier New" w:cs="Courier New"/>
        </w:rPr>
        <w:t>2 to 3</w:t>
      </w:r>
      <w:r>
        <w:rPr>
          <w:rFonts w:ascii="Courier New" w:hAnsi="Courier New" w:cs="Courier New"/>
        </w:rPr>
        <w:t xml:space="preserve"> </w:t>
      </w:r>
      <w:r w:rsidR="00ED067D">
        <w:rPr>
          <w:rFonts w:ascii="Courier New" w:hAnsi="Courier New" w:cs="Courier New"/>
        </w:rPr>
        <w:t xml:space="preserve">times per semester.  </w:t>
      </w:r>
      <w:r w:rsidR="0000551D">
        <w:rPr>
          <w:rFonts w:ascii="Courier New" w:hAnsi="Courier New" w:cs="Courier New"/>
        </w:rPr>
        <w:t>By the terms of his contract, the appellant was required to be on campus for a minimum of 20 hours each week during the Fall and Spring sem</w:t>
      </w:r>
      <w:r>
        <w:rPr>
          <w:rFonts w:ascii="Courier New" w:hAnsi="Courier New" w:cs="Courier New"/>
        </w:rPr>
        <w:t>esters</w:t>
      </w:r>
      <w:r w:rsidR="005D702B">
        <w:rPr>
          <w:rFonts w:ascii="Courier New" w:hAnsi="Courier New" w:cs="Courier New"/>
        </w:rPr>
        <w:t>, but he estimated that he was typically on campus for more than 20 hours each week</w:t>
      </w:r>
      <w:r>
        <w:rPr>
          <w:rFonts w:ascii="Courier New" w:hAnsi="Courier New" w:cs="Courier New"/>
        </w:rPr>
        <w:t xml:space="preserve">.  </w:t>
      </w:r>
      <w:r w:rsidR="005D702B">
        <w:rPr>
          <w:rFonts w:ascii="Courier New" w:hAnsi="Courier New" w:cs="Courier New"/>
        </w:rPr>
        <w:t>T</w:t>
      </w:r>
      <w:r>
        <w:rPr>
          <w:rFonts w:ascii="Courier New" w:hAnsi="Courier New" w:cs="Courier New"/>
        </w:rPr>
        <w:t xml:space="preserve">he appellant </w:t>
      </w:r>
      <w:r w:rsidR="005D702B">
        <w:rPr>
          <w:rFonts w:ascii="Courier New" w:hAnsi="Courier New" w:cs="Courier New"/>
        </w:rPr>
        <w:t xml:space="preserve">also </w:t>
      </w:r>
      <w:r>
        <w:rPr>
          <w:rFonts w:ascii="Courier New" w:hAnsi="Courier New" w:cs="Courier New"/>
        </w:rPr>
        <w:t xml:space="preserve">performed some of his work for Dominican off-site, at his </w:t>
      </w:r>
      <w:r>
        <w:rPr>
          <w:rFonts w:ascii="Courier New" w:hAnsi="Courier New" w:cs="Courier New"/>
        </w:rPr>
        <w:lastRenderedPageBreak/>
        <w:t>condominium in Pomona, such as preparing f</w:t>
      </w:r>
      <w:r w:rsidR="006A74D5">
        <w:rPr>
          <w:rFonts w:ascii="Courier New" w:hAnsi="Courier New" w:cs="Courier New"/>
        </w:rPr>
        <w:t xml:space="preserve">or classes, reviewing student </w:t>
      </w:r>
      <w:r>
        <w:rPr>
          <w:rFonts w:ascii="Courier New" w:hAnsi="Courier New" w:cs="Courier New"/>
        </w:rPr>
        <w:t xml:space="preserve">work, responding to e-mails, and other administrative duties.  </w:t>
      </w:r>
    </w:p>
    <w:p w:rsidR="00687414" w:rsidRDefault="00687414" w:rsidP="005D702B">
      <w:pPr>
        <w:spacing w:line="480" w:lineRule="auto"/>
        <w:ind w:firstLine="720"/>
        <w:jc w:val="both"/>
        <w:rPr>
          <w:rFonts w:ascii="Courier New" w:hAnsi="Courier New" w:cs="Courier New"/>
        </w:rPr>
      </w:pPr>
      <w:r>
        <w:rPr>
          <w:rFonts w:ascii="Courier New" w:hAnsi="Courier New" w:cs="Courier New"/>
        </w:rPr>
        <w:t>The appellant testified that Dominican allowed professors to apply for ten</w:t>
      </w:r>
      <w:r w:rsidR="00DF4B0C">
        <w:rPr>
          <w:rFonts w:ascii="Courier New" w:hAnsi="Courier New" w:cs="Courier New"/>
        </w:rPr>
        <w:t>ure after they had completed 6</w:t>
      </w:r>
      <w:r>
        <w:rPr>
          <w:rFonts w:ascii="Courier New" w:hAnsi="Courier New" w:cs="Courier New"/>
        </w:rPr>
        <w:t xml:space="preserve"> years of teachin</w:t>
      </w:r>
      <w:r w:rsidR="005D702B">
        <w:rPr>
          <w:rFonts w:ascii="Courier New" w:hAnsi="Courier New" w:cs="Courier New"/>
        </w:rPr>
        <w:t xml:space="preserve">g, and he was in fact </w:t>
      </w:r>
      <w:r>
        <w:rPr>
          <w:rFonts w:ascii="Courier New" w:hAnsi="Courier New" w:cs="Courier New"/>
        </w:rPr>
        <w:t xml:space="preserve">granted </w:t>
      </w:r>
      <w:r w:rsidR="00AB409F">
        <w:rPr>
          <w:rFonts w:ascii="Courier New" w:hAnsi="Courier New" w:cs="Courier New"/>
        </w:rPr>
        <w:t>tenure in August</w:t>
      </w:r>
      <w:r>
        <w:rPr>
          <w:rFonts w:ascii="Courier New" w:hAnsi="Courier New" w:cs="Courier New"/>
        </w:rPr>
        <w:t xml:space="preserve"> of </w:t>
      </w:r>
      <w:r w:rsidR="00AB409F">
        <w:rPr>
          <w:rFonts w:ascii="Courier New" w:hAnsi="Courier New" w:cs="Courier New"/>
        </w:rPr>
        <w:t>2012</w:t>
      </w:r>
      <w:r w:rsidR="00590003">
        <w:rPr>
          <w:rFonts w:ascii="Courier New" w:hAnsi="Courier New" w:cs="Courier New"/>
        </w:rPr>
        <w:t xml:space="preserve">, </w:t>
      </w:r>
      <w:r w:rsidR="00AB409F">
        <w:rPr>
          <w:rFonts w:ascii="Courier New" w:hAnsi="Courier New" w:cs="Courier New"/>
        </w:rPr>
        <w:t>duri</w:t>
      </w:r>
      <w:r w:rsidR="006C3889">
        <w:rPr>
          <w:rFonts w:ascii="Courier New" w:hAnsi="Courier New" w:cs="Courier New"/>
        </w:rPr>
        <w:t>ng the first of the 2</w:t>
      </w:r>
      <w:r w:rsidR="00AB409F">
        <w:rPr>
          <w:rFonts w:ascii="Courier New" w:hAnsi="Courier New" w:cs="Courier New"/>
        </w:rPr>
        <w:t xml:space="preserve"> </w:t>
      </w:r>
      <w:r w:rsidR="00590003">
        <w:rPr>
          <w:rFonts w:ascii="Courier New" w:hAnsi="Courier New" w:cs="Courier New"/>
        </w:rPr>
        <w:t>tax years at issue.</w:t>
      </w:r>
      <w:r w:rsidR="00724B41">
        <w:rPr>
          <w:rFonts w:ascii="Courier New" w:hAnsi="Courier New" w:cs="Courier New"/>
        </w:rPr>
        <w:t xml:space="preserve">  </w:t>
      </w:r>
      <w:r w:rsidR="008F1873">
        <w:rPr>
          <w:rFonts w:ascii="Courier New" w:hAnsi="Courier New" w:cs="Courier New"/>
        </w:rPr>
        <w:t>The appellant contended that, in contrast to the common notion of tenure as a near-guar</w:t>
      </w:r>
      <w:r w:rsidR="007A6439">
        <w:rPr>
          <w:rFonts w:ascii="Courier New" w:hAnsi="Courier New" w:cs="Courier New"/>
        </w:rPr>
        <w:t xml:space="preserve">antee of indefinite employment, </w:t>
      </w:r>
      <w:r w:rsidR="005D702B">
        <w:rPr>
          <w:rFonts w:ascii="Courier New" w:hAnsi="Courier New" w:cs="Courier New"/>
        </w:rPr>
        <w:t>he did not believe that tenure at Dominican provided the same guarantee, as evidenced</w:t>
      </w:r>
      <w:r w:rsidR="006A74D5">
        <w:rPr>
          <w:rFonts w:ascii="Courier New" w:hAnsi="Courier New" w:cs="Courier New"/>
        </w:rPr>
        <w:t xml:space="preserve"> by the fact that he </w:t>
      </w:r>
      <w:r w:rsidR="005D702B">
        <w:rPr>
          <w:rFonts w:ascii="Courier New" w:hAnsi="Courier New" w:cs="Courier New"/>
        </w:rPr>
        <w:t>was still</w:t>
      </w:r>
      <w:r w:rsidR="006A74D5">
        <w:rPr>
          <w:rFonts w:ascii="Courier New" w:hAnsi="Courier New" w:cs="Courier New"/>
        </w:rPr>
        <w:t xml:space="preserve"> required to enter into annual</w:t>
      </w:r>
      <w:r w:rsidR="005D702B">
        <w:rPr>
          <w:rFonts w:ascii="Courier New" w:hAnsi="Courier New" w:cs="Courier New"/>
        </w:rPr>
        <w:t xml:space="preserve"> employment co</w:t>
      </w:r>
      <w:r w:rsidR="006A74D5">
        <w:rPr>
          <w:rFonts w:ascii="Courier New" w:hAnsi="Courier New" w:cs="Courier New"/>
        </w:rPr>
        <w:t>ntracts with Dominican</w:t>
      </w:r>
      <w:r w:rsidR="005D702B">
        <w:rPr>
          <w:rFonts w:ascii="Courier New" w:hAnsi="Courier New" w:cs="Courier New"/>
        </w:rPr>
        <w:t>.</w:t>
      </w:r>
      <w:r w:rsidR="005D702B">
        <w:rPr>
          <w:rStyle w:val="FootnoteReference"/>
          <w:rFonts w:ascii="Courier New" w:hAnsi="Courier New" w:cs="Courier New"/>
        </w:rPr>
        <w:footnoteReference w:id="2"/>
      </w:r>
      <w:r w:rsidR="005D702B">
        <w:rPr>
          <w:rFonts w:ascii="Courier New" w:hAnsi="Courier New" w:cs="Courier New"/>
        </w:rPr>
        <w:t xml:space="preserve">  </w:t>
      </w:r>
      <w:r>
        <w:rPr>
          <w:rFonts w:ascii="Courier New" w:hAnsi="Courier New" w:cs="Courier New"/>
        </w:rPr>
        <w:t xml:space="preserve">The appellant testified that he understood tenure </w:t>
      </w:r>
      <w:r w:rsidR="006A74D5">
        <w:rPr>
          <w:rFonts w:ascii="Courier New" w:hAnsi="Courier New" w:cs="Courier New"/>
        </w:rPr>
        <w:t xml:space="preserve">at Dominican </w:t>
      </w:r>
      <w:r>
        <w:rPr>
          <w:rFonts w:ascii="Courier New" w:hAnsi="Courier New" w:cs="Courier New"/>
        </w:rPr>
        <w:t>to include a $1,500 incre</w:t>
      </w:r>
      <w:r w:rsidR="006A74D5">
        <w:rPr>
          <w:rFonts w:ascii="Courier New" w:hAnsi="Courier New" w:cs="Courier New"/>
        </w:rPr>
        <w:t xml:space="preserve">ase in </w:t>
      </w:r>
      <w:r>
        <w:rPr>
          <w:rFonts w:ascii="Courier New" w:hAnsi="Courier New" w:cs="Courier New"/>
        </w:rPr>
        <w:t xml:space="preserve">base salary and an entitlement to serve on 2 committees, the Hearing Committee and the Grievance Committee.  </w:t>
      </w:r>
    </w:p>
    <w:p w:rsidR="00316124" w:rsidRDefault="00A90CA3" w:rsidP="006A74D5">
      <w:pPr>
        <w:spacing w:line="480" w:lineRule="auto"/>
        <w:ind w:firstLine="720"/>
        <w:jc w:val="both"/>
        <w:rPr>
          <w:rFonts w:ascii="Courier New" w:hAnsi="Courier New" w:cs="Courier New"/>
        </w:rPr>
      </w:pPr>
      <w:r>
        <w:rPr>
          <w:rFonts w:ascii="Courier New" w:hAnsi="Courier New" w:cs="Courier New"/>
        </w:rPr>
        <w:t>The</w:t>
      </w:r>
      <w:r w:rsidR="00316124">
        <w:rPr>
          <w:rFonts w:ascii="Courier New" w:hAnsi="Courier New" w:cs="Courier New"/>
        </w:rPr>
        <w:t xml:space="preserve"> appellant also testified about </w:t>
      </w:r>
      <w:r w:rsidR="006A74D5">
        <w:rPr>
          <w:rFonts w:ascii="Courier New" w:hAnsi="Courier New" w:cs="Courier New"/>
        </w:rPr>
        <w:t xml:space="preserve">the </w:t>
      </w:r>
      <w:r w:rsidR="00316124">
        <w:rPr>
          <w:rFonts w:ascii="Courier New" w:hAnsi="Courier New" w:cs="Courier New"/>
        </w:rPr>
        <w:t>professional and personal</w:t>
      </w:r>
      <w:r>
        <w:rPr>
          <w:rFonts w:ascii="Courier New" w:hAnsi="Courier New" w:cs="Courier New"/>
        </w:rPr>
        <w:t xml:space="preserve"> reasons he chose to maintain his family home in Massachusetts rather than </w:t>
      </w:r>
      <w:r w:rsidR="00316124">
        <w:rPr>
          <w:rFonts w:ascii="Courier New" w:hAnsi="Courier New" w:cs="Courier New"/>
        </w:rPr>
        <w:t>New York.  Regarding his professional reasons</w:t>
      </w:r>
      <w:r>
        <w:rPr>
          <w:rFonts w:ascii="Courier New" w:hAnsi="Courier New" w:cs="Courier New"/>
        </w:rPr>
        <w:t>, the appellant served in the Army Reserve at F</w:t>
      </w:r>
      <w:r w:rsidR="00316124">
        <w:rPr>
          <w:rFonts w:ascii="Courier New" w:hAnsi="Courier New" w:cs="Courier New"/>
        </w:rPr>
        <w:t>ort Devens, Massachusetts, a</w:t>
      </w:r>
      <w:r>
        <w:rPr>
          <w:rFonts w:ascii="Courier New" w:hAnsi="Courier New" w:cs="Courier New"/>
        </w:rPr>
        <w:t xml:space="preserve"> position </w:t>
      </w:r>
      <w:r w:rsidR="00316124">
        <w:rPr>
          <w:rFonts w:ascii="Courier New" w:hAnsi="Courier New" w:cs="Courier New"/>
        </w:rPr>
        <w:t xml:space="preserve">that </w:t>
      </w:r>
      <w:r>
        <w:rPr>
          <w:rFonts w:ascii="Courier New" w:hAnsi="Courier New" w:cs="Courier New"/>
        </w:rPr>
        <w:t>requi</w:t>
      </w:r>
      <w:r w:rsidR="002E7739">
        <w:rPr>
          <w:rFonts w:ascii="Courier New" w:hAnsi="Courier New" w:cs="Courier New"/>
        </w:rPr>
        <w:t>red him to report to Fort Deven</w:t>
      </w:r>
      <w:r w:rsidR="006C3889">
        <w:rPr>
          <w:rFonts w:ascii="Courier New" w:hAnsi="Courier New" w:cs="Courier New"/>
        </w:rPr>
        <w:t>s for 1</w:t>
      </w:r>
      <w:r>
        <w:rPr>
          <w:rFonts w:ascii="Courier New" w:hAnsi="Courier New" w:cs="Courier New"/>
        </w:rPr>
        <w:t xml:space="preserve"> weekend per m</w:t>
      </w:r>
      <w:r w:rsidR="006C3889">
        <w:rPr>
          <w:rFonts w:ascii="Courier New" w:hAnsi="Courier New" w:cs="Courier New"/>
        </w:rPr>
        <w:t>onth and 2</w:t>
      </w:r>
      <w:r w:rsidR="002E7E19">
        <w:rPr>
          <w:rFonts w:ascii="Courier New" w:hAnsi="Courier New" w:cs="Courier New"/>
        </w:rPr>
        <w:t xml:space="preserve"> additional weeks during</w:t>
      </w:r>
      <w:r w:rsidR="006C3889">
        <w:rPr>
          <w:rFonts w:ascii="Courier New" w:hAnsi="Courier New" w:cs="Courier New"/>
        </w:rPr>
        <w:t xml:space="preserve"> the S</w:t>
      </w:r>
      <w:r>
        <w:rPr>
          <w:rFonts w:ascii="Courier New" w:hAnsi="Courier New" w:cs="Courier New"/>
        </w:rPr>
        <w:t xml:space="preserve">ummer. </w:t>
      </w:r>
      <w:r w:rsidR="006A74D5">
        <w:rPr>
          <w:rFonts w:ascii="Courier New" w:hAnsi="Courier New" w:cs="Courier New"/>
        </w:rPr>
        <w:t xml:space="preserve"> The appellant also served as an exam </w:t>
      </w:r>
      <w:r>
        <w:rPr>
          <w:rFonts w:ascii="Courier New" w:hAnsi="Courier New" w:cs="Courier New"/>
        </w:rPr>
        <w:t xml:space="preserve">grader </w:t>
      </w:r>
      <w:r>
        <w:rPr>
          <w:rFonts w:ascii="Courier New" w:hAnsi="Courier New" w:cs="Courier New"/>
        </w:rPr>
        <w:lastRenderedPageBreak/>
        <w:t>at Harv</w:t>
      </w:r>
      <w:r w:rsidR="006965CE">
        <w:rPr>
          <w:rFonts w:ascii="Courier New" w:hAnsi="Courier New" w:cs="Courier New"/>
        </w:rPr>
        <w:t xml:space="preserve">ard Extension School, but he testified that this work could be performed remotely from any location and </w:t>
      </w:r>
      <w:r>
        <w:rPr>
          <w:rFonts w:ascii="Courier New" w:hAnsi="Courier New" w:cs="Courier New"/>
        </w:rPr>
        <w:t>did not require him to be physically</w:t>
      </w:r>
      <w:r w:rsidR="006965CE">
        <w:rPr>
          <w:rFonts w:ascii="Courier New" w:hAnsi="Courier New" w:cs="Courier New"/>
        </w:rPr>
        <w:t xml:space="preserve"> present at Harvard University.  </w:t>
      </w:r>
      <w:r>
        <w:rPr>
          <w:rFonts w:ascii="Courier New" w:hAnsi="Courier New" w:cs="Courier New"/>
        </w:rPr>
        <w:t xml:space="preserve">Finally, </w:t>
      </w:r>
      <w:r w:rsidR="009861FD">
        <w:rPr>
          <w:rFonts w:ascii="Courier New" w:hAnsi="Courier New" w:cs="Courier New"/>
        </w:rPr>
        <w:t xml:space="preserve">the appellant was a landlord of </w:t>
      </w:r>
      <w:r w:rsidR="00316124">
        <w:rPr>
          <w:rFonts w:ascii="Courier New" w:hAnsi="Courier New" w:cs="Courier New"/>
        </w:rPr>
        <w:t xml:space="preserve">the multi-family home where he lived with his family.  </w:t>
      </w:r>
      <w:r w:rsidR="009861FD">
        <w:rPr>
          <w:rFonts w:ascii="Courier New" w:hAnsi="Courier New" w:cs="Courier New"/>
        </w:rPr>
        <w:t xml:space="preserve">  </w:t>
      </w:r>
    </w:p>
    <w:p w:rsidR="00A90CA3" w:rsidRDefault="00316124" w:rsidP="00A14064">
      <w:pPr>
        <w:spacing w:line="480" w:lineRule="auto"/>
        <w:ind w:firstLine="720"/>
        <w:jc w:val="both"/>
        <w:rPr>
          <w:rFonts w:ascii="Courier New" w:hAnsi="Courier New" w:cs="Courier New"/>
        </w:rPr>
      </w:pPr>
      <w:r>
        <w:rPr>
          <w:rFonts w:ascii="Courier New" w:hAnsi="Courier New" w:cs="Courier New"/>
        </w:rPr>
        <w:t xml:space="preserve">Regarding his personal </w:t>
      </w:r>
      <w:r w:rsidR="009861FD">
        <w:rPr>
          <w:rFonts w:ascii="Courier New" w:hAnsi="Courier New" w:cs="Courier New"/>
        </w:rPr>
        <w:t>reasons for remaining in Massachusetts</w:t>
      </w:r>
      <w:r w:rsidR="006965CE">
        <w:rPr>
          <w:rFonts w:ascii="Courier New" w:hAnsi="Courier New" w:cs="Courier New"/>
        </w:rPr>
        <w:t xml:space="preserve">, the appellant testified that he wished </w:t>
      </w:r>
      <w:r>
        <w:rPr>
          <w:rFonts w:ascii="Courier New" w:hAnsi="Courier New" w:cs="Courier New"/>
        </w:rPr>
        <w:t>to spend time with</w:t>
      </w:r>
      <w:r w:rsidR="00A90CA3">
        <w:rPr>
          <w:rFonts w:ascii="Courier New" w:hAnsi="Courier New" w:cs="Courier New"/>
        </w:rPr>
        <w:t xml:space="preserve"> his aging parents</w:t>
      </w:r>
      <w:r>
        <w:rPr>
          <w:rFonts w:ascii="Courier New" w:hAnsi="Courier New" w:cs="Courier New"/>
        </w:rPr>
        <w:t>, who</w:t>
      </w:r>
      <w:r w:rsidR="006965CE">
        <w:rPr>
          <w:rFonts w:ascii="Courier New" w:hAnsi="Courier New" w:cs="Courier New"/>
        </w:rPr>
        <w:t xml:space="preserve"> resided at his </w:t>
      </w:r>
      <w:r w:rsidR="00A90CA3">
        <w:rPr>
          <w:rFonts w:ascii="Courier New" w:hAnsi="Courier New" w:cs="Courier New"/>
        </w:rPr>
        <w:t xml:space="preserve">home in Lowell.  </w:t>
      </w:r>
      <w:r w:rsidR="009861FD">
        <w:rPr>
          <w:rFonts w:ascii="Courier New" w:hAnsi="Courier New" w:cs="Courier New"/>
        </w:rPr>
        <w:t xml:space="preserve">He also felt a personal connection to Massachusetts, </w:t>
      </w:r>
      <w:r>
        <w:rPr>
          <w:rFonts w:ascii="Courier New" w:hAnsi="Courier New" w:cs="Courier New"/>
        </w:rPr>
        <w:t>where he was born, raised and worked until he was hired by Dominican.</w:t>
      </w:r>
      <w:r w:rsidR="009861FD">
        <w:rPr>
          <w:rFonts w:ascii="Courier New" w:hAnsi="Courier New" w:cs="Courier New"/>
        </w:rPr>
        <w:t xml:space="preserve">  As he explained, “I’ve always just</w:t>
      </w:r>
      <w:r w:rsidR="002F71EA">
        <w:rPr>
          <w:rFonts w:ascii="Courier New" w:hAnsi="Courier New" w:cs="Courier New"/>
        </w:rPr>
        <w:t xml:space="preserve"> -- I like Massachusetts.”</w:t>
      </w:r>
    </w:p>
    <w:p w:rsidR="00FB61C3" w:rsidRDefault="00236F3C" w:rsidP="00A14064">
      <w:pPr>
        <w:spacing w:line="480" w:lineRule="auto"/>
        <w:ind w:firstLine="720"/>
        <w:jc w:val="both"/>
        <w:rPr>
          <w:rFonts w:ascii="Courier New" w:hAnsi="Courier New" w:cs="Courier New"/>
        </w:rPr>
      </w:pPr>
      <w:r>
        <w:rPr>
          <w:rFonts w:ascii="Courier New" w:hAnsi="Courier New" w:cs="Courier New"/>
        </w:rPr>
        <w:t xml:space="preserve">Based on the evidence, the Board found that </w:t>
      </w:r>
      <w:r w:rsidR="00637DB0">
        <w:rPr>
          <w:rFonts w:ascii="Courier New" w:hAnsi="Courier New" w:cs="Courier New"/>
        </w:rPr>
        <w:t xml:space="preserve">the </w:t>
      </w:r>
      <w:r w:rsidR="00BC508C">
        <w:rPr>
          <w:rFonts w:ascii="Courier New" w:hAnsi="Courier New" w:cs="Courier New"/>
        </w:rPr>
        <w:t xml:space="preserve">location of the </w:t>
      </w:r>
      <w:r w:rsidR="00637DB0">
        <w:rPr>
          <w:rFonts w:ascii="Courier New" w:hAnsi="Courier New" w:cs="Courier New"/>
        </w:rPr>
        <w:t>appellant’s</w:t>
      </w:r>
      <w:r w:rsidR="00BC508C">
        <w:rPr>
          <w:rFonts w:ascii="Courier New" w:hAnsi="Courier New" w:cs="Courier New"/>
        </w:rPr>
        <w:t xml:space="preserve"> principal pla</w:t>
      </w:r>
      <w:r w:rsidR="00782D58">
        <w:rPr>
          <w:rFonts w:ascii="Courier New" w:hAnsi="Courier New" w:cs="Courier New"/>
        </w:rPr>
        <w:t>c</w:t>
      </w:r>
      <w:r w:rsidR="00BC508C">
        <w:rPr>
          <w:rFonts w:ascii="Courier New" w:hAnsi="Courier New" w:cs="Courier New"/>
        </w:rPr>
        <w:t xml:space="preserve">e of business </w:t>
      </w:r>
      <w:r w:rsidR="00782D58">
        <w:rPr>
          <w:rFonts w:ascii="Courier New" w:hAnsi="Courier New" w:cs="Courier New"/>
        </w:rPr>
        <w:t>was Orangeburg, New York, where Dominican was located.</w:t>
      </w:r>
      <w:r w:rsidR="00637DB0">
        <w:rPr>
          <w:rFonts w:ascii="Courier New" w:hAnsi="Courier New" w:cs="Courier New"/>
        </w:rPr>
        <w:t xml:space="preserve"> </w:t>
      </w:r>
      <w:r w:rsidR="00782D58">
        <w:rPr>
          <w:rFonts w:ascii="Courier New" w:hAnsi="Courier New" w:cs="Courier New"/>
        </w:rPr>
        <w:t xml:space="preserve"> </w:t>
      </w:r>
      <w:r w:rsidR="00276430">
        <w:rPr>
          <w:rFonts w:ascii="Courier New" w:hAnsi="Courier New" w:cs="Courier New"/>
        </w:rPr>
        <w:t xml:space="preserve">The Board further found that the appellant did not establish that his position with Dominican, which </w:t>
      </w:r>
      <w:r w:rsidR="006965CE">
        <w:rPr>
          <w:rFonts w:ascii="Courier New" w:hAnsi="Courier New" w:cs="Courier New"/>
        </w:rPr>
        <w:t>began in 2006 and continued throughout and after the tax years at issue</w:t>
      </w:r>
      <w:r w:rsidR="00276430">
        <w:rPr>
          <w:rFonts w:ascii="Courier New" w:hAnsi="Courier New" w:cs="Courier New"/>
        </w:rPr>
        <w:t>, was “temporary.”  The fact that the appellant purchased a condominium rat</w:t>
      </w:r>
      <w:r w:rsidR="006965CE">
        <w:rPr>
          <w:rFonts w:ascii="Courier New" w:hAnsi="Courier New" w:cs="Courier New"/>
        </w:rPr>
        <w:t>her than choosing to rent belied</w:t>
      </w:r>
      <w:r w:rsidR="00276430">
        <w:rPr>
          <w:rFonts w:ascii="Courier New" w:hAnsi="Courier New" w:cs="Courier New"/>
        </w:rPr>
        <w:t xml:space="preserve"> his testimony that he believed his employment with Dominican to be temporary.</w:t>
      </w:r>
      <w:r w:rsidR="008B4C8F">
        <w:rPr>
          <w:rFonts w:ascii="Courier New" w:hAnsi="Courier New" w:cs="Courier New"/>
        </w:rPr>
        <w:t xml:space="preserve"> </w:t>
      </w:r>
      <w:r w:rsidR="00276430">
        <w:rPr>
          <w:rFonts w:ascii="Courier New" w:hAnsi="Courier New" w:cs="Courier New"/>
        </w:rPr>
        <w:t xml:space="preserve"> </w:t>
      </w:r>
      <w:r>
        <w:rPr>
          <w:rFonts w:ascii="Courier New" w:hAnsi="Courier New" w:cs="Courier New"/>
        </w:rPr>
        <w:t>Therefor</w:t>
      </w:r>
      <w:r w:rsidR="007C2243">
        <w:rPr>
          <w:rFonts w:ascii="Courier New" w:hAnsi="Courier New" w:cs="Courier New"/>
        </w:rPr>
        <w:t xml:space="preserve">e, as will be explained </w:t>
      </w:r>
      <w:r>
        <w:rPr>
          <w:rFonts w:ascii="Courier New" w:hAnsi="Courier New" w:cs="Courier New"/>
        </w:rPr>
        <w:t xml:space="preserve">in the following Opinion, </w:t>
      </w:r>
      <w:r w:rsidR="00A86500">
        <w:rPr>
          <w:rFonts w:ascii="Courier New" w:hAnsi="Courier New" w:cs="Courier New"/>
        </w:rPr>
        <w:t>the Board found and ruled that the appellant’s t</w:t>
      </w:r>
      <w:r w:rsidR="00782D58">
        <w:rPr>
          <w:rFonts w:ascii="Courier New" w:hAnsi="Courier New" w:cs="Courier New"/>
        </w:rPr>
        <w:t>ax home was Orangeburg, New York, not Lowell, Massachusetts</w:t>
      </w:r>
      <w:r w:rsidR="00A86500">
        <w:rPr>
          <w:rFonts w:ascii="Courier New" w:hAnsi="Courier New" w:cs="Courier New"/>
        </w:rPr>
        <w:t xml:space="preserve">.  The appellant thus was not entitled to take deductions for traveling expenses </w:t>
      </w:r>
      <w:r w:rsidR="006C3889">
        <w:rPr>
          <w:rFonts w:ascii="Courier New" w:hAnsi="Courier New" w:cs="Courier New"/>
        </w:rPr>
        <w:t>-</w:t>
      </w:r>
      <w:r w:rsidR="00A86500">
        <w:rPr>
          <w:rFonts w:ascii="Courier New" w:hAnsi="Courier New" w:cs="Courier New"/>
        </w:rPr>
        <w:t xml:space="preserve">– including mileage, tolls, </w:t>
      </w:r>
      <w:r w:rsidR="00A86500">
        <w:rPr>
          <w:rFonts w:ascii="Courier New" w:hAnsi="Courier New" w:cs="Courier New"/>
        </w:rPr>
        <w:lastRenderedPageBreak/>
        <w:t>meals or lodging expenses –</w:t>
      </w:r>
      <w:r w:rsidR="006C3889">
        <w:rPr>
          <w:rFonts w:ascii="Courier New" w:hAnsi="Courier New" w:cs="Courier New"/>
        </w:rPr>
        <w:t>-</w:t>
      </w:r>
      <w:r w:rsidR="00A86500">
        <w:rPr>
          <w:rFonts w:ascii="Courier New" w:hAnsi="Courier New" w:cs="Courier New"/>
        </w:rPr>
        <w:t xml:space="preserve"> associated with </w:t>
      </w:r>
      <w:r w:rsidR="00F16EF4">
        <w:rPr>
          <w:rFonts w:ascii="Courier New" w:hAnsi="Courier New" w:cs="Courier New"/>
        </w:rPr>
        <w:t xml:space="preserve">performing </w:t>
      </w:r>
      <w:r w:rsidR="00A86500">
        <w:rPr>
          <w:rFonts w:ascii="Courier New" w:hAnsi="Courier New" w:cs="Courier New"/>
        </w:rPr>
        <w:t>his work at Dominican.</w:t>
      </w:r>
    </w:p>
    <w:p w:rsidR="00A86500" w:rsidRDefault="00A86500" w:rsidP="00A14064">
      <w:pPr>
        <w:spacing w:line="480" w:lineRule="auto"/>
        <w:ind w:firstLine="720"/>
        <w:jc w:val="both"/>
        <w:rPr>
          <w:rFonts w:ascii="Courier New" w:hAnsi="Courier New" w:cs="Courier New"/>
        </w:rPr>
      </w:pPr>
      <w:r>
        <w:rPr>
          <w:rFonts w:ascii="Courier New" w:hAnsi="Courier New" w:cs="Courier New"/>
        </w:rPr>
        <w:t>Accordingly, the Board issued a decision for the appellee upholding the assessment</w:t>
      </w:r>
      <w:r w:rsidRPr="00A86500">
        <w:rPr>
          <w:rFonts w:ascii="Courier New" w:hAnsi="Courier New" w:cs="Courier New"/>
        </w:rPr>
        <w:t>s</w:t>
      </w:r>
      <w:r>
        <w:rPr>
          <w:rFonts w:ascii="Courier New" w:hAnsi="Courier New" w:cs="Courier New"/>
        </w:rPr>
        <w:t xml:space="preserve"> at issue.</w:t>
      </w:r>
    </w:p>
    <w:p w:rsidR="0053663A" w:rsidRDefault="0053663A" w:rsidP="00A14064">
      <w:pPr>
        <w:spacing w:line="480" w:lineRule="auto"/>
        <w:ind w:firstLine="720"/>
        <w:jc w:val="both"/>
        <w:rPr>
          <w:rFonts w:ascii="Courier New" w:hAnsi="Courier New" w:cs="Courier New"/>
        </w:rPr>
      </w:pPr>
    </w:p>
    <w:p w:rsidR="002135C4" w:rsidRDefault="002135C4" w:rsidP="00A14064">
      <w:pPr>
        <w:spacing w:line="480" w:lineRule="auto"/>
        <w:ind w:firstLine="720"/>
        <w:jc w:val="both"/>
        <w:rPr>
          <w:rFonts w:ascii="Courier New" w:hAnsi="Courier New" w:cs="Courier New"/>
        </w:rPr>
      </w:pPr>
    </w:p>
    <w:p w:rsidR="0053663A" w:rsidRPr="00C12C62" w:rsidRDefault="00C12C62" w:rsidP="00C12C62">
      <w:pPr>
        <w:spacing w:line="480" w:lineRule="auto"/>
        <w:jc w:val="center"/>
        <w:rPr>
          <w:rFonts w:ascii="Courier New" w:hAnsi="Courier New" w:cs="Courier New"/>
          <w:b/>
        </w:rPr>
      </w:pPr>
      <w:r>
        <w:rPr>
          <w:rFonts w:ascii="Courier New" w:hAnsi="Courier New" w:cs="Courier New"/>
          <w:b/>
        </w:rPr>
        <w:t>OPINION</w:t>
      </w:r>
    </w:p>
    <w:p w:rsidR="008F1873" w:rsidRDefault="00C34BA0" w:rsidP="00A14064">
      <w:pPr>
        <w:spacing w:line="480" w:lineRule="auto"/>
        <w:ind w:firstLine="720"/>
        <w:jc w:val="both"/>
        <w:rPr>
          <w:rFonts w:ascii="Courier New" w:hAnsi="Courier New" w:cs="Courier New"/>
        </w:rPr>
      </w:pPr>
      <w:r>
        <w:rPr>
          <w:rFonts w:ascii="Courier New" w:hAnsi="Courier New" w:cs="Courier New"/>
        </w:rPr>
        <w:t>During the tax years at issue, G.L. c. 62, §</w:t>
      </w:r>
      <w:r w:rsidR="0019380D">
        <w:rPr>
          <w:rFonts w:ascii="Courier New" w:hAnsi="Courier New" w:cs="Courier New"/>
        </w:rPr>
        <w:t xml:space="preserve"> </w:t>
      </w:r>
      <w:r>
        <w:rPr>
          <w:rFonts w:ascii="Courier New" w:hAnsi="Courier New" w:cs="Courier New"/>
        </w:rPr>
        <w:t xml:space="preserve">2(d)(2) </w:t>
      </w:r>
      <w:r w:rsidR="006C3889">
        <w:rPr>
          <w:rFonts w:ascii="Courier New" w:hAnsi="Courier New" w:cs="Courier New"/>
        </w:rPr>
        <w:t xml:space="preserve">     </w:t>
      </w:r>
      <w:r w:rsidR="00872539">
        <w:rPr>
          <w:rFonts w:ascii="Courier New" w:hAnsi="Courier New" w:cs="Courier New"/>
        </w:rPr>
        <w:t>(“§</w:t>
      </w:r>
      <w:r w:rsidR="006C3889">
        <w:rPr>
          <w:rFonts w:ascii="Courier New" w:hAnsi="Courier New" w:cs="Courier New"/>
        </w:rPr>
        <w:t xml:space="preserve"> </w:t>
      </w:r>
      <w:r w:rsidR="00872539">
        <w:rPr>
          <w:rFonts w:ascii="Courier New" w:hAnsi="Courier New" w:cs="Courier New"/>
        </w:rPr>
        <w:t xml:space="preserve">2(d)(2)”) </w:t>
      </w:r>
      <w:r>
        <w:rPr>
          <w:rFonts w:ascii="Courier New" w:hAnsi="Courier New" w:cs="Courier New"/>
        </w:rPr>
        <w:t>allowed taxpayers to deduct from their gross income the following:</w:t>
      </w:r>
    </w:p>
    <w:p w:rsidR="00C34BA0" w:rsidRDefault="00F47B80" w:rsidP="00C34BA0">
      <w:pPr>
        <w:ind w:left="720" w:right="720"/>
        <w:jc w:val="both"/>
        <w:rPr>
          <w:rFonts w:ascii="Courier New" w:hAnsi="Courier New" w:cs="Courier New"/>
        </w:rPr>
      </w:pPr>
      <w:r w:rsidRPr="00F47B80">
        <w:rPr>
          <w:rFonts w:ascii="Courier New" w:hAnsi="Courier New" w:cs="Courier New"/>
        </w:rPr>
        <w:t>[</w:t>
      </w:r>
      <w:r w:rsidR="00C34BA0" w:rsidRPr="00F47B80">
        <w:rPr>
          <w:rFonts w:ascii="Courier New" w:hAnsi="Courier New" w:cs="Courier New"/>
        </w:rPr>
        <w:t>a</w:t>
      </w:r>
      <w:r>
        <w:rPr>
          <w:rFonts w:ascii="Courier New" w:hAnsi="Courier New" w:cs="Courier New"/>
        </w:rPr>
        <w:t>]</w:t>
      </w:r>
      <w:r w:rsidR="00C34BA0">
        <w:rPr>
          <w:rFonts w:ascii="Courier New" w:hAnsi="Courier New" w:cs="Courier New"/>
        </w:rPr>
        <w:t xml:space="preserve">n amount equal to the deductions allowed by Part VI of the </w:t>
      </w:r>
      <w:r w:rsidR="00CA7CF3">
        <w:rPr>
          <w:rFonts w:ascii="Courier New" w:hAnsi="Courier New" w:cs="Courier New"/>
        </w:rPr>
        <w:t xml:space="preserve">[Internal Revenue] </w:t>
      </w:r>
      <w:r w:rsidR="00C34BA0">
        <w:rPr>
          <w:rFonts w:ascii="Courier New" w:hAnsi="Courier New" w:cs="Courier New"/>
        </w:rPr>
        <w:t>Code</w:t>
      </w:r>
      <w:r w:rsidR="00CA7CF3">
        <w:rPr>
          <w:rFonts w:ascii="Courier New" w:hAnsi="Courier New" w:cs="Courier New"/>
        </w:rPr>
        <w:t xml:space="preserve"> [</w:t>
      </w:r>
      <w:r w:rsidR="000E7A16">
        <w:rPr>
          <w:rFonts w:ascii="Courier New" w:hAnsi="Courier New" w:cs="Courier New"/>
        </w:rPr>
        <w:t>(</w:t>
      </w:r>
      <w:r w:rsidR="00CA7CF3">
        <w:rPr>
          <w:rFonts w:ascii="Courier New" w:hAnsi="Courier New" w:cs="Courier New"/>
        </w:rPr>
        <w:t>“Code”</w:t>
      </w:r>
      <w:r w:rsidR="000E7A16">
        <w:rPr>
          <w:rFonts w:ascii="Courier New" w:hAnsi="Courier New" w:cs="Courier New"/>
        </w:rPr>
        <w:t>)</w:t>
      </w:r>
      <w:r w:rsidR="00CA7CF3">
        <w:rPr>
          <w:rFonts w:ascii="Courier New" w:hAnsi="Courier New" w:cs="Courier New"/>
        </w:rPr>
        <w:t>]</w:t>
      </w:r>
      <w:r w:rsidR="00C34BA0">
        <w:rPr>
          <w:rFonts w:ascii="Courier New" w:hAnsi="Courier New" w:cs="Courier New"/>
        </w:rPr>
        <w:t xml:space="preserve"> which</w:t>
      </w:r>
      <w:r w:rsidR="00CA7CF3">
        <w:rPr>
          <w:rFonts w:ascii="Courier New" w:hAnsi="Courier New" w:cs="Courier New"/>
        </w:rPr>
        <w:t xml:space="preserve"> consist of expenses of travel, meals and lodging while away from home, or expenses of transportation paid or incurred by the taxpayer in connection with the performance by  him of services as an employee; . . . provided, however, . . . the deductions under clauses (i) and (ii) are allowed as itemized deductions under subsection (a) of section sixty-seven of the Code.</w:t>
      </w:r>
    </w:p>
    <w:p w:rsidR="00F743A2" w:rsidRDefault="00F743A2" w:rsidP="00A14064">
      <w:pPr>
        <w:spacing w:line="480" w:lineRule="auto"/>
        <w:ind w:firstLine="720"/>
        <w:jc w:val="both"/>
        <w:rPr>
          <w:rFonts w:ascii="Courier New" w:hAnsi="Courier New" w:cs="Courier New"/>
        </w:rPr>
      </w:pPr>
    </w:p>
    <w:p w:rsidR="00D76011" w:rsidRDefault="00872539" w:rsidP="00CA7CF3">
      <w:pPr>
        <w:spacing w:line="480" w:lineRule="auto"/>
        <w:jc w:val="both"/>
        <w:rPr>
          <w:rFonts w:ascii="Courier New" w:hAnsi="Courier New" w:cs="Courier New"/>
        </w:rPr>
      </w:pPr>
      <w:r>
        <w:rPr>
          <w:rFonts w:ascii="Courier New" w:hAnsi="Courier New" w:cs="Courier New"/>
        </w:rPr>
        <w:t xml:space="preserve">Among the </w:t>
      </w:r>
      <w:r w:rsidR="00CA7CF3">
        <w:rPr>
          <w:rFonts w:ascii="Courier New" w:hAnsi="Courier New" w:cs="Courier New"/>
        </w:rPr>
        <w:t xml:space="preserve">Code </w:t>
      </w:r>
      <w:r>
        <w:rPr>
          <w:rFonts w:ascii="Courier New" w:hAnsi="Courier New" w:cs="Courier New"/>
        </w:rPr>
        <w:t>provisions referenced in §</w:t>
      </w:r>
      <w:r w:rsidR="0019380D">
        <w:rPr>
          <w:rFonts w:ascii="Courier New" w:hAnsi="Courier New" w:cs="Courier New"/>
        </w:rPr>
        <w:t xml:space="preserve"> </w:t>
      </w:r>
      <w:r>
        <w:rPr>
          <w:rFonts w:ascii="Courier New" w:hAnsi="Courier New" w:cs="Courier New"/>
        </w:rPr>
        <w:t xml:space="preserve">2(d)(2) is </w:t>
      </w:r>
      <w:r w:rsidR="0019380D">
        <w:rPr>
          <w:rFonts w:ascii="Courier New" w:hAnsi="Courier New" w:cs="Courier New"/>
        </w:rPr>
        <w:t xml:space="preserve">           </w:t>
      </w:r>
      <w:r w:rsidR="00CA7CF3">
        <w:rPr>
          <w:rFonts w:ascii="Courier New" w:hAnsi="Courier New" w:cs="Courier New"/>
        </w:rPr>
        <w:t>§ 162(a)(2)</w:t>
      </w:r>
      <w:r>
        <w:rPr>
          <w:rFonts w:ascii="Courier New" w:hAnsi="Courier New" w:cs="Courier New"/>
        </w:rPr>
        <w:t>,</w:t>
      </w:r>
      <w:r w:rsidR="00CA7CF3">
        <w:rPr>
          <w:rFonts w:ascii="Courier New" w:hAnsi="Courier New" w:cs="Courier New"/>
        </w:rPr>
        <w:t xml:space="preserve"> </w:t>
      </w:r>
      <w:r>
        <w:rPr>
          <w:rFonts w:ascii="Courier New" w:hAnsi="Courier New" w:cs="Courier New"/>
        </w:rPr>
        <w:t xml:space="preserve">which </w:t>
      </w:r>
      <w:r w:rsidR="00CA7CF3">
        <w:rPr>
          <w:rFonts w:ascii="Courier New" w:hAnsi="Courier New" w:cs="Courier New"/>
        </w:rPr>
        <w:t xml:space="preserve">provides a deduction </w:t>
      </w:r>
      <w:r w:rsidR="006C2DB7">
        <w:rPr>
          <w:rFonts w:ascii="Courier New" w:hAnsi="Courier New" w:cs="Courier New"/>
        </w:rPr>
        <w:t xml:space="preserve">for </w:t>
      </w:r>
      <w:r w:rsidR="00CA7CF3">
        <w:rPr>
          <w:rFonts w:ascii="Courier New" w:hAnsi="Courier New" w:cs="Courier New"/>
        </w:rPr>
        <w:t>“all the ordinary and necessary expenses” associated with “carrying on any trade or business,” including “traveling expenses,</w:t>
      </w:r>
      <w:r w:rsidR="00B77DA6">
        <w:rPr>
          <w:rFonts w:ascii="Courier New" w:hAnsi="Courier New" w:cs="Courier New"/>
        </w:rPr>
        <w:t>” specifically</w:t>
      </w:r>
      <w:r w:rsidR="005C1E47">
        <w:rPr>
          <w:rFonts w:ascii="Courier New" w:hAnsi="Courier New" w:cs="Courier New"/>
        </w:rPr>
        <w:t xml:space="preserve"> “meals”</w:t>
      </w:r>
      <w:r w:rsidR="00580FF6">
        <w:rPr>
          <w:rFonts w:ascii="Courier New" w:hAnsi="Courier New" w:cs="Courier New"/>
        </w:rPr>
        <w:t xml:space="preserve"> and “lodging” expenses that</w:t>
      </w:r>
      <w:r w:rsidR="00CA7CF3">
        <w:rPr>
          <w:rFonts w:ascii="Courier New" w:hAnsi="Courier New" w:cs="Courier New"/>
        </w:rPr>
        <w:t xml:space="preserve"> are expended “while away from home in pursuit of a trade or business.”</w:t>
      </w:r>
      <w:r>
        <w:rPr>
          <w:rFonts w:ascii="Courier New" w:hAnsi="Courier New" w:cs="Courier New"/>
        </w:rPr>
        <w:t xml:space="preserve">  The issue in the </w:t>
      </w:r>
      <w:r>
        <w:rPr>
          <w:rFonts w:ascii="Courier New" w:hAnsi="Courier New" w:cs="Courier New"/>
        </w:rPr>
        <w:lastRenderedPageBreak/>
        <w:t xml:space="preserve">present appeal was </w:t>
      </w:r>
      <w:r w:rsidR="00457F78">
        <w:rPr>
          <w:rFonts w:ascii="Courier New" w:hAnsi="Courier New" w:cs="Courier New"/>
        </w:rPr>
        <w:t>whether the appellant was “away from home” when he incurred the expenses at issue.</w:t>
      </w:r>
      <w:r w:rsidR="00457F78">
        <w:rPr>
          <w:rStyle w:val="FootnoteReference"/>
          <w:rFonts w:ascii="Courier New" w:hAnsi="Courier New" w:cs="Courier New"/>
        </w:rPr>
        <w:footnoteReference w:id="3"/>
      </w:r>
      <w:r w:rsidR="00CA7CF3">
        <w:rPr>
          <w:rFonts w:ascii="Courier New" w:hAnsi="Courier New" w:cs="Courier New"/>
        </w:rPr>
        <w:t xml:space="preserve"> </w:t>
      </w:r>
    </w:p>
    <w:p w:rsidR="00B62342" w:rsidRDefault="00F26C73" w:rsidP="00104D44">
      <w:pPr>
        <w:spacing w:line="480" w:lineRule="auto"/>
        <w:ind w:firstLine="720"/>
        <w:jc w:val="both"/>
        <w:rPr>
          <w:rFonts w:ascii="Courier New" w:hAnsi="Courier New" w:cs="Courier New"/>
        </w:rPr>
      </w:pPr>
      <w:r>
        <w:rPr>
          <w:rFonts w:ascii="Courier New" w:hAnsi="Courier New" w:cs="Courier New"/>
        </w:rPr>
        <w:t>The Board looked to Federal cases interpreting “away from home” as that term is used in Code § 162 (a)(2), because “i</w:t>
      </w:r>
      <w:r w:rsidR="00DA0946">
        <w:rPr>
          <w:rFonts w:ascii="Courier New" w:hAnsi="Courier New" w:cs="Courier New"/>
        </w:rPr>
        <w:t xml:space="preserve">f the State income tax law has incorporated Federal income tax provisions, those provisions should be interpreted as they are interpreted for Federal income tax purposes.”  </w:t>
      </w:r>
      <w:r w:rsidR="00DA0946" w:rsidRPr="00DA0946">
        <w:rPr>
          <w:rFonts w:ascii="Courier New" w:hAnsi="Courier New" w:cs="Courier New"/>
          <w:b/>
          <w:i/>
        </w:rPr>
        <w:t>Grady v. Commissioner of Revenue</w:t>
      </w:r>
      <w:r w:rsidR="00DA0946">
        <w:rPr>
          <w:rFonts w:ascii="Courier New" w:hAnsi="Courier New" w:cs="Courier New"/>
        </w:rPr>
        <w:t xml:space="preserve">, 421 Mass. 374, 380 (1995) (other citations omitted).  </w:t>
      </w:r>
      <w:r w:rsidR="00E534B3">
        <w:rPr>
          <w:rFonts w:ascii="Courier New" w:hAnsi="Courier New" w:cs="Courier New"/>
        </w:rPr>
        <w:t>“T</w:t>
      </w:r>
      <w:r w:rsidR="00966208">
        <w:rPr>
          <w:rFonts w:ascii="Courier New" w:hAnsi="Courier New" w:cs="Courier New"/>
        </w:rPr>
        <w:t xml:space="preserve">he reference to ‘home’ in section 162(a)(2) means the taxpayer’s ‘tax home.’”  </w:t>
      </w:r>
      <w:r w:rsidR="00966208" w:rsidRPr="00966208">
        <w:rPr>
          <w:rFonts w:ascii="Courier New" w:hAnsi="Courier New" w:cs="Courier New"/>
          <w:b/>
          <w:i/>
        </w:rPr>
        <w:t>Roberts v. Commissioner</w:t>
      </w:r>
      <w:r w:rsidR="00966208">
        <w:rPr>
          <w:rFonts w:ascii="Courier New" w:hAnsi="Courier New" w:cs="Courier New"/>
        </w:rPr>
        <w:t xml:space="preserve">, T.C. Summary Opinion 2011-127 (2011).  </w:t>
      </w:r>
      <w:r w:rsidR="00DA0946">
        <w:rPr>
          <w:rFonts w:ascii="Courier New" w:hAnsi="Courier New" w:cs="Courier New"/>
        </w:rPr>
        <w:t xml:space="preserve"> </w:t>
      </w:r>
      <w:r w:rsidR="000D1C55">
        <w:rPr>
          <w:rFonts w:ascii="Courier New" w:hAnsi="Courier New" w:cs="Courier New"/>
        </w:rPr>
        <w:t xml:space="preserve">The Tax Court “has held as a general rule that the location of a taxpayer’s principal place of business is his tax home, not the location of a taxpayer’s personal residence.”  </w:t>
      </w:r>
      <w:r w:rsidR="000D1C55" w:rsidRPr="000D1C55">
        <w:rPr>
          <w:rFonts w:ascii="Courier New" w:hAnsi="Courier New" w:cs="Courier New"/>
          <w:b/>
          <w:i/>
        </w:rPr>
        <w:t>Id</w:t>
      </w:r>
      <w:r w:rsidR="00104D44">
        <w:rPr>
          <w:rFonts w:ascii="Courier New" w:hAnsi="Courier New" w:cs="Courier New"/>
        </w:rPr>
        <w:t>. (</w:t>
      </w:r>
      <w:r w:rsidR="000D1C55">
        <w:rPr>
          <w:rFonts w:ascii="Courier New" w:hAnsi="Courier New" w:cs="Courier New"/>
        </w:rPr>
        <w:t xml:space="preserve">citing </w:t>
      </w:r>
      <w:r w:rsidR="00D551B8" w:rsidRPr="000D1C55">
        <w:rPr>
          <w:rFonts w:ascii="Courier New" w:hAnsi="Courier New" w:cs="Courier New"/>
          <w:b/>
          <w:i/>
        </w:rPr>
        <w:t>Mitchell v. Commissioner</w:t>
      </w:r>
      <w:r w:rsidR="00CA15CB">
        <w:rPr>
          <w:rFonts w:ascii="Courier New" w:hAnsi="Courier New" w:cs="Courier New"/>
        </w:rPr>
        <w:t xml:space="preserve">, 74 T.C. 578, 581 (1980)).  </w:t>
      </w:r>
    </w:p>
    <w:p w:rsidR="002C61F6" w:rsidRPr="002C61F6" w:rsidRDefault="004570C1" w:rsidP="00B15EFA">
      <w:pPr>
        <w:spacing w:line="480" w:lineRule="auto"/>
        <w:ind w:firstLine="720"/>
        <w:jc w:val="both"/>
        <w:rPr>
          <w:rFonts w:ascii="Courier New" w:hAnsi="Courier New" w:cs="Courier New"/>
        </w:rPr>
      </w:pPr>
      <w:r>
        <w:rPr>
          <w:rFonts w:ascii="Courier New" w:hAnsi="Courier New" w:cs="Courier New"/>
        </w:rPr>
        <w:t>“T</w:t>
      </w:r>
      <w:r w:rsidR="008F0F71">
        <w:rPr>
          <w:rFonts w:ascii="Courier New" w:hAnsi="Courier New" w:cs="Courier New"/>
        </w:rPr>
        <w:t xml:space="preserve">he purpose of the </w:t>
      </w:r>
      <w:r w:rsidR="00950DF6">
        <w:rPr>
          <w:rFonts w:ascii="Courier New" w:hAnsi="Courier New" w:cs="Courier New"/>
        </w:rPr>
        <w:t xml:space="preserve">section 162(a)(2) deduction is to mitigate the burden upon a taxpayer who, because of the exigencies of business, must maintain two places of abode and thereby incur additional living expenses.”  </w:t>
      </w:r>
      <w:r w:rsidR="00950DF6" w:rsidRPr="000A0D2E">
        <w:rPr>
          <w:rFonts w:ascii="Courier New" w:hAnsi="Courier New" w:cs="Courier New"/>
          <w:b/>
          <w:i/>
        </w:rPr>
        <w:t>Andrews v. Commissioner of Internal Revenue</w:t>
      </w:r>
      <w:r w:rsidR="00950DF6">
        <w:rPr>
          <w:rFonts w:ascii="Courier New" w:hAnsi="Courier New" w:cs="Courier New"/>
        </w:rPr>
        <w:t>, 931 F.2d 132, 135 (1</w:t>
      </w:r>
      <w:r w:rsidR="00950DF6" w:rsidRPr="000A0D2E">
        <w:rPr>
          <w:rFonts w:ascii="Courier New" w:hAnsi="Courier New" w:cs="Courier New"/>
          <w:vertAlign w:val="superscript"/>
        </w:rPr>
        <w:t>st</w:t>
      </w:r>
      <w:r w:rsidR="00950DF6">
        <w:rPr>
          <w:rFonts w:ascii="Courier New" w:hAnsi="Courier New" w:cs="Courier New"/>
        </w:rPr>
        <w:t xml:space="preserve"> Cir. 1991) (other citations omitted).</w:t>
      </w:r>
      <w:r w:rsidR="00F26C73">
        <w:rPr>
          <w:rFonts w:ascii="Courier New" w:hAnsi="Courier New" w:cs="Courier New"/>
        </w:rPr>
        <w:t xml:space="preserve">  </w:t>
      </w:r>
      <w:r w:rsidR="00720D19">
        <w:rPr>
          <w:rFonts w:ascii="Courier New" w:hAnsi="Courier New" w:cs="Courier New"/>
        </w:rPr>
        <w:t xml:space="preserve">“[T]he exigencies of business” is the key concept here, because expenses for commuting to and </w:t>
      </w:r>
      <w:r w:rsidR="00720D19">
        <w:rPr>
          <w:rFonts w:ascii="Courier New" w:hAnsi="Courier New" w:cs="Courier New"/>
        </w:rPr>
        <w:lastRenderedPageBreak/>
        <w:t xml:space="preserve">from work are generally not deductible.  </w:t>
      </w:r>
      <w:r w:rsidR="00720D19" w:rsidRPr="00720D19">
        <w:rPr>
          <w:rFonts w:ascii="Courier New" w:hAnsi="Courier New" w:cs="Courier New"/>
          <w:b/>
          <w:i/>
        </w:rPr>
        <w:t xml:space="preserve">Fausner v. </w:t>
      </w:r>
      <w:r w:rsidR="00720D19" w:rsidRPr="005C39A6">
        <w:rPr>
          <w:rFonts w:ascii="Courier New" w:hAnsi="Courier New" w:cs="Courier New"/>
          <w:b/>
          <w:i/>
        </w:rPr>
        <w:t>Commissioner</w:t>
      </w:r>
      <w:r w:rsidR="00720D19" w:rsidRPr="005C39A6">
        <w:rPr>
          <w:rFonts w:ascii="Courier New" w:hAnsi="Courier New" w:cs="Courier New"/>
        </w:rPr>
        <w:t>, 413 U.S. 838, 839 (1973)</w:t>
      </w:r>
      <w:r w:rsidR="005C39A6" w:rsidRPr="005C39A6">
        <w:rPr>
          <w:rFonts w:ascii="Courier New" w:hAnsi="Courier New" w:cs="Courier New"/>
        </w:rPr>
        <w:t xml:space="preserve">; </w:t>
      </w:r>
      <w:r w:rsidR="005C39A6" w:rsidRPr="005C39A6">
        <w:rPr>
          <w:rFonts w:ascii="Courier New" w:hAnsi="Courier New" w:cs="Courier New"/>
          <w:i/>
        </w:rPr>
        <w:t>see also</w:t>
      </w:r>
      <w:r w:rsidR="005C39A6" w:rsidRPr="005C39A6">
        <w:rPr>
          <w:rFonts w:ascii="Courier New" w:hAnsi="Courier New" w:cs="Courier New"/>
        </w:rPr>
        <w:t xml:space="preserve"> </w:t>
      </w:r>
      <w:r w:rsidR="005C39A6" w:rsidRPr="005C39A6">
        <w:rPr>
          <w:rFonts w:ascii="Courier New" w:hAnsi="Courier New" w:cs="Courier New"/>
          <w:b/>
          <w:i/>
        </w:rPr>
        <w:t>Commissioner v. Flowers</w:t>
      </w:r>
      <w:r w:rsidR="00171540">
        <w:rPr>
          <w:rFonts w:ascii="Courier New" w:hAnsi="Courier New" w:cs="Courier New"/>
        </w:rPr>
        <w:t>, 326</w:t>
      </w:r>
      <w:r w:rsidR="005C39A6" w:rsidRPr="005C39A6">
        <w:rPr>
          <w:rFonts w:ascii="Courier New" w:hAnsi="Courier New" w:cs="Courier New"/>
        </w:rPr>
        <w:t xml:space="preserve"> U.S. 465, 474 (1946) (</w:t>
      </w:r>
      <w:r w:rsidR="005C39A6">
        <w:rPr>
          <w:rFonts w:ascii="Courier New" w:hAnsi="Courier New" w:cs="Courier New"/>
          <w:color w:val="333333"/>
          <w:shd w:val="clear" w:color="auto" w:fill="FFFFFF"/>
        </w:rPr>
        <w:t>“</w:t>
      </w:r>
      <w:r w:rsidR="005C39A6" w:rsidRPr="005C39A6">
        <w:rPr>
          <w:rFonts w:ascii="Courier New" w:hAnsi="Courier New" w:cs="Courier New"/>
          <w:color w:val="333333"/>
          <w:shd w:val="clear" w:color="auto" w:fill="FFFFFF"/>
        </w:rPr>
        <w:t>The exigencies of business rather than the personal conveniences and necessities of the traveler must be the motivating factors</w:t>
      </w:r>
      <w:r w:rsidR="005C39A6">
        <w:rPr>
          <w:rFonts w:ascii="Courier New" w:hAnsi="Courier New" w:cs="Courier New"/>
          <w:color w:val="333333"/>
          <w:shd w:val="clear" w:color="auto" w:fill="FFFFFF"/>
        </w:rPr>
        <w:t>”</w:t>
      </w:r>
      <w:r w:rsidR="005C39A6" w:rsidRPr="005C39A6">
        <w:rPr>
          <w:rFonts w:ascii="Courier New" w:hAnsi="Courier New" w:cs="Courier New"/>
          <w:color w:val="333333"/>
          <w:shd w:val="clear" w:color="auto" w:fill="FFFFFF"/>
        </w:rPr>
        <w:t xml:space="preserve"> in determining deductibility of travel expenses.). </w:t>
      </w:r>
      <w:r w:rsidR="002C61F6" w:rsidRPr="005C39A6">
        <w:rPr>
          <w:rFonts w:ascii="Courier New" w:hAnsi="Courier New" w:cs="Courier New"/>
        </w:rPr>
        <w:t xml:space="preserve"> </w:t>
      </w:r>
      <w:r w:rsidR="002C61F6" w:rsidRPr="005C39A6">
        <w:rPr>
          <w:rFonts w:ascii="Courier New" w:hAnsi="Courier New" w:cs="Courier New"/>
          <w:color w:val="333333"/>
          <w:shd w:val="clear" w:color="auto" w:fill="FFFFFF"/>
        </w:rPr>
        <w:t>The 9</w:t>
      </w:r>
      <w:r w:rsidR="002C61F6" w:rsidRPr="005C39A6">
        <w:rPr>
          <w:rFonts w:ascii="Courier New" w:hAnsi="Courier New" w:cs="Courier New"/>
          <w:color w:val="333333"/>
          <w:shd w:val="clear" w:color="auto" w:fill="FFFFFF"/>
          <w:vertAlign w:val="superscript"/>
        </w:rPr>
        <w:t>th</w:t>
      </w:r>
      <w:r w:rsidR="002C61F6" w:rsidRPr="005C39A6">
        <w:rPr>
          <w:rFonts w:ascii="Courier New" w:hAnsi="Courier New" w:cs="Courier New"/>
          <w:color w:val="333333"/>
          <w:shd w:val="clear" w:color="auto" w:fill="FFFFFF"/>
        </w:rPr>
        <w:t xml:space="preserve"> Circuit in </w:t>
      </w:r>
      <w:r w:rsidR="002C61F6" w:rsidRPr="005C39A6">
        <w:rPr>
          <w:rFonts w:ascii="Courier New" w:hAnsi="Courier New" w:cs="Courier New"/>
          <w:b/>
          <w:i/>
          <w:color w:val="333333"/>
          <w:shd w:val="clear" w:color="auto" w:fill="FFFFFF"/>
        </w:rPr>
        <w:t>Coombs v. Commissioner</w:t>
      </w:r>
      <w:r w:rsidR="002C61F6" w:rsidRPr="005C39A6">
        <w:rPr>
          <w:rFonts w:ascii="Courier New" w:hAnsi="Courier New" w:cs="Courier New"/>
          <w:color w:val="333333"/>
          <w:shd w:val="clear" w:color="auto" w:fill="FFFFFF"/>
        </w:rPr>
        <w:t>, 608</w:t>
      </w:r>
      <w:r w:rsidR="002C61F6">
        <w:rPr>
          <w:rFonts w:ascii="Courier New" w:hAnsi="Courier New" w:cs="Courier New"/>
          <w:color w:val="333333"/>
          <w:shd w:val="clear" w:color="auto" w:fill="FFFFFF"/>
        </w:rPr>
        <w:t xml:space="preserve"> F.2d 1269, </w:t>
      </w:r>
      <w:r w:rsidR="00872539">
        <w:rPr>
          <w:rFonts w:ascii="Courier New" w:hAnsi="Courier New" w:cs="Courier New"/>
          <w:color w:val="333333"/>
          <w:shd w:val="clear" w:color="auto" w:fill="FFFFFF"/>
        </w:rPr>
        <w:t>1275-76 (</w:t>
      </w:r>
      <w:r w:rsidR="00C20C90">
        <w:rPr>
          <w:rFonts w:ascii="Courier New" w:hAnsi="Courier New" w:cs="Courier New"/>
          <w:color w:val="333333"/>
          <w:shd w:val="clear" w:color="auto" w:fill="FFFFFF"/>
        </w:rPr>
        <w:t>9</w:t>
      </w:r>
      <w:r w:rsidR="00C20C90" w:rsidRPr="00C20C90">
        <w:rPr>
          <w:rFonts w:ascii="Courier New" w:hAnsi="Courier New" w:cs="Courier New"/>
          <w:color w:val="333333"/>
          <w:shd w:val="clear" w:color="auto" w:fill="FFFFFF"/>
          <w:vertAlign w:val="superscript"/>
        </w:rPr>
        <w:t>th</w:t>
      </w:r>
      <w:r w:rsidR="00C20C90">
        <w:rPr>
          <w:rFonts w:ascii="Courier New" w:hAnsi="Courier New" w:cs="Courier New"/>
          <w:color w:val="333333"/>
          <w:shd w:val="clear" w:color="auto" w:fill="FFFFFF"/>
        </w:rPr>
        <w:t xml:space="preserve"> Cir. </w:t>
      </w:r>
      <w:r w:rsidR="00872539">
        <w:rPr>
          <w:rFonts w:ascii="Courier New" w:hAnsi="Courier New" w:cs="Courier New"/>
          <w:color w:val="333333"/>
          <w:shd w:val="clear" w:color="auto" w:fill="FFFFFF"/>
        </w:rPr>
        <w:t xml:space="preserve">1979) further explained </w:t>
      </w:r>
      <w:r w:rsidR="002C61F6">
        <w:rPr>
          <w:rFonts w:ascii="Courier New" w:hAnsi="Courier New" w:cs="Courier New"/>
          <w:color w:val="333333"/>
          <w:shd w:val="clear" w:color="auto" w:fill="FFFFFF"/>
        </w:rPr>
        <w:t>the rationale behind that determination:</w:t>
      </w:r>
    </w:p>
    <w:p w:rsidR="002C61F6" w:rsidRDefault="002C61F6" w:rsidP="002C61F6">
      <w:pPr>
        <w:ind w:left="720" w:right="720"/>
        <w:jc w:val="both"/>
        <w:rPr>
          <w:rFonts w:ascii="Courier New" w:hAnsi="Courier New" w:cs="Courier New"/>
          <w:color w:val="333333"/>
          <w:shd w:val="clear" w:color="auto" w:fill="FFFFFF"/>
        </w:rPr>
      </w:pPr>
      <w:r>
        <w:rPr>
          <w:rFonts w:ascii="Courier New" w:hAnsi="Courier New" w:cs="Courier New"/>
          <w:color w:val="333333"/>
          <w:shd w:val="clear" w:color="auto" w:fill="FFFFFF"/>
        </w:rPr>
        <w:t>When a taxpayer accepts employment either permanently o</w:t>
      </w:r>
      <w:r w:rsidR="00C02861">
        <w:rPr>
          <w:rFonts w:ascii="Courier New" w:hAnsi="Courier New" w:cs="Courier New"/>
          <w:color w:val="333333"/>
          <w:shd w:val="clear" w:color="auto" w:fill="FFFFFF"/>
        </w:rPr>
        <w:t>r for an indefinite time away f</w:t>
      </w:r>
      <w:r>
        <w:rPr>
          <w:rFonts w:ascii="Courier New" w:hAnsi="Courier New" w:cs="Courier New"/>
          <w:color w:val="333333"/>
          <w:shd w:val="clear" w:color="auto" w:fill="FFFFFF"/>
        </w:rPr>
        <w:t>r</w:t>
      </w:r>
      <w:r w:rsidR="00C02861">
        <w:rPr>
          <w:rFonts w:ascii="Courier New" w:hAnsi="Courier New" w:cs="Courier New"/>
          <w:color w:val="333333"/>
          <w:shd w:val="clear" w:color="auto" w:fill="FFFFFF"/>
        </w:rPr>
        <w:t>o</w:t>
      </w:r>
      <w:r>
        <w:rPr>
          <w:rFonts w:ascii="Courier New" w:hAnsi="Courier New" w:cs="Courier New"/>
          <w:color w:val="333333"/>
          <w:shd w:val="clear" w:color="auto" w:fill="FFFFFF"/>
        </w:rPr>
        <w:t xml:space="preserve">m the place of his usual abode, the taxpayer’s tax home will shift to the new location – the vicinity of the taxpayer’s new principal place of business.  In such circumstances, the decision to retain a former residence is a </w:t>
      </w:r>
      <w:r w:rsidRPr="007A3954">
        <w:rPr>
          <w:rFonts w:ascii="Courier New" w:hAnsi="Courier New" w:cs="Courier New"/>
          <w:b/>
          <w:i/>
          <w:color w:val="333333"/>
          <w:shd w:val="clear" w:color="auto" w:fill="FFFFFF"/>
        </w:rPr>
        <w:t>personal choice</w:t>
      </w:r>
      <w:r>
        <w:rPr>
          <w:rFonts w:ascii="Courier New" w:hAnsi="Courier New" w:cs="Courier New"/>
          <w:color w:val="333333"/>
          <w:shd w:val="clear" w:color="auto" w:fill="FFFFFF"/>
        </w:rPr>
        <w:t xml:space="preserve">, and the expenses of traveling to and from that residence are non-deductible personal expenses. </w:t>
      </w:r>
    </w:p>
    <w:p w:rsidR="002C61F6" w:rsidRPr="002C61F6" w:rsidRDefault="002C61F6" w:rsidP="002C61F6">
      <w:pPr>
        <w:ind w:left="720" w:right="720"/>
        <w:jc w:val="both"/>
        <w:rPr>
          <w:rFonts w:ascii="Courier New" w:hAnsi="Courier New" w:cs="Courier New"/>
          <w:color w:val="333333"/>
          <w:shd w:val="clear" w:color="auto" w:fill="FFFFFF"/>
        </w:rPr>
      </w:pPr>
    </w:p>
    <w:p w:rsidR="004949A3" w:rsidRDefault="002C61F6" w:rsidP="002C61F6">
      <w:pPr>
        <w:spacing w:line="480" w:lineRule="auto"/>
        <w:jc w:val="both"/>
        <w:rPr>
          <w:rFonts w:ascii="Courier New" w:hAnsi="Courier New" w:cs="Courier New"/>
        </w:rPr>
      </w:pPr>
      <w:r>
        <w:rPr>
          <w:rFonts w:ascii="Courier New" w:hAnsi="Courier New" w:cs="Courier New"/>
          <w:b/>
          <w:i/>
        </w:rPr>
        <w:t>Id.</w:t>
      </w:r>
      <w:r>
        <w:rPr>
          <w:rFonts w:ascii="Courier New" w:hAnsi="Courier New" w:cs="Courier New"/>
        </w:rPr>
        <w:t xml:space="preserve"> at 584 n.7 (emphasis added).  Likewise, the Tax Court in </w:t>
      </w:r>
      <w:r w:rsidRPr="00C948E2">
        <w:rPr>
          <w:rFonts w:ascii="Courier New" w:hAnsi="Courier New" w:cs="Courier New"/>
          <w:b/>
          <w:i/>
        </w:rPr>
        <w:t>Tucker v. Commissioner</w:t>
      </w:r>
      <w:r>
        <w:rPr>
          <w:rFonts w:ascii="Courier New" w:hAnsi="Courier New" w:cs="Courier New"/>
        </w:rPr>
        <w:t>, 55 T.C. 783 (1971) held that a teacher who maintained his family home in Tennessee while he worked at teaching positions in Georgia and North Carolina was not entitled to deduct his duplicate living expenses associated with maintaining the residences located closer to his jobs, because his decision to retain his family home in Tennessee was a personal choice, not one made for the exigencies of his business.  The Tax Court explained:</w:t>
      </w:r>
    </w:p>
    <w:p w:rsidR="004949A3" w:rsidRDefault="004949A3">
      <w:pPr>
        <w:rPr>
          <w:rFonts w:ascii="Courier New" w:hAnsi="Courier New" w:cs="Courier New"/>
        </w:rPr>
      </w:pPr>
      <w:r>
        <w:rPr>
          <w:rFonts w:ascii="Courier New" w:hAnsi="Courier New" w:cs="Courier New"/>
        </w:rPr>
        <w:br w:type="page"/>
      </w:r>
    </w:p>
    <w:p w:rsidR="002C61F6" w:rsidRDefault="002C61F6" w:rsidP="002C61F6">
      <w:pPr>
        <w:ind w:left="720" w:right="720"/>
        <w:jc w:val="both"/>
        <w:rPr>
          <w:rFonts w:ascii="Courier New" w:hAnsi="Courier New" w:cs="Courier New"/>
        </w:rPr>
      </w:pPr>
      <w:r>
        <w:rPr>
          <w:rFonts w:ascii="Courier New" w:hAnsi="Courier New" w:cs="Courier New"/>
        </w:rPr>
        <w:lastRenderedPageBreak/>
        <w:t xml:space="preserve">If a taxpayer chooses for personal reasons to maintain a family residence far from his principal place of employment, then his additional traveling and living expenses are incurred as a result of that personal choice, and are therefore not deductible.  Similarly, if a taxpayer accepts indefinite employment outside the city in which he lives, but he does not change his family residence, the travel to his new place of employment and the additional living costs which he incurs there result, not from his employment, but from his decision not to move his residence. </w:t>
      </w:r>
    </w:p>
    <w:p w:rsidR="002C61F6" w:rsidRDefault="002C61F6" w:rsidP="002C61F6">
      <w:pPr>
        <w:ind w:left="720" w:right="720"/>
        <w:jc w:val="both"/>
        <w:rPr>
          <w:rFonts w:ascii="Courier New" w:hAnsi="Courier New" w:cs="Courier New"/>
        </w:rPr>
      </w:pPr>
    </w:p>
    <w:p w:rsidR="002C61F6" w:rsidRDefault="002C61F6" w:rsidP="002C61F6">
      <w:pPr>
        <w:spacing w:line="480" w:lineRule="auto"/>
        <w:jc w:val="both"/>
        <w:rPr>
          <w:rFonts w:ascii="Courier New" w:hAnsi="Courier New" w:cs="Courier New"/>
        </w:rPr>
      </w:pPr>
      <w:r w:rsidRPr="00C948E2">
        <w:rPr>
          <w:rFonts w:ascii="Courier New" w:hAnsi="Courier New" w:cs="Courier New"/>
          <w:b/>
          <w:i/>
        </w:rPr>
        <w:t>Id.</w:t>
      </w:r>
      <w:r>
        <w:rPr>
          <w:rFonts w:ascii="Courier New" w:hAnsi="Courier New" w:cs="Courier New"/>
        </w:rPr>
        <w:t xml:space="preserve"> at 786.  </w:t>
      </w:r>
      <w:r w:rsidR="00823A39" w:rsidRPr="00823A39">
        <w:rPr>
          <w:rFonts w:ascii="Courier New" w:hAnsi="Courier New" w:cs="Courier New"/>
          <w:i/>
        </w:rPr>
        <w:t>See also</w:t>
      </w:r>
      <w:r w:rsidRPr="00801A2B">
        <w:rPr>
          <w:rFonts w:ascii="Courier New" w:hAnsi="Courier New" w:cs="Courier New"/>
        </w:rPr>
        <w:t xml:space="preserve"> </w:t>
      </w:r>
      <w:r w:rsidRPr="00801A2B">
        <w:rPr>
          <w:rFonts w:ascii="Courier New" w:hAnsi="Courier New" w:cs="Courier New"/>
          <w:b/>
          <w:i/>
        </w:rPr>
        <w:t>Bogue v. Commissioner</w:t>
      </w:r>
      <w:r w:rsidRPr="00801A2B">
        <w:rPr>
          <w:rFonts w:ascii="Courier New" w:hAnsi="Courier New" w:cs="Courier New"/>
        </w:rPr>
        <w:t>, T.C. Memo 2011-164</w:t>
      </w:r>
      <w:r w:rsidR="00823A39">
        <w:rPr>
          <w:rFonts w:ascii="Courier New" w:hAnsi="Courier New" w:cs="Courier New"/>
        </w:rPr>
        <w:t xml:space="preserve"> (holding that, because t</w:t>
      </w:r>
      <w:r w:rsidR="00823A39" w:rsidRPr="00801A2B">
        <w:rPr>
          <w:rFonts w:ascii="Courier New" w:hAnsi="Courier New" w:cs="Courier New"/>
        </w:rPr>
        <w:t>he taxpayer’s decision of where to live is a personal choice</w:t>
      </w:r>
      <w:r w:rsidR="00823A39">
        <w:rPr>
          <w:rFonts w:ascii="Courier New" w:hAnsi="Courier New" w:cs="Courier New"/>
        </w:rPr>
        <w:t>, the</w:t>
      </w:r>
      <w:r w:rsidR="00823A39" w:rsidRPr="00801A2B">
        <w:rPr>
          <w:rFonts w:ascii="Courier New" w:hAnsi="Courier New" w:cs="Courier New"/>
        </w:rPr>
        <w:t xml:space="preserve"> expenses of commuting from home to work are not generally deductible as business expenses</w:t>
      </w:r>
      <w:r w:rsidR="00823A39">
        <w:rPr>
          <w:rFonts w:ascii="Courier New" w:hAnsi="Courier New" w:cs="Courier New"/>
        </w:rPr>
        <w:t>)</w:t>
      </w:r>
      <w:r w:rsidRPr="00801A2B">
        <w:rPr>
          <w:rFonts w:ascii="Courier New" w:hAnsi="Courier New" w:cs="Courier New"/>
        </w:rPr>
        <w:t>.</w:t>
      </w:r>
      <w:r>
        <w:rPr>
          <w:rFonts w:ascii="Courier New" w:hAnsi="Courier New" w:cs="Courier New"/>
        </w:rPr>
        <w:t xml:space="preserve">  </w:t>
      </w:r>
    </w:p>
    <w:p w:rsidR="004570C1" w:rsidRDefault="007D3AA1" w:rsidP="002C61F6">
      <w:pPr>
        <w:spacing w:line="480" w:lineRule="auto"/>
        <w:jc w:val="both"/>
        <w:rPr>
          <w:rFonts w:ascii="Courier New" w:hAnsi="Courier New" w:cs="Courier New"/>
          <w:color w:val="333333"/>
          <w:shd w:val="clear" w:color="auto" w:fill="FFFFFF"/>
        </w:rPr>
      </w:pPr>
      <w:r>
        <w:rPr>
          <w:rFonts w:ascii="Courier New" w:hAnsi="Courier New" w:cs="Courier New"/>
        </w:rPr>
        <w:tab/>
        <w:t>A notable</w:t>
      </w:r>
      <w:r w:rsidR="00704F0B" w:rsidRPr="00801A2B">
        <w:rPr>
          <w:rFonts w:ascii="Courier New" w:hAnsi="Courier New" w:cs="Courier New"/>
        </w:rPr>
        <w:t xml:space="preserve"> exception to the bar against deducting c</w:t>
      </w:r>
      <w:r w:rsidR="001578EC">
        <w:rPr>
          <w:rFonts w:ascii="Courier New" w:hAnsi="Courier New" w:cs="Courier New"/>
        </w:rPr>
        <w:t>ommuting expenses is the deductibility</w:t>
      </w:r>
      <w:r w:rsidR="00704F0B" w:rsidRPr="00801A2B">
        <w:rPr>
          <w:rFonts w:ascii="Courier New" w:hAnsi="Courier New" w:cs="Courier New"/>
        </w:rPr>
        <w:t xml:space="preserve"> of </w:t>
      </w:r>
      <w:r w:rsidR="001578EC">
        <w:rPr>
          <w:rFonts w:ascii="Courier New" w:hAnsi="Courier New" w:cs="Courier New"/>
        </w:rPr>
        <w:t xml:space="preserve">expenses incurred in </w:t>
      </w:r>
      <w:r w:rsidR="00801A2B" w:rsidRPr="00801A2B">
        <w:rPr>
          <w:rFonts w:ascii="Courier New" w:hAnsi="Courier New" w:cs="Courier New"/>
        </w:rPr>
        <w:t>traveling to a</w:t>
      </w:r>
      <w:r w:rsidR="00704F0B" w:rsidRPr="00801A2B">
        <w:rPr>
          <w:rFonts w:ascii="Courier New" w:hAnsi="Courier New" w:cs="Courier New"/>
        </w:rPr>
        <w:t xml:space="preserve"> “temporary”</w:t>
      </w:r>
      <w:r w:rsidR="00801A2B" w:rsidRPr="00801A2B">
        <w:rPr>
          <w:rFonts w:ascii="Courier New" w:hAnsi="Courier New" w:cs="Courier New"/>
        </w:rPr>
        <w:t xml:space="preserve"> work site</w:t>
      </w:r>
      <w:r w:rsidR="00801A2B">
        <w:rPr>
          <w:rFonts w:ascii="Courier New" w:hAnsi="Courier New" w:cs="Courier New"/>
        </w:rPr>
        <w:t xml:space="preserve">, which the Commissioner of Internal Revenue defines as one </w:t>
      </w:r>
      <w:r w:rsidR="00801A2B">
        <w:rPr>
          <w:rFonts w:ascii="Courier New" w:hAnsi="Courier New" w:cs="Courier New"/>
          <w:color w:val="333333"/>
          <w:shd w:val="clear" w:color="auto" w:fill="FFFFFF"/>
        </w:rPr>
        <w:t>that “</w:t>
      </w:r>
      <w:r w:rsidR="00801A2B" w:rsidRPr="00801A2B">
        <w:rPr>
          <w:rFonts w:ascii="Courier New" w:hAnsi="Courier New" w:cs="Courier New"/>
          <w:color w:val="333333"/>
          <w:shd w:val="clear" w:color="auto" w:fill="FFFFFF"/>
        </w:rPr>
        <w:t>is realistically expected to last (and does in fact last) for 1 year or less</w:t>
      </w:r>
      <w:r w:rsidR="00801A2B">
        <w:rPr>
          <w:rFonts w:ascii="Courier New" w:hAnsi="Courier New" w:cs="Courier New"/>
          <w:color w:val="333333"/>
          <w:shd w:val="clear" w:color="auto" w:fill="FFFFFF"/>
        </w:rPr>
        <w:t>.”</w:t>
      </w:r>
      <w:r w:rsidR="00E0508F">
        <w:rPr>
          <w:rFonts w:ascii="Courier New" w:hAnsi="Courier New" w:cs="Courier New"/>
        </w:rPr>
        <w:t xml:space="preserve">  </w:t>
      </w:r>
      <w:hyperlink r:id="rId8" w:history="1">
        <w:r w:rsidR="00801A2B" w:rsidRPr="001578EC">
          <w:rPr>
            <w:rFonts w:ascii="Courier New" w:hAnsi="Courier New" w:cs="Courier New"/>
            <w:b/>
            <w:i/>
            <w:shd w:val="clear" w:color="auto" w:fill="FFFFFF"/>
          </w:rPr>
          <w:t>Rev. Rul. 99-7</w:t>
        </w:r>
        <w:r w:rsidR="00801A2B" w:rsidRPr="00801A2B">
          <w:rPr>
            <w:rFonts w:ascii="Courier New" w:hAnsi="Courier New" w:cs="Courier New"/>
            <w:shd w:val="clear" w:color="auto" w:fill="FFFFFF"/>
          </w:rPr>
          <w:t>, 1999-1 C.B. at 361</w:t>
        </w:r>
      </w:hyperlink>
      <w:r w:rsidR="00801A2B">
        <w:rPr>
          <w:rFonts w:ascii="Courier New" w:hAnsi="Courier New" w:cs="Courier New"/>
          <w:shd w:val="clear" w:color="auto" w:fill="FFFFFF"/>
        </w:rPr>
        <w:t>.</w:t>
      </w:r>
      <w:r w:rsidR="00BA4971">
        <w:rPr>
          <w:rFonts w:ascii="Courier New" w:hAnsi="Courier New" w:cs="Courier New"/>
          <w:shd w:val="clear" w:color="auto" w:fill="FFFFFF"/>
        </w:rPr>
        <w:t xml:space="preserve">  By contrast, when</w:t>
      </w:r>
      <w:r w:rsidR="00801A2B" w:rsidRPr="00801A2B">
        <w:rPr>
          <w:rFonts w:ascii="Courier New" w:hAnsi="Courier New" w:cs="Courier New"/>
          <w:color w:val="333333"/>
          <w:shd w:val="clear" w:color="auto" w:fill="FFFFFF"/>
        </w:rPr>
        <w:t> </w:t>
      </w:r>
      <w:r w:rsidR="00BA4971">
        <w:rPr>
          <w:rFonts w:ascii="Courier New" w:hAnsi="Courier New" w:cs="Courier New"/>
          <w:color w:val="333333"/>
          <w:shd w:val="clear" w:color="auto" w:fill="FFFFFF"/>
        </w:rPr>
        <w:t>a taxpayer’s employment is permanent or lasts for an indefinite period of time, it is not considered “temporary,” and the expenses associated with commuting to that job</w:t>
      </w:r>
      <w:r w:rsidR="004570C1">
        <w:rPr>
          <w:rFonts w:ascii="Courier New" w:hAnsi="Courier New" w:cs="Courier New"/>
          <w:color w:val="333333"/>
          <w:shd w:val="clear" w:color="auto" w:fill="FFFFFF"/>
        </w:rPr>
        <w:t xml:space="preserve"> are therefore not deductible. </w:t>
      </w:r>
    </w:p>
    <w:p w:rsidR="007F36F9" w:rsidRPr="001578EC" w:rsidRDefault="00BA4971" w:rsidP="004570C1">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t>In</w:t>
      </w:r>
      <w:r w:rsidR="00C20C90">
        <w:rPr>
          <w:rFonts w:ascii="Courier New" w:hAnsi="Courier New" w:cs="Courier New"/>
          <w:color w:val="333333"/>
          <w:shd w:val="clear" w:color="auto" w:fill="FFFFFF"/>
        </w:rPr>
        <w:t xml:space="preserve"> </w:t>
      </w:r>
      <w:r w:rsidR="00C20C90">
        <w:rPr>
          <w:rFonts w:ascii="Courier New" w:hAnsi="Courier New" w:cs="Courier New"/>
          <w:b/>
          <w:i/>
        </w:rPr>
        <w:t>Commissioner v. Mitchell</w:t>
      </w:r>
      <w:r>
        <w:rPr>
          <w:rFonts w:ascii="Courier New" w:hAnsi="Courier New" w:cs="Courier New"/>
          <w:color w:val="333333"/>
          <w:shd w:val="clear" w:color="auto" w:fill="FFFFFF"/>
        </w:rPr>
        <w:t xml:space="preserve">, </w:t>
      </w:r>
      <w:r w:rsidR="00B5580A">
        <w:rPr>
          <w:rFonts w:ascii="Courier New" w:hAnsi="Courier New" w:cs="Courier New"/>
          <w:color w:val="333333"/>
          <w:shd w:val="clear" w:color="auto" w:fill="FFFFFF"/>
        </w:rPr>
        <w:t xml:space="preserve">74 T.C. 578 (1980), </w:t>
      </w:r>
      <w:r>
        <w:rPr>
          <w:rFonts w:ascii="Courier New" w:hAnsi="Courier New" w:cs="Courier New"/>
          <w:color w:val="333333"/>
          <w:shd w:val="clear" w:color="auto" w:fill="FFFFFF"/>
        </w:rPr>
        <w:t>the taxpayer, a hospital employee, transferred to a different hospital</w:t>
      </w:r>
      <w:r w:rsidR="00C61EC1">
        <w:rPr>
          <w:rFonts w:ascii="Courier New" w:hAnsi="Courier New" w:cs="Courier New"/>
          <w:color w:val="333333"/>
          <w:shd w:val="clear" w:color="auto" w:fill="FFFFFF"/>
        </w:rPr>
        <w:t xml:space="preserve"> in Napa</w:t>
      </w:r>
      <w:r>
        <w:rPr>
          <w:rFonts w:ascii="Courier New" w:hAnsi="Courier New" w:cs="Courier New"/>
          <w:color w:val="333333"/>
          <w:shd w:val="clear" w:color="auto" w:fill="FFFFFF"/>
        </w:rPr>
        <w:t xml:space="preserve">, located about 100 miles from his </w:t>
      </w:r>
      <w:r w:rsidR="00C61EC1">
        <w:rPr>
          <w:rFonts w:ascii="Courier New" w:hAnsi="Courier New" w:cs="Courier New"/>
          <w:color w:val="333333"/>
          <w:shd w:val="clear" w:color="auto" w:fill="FFFFFF"/>
        </w:rPr>
        <w:t xml:space="preserve">family </w:t>
      </w:r>
      <w:r>
        <w:rPr>
          <w:rFonts w:ascii="Courier New" w:hAnsi="Courier New" w:cs="Courier New"/>
          <w:color w:val="333333"/>
          <w:shd w:val="clear" w:color="auto" w:fill="FFFFFF"/>
        </w:rPr>
        <w:t xml:space="preserve">home, when his previous hospital of employment closed.  </w:t>
      </w:r>
      <w:r w:rsidR="00B5580A">
        <w:rPr>
          <w:rFonts w:ascii="Courier New" w:hAnsi="Courier New" w:cs="Courier New"/>
          <w:b/>
          <w:i/>
          <w:color w:val="333333"/>
          <w:shd w:val="clear" w:color="auto" w:fill="FFFFFF"/>
        </w:rPr>
        <w:t>Id.</w:t>
      </w:r>
      <w:r w:rsidR="00265220">
        <w:rPr>
          <w:rFonts w:ascii="Courier New" w:hAnsi="Courier New" w:cs="Courier New"/>
        </w:rPr>
        <w:t xml:space="preserve"> at </w:t>
      </w:r>
      <w:r w:rsidR="00025014">
        <w:rPr>
          <w:rFonts w:ascii="Courier New" w:hAnsi="Courier New" w:cs="Courier New"/>
        </w:rPr>
        <w:t>579</w:t>
      </w:r>
      <w:r w:rsidR="00265220">
        <w:rPr>
          <w:rFonts w:ascii="Courier New" w:hAnsi="Courier New" w:cs="Courier New"/>
        </w:rPr>
        <w:t xml:space="preserve">.  </w:t>
      </w:r>
      <w:r>
        <w:rPr>
          <w:rFonts w:ascii="Courier New" w:hAnsi="Courier New" w:cs="Courier New"/>
          <w:color w:val="333333"/>
          <w:shd w:val="clear" w:color="auto" w:fill="FFFFFF"/>
        </w:rPr>
        <w:t xml:space="preserve">The taxpayer lived in a rented trailer during the work week and </w:t>
      </w:r>
      <w:r>
        <w:rPr>
          <w:rFonts w:ascii="Courier New" w:hAnsi="Courier New" w:cs="Courier New"/>
          <w:color w:val="333333"/>
          <w:shd w:val="clear" w:color="auto" w:fill="FFFFFF"/>
        </w:rPr>
        <w:lastRenderedPageBreak/>
        <w:t xml:space="preserve">he commuted to his family home on the weekends.  </w:t>
      </w:r>
      <w:r w:rsidR="00025014" w:rsidRPr="00025014">
        <w:rPr>
          <w:rFonts w:ascii="Courier New" w:hAnsi="Courier New" w:cs="Courier New"/>
          <w:b/>
          <w:i/>
          <w:color w:val="333333"/>
          <w:shd w:val="clear" w:color="auto" w:fill="FFFFFF"/>
        </w:rPr>
        <w:t>Id</w:t>
      </w:r>
      <w:r w:rsidR="00025014">
        <w:rPr>
          <w:rFonts w:ascii="Courier New" w:hAnsi="Courier New" w:cs="Courier New"/>
          <w:color w:val="333333"/>
          <w:shd w:val="clear" w:color="auto" w:fill="FFFFFF"/>
        </w:rPr>
        <w:t xml:space="preserve">.  </w:t>
      </w:r>
      <w:r w:rsidR="00EF3F10">
        <w:rPr>
          <w:rFonts w:ascii="Courier New" w:hAnsi="Courier New" w:cs="Courier New"/>
          <w:color w:val="333333"/>
          <w:shd w:val="clear" w:color="auto" w:fill="FFFFFF"/>
        </w:rPr>
        <w:t>Based on the fact that, at the beginning of the tax periods, the taxpayer had</w:t>
      </w:r>
      <w:r w:rsidR="00F277F4">
        <w:rPr>
          <w:rFonts w:ascii="Courier New" w:hAnsi="Courier New" w:cs="Courier New"/>
          <w:color w:val="333333"/>
          <w:shd w:val="clear" w:color="auto" w:fill="FFFFFF"/>
        </w:rPr>
        <w:t xml:space="preserve"> worked for the hospital for approximately 2.5 </w:t>
      </w:r>
      <w:r w:rsidR="00EF3F10">
        <w:rPr>
          <w:rFonts w:ascii="Courier New" w:hAnsi="Courier New" w:cs="Courier New"/>
          <w:color w:val="333333"/>
          <w:shd w:val="clear" w:color="auto" w:fill="FFFFFF"/>
        </w:rPr>
        <w:t xml:space="preserve">years, that he continued to work there throughout the tax periods, </w:t>
      </w:r>
      <w:r w:rsidR="00EF3F10" w:rsidRPr="00EF3F10">
        <w:rPr>
          <w:rFonts w:ascii="Courier New" w:hAnsi="Courier New" w:cs="Courier New"/>
          <w:color w:val="333333"/>
          <w:shd w:val="clear" w:color="auto" w:fill="FFFFFF"/>
        </w:rPr>
        <w:t xml:space="preserve">and that “the record before us gives us </w:t>
      </w:r>
      <w:r w:rsidR="00EF3F10">
        <w:rPr>
          <w:rFonts w:ascii="Courier New" w:hAnsi="Courier New" w:cs="Courier New"/>
          <w:color w:val="333333"/>
          <w:shd w:val="clear" w:color="auto" w:fill="FFFFFF"/>
        </w:rPr>
        <w:t>no basis for concluding that [the taxpayer]</w:t>
      </w:r>
      <w:r w:rsidR="00EF3F10" w:rsidRPr="00EF3F10">
        <w:rPr>
          <w:rFonts w:ascii="Courier New" w:hAnsi="Courier New" w:cs="Courier New"/>
          <w:color w:val="333333"/>
          <w:shd w:val="clear" w:color="auto" w:fill="FFFFFF"/>
        </w:rPr>
        <w:t xml:space="preserve"> foresaw, or could reasonably have been expected to foresee, termination of his employment</w:t>
      </w:r>
      <w:r w:rsidR="00EF3F10">
        <w:rPr>
          <w:rFonts w:ascii="Courier New" w:hAnsi="Courier New" w:cs="Courier New"/>
          <w:color w:val="333333"/>
          <w:shd w:val="clear" w:color="auto" w:fill="FFFFFF"/>
        </w:rPr>
        <w:t>,” the Tax Court concluded that the taxpayer’s employment did not qualify as “temporary.”</w:t>
      </w:r>
      <w:r w:rsidR="00EF3F10" w:rsidRPr="00EF3F10">
        <w:rPr>
          <w:rFonts w:ascii="Courier New" w:hAnsi="Courier New" w:cs="Courier New"/>
          <w:color w:val="333333"/>
          <w:shd w:val="clear" w:color="auto" w:fill="FFFFFF"/>
        </w:rPr>
        <w:t xml:space="preserve">  </w:t>
      </w:r>
      <w:r w:rsidR="00EF3F10" w:rsidRPr="00EF3F10">
        <w:rPr>
          <w:rFonts w:ascii="Courier New" w:hAnsi="Courier New" w:cs="Courier New"/>
          <w:b/>
          <w:i/>
          <w:color w:val="333333"/>
          <w:shd w:val="clear" w:color="auto" w:fill="FFFFFF"/>
        </w:rPr>
        <w:t>Id</w:t>
      </w:r>
      <w:r w:rsidR="00EF3F10">
        <w:rPr>
          <w:rFonts w:ascii="Courier New" w:hAnsi="Courier New" w:cs="Courier New"/>
          <w:color w:val="333333"/>
          <w:shd w:val="clear" w:color="auto" w:fill="FFFFFF"/>
        </w:rPr>
        <w:t>. at 582.</w:t>
      </w:r>
      <w:r w:rsidR="00232894">
        <w:rPr>
          <w:rFonts w:ascii="Courier New" w:hAnsi="Courier New" w:cs="Courier New"/>
          <w:color w:val="333333"/>
          <w:shd w:val="clear" w:color="auto" w:fill="FFFFFF"/>
        </w:rPr>
        <w:t xml:space="preserve">  </w:t>
      </w:r>
      <w:r w:rsidR="008A1BE8">
        <w:rPr>
          <w:rFonts w:ascii="Courier New" w:hAnsi="Courier New" w:cs="Courier New"/>
          <w:color w:val="333333"/>
          <w:shd w:val="clear" w:color="auto" w:fill="FFFFFF"/>
        </w:rPr>
        <w:t>Because his work was not temporary, the Tax Court concluded that the taxpayer’s “tax home” was</w:t>
      </w:r>
      <w:r w:rsidR="00C61EC1">
        <w:rPr>
          <w:rFonts w:ascii="Courier New" w:hAnsi="Courier New" w:cs="Courier New"/>
          <w:color w:val="333333"/>
          <w:shd w:val="clear" w:color="auto" w:fill="FFFFFF"/>
        </w:rPr>
        <w:t xml:space="preserve"> Napa, where the hospital was located.</w:t>
      </w:r>
      <w:r w:rsidR="008A1BE8">
        <w:rPr>
          <w:rFonts w:ascii="Courier New" w:hAnsi="Courier New" w:cs="Courier New"/>
          <w:color w:val="333333"/>
          <w:shd w:val="clear" w:color="auto" w:fill="FFFFFF"/>
        </w:rPr>
        <w:t xml:space="preserve">  </w:t>
      </w:r>
    </w:p>
    <w:p w:rsidR="00EA47E8" w:rsidRDefault="00452836" w:rsidP="00901D37">
      <w:pPr>
        <w:spacing w:line="480" w:lineRule="auto"/>
        <w:ind w:firstLine="720"/>
        <w:jc w:val="both"/>
        <w:rPr>
          <w:rFonts w:ascii="Courier New" w:hAnsi="Courier New" w:cs="Courier New"/>
        </w:rPr>
      </w:pPr>
      <w:r>
        <w:rPr>
          <w:rFonts w:ascii="Courier New" w:hAnsi="Courier New" w:cs="Courier New"/>
        </w:rPr>
        <w:t>In the instant appeal, the a</w:t>
      </w:r>
      <w:r w:rsidR="00872539">
        <w:rPr>
          <w:rFonts w:ascii="Courier New" w:hAnsi="Courier New" w:cs="Courier New"/>
        </w:rPr>
        <w:t>ppellant argued</w:t>
      </w:r>
      <w:r>
        <w:rPr>
          <w:rFonts w:ascii="Courier New" w:hAnsi="Courier New" w:cs="Courier New"/>
        </w:rPr>
        <w:t xml:space="preserve"> that his employment with Dominican should</w:t>
      </w:r>
      <w:r w:rsidR="002D3F49">
        <w:rPr>
          <w:rFonts w:ascii="Courier New" w:hAnsi="Courier New" w:cs="Courier New"/>
        </w:rPr>
        <w:t xml:space="preserve"> not </w:t>
      </w:r>
      <w:r>
        <w:rPr>
          <w:rFonts w:ascii="Courier New" w:hAnsi="Courier New" w:cs="Courier New"/>
        </w:rPr>
        <w:t xml:space="preserve">be considered </w:t>
      </w:r>
      <w:r w:rsidR="002D3F49">
        <w:rPr>
          <w:rFonts w:ascii="Courier New" w:hAnsi="Courier New" w:cs="Courier New"/>
        </w:rPr>
        <w:t>permanent</w:t>
      </w:r>
      <w:r w:rsidR="008878AE">
        <w:rPr>
          <w:rFonts w:ascii="Courier New" w:hAnsi="Courier New" w:cs="Courier New"/>
        </w:rPr>
        <w:t>,</w:t>
      </w:r>
      <w:r w:rsidR="002D3F49">
        <w:rPr>
          <w:rFonts w:ascii="Courier New" w:hAnsi="Courier New" w:cs="Courier New"/>
        </w:rPr>
        <w:t xml:space="preserve"> because</w:t>
      </w:r>
      <w:r>
        <w:rPr>
          <w:rFonts w:ascii="Courier New" w:hAnsi="Courier New" w:cs="Courier New"/>
        </w:rPr>
        <w:t xml:space="preserve"> he</w:t>
      </w:r>
      <w:r w:rsidR="002D3F49">
        <w:rPr>
          <w:rFonts w:ascii="Courier New" w:hAnsi="Courier New" w:cs="Courier New"/>
        </w:rPr>
        <w:t xml:space="preserve"> must sign a new contract every year, even though</w:t>
      </w:r>
      <w:r>
        <w:rPr>
          <w:rFonts w:ascii="Courier New" w:hAnsi="Courier New" w:cs="Courier New"/>
        </w:rPr>
        <w:t xml:space="preserve"> he was awarded</w:t>
      </w:r>
      <w:r w:rsidR="002D3F49">
        <w:rPr>
          <w:rFonts w:ascii="Courier New" w:hAnsi="Courier New" w:cs="Courier New"/>
        </w:rPr>
        <w:t xml:space="preserve"> tenure. </w:t>
      </w:r>
      <w:r w:rsidR="002C72E1">
        <w:rPr>
          <w:rFonts w:ascii="Courier New" w:hAnsi="Courier New" w:cs="Courier New"/>
        </w:rPr>
        <w:t xml:space="preserve"> However, the Board found that at the very least, the appellant’s employment with Dominican was</w:t>
      </w:r>
      <w:r w:rsidR="002E7739">
        <w:rPr>
          <w:rFonts w:ascii="Courier New" w:hAnsi="Courier New" w:cs="Courier New"/>
        </w:rPr>
        <w:t xml:space="preserve"> “indefinite,”</w:t>
      </w:r>
      <w:r w:rsidR="002D3F49">
        <w:rPr>
          <w:rFonts w:ascii="Courier New" w:hAnsi="Courier New" w:cs="Courier New"/>
        </w:rPr>
        <w:t xml:space="preserve"> not “temporary</w:t>
      </w:r>
      <w:r w:rsidR="002E7739">
        <w:rPr>
          <w:rFonts w:ascii="Courier New" w:hAnsi="Courier New" w:cs="Courier New"/>
        </w:rPr>
        <w:t>,</w:t>
      </w:r>
      <w:r w:rsidR="002D3F49">
        <w:rPr>
          <w:rFonts w:ascii="Courier New" w:hAnsi="Courier New" w:cs="Courier New"/>
        </w:rPr>
        <w:t xml:space="preserve">” because </w:t>
      </w:r>
      <w:r w:rsidR="00114F70">
        <w:rPr>
          <w:rFonts w:ascii="Courier New" w:hAnsi="Courier New" w:cs="Courier New"/>
        </w:rPr>
        <w:t xml:space="preserve">he “realistically expected” his employment to last – and it did “in fact last” – more than 1 year.  </w:t>
      </w:r>
      <w:r w:rsidR="00114F70" w:rsidRPr="00114F70">
        <w:rPr>
          <w:rFonts w:ascii="Courier New" w:hAnsi="Courier New" w:cs="Courier New"/>
          <w:i/>
        </w:rPr>
        <w:t>See</w:t>
      </w:r>
      <w:r w:rsidR="00114F70">
        <w:rPr>
          <w:rFonts w:ascii="Courier New" w:hAnsi="Courier New" w:cs="Courier New"/>
        </w:rPr>
        <w:t xml:space="preserve"> </w:t>
      </w:r>
      <w:r w:rsidR="00114F70" w:rsidRPr="00114F70">
        <w:rPr>
          <w:rFonts w:ascii="Courier New" w:hAnsi="Courier New" w:cs="Courier New"/>
          <w:b/>
          <w:i/>
        </w:rPr>
        <w:t>Rev. Rul. 99-7</w:t>
      </w:r>
      <w:r w:rsidR="00114F70">
        <w:rPr>
          <w:rFonts w:ascii="Courier New" w:hAnsi="Courier New" w:cs="Courier New"/>
        </w:rPr>
        <w:t xml:space="preserve">.  </w:t>
      </w:r>
    </w:p>
    <w:p w:rsidR="00BC10CC" w:rsidRDefault="002E7739" w:rsidP="00EA47E8">
      <w:pPr>
        <w:spacing w:line="480" w:lineRule="auto"/>
        <w:ind w:firstLine="720"/>
        <w:jc w:val="both"/>
        <w:rPr>
          <w:rFonts w:ascii="Courier New" w:hAnsi="Courier New" w:cs="Courier New"/>
        </w:rPr>
      </w:pPr>
      <w:r>
        <w:rPr>
          <w:rFonts w:ascii="Courier New" w:hAnsi="Courier New" w:cs="Courier New"/>
        </w:rPr>
        <w:t xml:space="preserve">The </w:t>
      </w:r>
      <w:r w:rsidR="00F277F4">
        <w:rPr>
          <w:rFonts w:ascii="Courier New" w:hAnsi="Courier New" w:cs="Courier New"/>
        </w:rPr>
        <w:t xml:space="preserve">evidence showed that the </w:t>
      </w:r>
      <w:r>
        <w:rPr>
          <w:rFonts w:ascii="Courier New" w:hAnsi="Courier New" w:cs="Courier New"/>
        </w:rPr>
        <w:t>appellant</w:t>
      </w:r>
      <w:r w:rsidR="00F277F4">
        <w:rPr>
          <w:rFonts w:ascii="Courier New" w:hAnsi="Courier New" w:cs="Courier New"/>
        </w:rPr>
        <w:t xml:space="preserve"> began</w:t>
      </w:r>
      <w:r w:rsidR="00A14E6A">
        <w:rPr>
          <w:rFonts w:ascii="Courier New" w:hAnsi="Courier New" w:cs="Courier New"/>
        </w:rPr>
        <w:t xml:space="preserve"> teaching at Dominican in 2006, and he was still teaching there at the time of the hearing of th</w:t>
      </w:r>
      <w:r w:rsidR="00FF5204">
        <w:rPr>
          <w:rFonts w:ascii="Courier New" w:hAnsi="Courier New" w:cs="Courier New"/>
        </w:rPr>
        <w:t>is appeal, in 2017</w:t>
      </w:r>
      <w:r w:rsidR="00A14E6A">
        <w:rPr>
          <w:rFonts w:ascii="Courier New" w:hAnsi="Courier New" w:cs="Courier New"/>
        </w:rPr>
        <w:t xml:space="preserve">. </w:t>
      </w:r>
      <w:r w:rsidR="00F277F4">
        <w:rPr>
          <w:rFonts w:ascii="Courier New" w:hAnsi="Courier New" w:cs="Courier New"/>
        </w:rPr>
        <w:t>He</w:t>
      </w:r>
      <w:r>
        <w:rPr>
          <w:rFonts w:ascii="Courier New" w:hAnsi="Courier New" w:cs="Courier New"/>
        </w:rPr>
        <w:t xml:space="preserve"> was </w:t>
      </w:r>
      <w:r w:rsidR="00A14E6A">
        <w:rPr>
          <w:rFonts w:ascii="Courier New" w:hAnsi="Courier New" w:cs="Courier New"/>
        </w:rPr>
        <w:t xml:space="preserve">awarded tenure in 2012, and his annual employment contracts were renewed each year thereafter, throughout the tax years at issue.  While the </w:t>
      </w:r>
      <w:r w:rsidR="00A14E6A">
        <w:rPr>
          <w:rFonts w:ascii="Courier New" w:hAnsi="Courier New" w:cs="Courier New"/>
        </w:rPr>
        <w:lastRenderedPageBreak/>
        <w:t xml:space="preserve">appellant </w:t>
      </w:r>
      <w:r>
        <w:rPr>
          <w:rFonts w:ascii="Courier New" w:hAnsi="Courier New" w:cs="Courier New"/>
        </w:rPr>
        <w:t>dispute</w:t>
      </w:r>
      <w:r w:rsidR="00A14E6A">
        <w:rPr>
          <w:rFonts w:ascii="Courier New" w:hAnsi="Courier New" w:cs="Courier New"/>
        </w:rPr>
        <w:t>d the meaning of “tenure</w:t>
      </w:r>
      <w:r>
        <w:rPr>
          <w:rFonts w:ascii="Courier New" w:hAnsi="Courier New" w:cs="Courier New"/>
        </w:rPr>
        <w:t xml:space="preserve">” </w:t>
      </w:r>
      <w:r w:rsidR="00A14E6A">
        <w:rPr>
          <w:rFonts w:ascii="Courier New" w:hAnsi="Courier New" w:cs="Courier New"/>
        </w:rPr>
        <w:t xml:space="preserve">as used by Dominican, there was </w:t>
      </w:r>
      <w:r>
        <w:rPr>
          <w:rFonts w:ascii="Courier New" w:hAnsi="Courier New" w:cs="Courier New"/>
        </w:rPr>
        <w:t>no disput</w:t>
      </w:r>
      <w:r w:rsidR="00A14E6A">
        <w:rPr>
          <w:rFonts w:ascii="Courier New" w:hAnsi="Courier New" w:cs="Courier New"/>
        </w:rPr>
        <w:t>e that his y</w:t>
      </w:r>
      <w:r w:rsidR="005354A7">
        <w:rPr>
          <w:rFonts w:ascii="Courier New" w:hAnsi="Courier New" w:cs="Courier New"/>
        </w:rPr>
        <w:t>early contracts starting in</w:t>
      </w:r>
      <w:r w:rsidR="00C20C90">
        <w:rPr>
          <w:rFonts w:ascii="Courier New" w:hAnsi="Courier New" w:cs="Courier New"/>
        </w:rPr>
        <w:t xml:space="preserve"> April</w:t>
      </w:r>
      <w:r w:rsidR="00A14E6A">
        <w:rPr>
          <w:rFonts w:ascii="Courier New" w:hAnsi="Courier New" w:cs="Courier New"/>
        </w:rPr>
        <w:t xml:space="preserve"> 2012 identified him </w:t>
      </w:r>
      <w:r>
        <w:rPr>
          <w:rFonts w:ascii="Courier New" w:hAnsi="Courier New" w:cs="Courier New"/>
        </w:rPr>
        <w:t xml:space="preserve">as “Assistant Professor of History with Tenure.”  </w:t>
      </w:r>
      <w:r w:rsidR="00EA47E8">
        <w:rPr>
          <w:rFonts w:ascii="Courier New" w:hAnsi="Courier New" w:cs="Courier New"/>
        </w:rPr>
        <w:t>T</w:t>
      </w:r>
      <w:r w:rsidR="00A14E6A">
        <w:rPr>
          <w:rFonts w:ascii="Courier New" w:hAnsi="Courier New" w:cs="Courier New"/>
        </w:rPr>
        <w:t>he evidence did not support the conclusion that the appellant had a reaso</w:t>
      </w:r>
      <w:r w:rsidR="00EA47E8">
        <w:rPr>
          <w:rFonts w:ascii="Courier New" w:hAnsi="Courier New" w:cs="Courier New"/>
        </w:rPr>
        <w:t xml:space="preserve">nable basis to believe that </w:t>
      </w:r>
      <w:r w:rsidR="00A14E6A">
        <w:rPr>
          <w:rFonts w:ascii="Courier New" w:hAnsi="Courier New" w:cs="Courier New"/>
        </w:rPr>
        <w:t>Dominican would choose not to extend his employment at the college. When questioned by the hearing office</w:t>
      </w:r>
      <w:r w:rsidR="005354A7">
        <w:rPr>
          <w:rFonts w:ascii="Courier New" w:hAnsi="Courier New" w:cs="Courier New"/>
        </w:rPr>
        <w:t>r</w:t>
      </w:r>
      <w:r w:rsidR="00A14E6A">
        <w:rPr>
          <w:rFonts w:ascii="Courier New" w:hAnsi="Courier New" w:cs="Courier New"/>
        </w:rPr>
        <w:t xml:space="preserve"> as to whether he was aware of any professors at Dominican whose annual contracts w</w:t>
      </w:r>
      <w:r w:rsidR="00303347">
        <w:rPr>
          <w:rFonts w:ascii="Courier New" w:hAnsi="Courier New" w:cs="Courier New"/>
        </w:rPr>
        <w:t>ere not renewed, he testified that there had been faculty members who have left Dominican.  However, he could not point to any examples when the departure was involuntary</w:t>
      </w:r>
      <w:r w:rsidR="00A14E6A">
        <w:rPr>
          <w:rFonts w:ascii="Courier New" w:hAnsi="Courier New" w:cs="Courier New"/>
        </w:rPr>
        <w:t xml:space="preserve">.  </w:t>
      </w:r>
      <w:r w:rsidR="00EA47E8">
        <w:rPr>
          <w:rFonts w:ascii="Courier New" w:hAnsi="Courier New" w:cs="Courier New"/>
        </w:rPr>
        <w:t>Moreover, the Board found that the appellant’s own actions of purchasing a condominium, rather than renting a dwelling, strongly supported the conclusion that the appellant himself expected his employment at Dom</w:t>
      </w:r>
      <w:r w:rsidR="005354A7">
        <w:rPr>
          <w:rFonts w:ascii="Courier New" w:hAnsi="Courier New" w:cs="Courier New"/>
        </w:rPr>
        <w:t xml:space="preserve">inican to last for more than </w:t>
      </w:r>
      <w:r w:rsidR="006A4EBE">
        <w:rPr>
          <w:rFonts w:ascii="Courier New" w:hAnsi="Courier New" w:cs="Courier New"/>
        </w:rPr>
        <w:t>1</w:t>
      </w:r>
      <w:r w:rsidR="00EA47E8">
        <w:rPr>
          <w:rFonts w:ascii="Courier New" w:hAnsi="Courier New" w:cs="Courier New"/>
        </w:rPr>
        <w:t xml:space="preserve"> year. </w:t>
      </w:r>
      <w:r w:rsidR="00785310">
        <w:rPr>
          <w:rFonts w:ascii="Courier New" w:hAnsi="Courier New" w:cs="Courier New"/>
        </w:rPr>
        <w:t>Accordingly, t</w:t>
      </w:r>
      <w:r w:rsidR="00B15EFA">
        <w:rPr>
          <w:rFonts w:ascii="Courier New" w:hAnsi="Courier New" w:cs="Courier New"/>
        </w:rPr>
        <w:t>he Board found and ruled that the appellant’s employment with Dominican did not qualify as “</w:t>
      </w:r>
      <w:r w:rsidR="00785310">
        <w:rPr>
          <w:rFonts w:ascii="Courier New" w:hAnsi="Courier New" w:cs="Courier New"/>
        </w:rPr>
        <w:t xml:space="preserve">temporary” and therefore, his </w:t>
      </w:r>
      <w:r w:rsidR="000D3D3D">
        <w:rPr>
          <w:rFonts w:ascii="Courier New" w:hAnsi="Courier New" w:cs="Courier New"/>
        </w:rPr>
        <w:t xml:space="preserve">additional traveling and living </w:t>
      </w:r>
      <w:r w:rsidR="00B15EFA">
        <w:rPr>
          <w:rFonts w:ascii="Courier New" w:hAnsi="Courier New" w:cs="Courier New"/>
        </w:rPr>
        <w:t>expenses related to maintai</w:t>
      </w:r>
      <w:r w:rsidR="00785310">
        <w:rPr>
          <w:rFonts w:ascii="Courier New" w:hAnsi="Courier New" w:cs="Courier New"/>
        </w:rPr>
        <w:t xml:space="preserve">ning his work home in Orangeburg were not deductible.  </w:t>
      </w:r>
    </w:p>
    <w:p w:rsidR="00BC10CC" w:rsidRDefault="001D51AA" w:rsidP="00A14064">
      <w:pPr>
        <w:spacing w:line="480" w:lineRule="auto"/>
        <w:ind w:firstLine="720"/>
        <w:jc w:val="both"/>
        <w:rPr>
          <w:rFonts w:ascii="Courier New" w:hAnsi="Courier New" w:cs="Courier New"/>
        </w:rPr>
      </w:pPr>
      <w:r>
        <w:rPr>
          <w:rFonts w:ascii="Courier New" w:hAnsi="Courier New" w:cs="Courier New"/>
        </w:rPr>
        <w:t xml:space="preserve">The appellant further contended that he had business reasons for maintaining his family home in Lowell, and that these business reasons tipped the scale in favor of Lowell being his tax home.  These other positions were with Harvard Extension School, the Army Reserve, and as a landlord for his family home.  </w:t>
      </w:r>
      <w:r>
        <w:rPr>
          <w:rFonts w:ascii="Courier New" w:hAnsi="Courier New" w:cs="Courier New"/>
        </w:rPr>
        <w:lastRenderedPageBreak/>
        <w:t>In</w:t>
      </w:r>
      <w:r w:rsidR="00BC10CC">
        <w:rPr>
          <w:rFonts w:ascii="Courier New" w:hAnsi="Courier New" w:cs="Courier New"/>
        </w:rPr>
        <w:t xml:space="preserve"> </w:t>
      </w:r>
      <w:r w:rsidR="00985284" w:rsidRPr="0081750F">
        <w:rPr>
          <w:rFonts w:ascii="Courier New" w:hAnsi="Courier New" w:cs="Courier New"/>
          <w:b/>
          <w:i/>
        </w:rPr>
        <w:t>Montgomery v. Commissioner</w:t>
      </w:r>
      <w:r w:rsidR="00901D37">
        <w:rPr>
          <w:rFonts w:ascii="Courier New" w:hAnsi="Courier New" w:cs="Courier New"/>
        </w:rPr>
        <w:t>, 64 T.C. 175, 176</w:t>
      </w:r>
      <w:r w:rsidR="00985284">
        <w:rPr>
          <w:rFonts w:ascii="Courier New" w:hAnsi="Courier New" w:cs="Courier New"/>
        </w:rPr>
        <w:t xml:space="preserve"> (1975)</w:t>
      </w:r>
      <w:r>
        <w:rPr>
          <w:rFonts w:ascii="Courier New" w:hAnsi="Courier New" w:cs="Courier New"/>
        </w:rPr>
        <w:t xml:space="preserve">, </w:t>
      </w:r>
      <w:r w:rsidR="005354A7">
        <w:rPr>
          <w:rFonts w:ascii="Courier New" w:hAnsi="Courier New" w:cs="Courier New"/>
        </w:rPr>
        <w:t xml:space="preserve">the </w:t>
      </w:r>
      <w:r w:rsidR="00901D37">
        <w:rPr>
          <w:rFonts w:ascii="Courier New" w:hAnsi="Courier New" w:cs="Courier New"/>
        </w:rPr>
        <w:t xml:space="preserve">taxpayer was a </w:t>
      </w:r>
      <w:r w:rsidR="00FA5D0F">
        <w:rPr>
          <w:rFonts w:ascii="Courier New" w:hAnsi="Courier New" w:cs="Courier New"/>
        </w:rPr>
        <w:t xml:space="preserve">Michigan </w:t>
      </w:r>
      <w:r w:rsidR="00901D37">
        <w:rPr>
          <w:rFonts w:ascii="Courier New" w:hAnsi="Courier New" w:cs="Courier New"/>
        </w:rPr>
        <w:t>state legislator who</w:t>
      </w:r>
      <w:r w:rsidR="00513503">
        <w:rPr>
          <w:rFonts w:ascii="Courier New" w:hAnsi="Courier New" w:cs="Courier New"/>
        </w:rPr>
        <w:t xml:space="preserve"> performed </w:t>
      </w:r>
      <w:r w:rsidR="00901D37">
        <w:rPr>
          <w:rFonts w:ascii="Courier New" w:hAnsi="Courier New" w:cs="Courier New"/>
        </w:rPr>
        <w:t xml:space="preserve">his job </w:t>
      </w:r>
      <w:r w:rsidR="00513503">
        <w:rPr>
          <w:rFonts w:ascii="Courier New" w:hAnsi="Courier New" w:cs="Courier New"/>
        </w:rPr>
        <w:t>in different locations</w:t>
      </w:r>
      <w:r w:rsidR="00F367EE">
        <w:rPr>
          <w:rFonts w:ascii="Courier New" w:hAnsi="Courier New" w:cs="Courier New"/>
        </w:rPr>
        <w:t xml:space="preserve">, namely at the state capital in Lansing and at </w:t>
      </w:r>
      <w:r>
        <w:rPr>
          <w:rFonts w:ascii="Courier New" w:hAnsi="Courier New" w:cs="Courier New"/>
        </w:rPr>
        <w:t xml:space="preserve">his constituent base in </w:t>
      </w:r>
      <w:r w:rsidR="00031EE1">
        <w:rPr>
          <w:rFonts w:ascii="Courier New" w:hAnsi="Courier New" w:cs="Courier New"/>
        </w:rPr>
        <w:t>Detroit</w:t>
      </w:r>
      <w:r w:rsidR="00513503">
        <w:rPr>
          <w:rFonts w:ascii="Courier New" w:hAnsi="Courier New" w:cs="Courier New"/>
        </w:rPr>
        <w:t xml:space="preserve">.  </w:t>
      </w:r>
      <w:r w:rsidR="00901D37">
        <w:rPr>
          <w:rFonts w:ascii="Courier New" w:hAnsi="Courier New" w:cs="Courier New"/>
        </w:rPr>
        <w:t xml:space="preserve">The Tax Court held that, when a taxpayer has more than one place of business, courts should inquire as to where “most of his work was performed” to determine the location of the principal place of business, and thus the tax home.  </w:t>
      </w:r>
      <w:r w:rsidR="00513503" w:rsidRPr="00513503">
        <w:rPr>
          <w:rFonts w:ascii="Courier New" w:hAnsi="Courier New" w:cs="Courier New"/>
          <w:b/>
          <w:i/>
        </w:rPr>
        <w:t>Id</w:t>
      </w:r>
      <w:r w:rsidR="005E0A9E">
        <w:rPr>
          <w:rFonts w:ascii="Courier New" w:hAnsi="Courier New" w:cs="Courier New"/>
        </w:rPr>
        <w:t>. at 176.  The facts of</w:t>
      </w:r>
      <w:r w:rsidR="00767DA2">
        <w:rPr>
          <w:rFonts w:ascii="Courier New" w:hAnsi="Courier New" w:cs="Courier New"/>
        </w:rPr>
        <w:t xml:space="preserve"> the instant</w:t>
      </w:r>
      <w:r w:rsidR="005E0A9E">
        <w:rPr>
          <w:rFonts w:ascii="Courier New" w:hAnsi="Courier New" w:cs="Courier New"/>
        </w:rPr>
        <w:t xml:space="preserve"> appeal are slightly different</w:t>
      </w:r>
      <w:r w:rsidR="00901D37">
        <w:rPr>
          <w:rFonts w:ascii="Courier New" w:hAnsi="Courier New" w:cs="Courier New"/>
        </w:rPr>
        <w:t xml:space="preserve"> from </w:t>
      </w:r>
      <w:r w:rsidR="00901D37" w:rsidRPr="00901D37">
        <w:rPr>
          <w:rFonts w:ascii="Courier New" w:hAnsi="Courier New" w:cs="Courier New"/>
          <w:b/>
          <w:i/>
        </w:rPr>
        <w:t>Montgomery</w:t>
      </w:r>
      <w:r w:rsidR="005E0A9E">
        <w:rPr>
          <w:rFonts w:ascii="Courier New" w:hAnsi="Courier New" w:cs="Courier New"/>
        </w:rPr>
        <w:t>, as</w:t>
      </w:r>
      <w:r w:rsidR="00F367EE">
        <w:rPr>
          <w:rFonts w:ascii="Courier New" w:hAnsi="Courier New" w:cs="Courier New"/>
        </w:rPr>
        <w:t xml:space="preserve"> </w:t>
      </w:r>
      <w:r w:rsidR="00513503">
        <w:rPr>
          <w:rFonts w:ascii="Courier New" w:hAnsi="Courier New" w:cs="Courier New"/>
        </w:rPr>
        <w:t>the appellant performed</w:t>
      </w:r>
      <w:r w:rsidR="005354A7">
        <w:rPr>
          <w:rFonts w:ascii="Courier New" w:hAnsi="Courier New" w:cs="Courier New"/>
        </w:rPr>
        <w:t xml:space="preserve"> 4</w:t>
      </w:r>
      <w:r w:rsidR="00F367EE">
        <w:rPr>
          <w:rFonts w:ascii="Courier New" w:hAnsi="Courier New" w:cs="Courier New"/>
        </w:rPr>
        <w:t xml:space="preserve"> different jobs – his teaching job at Dominican; his Army Reserve job at Fort Devens; his grading job at Ha</w:t>
      </w:r>
      <w:r w:rsidR="003A6DF5">
        <w:rPr>
          <w:rFonts w:ascii="Courier New" w:hAnsi="Courier New" w:cs="Courier New"/>
        </w:rPr>
        <w:t>rvard Extension School; and being a landlord for</w:t>
      </w:r>
      <w:r w:rsidR="00F367EE">
        <w:rPr>
          <w:rFonts w:ascii="Courier New" w:hAnsi="Courier New" w:cs="Courier New"/>
        </w:rPr>
        <w:t xml:space="preserve"> his family home in Lowell.</w:t>
      </w:r>
      <w:r w:rsidR="005E0A9E">
        <w:rPr>
          <w:rFonts w:ascii="Courier New" w:hAnsi="Courier New" w:cs="Courier New"/>
        </w:rPr>
        <w:t xml:space="preserve">  However,</w:t>
      </w:r>
      <w:r w:rsidR="00767DA2">
        <w:rPr>
          <w:rFonts w:ascii="Courier New" w:hAnsi="Courier New" w:cs="Courier New"/>
        </w:rPr>
        <w:t xml:space="preserve"> the Board found that the Ford Devens, Harvard Extension School and landlord</w:t>
      </w:r>
      <w:r w:rsidR="003A6DF5">
        <w:rPr>
          <w:rFonts w:ascii="Courier New" w:hAnsi="Courier New" w:cs="Courier New"/>
        </w:rPr>
        <w:t xml:space="preserve"> jobs</w:t>
      </w:r>
      <w:r w:rsidR="005E0A9E">
        <w:rPr>
          <w:rFonts w:ascii="Courier New" w:hAnsi="Courier New" w:cs="Courier New"/>
        </w:rPr>
        <w:t xml:space="preserve"> </w:t>
      </w:r>
      <w:r w:rsidR="007A0FBC">
        <w:rPr>
          <w:rFonts w:ascii="Courier New" w:hAnsi="Courier New" w:cs="Courier New"/>
        </w:rPr>
        <w:t>we</w:t>
      </w:r>
      <w:r w:rsidR="00172BCF">
        <w:rPr>
          <w:rFonts w:ascii="Courier New" w:hAnsi="Courier New" w:cs="Courier New"/>
        </w:rPr>
        <w:t xml:space="preserve">re not </w:t>
      </w:r>
      <w:r w:rsidR="007A0FBC">
        <w:rPr>
          <w:rFonts w:ascii="Courier New" w:hAnsi="Courier New" w:cs="Courier New"/>
        </w:rPr>
        <w:t>the appellant’s</w:t>
      </w:r>
      <w:r w:rsidR="00172BCF">
        <w:rPr>
          <w:rFonts w:ascii="Courier New" w:hAnsi="Courier New" w:cs="Courier New"/>
        </w:rPr>
        <w:t xml:space="preserve"> main sources of income</w:t>
      </w:r>
      <w:r w:rsidR="007A0FBC">
        <w:rPr>
          <w:rFonts w:ascii="Courier New" w:hAnsi="Courier New" w:cs="Courier New"/>
        </w:rPr>
        <w:t xml:space="preserve"> during the tax years at issue, nor did</w:t>
      </w:r>
      <w:r w:rsidR="00172BCF">
        <w:rPr>
          <w:rFonts w:ascii="Courier New" w:hAnsi="Courier New" w:cs="Courier New"/>
        </w:rPr>
        <w:t xml:space="preserve"> they occupy an equivalent amount of </w:t>
      </w:r>
      <w:r w:rsidR="007A0FBC">
        <w:rPr>
          <w:rFonts w:ascii="Courier New" w:hAnsi="Courier New" w:cs="Courier New"/>
        </w:rPr>
        <w:t>his time as compared with the appellant’s</w:t>
      </w:r>
      <w:r w:rsidR="00172BCF">
        <w:rPr>
          <w:rFonts w:ascii="Courier New" w:hAnsi="Courier New" w:cs="Courier New"/>
        </w:rPr>
        <w:t xml:space="preserve"> extensive work as a college professor</w:t>
      </w:r>
      <w:r w:rsidR="007A0FBC">
        <w:rPr>
          <w:rFonts w:ascii="Courier New" w:hAnsi="Courier New" w:cs="Courier New"/>
        </w:rPr>
        <w:t xml:space="preserve"> for Dominican</w:t>
      </w:r>
      <w:r w:rsidR="00172BCF">
        <w:rPr>
          <w:rFonts w:ascii="Courier New" w:hAnsi="Courier New" w:cs="Courier New"/>
        </w:rPr>
        <w:t xml:space="preserve">.  </w:t>
      </w:r>
      <w:r w:rsidR="007A0FBC">
        <w:rPr>
          <w:rFonts w:ascii="Courier New" w:hAnsi="Courier New" w:cs="Courier New"/>
        </w:rPr>
        <w:t>Moreover, the Harvard Extension School position was not even tied to a specific geographic location, as the appellant admitted that he performed this work remotely.  The Board thus found and ruled that the appellant’s secondary jobs did not move the location of his tax home to Lowell.</w:t>
      </w:r>
      <w:r w:rsidR="00172BCF">
        <w:rPr>
          <w:rFonts w:ascii="Courier New" w:hAnsi="Courier New" w:cs="Courier New"/>
        </w:rPr>
        <w:t xml:space="preserve">  </w:t>
      </w:r>
    </w:p>
    <w:p w:rsidR="00BE6685" w:rsidRDefault="00785310" w:rsidP="00BE6685">
      <w:pPr>
        <w:spacing w:line="480" w:lineRule="auto"/>
        <w:ind w:firstLine="720"/>
        <w:jc w:val="both"/>
        <w:rPr>
          <w:rFonts w:ascii="Courier New" w:hAnsi="Courier New" w:cs="Courier New"/>
        </w:rPr>
      </w:pPr>
      <w:r>
        <w:rPr>
          <w:rFonts w:ascii="Courier New" w:hAnsi="Courier New" w:cs="Courier New"/>
        </w:rPr>
        <w:t xml:space="preserve">On the basis of all of the evidence, the </w:t>
      </w:r>
      <w:r w:rsidR="00BE6685">
        <w:rPr>
          <w:rFonts w:ascii="Courier New" w:hAnsi="Courier New" w:cs="Courier New"/>
        </w:rPr>
        <w:t xml:space="preserve">Board found that the appellant’s </w:t>
      </w:r>
      <w:r w:rsidR="00806E76">
        <w:rPr>
          <w:rFonts w:ascii="Courier New" w:hAnsi="Courier New" w:cs="Courier New"/>
        </w:rPr>
        <w:t xml:space="preserve">main source of employment was his job with </w:t>
      </w:r>
      <w:r w:rsidR="00806E76">
        <w:rPr>
          <w:rFonts w:ascii="Courier New" w:hAnsi="Courier New" w:cs="Courier New"/>
        </w:rPr>
        <w:lastRenderedPageBreak/>
        <w:t xml:space="preserve">Dominican, and that job was not temporary.  The Board further found that his </w:t>
      </w:r>
      <w:r w:rsidR="00BE6685">
        <w:rPr>
          <w:rFonts w:ascii="Courier New" w:hAnsi="Courier New" w:cs="Courier New"/>
        </w:rPr>
        <w:t>decision</w:t>
      </w:r>
      <w:r w:rsidR="004D10B5">
        <w:rPr>
          <w:rFonts w:ascii="Courier New" w:hAnsi="Courier New" w:cs="Courier New"/>
        </w:rPr>
        <w:t xml:space="preserve"> not to move</w:t>
      </w:r>
      <w:r w:rsidR="00BE6685">
        <w:rPr>
          <w:rFonts w:ascii="Courier New" w:hAnsi="Courier New" w:cs="Courier New"/>
        </w:rPr>
        <w:t xml:space="preserve"> his family home was primarily personal</w:t>
      </w:r>
      <w:r w:rsidR="00114F70">
        <w:rPr>
          <w:rFonts w:ascii="Courier New" w:hAnsi="Courier New" w:cs="Courier New"/>
        </w:rPr>
        <w:t xml:space="preserve">. </w:t>
      </w:r>
      <w:r w:rsidR="00BE6685">
        <w:rPr>
          <w:rFonts w:ascii="Courier New" w:hAnsi="Courier New" w:cs="Courier New"/>
        </w:rPr>
        <w:t xml:space="preserve"> </w:t>
      </w:r>
      <w:r w:rsidR="00735E3E">
        <w:rPr>
          <w:rFonts w:ascii="Courier New" w:hAnsi="Courier New" w:cs="Courier New"/>
        </w:rPr>
        <w:t xml:space="preserve">The Board thus found and ruled that the appellant’s “tax home” was Orangeburg, New York.  Therefore, the Board found and ruled that the Commissioner properly denied the appellant’s deductions for expenses related to maintaining his </w:t>
      </w:r>
      <w:r>
        <w:rPr>
          <w:rFonts w:ascii="Courier New" w:hAnsi="Courier New" w:cs="Courier New"/>
        </w:rPr>
        <w:t>tax home in New York</w:t>
      </w:r>
      <w:r w:rsidR="00735E3E">
        <w:rPr>
          <w:rFonts w:ascii="Courier New" w:hAnsi="Courier New" w:cs="Courier New"/>
        </w:rPr>
        <w:t>.</w:t>
      </w:r>
    </w:p>
    <w:p w:rsidR="00735E3E" w:rsidRDefault="00735E3E" w:rsidP="00BE6685">
      <w:pPr>
        <w:spacing w:line="480" w:lineRule="auto"/>
        <w:ind w:firstLine="720"/>
        <w:jc w:val="both"/>
        <w:rPr>
          <w:rFonts w:ascii="Courier New" w:hAnsi="Courier New" w:cs="Courier New"/>
        </w:rPr>
      </w:pPr>
      <w:r>
        <w:rPr>
          <w:rFonts w:ascii="Courier New" w:hAnsi="Courier New" w:cs="Courier New"/>
        </w:rPr>
        <w:t>Accordingly, the Board issued a decision for the appellee in this appeal.</w:t>
      </w:r>
    </w:p>
    <w:p w:rsidR="00766AFE" w:rsidRDefault="00766AFE" w:rsidP="00766AFE">
      <w:pPr>
        <w:spacing w:line="480" w:lineRule="auto"/>
        <w:jc w:val="both"/>
        <w:rPr>
          <w:rFonts w:ascii="Courier New" w:hAnsi="Courier New" w:cs="Courier New"/>
        </w:rPr>
      </w:pPr>
    </w:p>
    <w:p w:rsidR="00766AFE" w:rsidRDefault="00766AFE" w:rsidP="00766AFE">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rsidR="00766AFE" w:rsidRDefault="00766AFE" w:rsidP="00766AFE">
      <w:pPr>
        <w:ind w:left="2880" w:firstLine="720"/>
        <w:jc w:val="both"/>
        <w:rPr>
          <w:rFonts w:ascii="Courier New" w:hAnsi="Courier New" w:cs="Courier New"/>
          <w:b/>
        </w:rPr>
      </w:pPr>
    </w:p>
    <w:p w:rsidR="00766AFE" w:rsidRDefault="00766AFE" w:rsidP="00766AFE">
      <w:pPr>
        <w:ind w:left="2880" w:firstLine="720"/>
        <w:jc w:val="both"/>
        <w:rPr>
          <w:rFonts w:ascii="Courier New" w:hAnsi="Courier New" w:cs="Courier New"/>
          <w:b/>
        </w:rPr>
      </w:pPr>
    </w:p>
    <w:p w:rsidR="00766AFE" w:rsidRDefault="00766AFE" w:rsidP="00766AFE">
      <w:pPr>
        <w:ind w:left="2880" w:firstLine="720"/>
        <w:jc w:val="both"/>
        <w:rPr>
          <w:rFonts w:ascii="Courier New" w:hAnsi="Courier New" w:cs="Courier New"/>
          <w:b/>
        </w:rPr>
      </w:pPr>
    </w:p>
    <w:p w:rsidR="00766AFE" w:rsidRPr="006C660D" w:rsidRDefault="00766AFE" w:rsidP="00766AFE">
      <w:pPr>
        <w:ind w:left="2880" w:firstLine="720"/>
        <w:jc w:val="both"/>
        <w:rPr>
          <w:rFonts w:ascii="Courier New" w:hAnsi="Courier New" w:cs="Courier New"/>
          <w:b/>
        </w:rPr>
      </w:pPr>
    </w:p>
    <w:p w:rsidR="00766AFE" w:rsidRDefault="00766AFE" w:rsidP="00766AFE">
      <w:pPr>
        <w:ind w:left="3315"/>
        <w:jc w:val="both"/>
        <w:rPr>
          <w:rFonts w:ascii="Courier New" w:hAnsi="Courier New" w:cs="Courier New"/>
          <w:b/>
        </w:rPr>
      </w:pPr>
      <w:r w:rsidRPr="006C660D">
        <w:rPr>
          <w:rFonts w:ascii="Courier New" w:hAnsi="Courier New" w:cs="Courier New"/>
          <w:b/>
        </w:rPr>
        <w:t>B</w:t>
      </w:r>
      <w:r>
        <w:rPr>
          <w:rFonts w:ascii="Courier New" w:hAnsi="Courier New" w:cs="Courier New"/>
          <w:b/>
        </w:rPr>
        <w:t xml:space="preserve">y: ________________________________       </w:t>
      </w:r>
    </w:p>
    <w:p w:rsidR="00766AFE" w:rsidRPr="000B3F51" w:rsidRDefault="00766AFE" w:rsidP="00766AFE">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 Hammond, Jr.</w:t>
      </w:r>
      <w:r w:rsidRPr="006C660D">
        <w:rPr>
          <w:rFonts w:ascii="Courier New" w:hAnsi="Courier New" w:cs="Courier New"/>
          <w:b/>
        </w:rPr>
        <w:t>, C</w:t>
      </w:r>
      <w:r>
        <w:rPr>
          <w:rFonts w:ascii="Courier New" w:hAnsi="Courier New" w:cs="Courier New"/>
          <w:b/>
        </w:rPr>
        <w:t>hairman</w:t>
      </w:r>
      <w:r w:rsidRPr="006C660D">
        <w:rPr>
          <w:rFonts w:ascii="Courier New" w:hAnsi="Courier New" w:cs="Courier New"/>
          <w:b/>
        </w:rPr>
        <w:t xml:space="preserve"> </w:t>
      </w:r>
    </w:p>
    <w:p w:rsidR="00735E3E" w:rsidRDefault="00735E3E" w:rsidP="00BE6685">
      <w:pPr>
        <w:spacing w:line="480" w:lineRule="auto"/>
        <w:ind w:firstLine="720"/>
        <w:jc w:val="both"/>
        <w:rPr>
          <w:rFonts w:ascii="Courier New" w:hAnsi="Courier New" w:cs="Courier New"/>
        </w:rPr>
      </w:pPr>
    </w:p>
    <w:p w:rsidR="00735E3E" w:rsidRDefault="00735E3E" w:rsidP="00BE6685">
      <w:pPr>
        <w:spacing w:line="480" w:lineRule="auto"/>
        <w:ind w:firstLine="720"/>
        <w:jc w:val="both"/>
        <w:rPr>
          <w:rFonts w:ascii="Courier New" w:hAnsi="Courier New" w:cs="Courier New"/>
        </w:rPr>
      </w:pPr>
    </w:p>
    <w:p w:rsidR="002135C4" w:rsidRPr="00765255" w:rsidRDefault="002135C4" w:rsidP="002135C4">
      <w:pPr>
        <w:spacing w:line="480" w:lineRule="auto"/>
        <w:jc w:val="both"/>
        <w:rPr>
          <w:rFonts w:ascii="Courier New" w:hAnsi="Courier New" w:cs="Courier New"/>
          <w:b/>
        </w:rPr>
      </w:pPr>
      <w:r w:rsidRPr="00765255">
        <w:rPr>
          <w:rFonts w:ascii="Courier New" w:hAnsi="Courier New" w:cs="Courier New"/>
          <w:b/>
        </w:rPr>
        <w:t>A true copy,</w:t>
      </w:r>
    </w:p>
    <w:p w:rsidR="002135C4" w:rsidRPr="00765255" w:rsidRDefault="002135C4" w:rsidP="002135C4">
      <w:pPr>
        <w:spacing w:line="480" w:lineRule="auto"/>
        <w:jc w:val="both"/>
        <w:rPr>
          <w:rFonts w:ascii="Courier New" w:hAnsi="Courier New" w:cs="Courier New"/>
          <w:b/>
        </w:rPr>
      </w:pPr>
    </w:p>
    <w:p w:rsidR="002135C4" w:rsidRPr="00765255" w:rsidRDefault="002135C4" w:rsidP="002135C4">
      <w:pPr>
        <w:jc w:val="both"/>
        <w:rPr>
          <w:rFonts w:ascii="Courier New" w:hAnsi="Courier New" w:cs="Courier New"/>
          <w:b/>
        </w:rPr>
      </w:pPr>
      <w:r w:rsidRPr="00765255">
        <w:rPr>
          <w:rFonts w:ascii="Courier New" w:hAnsi="Courier New" w:cs="Courier New"/>
          <w:b/>
        </w:rPr>
        <w:t>Attest: _______________________</w:t>
      </w:r>
      <w:r>
        <w:rPr>
          <w:rFonts w:ascii="Courier New" w:hAnsi="Courier New" w:cs="Courier New"/>
          <w:b/>
        </w:rPr>
        <w:t>__</w:t>
      </w:r>
    </w:p>
    <w:p w:rsidR="002135C4" w:rsidRPr="00765255" w:rsidRDefault="002135C4" w:rsidP="002135C4">
      <w:pPr>
        <w:spacing w:line="480" w:lineRule="auto"/>
        <w:jc w:val="both"/>
        <w:rPr>
          <w:rFonts w:ascii="Courier New" w:hAnsi="Courier New" w:cs="Courier New"/>
          <w:b/>
        </w:rPr>
      </w:pPr>
      <w:r w:rsidRPr="00765255">
        <w:rPr>
          <w:rFonts w:ascii="Courier New" w:hAnsi="Courier New" w:cs="Courier New"/>
          <w:b/>
        </w:rPr>
        <w:tab/>
      </w:r>
      <w:r>
        <w:rPr>
          <w:rFonts w:ascii="Courier New" w:hAnsi="Courier New" w:cs="Courier New"/>
          <w:b/>
        </w:rPr>
        <w:t xml:space="preserve">   </w:t>
      </w:r>
      <w:r w:rsidRPr="00765255">
        <w:rPr>
          <w:rFonts w:ascii="Courier New" w:hAnsi="Courier New" w:cs="Courier New"/>
          <w:b/>
        </w:rPr>
        <w:t>Clerk of the Board</w:t>
      </w:r>
    </w:p>
    <w:p w:rsidR="00C934C6" w:rsidRDefault="00C934C6" w:rsidP="00A14064">
      <w:pPr>
        <w:spacing w:line="480" w:lineRule="auto"/>
        <w:ind w:firstLine="720"/>
        <w:jc w:val="both"/>
        <w:rPr>
          <w:rFonts w:ascii="Courier New" w:hAnsi="Courier New" w:cs="Courier New"/>
        </w:rPr>
      </w:pPr>
    </w:p>
    <w:p w:rsidR="0095005A" w:rsidRDefault="0095005A"/>
    <w:sectPr w:rsidR="0095005A" w:rsidSect="002135C4">
      <w:footerReference w:type="even" r:id="rId9"/>
      <w:footerReference w:type="default" r:id="rId10"/>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CF" w:rsidRDefault="00C806CF" w:rsidP="0053791F">
      <w:r>
        <w:separator/>
      </w:r>
    </w:p>
  </w:endnote>
  <w:endnote w:type="continuationSeparator" w:id="0">
    <w:p w:rsidR="00C806CF" w:rsidRDefault="00C806CF" w:rsidP="0053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B4" w:rsidRDefault="009C5DB4" w:rsidP="00637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5DB4" w:rsidRDefault="009C5DB4" w:rsidP="005919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B4" w:rsidRPr="002135C4" w:rsidRDefault="002135C4" w:rsidP="002135C4">
    <w:pPr>
      <w:pStyle w:val="Footer"/>
      <w:framePr w:wrap="around" w:vAnchor="text" w:hAnchor="page" w:x="5721" w:y="64"/>
      <w:rPr>
        <w:rStyle w:val="PageNumber"/>
        <w:rFonts w:ascii="Courier New" w:hAnsi="Courier New" w:cs="Courier New"/>
        <w:b/>
      </w:rPr>
    </w:pPr>
    <w:r w:rsidRPr="002135C4">
      <w:rPr>
        <w:rStyle w:val="PageNumber"/>
        <w:rFonts w:ascii="Courier New" w:hAnsi="Courier New" w:cs="Courier New"/>
        <w:b/>
      </w:rPr>
      <w:t>ATB 2018-</w:t>
    </w:r>
    <w:r w:rsidR="009C5DB4" w:rsidRPr="002135C4">
      <w:rPr>
        <w:rStyle w:val="PageNumber"/>
        <w:rFonts w:ascii="Courier New" w:hAnsi="Courier New" w:cs="Courier New"/>
        <w:b/>
      </w:rPr>
      <w:fldChar w:fldCharType="begin"/>
    </w:r>
    <w:r w:rsidR="009C5DB4" w:rsidRPr="002135C4">
      <w:rPr>
        <w:rStyle w:val="PageNumber"/>
        <w:rFonts w:ascii="Courier New" w:hAnsi="Courier New" w:cs="Courier New"/>
        <w:b/>
      </w:rPr>
      <w:instrText xml:space="preserve">PAGE  </w:instrText>
    </w:r>
    <w:r w:rsidR="009C5DB4" w:rsidRPr="002135C4">
      <w:rPr>
        <w:rStyle w:val="PageNumber"/>
        <w:rFonts w:ascii="Courier New" w:hAnsi="Courier New" w:cs="Courier New"/>
        <w:b/>
      </w:rPr>
      <w:fldChar w:fldCharType="separate"/>
    </w:r>
    <w:r w:rsidR="005764EE">
      <w:rPr>
        <w:rStyle w:val="PageNumber"/>
        <w:rFonts w:ascii="Courier New" w:hAnsi="Courier New" w:cs="Courier New"/>
        <w:b/>
        <w:noProof/>
      </w:rPr>
      <w:t>26</w:t>
    </w:r>
    <w:r w:rsidR="009C5DB4" w:rsidRPr="002135C4">
      <w:rPr>
        <w:rStyle w:val="PageNumber"/>
        <w:rFonts w:ascii="Courier New" w:hAnsi="Courier New" w:cs="Courier New"/>
        <w:b/>
      </w:rPr>
      <w:fldChar w:fldCharType="end"/>
    </w:r>
  </w:p>
  <w:p w:rsidR="009C5DB4" w:rsidRDefault="009C5DB4" w:rsidP="005919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CF" w:rsidRDefault="00C806CF" w:rsidP="0053791F">
      <w:r>
        <w:separator/>
      </w:r>
    </w:p>
  </w:footnote>
  <w:footnote w:type="continuationSeparator" w:id="0">
    <w:p w:rsidR="00C806CF" w:rsidRDefault="00C806CF" w:rsidP="0053791F">
      <w:r>
        <w:continuationSeparator/>
      </w:r>
    </w:p>
  </w:footnote>
  <w:footnote w:id="1">
    <w:p w:rsidR="009C5DB4" w:rsidRPr="0053791F" w:rsidRDefault="009C5DB4" w:rsidP="0053791F">
      <w:pPr>
        <w:pStyle w:val="FootnoteText"/>
        <w:jc w:val="both"/>
        <w:rPr>
          <w:rFonts w:ascii="Courier New" w:hAnsi="Courier New" w:cs="Courier New"/>
        </w:rPr>
      </w:pPr>
      <w:r w:rsidRPr="0053791F">
        <w:rPr>
          <w:rStyle w:val="FootnoteReference"/>
          <w:rFonts w:ascii="Courier New" w:hAnsi="Courier New" w:cs="Courier New"/>
        </w:rPr>
        <w:footnoteRef/>
      </w:r>
      <w:r>
        <w:rPr>
          <w:rFonts w:ascii="Courier New" w:hAnsi="Courier New" w:cs="Courier New"/>
        </w:rPr>
        <w:t xml:space="preserve"> The appellant listed t</w:t>
      </w:r>
      <w:r w:rsidRPr="0053791F">
        <w:rPr>
          <w:rFonts w:ascii="Courier New" w:hAnsi="Courier New" w:cs="Courier New"/>
        </w:rPr>
        <w:t xml:space="preserve">he condominium for sale on July 29, 2007, but he subsequently removed the listing on February </w:t>
      </w:r>
      <w:r w:rsidR="00462B20">
        <w:rPr>
          <w:rFonts w:ascii="Courier New" w:hAnsi="Courier New" w:cs="Courier New"/>
        </w:rPr>
        <w:t xml:space="preserve">3, 2008.  </w:t>
      </w:r>
      <w:r w:rsidRPr="0053791F">
        <w:rPr>
          <w:rFonts w:ascii="Courier New" w:hAnsi="Courier New" w:cs="Courier New"/>
        </w:rPr>
        <w:t xml:space="preserve"> </w:t>
      </w:r>
    </w:p>
  </w:footnote>
  <w:footnote w:id="2">
    <w:p w:rsidR="005D702B" w:rsidRPr="00DE7552" w:rsidRDefault="005D702B" w:rsidP="00DE7552">
      <w:pPr>
        <w:jc w:val="both"/>
        <w:rPr>
          <w:rFonts w:ascii="Courier New" w:hAnsi="Courier New" w:cs="Courier New"/>
          <w:sz w:val="20"/>
          <w:szCs w:val="20"/>
        </w:rPr>
      </w:pPr>
      <w:r w:rsidRPr="004949A3">
        <w:rPr>
          <w:rStyle w:val="FootnoteReference"/>
          <w:rFonts w:ascii="Courier New" w:hAnsi="Courier New" w:cs="Courier New"/>
          <w:sz w:val="20"/>
          <w:szCs w:val="20"/>
        </w:rPr>
        <w:footnoteRef/>
      </w:r>
      <w:r w:rsidRPr="004949A3">
        <w:rPr>
          <w:rFonts w:ascii="Courier New" w:hAnsi="Courier New" w:cs="Courier New"/>
          <w:sz w:val="20"/>
          <w:szCs w:val="20"/>
        </w:rPr>
        <w:t xml:space="preserve"> </w:t>
      </w:r>
      <w:r w:rsidRPr="00DE7552">
        <w:rPr>
          <w:rFonts w:ascii="Courier New" w:hAnsi="Courier New" w:cs="Courier New"/>
          <w:sz w:val="20"/>
          <w:szCs w:val="20"/>
        </w:rPr>
        <w:t xml:space="preserve">After he was awarded tenure, the appellant’s employment contracts identified him as an “Assistant Professor of History with Tenure.”  </w:t>
      </w:r>
    </w:p>
    <w:p w:rsidR="005D702B" w:rsidRDefault="005D702B">
      <w:pPr>
        <w:pStyle w:val="FootnoteText"/>
      </w:pPr>
    </w:p>
  </w:footnote>
  <w:footnote w:id="3">
    <w:p w:rsidR="009C5DB4" w:rsidRPr="009A7B23" w:rsidRDefault="009C5DB4" w:rsidP="009A7B23">
      <w:pPr>
        <w:pStyle w:val="FootnoteText"/>
        <w:jc w:val="both"/>
        <w:rPr>
          <w:rFonts w:ascii="Courier New" w:hAnsi="Courier New" w:cs="Courier New"/>
        </w:rPr>
      </w:pPr>
      <w:r w:rsidRPr="009A7B23">
        <w:rPr>
          <w:rStyle w:val="FootnoteReference"/>
          <w:rFonts w:ascii="Courier New" w:hAnsi="Courier New" w:cs="Courier New"/>
        </w:rPr>
        <w:footnoteRef/>
      </w:r>
      <w:r w:rsidRPr="009A7B23">
        <w:rPr>
          <w:rFonts w:ascii="Courier New" w:hAnsi="Courier New" w:cs="Courier New"/>
        </w:rPr>
        <w:t xml:space="preserve"> The</w:t>
      </w:r>
      <w:r w:rsidR="00E534B3">
        <w:rPr>
          <w:rFonts w:ascii="Courier New" w:hAnsi="Courier New" w:cs="Courier New"/>
        </w:rPr>
        <w:t xml:space="preserve"> appellant did not challenge, and the</w:t>
      </w:r>
      <w:r w:rsidRPr="009A7B23">
        <w:rPr>
          <w:rFonts w:ascii="Courier New" w:hAnsi="Courier New" w:cs="Courier New"/>
        </w:rPr>
        <w:t xml:space="preserve"> Board did not address</w:t>
      </w:r>
      <w:r w:rsidR="00E534B3">
        <w:rPr>
          <w:rFonts w:ascii="Courier New" w:hAnsi="Courier New" w:cs="Courier New"/>
        </w:rPr>
        <w:t>,</w:t>
      </w:r>
      <w:r w:rsidRPr="009A7B23">
        <w:rPr>
          <w:rFonts w:ascii="Courier New" w:hAnsi="Courier New" w:cs="Courier New"/>
        </w:rPr>
        <w:t xml:space="preserve"> the proper calculation of the appellant’s expenses.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64"/>
    <w:rsid w:val="000033BE"/>
    <w:rsid w:val="0000551D"/>
    <w:rsid w:val="000214C5"/>
    <w:rsid w:val="00025014"/>
    <w:rsid w:val="00031016"/>
    <w:rsid w:val="00031EE1"/>
    <w:rsid w:val="0003573B"/>
    <w:rsid w:val="00043D4E"/>
    <w:rsid w:val="0005621C"/>
    <w:rsid w:val="0007643C"/>
    <w:rsid w:val="00087BDF"/>
    <w:rsid w:val="00091A77"/>
    <w:rsid w:val="000D067D"/>
    <w:rsid w:val="000D1C55"/>
    <w:rsid w:val="000D3D3D"/>
    <w:rsid w:val="000D4C5C"/>
    <w:rsid w:val="000E7A16"/>
    <w:rsid w:val="001029DC"/>
    <w:rsid w:val="00104D44"/>
    <w:rsid w:val="00114F70"/>
    <w:rsid w:val="001357CB"/>
    <w:rsid w:val="00152AEF"/>
    <w:rsid w:val="001578EC"/>
    <w:rsid w:val="00171540"/>
    <w:rsid w:val="001716B1"/>
    <w:rsid w:val="00172BCF"/>
    <w:rsid w:val="00180DCA"/>
    <w:rsid w:val="00184EF5"/>
    <w:rsid w:val="0019255E"/>
    <w:rsid w:val="0019380D"/>
    <w:rsid w:val="00195067"/>
    <w:rsid w:val="001B7DB8"/>
    <w:rsid w:val="001D51AA"/>
    <w:rsid w:val="001D6AB4"/>
    <w:rsid w:val="001E6F8D"/>
    <w:rsid w:val="001E731E"/>
    <w:rsid w:val="00206B4A"/>
    <w:rsid w:val="00206E9F"/>
    <w:rsid w:val="002135C4"/>
    <w:rsid w:val="00232894"/>
    <w:rsid w:val="00236F3C"/>
    <w:rsid w:val="00237395"/>
    <w:rsid w:val="00260B67"/>
    <w:rsid w:val="00265220"/>
    <w:rsid w:val="00276430"/>
    <w:rsid w:val="002B0559"/>
    <w:rsid w:val="002B757C"/>
    <w:rsid w:val="002C61F6"/>
    <w:rsid w:val="002C622A"/>
    <w:rsid w:val="002C72E1"/>
    <w:rsid w:val="002D3F49"/>
    <w:rsid w:val="002E7739"/>
    <w:rsid w:val="002E7E19"/>
    <w:rsid w:val="002F509A"/>
    <w:rsid w:val="002F66FC"/>
    <w:rsid w:val="002F71EA"/>
    <w:rsid w:val="003029FC"/>
    <w:rsid w:val="00303347"/>
    <w:rsid w:val="00316124"/>
    <w:rsid w:val="00321837"/>
    <w:rsid w:val="003254CC"/>
    <w:rsid w:val="00327476"/>
    <w:rsid w:val="00367C49"/>
    <w:rsid w:val="00372136"/>
    <w:rsid w:val="003A6DF5"/>
    <w:rsid w:val="003E2C23"/>
    <w:rsid w:val="003F36B4"/>
    <w:rsid w:val="003F6B96"/>
    <w:rsid w:val="00400BD6"/>
    <w:rsid w:val="00410239"/>
    <w:rsid w:val="0041080B"/>
    <w:rsid w:val="00410E96"/>
    <w:rsid w:val="004232B8"/>
    <w:rsid w:val="00447205"/>
    <w:rsid w:val="00452836"/>
    <w:rsid w:val="00456097"/>
    <w:rsid w:val="004570C1"/>
    <w:rsid w:val="00457F78"/>
    <w:rsid w:val="00462B20"/>
    <w:rsid w:val="0048133E"/>
    <w:rsid w:val="00481C68"/>
    <w:rsid w:val="004949A3"/>
    <w:rsid w:val="004A7E75"/>
    <w:rsid w:val="004C75D0"/>
    <w:rsid w:val="004D10B5"/>
    <w:rsid w:val="004D39D5"/>
    <w:rsid w:val="004D7344"/>
    <w:rsid w:val="004E59B1"/>
    <w:rsid w:val="00504C9A"/>
    <w:rsid w:val="005112DD"/>
    <w:rsid w:val="00513503"/>
    <w:rsid w:val="005354A7"/>
    <w:rsid w:val="0053663A"/>
    <w:rsid w:val="0053791F"/>
    <w:rsid w:val="00551A66"/>
    <w:rsid w:val="00553E73"/>
    <w:rsid w:val="0055525F"/>
    <w:rsid w:val="00567F29"/>
    <w:rsid w:val="005764EE"/>
    <w:rsid w:val="00580FF6"/>
    <w:rsid w:val="00590003"/>
    <w:rsid w:val="0059197A"/>
    <w:rsid w:val="005928F2"/>
    <w:rsid w:val="005A1954"/>
    <w:rsid w:val="005A4353"/>
    <w:rsid w:val="005C1E47"/>
    <w:rsid w:val="005C39A6"/>
    <w:rsid w:val="005D05BE"/>
    <w:rsid w:val="005D5276"/>
    <w:rsid w:val="005D702B"/>
    <w:rsid w:val="005E0A9E"/>
    <w:rsid w:val="00613CA8"/>
    <w:rsid w:val="00634689"/>
    <w:rsid w:val="00635DE0"/>
    <w:rsid w:val="00637DB0"/>
    <w:rsid w:val="0064517A"/>
    <w:rsid w:val="006478F7"/>
    <w:rsid w:val="0065105A"/>
    <w:rsid w:val="0067293B"/>
    <w:rsid w:val="0067445C"/>
    <w:rsid w:val="00687414"/>
    <w:rsid w:val="006964D1"/>
    <w:rsid w:val="006965CE"/>
    <w:rsid w:val="006A4EBE"/>
    <w:rsid w:val="006A74D5"/>
    <w:rsid w:val="006B6C08"/>
    <w:rsid w:val="006C2DB7"/>
    <w:rsid w:val="006C3889"/>
    <w:rsid w:val="00704F0B"/>
    <w:rsid w:val="007111AF"/>
    <w:rsid w:val="00720D19"/>
    <w:rsid w:val="00724B41"/>
    <w:rsid w:val="007316F4"/>
    <w:rsid w:val="00735E3E"/>
    <w:rsid w:val="00745BB6"/>
    <w:rsid w:val="00752E28"/>
    <w:rsid w:val="00765255"/>
    <w:rsid w:val="00766AFE"/>
    <w:rsid w:val="00767DA2"/>
    <w:rsid w:val="00774811"/>
    <w:rsid w:val="00782477"/>
    <w:rsid w:val="00782D58"/>
    <w:rsid w:val="00785310"/>
    <w:rsid w:val="007A0FBC"/>
    <w:rsid w:val="007A3954"/>
    <w:rsid w:val="007A6439"/>
    <w:rsid w:val="007A6EB4"/>
    <w:rsid w:val="007B54C5"/>
    <w:rsid w:val="007C0E80"/>
    <w:rsid w:val="007C2243"/>
    <w:rsid w:val="007C6599"/>
    <w:rsid w:val="007D38B6"/>
    <w:rsid w:val="007D3AA1"/>
    <w:rsid w:val="007D7A8E"/>
    <w:rsid w:val="007F0BAF"/>
    <w:rsid w:val="007F36F9"/>
    <w:rsid w:val="00800797"/>
    <w:rsid w:val="00801A2B"/>
    <w:rsid w:val="00806E76"/>
    <w:rsid w:val="0081750F"/>
    <w:rsid w:val="00823A39"/>
    <w:rsid w:val="00825EB9"/>
    <w:rsid w:val="00845028"/>
    <w:rsid w:val="008450B6"/>
    <w:rsid w:val="00865327"/>
    <w:rsid w:val="00872539"/>
    <w:rsid w:val="008736A6"/>
    <w:rsid w:val="008878AE"/>
    <w:rsid w:val="008912B7"/>
    <w:rsid w:val="008973A1"/>
    <w:rsid w:val="008A1BE8"/>
    <w:rsid w:val="008A37A7"/>
    <w:rsid w:val="008B05F9"/>
    <w:rsid w:val="008B4C8F"/>
    <w:rsid w:val="008F0F71"/>
    <w:rsid w:val="008F1873"/>
    <w:rsid w:val="00901D37"/>
    <w:rsid w:val="009259B8"/>
    <w:rsid w:val="00934070"/>
    <w:rsid w:val="0095005A"/>
    <w:rsid w:val="00950DF6"/>
    <w:rsid w:val="00966208"/>
    <w:rsid w:val="00984C41"/>
    <w:rsid w:val="00985284"/>
    <w:rsid w:val="009861FD"/>
    <w:rsid w:val="00991CB9"/>
    <w:rsid w:val="00994B8E"/>
    <w:rsid w:val="009A7B23"/>
    <w:rsid w:val="009C5DB4"/>
    <w:rsid w:val="009E070F"/>
    <w:rsid w:val="009E793C"/>
    <w:rsid w:val="00A14064"/>
    <w:rsid w:val="00A14E6A"/>
    <w:rsid w:val="00A32144"/>
    <w:rsid w:val="00A51BE6"/>
    <w:rsid w:val="00A846A7"/>
    <w:rsid w:val="00A86500"/>
    <w:rsid w:val="00A90CA3"/>
    <w:rsid w:val="00A974B0"/>
    <w:rsid w:val="00AA477B"/>
    <w:rsid w:val="00AA6EFC"/>
    <w:rsid w:val="00AB409F"/>
    <w:rsid w:val="00AD31AD"/>
    <w:rsid w:val="00AD42E5"/>
    <w:rsid w:val="00AE330B"/>
    <w:rsid w:val="00AE42E5"/>
    <w:rsid w:val="00AE5622"/>
    <w:rsid w:val="00AF2611"/>
    <w:rsid w:val="00AF2B52"/>
    <w:rsid w:val="00AF5D0C"/>
    <w:rsid w:val="00B15EFA"/>
    <w:rsid w:val="00B23587"/>
    <w:rsid w:val="00B31F6E"/>
    <w:rsid w:val="00B33118"/>
    <w:rsid w:val="00B40483"/>
    <w:rsid w:val="00B5580A"/>
    <w:rsid w:val="00B62342"/>
    <w:rsid w:val="00B7013E"/>
    <w:rsid w:val="00B72584"/>
    <w:rsid w:val="00B73020"/>
    <w:rsid w:val="00B77DA6"/>
    <w:rsid w:val="00B8775D"/>
    <w:rsid w:val="00B9145F"/>
    <w:rsid w:val="00B91EEC"/>
    <w:rsid w:val="00BA4971"/>
    <w:rsid w:val="00BA5EA3"/>
    <w:rsid w:val="00BC10CC"/>
    <w:rsid w:val="00BC470A"/>
    <w:rsid w:val="00BC508C"/>
    <w:rsid w:val="00BD6C9F"/>
    <w:rsid w:val="00BE6685"/>
    <w:rsid w:val="00C02861"/>
    <w:rsid w:val="00C07556"/>
    <w:rsid w:val="00C12C62"/>
    <w:rsid w:val="00C2012E"/>
    <w:rsid w:val="00C20C90"/>
    <w:rsid w:val="00C34179"/>
    <w:rsid w:val="00C34BA0"/>
    <w:rsid w:val="00C45991"/>
    <w:rsid w:val="00C61EC1"/>
    <w:rsid w:val="00C67183"/>
    <w:rsid w:val="00C70BBE"/>
    <w:rsid w:val="00C75FC7"/>
    <w:rsid w:val="00C806CF"/>
    <w:rsid w:val="00C83623"/>
    <w:rsid w:val="00C934C6"/>
    <w:rsid w:val="00C948E2"/>
    <w:rsid w:val="00C950FD"/>
    <w:rsid w:val="00CA15CB"/>
    <w:rsid w:val="00CA7CF3"/>
    <w:rsid w:val="00D07A10"/>
    <w:rsid w:val="00D53F05"/>
    <w:rsid w:val="00D551B8"/>
    <w:rsid w:val="00D76011"/>
    <w:rsid w:val="00D81BF5"/>
    <w:rsid w:val="00D8357F"/>
    <w:rsid w:val="00D856A5"/>
    <w:rsid w:val="00D92ACA"/>
    <w:rsid w:val="00D96127"/>
    <w:rsid w:val="00DA0946"/>
    <w:rsid w:val="00DD51BB"/>
    <w:rsid w:val="00DD60EC"/>
    <w:rsid w:val="00DE7552"/>
    <w:rsid w:val="00DF0AC2"/>
    <w:rsid w:val="00DF4B0C"/>
    <w:rsid w:val="00E0508F"/>
    <w:rsid w:val="00E37582"/>
    <w:rsid w:val="00E515C6"/>
    <w:rsid w:val="00E534B3"/>
    <w:rsid w:val="00E626BA"/>
    <w:rsid w:val="00E711BA"/>
    <w:rsid w:val="00E8363F"/>
    <w:rsid w:val="00E906D2"/>
    <w:rsid w:val="00EA43F7"/>
    <w:rsid w:val="00EA47E8"/>
    <w:rsid w:val="00EB2634"/>
    <w:rsid w:val="00EC294A"/>
    <w:rsid w:val="00EC32B9"/>
    <w:rsid w:val="00ED067D"/>
    <w:rsid w:val="00ED7327"/>
    <w:rsid w:val="00EF3F10"/>
    <w:rsid w:val="00F05BD8"/>
    <w:rsid w:val="00F12D4E"/>
    <w:rsid w:val="00F16EF4"/>
    <w:rsid w:val="00F26C73"/>
    <w:rsid w:val="00F277F4"/>
    <w:rsid w:val="00F32969"/>
    <w:rsid w:val="00F367EE"/>
    <w:rsid w:val="00F41ADC"/>
    <w:rsid w:val="00F47B80"/>
    <w:rsid w:val="00F539B9"/>
    <w:rsid w:val="00F55B97"/>
    <w:rsid w:val="00F6271E"/>
    <w:rsid w:val="00F71695"/>
    <w:rsid w:val="00F718BA"/>
    <w:rsid w:val="00F743A2"/>
    <w:rsid w:val="00FA5D0F"/>
    <w:rsid w:val="00FB61C3"/>
    <w:rsid w:val="00FC531C"/>
    <w:rsid w:val="00FF5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64"/>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4064"/>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A14064"/>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064"/>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A14064"/>
    <w:rPr>
      <w:rFonts w:ascii="Courier New" w:eastAsia="Times New Roman" w:hAnsi="Courier New" w:cs="Courier New"/>
      <w:b/>
      <w:bCs/>
      <w:sz w:val="24"/>
      <w:szCs w:val="24"/>
    </w:rPr>
  </w:style>
  <w:style w:type="paragraph" w:styleId="Title">
    <w:name w:val="Title"/>
    <w:basedOn w:val="Normal"/>
    <w:link w:val="TitleChar"/>
    <w:qFormat/>
    <w:rsid w:val="00A14064"/>
    <w:pPr>
      <w:jc w:val="center"/>
    </w:pPr>
    <w:rPr>
      <w:rFonts w:ascii="Courier New" w:hAnsi="Courier New" w:cs="Courier New"/>
      <w:b/>
      <w:bCs/>
    </w:rPr>
  </w:style>
  <w:style w:type="character" w:customStyle="1" w:styleId="TitleChar">
    <w:name w:val="Title Char"/>
    <w:basedOn w:val="DefaultParagraphFont"/>
    <w:link w:val="Title"/>
    <w:rsid w:val="00A14064"/>
    <w:rPr>
      <w:rFonts w:ascii="Courier New" w:eastAsia="Times New Roman" w:hAnsi="Courier New" w:cs="Courier New"/>
      <w:b/>
      <w:bCs/>
      <w:sz w:val="24"/>
      <w:szCs w:val="24"/>
    </w:rPr>
  </w:style>
  <w:style w:type="paragraph" w:styleId="BodyText2">
    <w:name w:val="Body Text 2"/>
    <w:basedOn w:val="Normal"/>
    <w:link w:val="BodyText2Char"/>
    <w:rsid w:val="00A14064"/>
    <w:pPr>
      <w:spacing w:after="120" w:line="480" w:lineRule="auto"/>
    </w:pPr>
  </w:style>
  <w:style w:type="character" w:customStyle="1" w:styleId="BodyText2Char">
    <w:name w:val="Body Text 2 Char"/>
    <w:basedOn w:val="DefaultParagraphFont"/>
    <w:link w:val="BodyText2"/>
    <w:rsid w:val="00A1406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3791F"/>
    <w:rPr>
      <w:sz w:val="20"/>
      <w:szCs w:val="20"/>
    </w:rPr>
  </w:style>
  <w:style w:type="character" w:customStyle="1" w:styleId="FootnoteTextChar">
    <w:name w:val="Footnote Text Char"/>
    <w:basedOn w:val="DefaultParagraphFont"/>
    <w:link w:val="FootnoteText"/>
    <w:uiPriority w:val="99"/>
    <w:rsid w:val="0053791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3791F"/>
    <w:rPr>
      <w:vertAlign w:val="superscript"/>
    </w:rPr>
  </w:style>
  <w:style w:type="paragraph" w:styleId="Footer">
    <w:name w:val="footer"/>
    <w:basedOn w:val="Normal"/>
    <w:link w:val="FooterChar"/>
    <w:uiPriority w:val="99"/>
    <w:unhideWhenUsed/>
    <w:rsid w:val="0059197A"/>
    <w:pPr>
      <w:tabs>
        <w:tab w:val="center" w:pos="4320"/>
        <w:tab w:val="right" w:pos="8640"/>
      </w:tabs>
    </w:pPr>
  </w:style>
  <w:style w:type="character" w:customStyle="1" w:styleId="FooterChar">
    <w:name w:val="Footer Char"/>
    <w:basedOn w:val="DefaultParagraphFont"/>
    <w:link w:val="Footer"/>
    <w:uiPriority w:val="99"/>
    <w:rsid w:val="0059197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9197A"/>
  </w:style>
  <w:style w:type="character" w:customStyle="1" w:styleId="apple-converted-space">
    <w:name w:val="apple-converted-space"/>
    <w:basedOn w:val="DefaultParagraphFont"/>
    <w:rsid w:val="00801A2B"/>
  </w:style>
  <w:style w:type="character" w:styleId="Hyperlink">
    <w:name w:val="Hyperlink"/>
    <w:basedOn w:val="DefaultParagraphFont"/>
    <w:uiPriority w:val="99"/>
    <w:semiHidden/>
    <w:unhideWhenUsed/>
    <w:rsid w:val="00801A2B"/>
    <w:rPr>
      <w:color w:val="0000FF"/>
      <w:u w:val="single"/>
    </w:rPr>
  </w:style>
  <w:style w:type="paragraph" w:styleId="BalloonText">
    <w:name w:val="Balloon Text"/>
    <w:basedOn w:val="Normal"/>
    <w:link w:val="BalloonTextChar"/>
    <w:uiPriority w:val="99"/>
    <w:semiHidden/>
    <w:unhideWhenUsed/>
    <w:rsid w:val="00801A2B"/>
    <w:rPr>
      <w:rFonts w:ascii="Lucida Grande" w:hAnsi="Lucida Grande"/>
      <w:sz w:val="18"/>
      <w:szCs w:val="18"/>
    </w:rPr>
  </w:style>
  <w:style w:type="character" w:customStyle="1" w:styleId="BalloonTextChar">
    <w:name w:val="Balloon Text Char"/>
    <w:basedOn w:val="DefaultParagraphFont"/>
    <w:link w:val="BalloonText"/>
    <w:uiPriority w:val="99"/>
    <w:semiHidden/>
    <w:rsid w:val="00801A2B"/>
    <w:rPr>
      <w:rFonts w:ascii="Lucida Grande" w:eastAsia="Times New Roman" w:hAnsi="Lucida Grande" w:cs="Times New Roman"/>
      <w:sz w:val="18"/>
      <w:szCs w:val="18"/>
    </w:rPr>
  </w:style>
  <w:style w:type="character" w:customStyle="1" w:styleId="term">
    <w:name w:val="term"/>
    <w:basedOn w:val="DefaultParagraphFont"/>
    <w:rsid w:val="002C622A"/>
  </w:style>
  <w:style w:type="paragraph" w:styleId="Header">
    <w:name w:val="header"/>
    <w:basedOn w:val="Normal"/>
    <w:link w:val="HeaderChar"/>
    <w:uiPriority w:val="99"/>
    <w:unhideWhenUsed/>
    <w:rsid w:val="002135C4"/>
    <w:pPr>
      <w:tabs>
        <w:tab w:val="center" w:pos="4680"/>
        <w:tab w:val="right" w:pos="9360"/>
      </w:tabs>
    </w:pPr>
  </w:style>
  <w:style w:type="character" w:customStyle="1" w:styleId="HeaderChar">
    <w:name w:val="Header Char"/>
    <w:basedOn w:val="DefaultParagraphFont"/>
    <w:link w:val="Header"/>
    <w:uiPriority w:val="99"/>
    <w:rsid w:val="002135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64"/>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4064"/>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A14064"/>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064"/>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A14064"/>
    <w:rPr>
      <w:rFonts w:ascii="Courier New" w:eastAsia="Times New Roman" w:hAnsi="Courier New" w:cs="Courier New"/>
      <w:b/>
      <w:bCs/>
      <w:sz w:val="24"/>
      <w:szCs w:val="24"/>
    </w:rPr>
  </w:style>
  <w:style w:type="paragraph" w:styleId="Title">
    <w:name w:val="Title"/>
    <w:basedOn w:val="Normal"/>
    <w:link w:val="TitleChar"/>
    <w:qFormat/>
    <w:rsid w:val="00A14064"/>
    <w:pPr>
      <w:jc w:val="center"/>
    </w:pPr>
    <w:rPr>
      <w:rFonts w:ascii="Courier New" w:hAnsi="Courier New" w:cs="Courier New"/>
      <w:b/>
      <w:bCs/>
    </w:rPr>
  </w:style>
  <w:style w:type="character" w:customStyle="1" w:styleId="TitleChar">
    <w:name w:val="Title Char"/>
    <w:basedOn w:val="DefaultParagraphFont"/>
    <w:link w:val="Title"/>
    <w:rsid w:val="00A14064"/>
    <w:rPr>
      <w:rFonts w:ascii="Courier New" w:eastAsia="Times New Roman" w:hAnsi="Courier New" w:cs="Courier New"/>
      <w:b/>
      <w:bCs/>
      <w:sz w:val="24"/>
      <w:szCs w:val="24"/>
    </w:rPr>
  </w:style>
  <w:style w:type="paragraph" w:styleId="BodyText2">
    <w:name w:val="Body Text 2"/>
    <w:basedOn w:val="Normal"/>
    <w:link w:val="BodyText2Char"/>
    <w:rsid w:val="00A14064"/>
    <w:pPr>
      <w:spacing w:after="120" w:line="480" w:lineRule="auto"/>
    </w:pPr>
  </w:style>
  <w:style w:type="character" w:customStyle="1" w:styleId="BodyText2Char">
    <w:name w:val="Body Text 2 Char"/>
    <w:basedOn w:val="DefaultParagraphFont"/>
    <w:link w:val="BodyText2"/>
    <w:rsid w:val="00A1406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3791F"/>
    <w:rPr>
      <w:sz w:val="20"/>
      <w:szCs w:val="20"/>
    </w:rPr>
  </w:style>
  <w:style w:type="character" w:customStyle="1" w:styleId="FootnoteTextChar">
    <w:name w:val="Footnote Text Char"/>
    <w:basedOn w:val="DefaultParagraphFont"/>
    <w:link w:val="FootnoteText"/>
    <w:uiPriority w:val="99"/>
    <w:rsid w:val="0053791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3791F"/>
    <w:rPr>
      <w:vertAlign w:val="superscript"/>
    </w:rPr>
  </w:style>
  <w:style w:type="paragraph" w:styleId="Footer">
    <w:name w:val="footer"/>
    <w:basedOn w:val="Normal"/>
    <w:link w:val="FooterChar"/>
    <w:uiPriority w:val="99"/>
    <w:unhideWhenUsed/>
    <w:rsid w:val="0059197A"/>
    <w:pPr>
      <w:tabs>
        <w:tab w:val="center" w:pos="4320"/>
        <w:tab w:val="right" w:pos="8640"/>
      </w:tabs>
    </w:pPr>
  </w:style>
  <w:style w:type="character" w:customStyle="1" w:styleId="FooterChar">
    <w:name w:val="Footer Char"/>
    <w:basedOn w:val="DefaultParagraphFont"/>
    <w:link w:val="Footer"/>
    <w:uiPriority w:val="99"/>
    <w:rsid w:val="0059197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9197A"/>
  </w:style>
  <w:style w:type="character" w:customStyle="1" w:styleId="apple-converted-space">
    <w:name w:val="apple-converted-space"/>
    <w:basedOn w:val="DefaultParagraphFont"/>
    <w:rsid w:val="00801A2B"/>
  </w:style>
  <w:style w:type="character" w:styleId="Hyperlink">
    <w:name w:val="Hyperlink"/>
    <w:basedOn w:val="DefaultParagraphFont"/>
    <w:uiPriority w:val="99"/>
    <w:semiHidden/>
    <w:unhideWhenUsed/>
    <w:rsid w:val="00801A2B"/>
    <w:rPr>
      <w:color w:val="0000FF"/>
      <w:u w:val="single"/>
    </w:rPr>
  </w:style>
  <w:style w:type="paragraph" w:styleId="BalloonText">
    <w:name w:val="Balloon Text"/>
    <w:basedOn w:val="Normal"/>
    <w:link w:val="BalloonTextChar"/>
    <w:uiPriority w:val="99"/>
    <w:semiHidden/>
    <w:unhideWhenUsed/>
    <w:rsid w:val="00801A2B"/>
    <w:rPr>
      <w:rFonts w:ascii="Lucida Grande" w:hAnsi="Lucida Grande"/>
      <w:sz w:val="18"/>
      <w:szCs w:val="18"/>
    </w:rPr>
  </w:style>
  <w:style w:type="character" w:customStyle="1" w:styleId="BalloonTextChar">
    <w:name w:val="Balloon Text Char"/>
    <w:basedOn w:val="DefaultParagraphFont"/>
    <w:link w:val="BalloonText"/>
    <w:uiPriority w:val="99"/>
    <w:semiHidden/>
    <w:rsid w:val="00801A2B"/>
    <w:rPr>
      <w:rFonts w:ascii="Lucida Grande" w:eastAsia="Times New Roman" w:hAnsi="Lucida Grande" w:cs="Times New Roman"/>
      <w:sz w:val="18"/>
      <w:szCs w:val="18"/>
    </w:rPr>
  </w:style>
  <w:style w:type="character" w:customStyle="1" w:styleId="term">
    <w:name w:val="term"/>
    <w:basedOn w:val="DefaultParagraphFont"/>
    <w:rsid w:val="002C622A"/>
  </w:style>
  <w:style w:type="paragraph" w:styleId="Header">
    <w:name w:val="header"/>
    <w:basedOn w:val="Normal"/>
    <w:link w:val="HeaderChar"/>
    <w:uiPriority w:val="99"/>
    <w:unhideWhenUsed/>
    <w:rsid w:val="002135C4"/>
    <w:pPr>
      <w:tabs>
        <w:tab w:val="center" w:pos="4680"/>
        <w:tab w:val="right" w:pos="9360"/>
      </w:tabs>
    </w:pPr>
  </w:style>
  <w:style w:type="character" w:customStyle="1" w:styleId="HeaderChar">
    <w:name w:val="Header Char"/>
    <w:basedOn w:val="DefaultParagraphFont"/>
    <w:link w:val="Header"/>
    <w:uiPriority w:val="99"/>
    <w:rsid w:val="002135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86542">
      <w:bodyDiv w:val="1"/>
      <w:marLeft w:val="0"/>
      <w:marRight w:val="0"/>
      <w:marTop w:val="0"/>
      <w:marBottom w:val="0"/>
      <w:divBdr>
        <w:top w:val="none" w:sz="0" w:space="0" w:color="auto"/>
        <w:left w:val="none" w:sz="0" w:space="0" w:color="auto"/>
        <w:bottom w:val="none" w:sz="0" w:space="0" w:color="auto"/>
        <w:right w:val="none" w:sz="0" w:space="0" w:color="auto"/>
      </w:divBdr>
    </w:div>
    <w:div w:id="9835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7a280a902c33c57266df9d02ae1a50ba&amp;_xfercite=%3ccite%20cc%3d%22USA%22%3e%3c%21%5bCDATA%5bT.C.%20Memo%202011-164%5d%5d%3e%3c%2fcite%3e&amp;_butType=3&amp;_butStat=2&amp;_butNum=248&amp;_butInline=1&amp;_butinfo=%3ccite%20cc%3d%22USA%22%3e%3c%21%5bCDATA%5b1999-1%20C.B.%20361%5d%5d%3e%3c%2fcite%3e&amp;_fmtstr=FULL&amp;docnum=1&amp;_startdoc=1&amp;wchp=dGLbVzk-zSkAl&amp;_md5=489aa0b2e640a505de0401ad98ca25c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D0E4-5D0F-4F0B-9963-2066DBF2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2018-03-23T12:30:00Z</cp:lastPrinted>
  <dcterms:created xsi:type="dcterms:W3CDTF">2018-03-23T12:32:00Z</dcterms:created>
  <dcterms:modified xsi:type="dcterms:W3CDTF">2018-03-23T12:32:00Z</dcterms:modified>
</cp:coreProperties>
</file>