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D43BE" w14:textId="77777777" w:rsidR="0069586B" w:rsidRDefault="00A63B71" w:rsidP="00F915BC">
      <w:pPr>
        <w:pStyle w:val="Header"/>
        <w:framePr w:h="1061" w:hRule="exact" w:hSpace="180" w:wrap="around" w:vAnchor="text" w:hAnchor="page" w:x="691" w:y="-31"/>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339A4640" wp14:editId="4085E469">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14:paraId="091CB7BA" w14:textId="77777777" w:rsidR="0069586B" w:rsidRDefault="0069586B" w:rsidP="00F915BC">
      <w:pPr>
        <w:framePr w:h="1061" w:hRule="exact" w:hSpace="180" w:wrap="around" w:vAnchor="text" w:hAnchor="page" w:x="691" w:y="-31"/>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14:paraId="2DC11D08" w14:textId="77777777" w:rsidR="0069586B" w:rsidRDefault="0069586B" w:rsidP="00F915BC">
      <w:pPr>
        <w:pStyle w:val="Heading2"/>
        <w:framePr w:h="1061" w:hRule="exact" w:hSpace="180" w:wrap="around" w:vAnchor="text" w:hAnchor="page" w:x="691" w:y="-31"/>
        <w:ind w:left="2160"/>
        <w:suppressOverlap/>
      </w:pPr>
      <w:r>
        <w:t>Office of Medicaid</w:t>
      </w:r>
    </w:p>
    <w:p w14:paraId="64839A2A" w14:textId="77777777" w:rsidR="0069586B" w:rsidRPr="0069586B" w:rsidRDefault="0069586B" w:rsidP="00F915BC">
      <w:pPr>
        <w:framePr w:h="1061" w:hRule="exact" w:hSpace="180" w:wrap="around" w:vAnchor="text" w:hAnchor="page" w:x="691" w:y="-31"/>
        <w:ind w:left="2160"/>
        <w:suppressOverlap/>
      </w:pPr>
      <w:r>
        <w:rPr>
          <w:rFonts w:ascii="Bookman Old Style" w:hAnsi="Bookman Old Style"/>
          <w:i/>
          <w:sz w:val="18"/>
        </w:rPr>
        <w:t>www.mass.gov/masshealth</w:t>
      </w:r>
    </w:p>
    <w:p w14:paraId="27BE2A6E" w14:textId="77777777"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14:paraId="456E8A63" w14:textId="77777777" w:rsidR="0069586B" w:rsidRDefault="0069586B" w:rsidP="0069586B">
      <w:pPr>
        <w:tabs>
          <w:tab w:val="left" w:pos="5040"/>
        </w:tabs>
        <w:suppressAutoHyphens/>
        <w:ind w:left="2160"/>
        <w:rPr>
          <w:rFonts w:ascii="Georgia" w:hAnsi="Georgia" w:cs="Arial"/>
          <w:b/>
          <w:color w:val="1F497D"/>
          <w:sz w:val="24"/>
          <w:szCs w:val="24"/>
        </w:rPr>
      </w:pPr>
    </w:p>
    <w:p w14:paraId="3CBFDC4B" w14:textId="77777777"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14:paraId="27730B67" w14:textId="343C317F" w:rsidR="00D65B5E" w:rsidRPr="00C66371" w:rsidRDefault="00591F98" w:rsidP="004A642D">
      <w:pPr>
        <w:tabs>
          <w:tab w:val="left" w:pos="5040"/>
        </w:tabs>
        <w:suppressAutoHyphens/>
        <w:ind w:left="5040"/>
        <w:rPr>
          <w:rFonts w:ascii="Georgia" w:hAnsi="Georgia" w:cs="Arial"/>
          <w:b/>
          <w:color w:val="1F497D"/>
          <w:sz w:val="24"/>
          <w:szCs w:val="24"/>
        </w:rPr>
      </w:pPr>
      <w:r w:rsidRPr="00591F98">
        <w:rPr>
          <w:rFonts w:ascii="Georgia" w:hAnsi="Georgia" w:cs="Arial"/>
          <w:b/>
          <w:color w:val="1F497D"/>
          <w:sz w:val="24"/>
          <w:szCs w:val="24"/>
        </w:rPr>
        <w:t xml:space="preserve">Limited Services Clinic Bulletin </w:t>
      </w:r>
      <w:r w:rsidR="0040070D">
        <w:rPr>
          <w:rFonts w:ascii="Georgia" w:hAnsi="Georgia" w:cs="Arial"/>
          <w:b/>
          <w:color w:val="1F497D"/>
          <w:sz w:val="24"/>
          <w:szCs w:val="24"/>
        </w:rPr>
        <w:t>5</w:t>
      </w:r>
    </w:p>
    <w:p w14:paraId="03894650" w14:textId="305A7A47" w:rsidR="00D65B5E" w:rsidRPr="00591F98" w:rsidRDefault="00245330"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March</w:t>
      </w:r>
      <w:r w:rsidR="00591F98" w:rsidRPr="00591F98">
        <w:rPr>
          <w:rFonts w:ascii="Georgia" w:hAnsi="Georgia" w:cs="Arial"/>
          <w:b/>
          <w:color w:val="1F497D"/>
          <w:sz w:val="24"/>
          <w:szCs w:val="24"/>
        </w:rPr>
        <w:t xml:space="preserve"> 2018</w:t>
      </w:r>
    </w:p>
    <w:p w14:paraId="445B2103" w14:textId="77777777" w:rsidR="00D65B5E" w:rsidRPr="001B792F" w:rsidRDefault="00D65B5E">
      <w:pPr>
        <w:tabs>
          <w:tab w:val="left" w:pos="5040"/>
        </w:tabs>
        <w:suppressAutoHyphens/>
        <w:rPr>
          <w:rFonts w:ascii="Georgia" w:hAnsi="Georgia" w:cs="Arial"/>
          <w:sz w:val="22"/>
          <w:szCs w:val="22"/>
        </w:rPr>
      </w:pPr>
    </w:p>
    <w:p w14:paraId="6C64FB22" w14:textId="60E4FB78" w:rsidR="00D65B5E" w:rsidRPr="001B792F" w:rsidRDefault="002D71CA" w:rsidP="0008203E">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noProof/>
          <w:sz w:val="22"/>
          <w:szCs w:val="22"/>
        </w:rPr>
        <w:drawing>
          <wp:anchor distT="0" distB="0" distL="114300" distR="114300" simplePos="0" relativeHeight="251658752" behindDoc="0" locked="0" layoutInCell="1" allowOverlap="1" wp14:anchorId="37FD0492" wp14:editId="4B41AFBA">
            <wp:simplePos x="0" y="0"/>
            <wp:positionH relativeFrom="column">
              <wp:posOffset>4426332</wp:posOffset>
            </wp:positionH>
            <wp:positionV relativeFrom="paragraph">
              <wp:posOffset>91440</wp:posOffset>
            </wp:positionV>
            <wp:extent cx="1016000" cy="534035"/>
            <wp:effectExtent l="0" t="0" r="0" b="0"/>
            <wp:wrapNone/>
            <wp:docPr id="1" name="Picture 1" descr="W:\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EEDED SIGS\Tsai, Dani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D65B5E" w:rsidRPr="001B792F">
        <w:rPr>
          <w:rFonts w:ascii="Georgia" w:hAnsi="Georgia" w:cs="Arial"/>
          <w:b/>
          <w:sz w:val="22"/>
          <w:szCs w:val="22"/>
        </w:rPr>
        <w:t>TO:</w:t>
      </w:r>
      <w:r w:rsidR="00D65B5E" w:rsidRPr="001B792F">
        <w:rPr>
          <w:rFonts w:ascii="Georgia" w:hAnsi="Georgia" w:cs="Arial"/>
          <w:b/>
          <w:sz w:val="22"/>
          <w:szCs w:val="22"/>
        </w:rPr>
        <w:tab/>
      </w:r>
      <w:r w:rsidR="0069586B">
        <w:rPr>
          <w:rFonts w:ascii="Georgia" w:hAnsi="Georgia" w:cs="Arial"/>
          <w:b/>
          <w:sz w:val="22"/>
          <w:szCs w:val="22"/>
        </w:rPr>
        <w:tab/>
      </w:r>
      <w:r w:rsidR="00591F98" w:rsidRPr="00591F98">
        <w:rPr>
          <w:rFonts w:ascii="Georgia" w:hAnsi="Georgia" w:cs="Arial"/>
          <w:sz w:val="22"/>
          <w:szCs w:val="22"/>
        </w:rPr>
        <w:t xml:space="preserve">Limited Services Clinics Participating </w:t>
      </w:r>
      <w:r w:rsidR="00D65B5E" w:rsidRPr="001B792F">
        <w:rPr>
          <w:rFonts w:ascii="Georgia" w:hAnsi="Georgia" w:cs="Arial"/>
          <w:sz w:val="22"/>
          <w:szCs w:val="22"/>
        </w:rPr>
        <w:t>in MassHealth</w:t>
      </w:r>
    </w:p>
    <w:p w14:paraId="7903465A" w14:textId="4C189075"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14:paraId="0DAEE668" w14:textId="59AD1AAB"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2D71CA" w:rsidRPr="002D71CA">
        <w:rPr>
          <w:snapToGrid w:val="0"/>
          <w:color w:val="000000"/>
          <w:w w:val="0"/>
          <w:sz w:val="0"/>
          <w:szCs w:val="0"/>
          <w:u w:color="000000"/>
          <w:bdr w:val="none" w:sz="0" w:space="0" w:color="000000"/>
          <w:shd w:val="clear" w:color="000000" w:fill="000000"/>
          <w:lang w:val="x-none" w:eastAsia="x-none" w:bidi="x-none"/>
        </w:rPr>
        <w:t xml:space="preserve"> </w:t>
      </w:r>
    </w:p>
    <w:p w14:paraId="09C9D311" w14:textId="77777777"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bookmarkStart w:id="0" w:name="_GoBack"/>
      <w:bookmarkEnd w:id="0"/>
    </w:p>
    <w:p w14:paraId="1EB2D7E5" w14:textId="1675F338" w:rsidR="00F7118D" w:rsidRPr="003B414F" w:rsidRDefault="0069586B" w:rsidP="00F7118D">
      <w:pPr>
        <w:tabs>
          <w:tab w:val="right" w:pos="720"/>
          <w:tab w:val="left" w:pos="1152"/>
          <w:tab w:val="left" w:pos="5184"/>
        </w:tabs>
        <w:suppressAutoHyphens/>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591F98" w:rsidRPr="00591F98">
        <w:rPr>
          <w:rFonts w:ascii="Georgia" w:hAnsi="Georgia" w:cs="Arial"/>
          <w:b/>
          <w:sz w:val="22"/>
          <w:szCs w:val="22"/>
        </w:rPr>
        <w:t xml:space="preserve">Updates to </w:t>
      </w:r>
      <w:r w:rsidR="00BB65EB">
        <w:rPr>
          <w:rFonts w:ascii="Georgia" w:hAnsi="Georgia" w:cs="Arial"/>
          <w:b/>
          <w:sz w:val="22"/>
          <w:szCs w:val="22"/>
        </w:rPr>
        <w:t xml:space="preserve">Vaccine </w:t>
      </w:r>
      <w:r w:rsidR="00591F98" w:rsidRPr="00591F98">
        <w:rPr>
          <w:rFonts w:ascii="Georgia" w:hAnsi="Georgia" w:cs="Arial"/>
          <w:b/>
          <w:sz w:val="22"/>
          <w:szCs w:val="22"/>
        </w:rPr>
        <w:t>Service Codes and Descriptions</w:t>
      </w:r>
    </w:p>
    <w:p w14:paraId="4E111FD1" w14:textId="77777777" w:rsidR="00DC292A" w:rsidRDefault="00DC292A" w:rsidP="00287894">
      <w:pPr>
        <w:ind w:left="576" w:right="576" w:hanging="2880"/>
        <w:rPr>
          <w:rFonts w:ascii="Georgia" w:hAnsi="Georgia" w:cs="Arial"/>
          <w:b/>
          <w:i/>
          <w:sz w:val="22"/>
          <w:szCs w:val="22"/>
        </w:rPr>
      </w:pPr>
    </w:p>
    <w:p w14:paraId="5D302518" w14:textId="77777777" w:rsidR="00487637" w:rsidRDefault="00487637" w:rsidP="00287894">
      <w:pPr>
        <w:ind w:left="3456" w:right="576" w:hanging="2880"/>
        <w:rPr>
          <w:rFonts w:ascii="Georgia" w:hAnsi="Georgia" w:cs="Arial"/>
          <w:b/>
          <w:color w:val="1F497D"/>
          <w:sz w:val="24"/>
          <w:szCs w:val="24"/>
        </w:rPr>
      </w:pPr>
    </w:p>
    <w:p w14:paraId="01FE748A" w14:textId="77777777" w:rsidR="001B792F" w:rsidRPr="00C66371" w:rsidRDefault="00591F98" w:rsidP="00287894">
      <w:pPr>
        <w:ind w:left="3456" w:right="576" w:hanging="2880"/>
        <w:rPr>
          <w:rFonts w:ascii="Georgia" w:hAnsi="Georgia" w:cs="Arial"/>
          <w:color w:val="1F497D"/>
          <w:sz w:val="24"/>
          <w:szCs w:val="24"/>
        </w:rPr>
      </w:pPr>
      <w:r>
        <w:rPr>
          <w:rFonts w:ascii="Georgia" w:hAnsi="Georgia" w:cs="Arial"/>
          <w:b/>
          <w:color w:val="1F497D"/>
          <w:sz w:val="24"/>
          <w:szCs w:val="24"/>
        </w:rPr>
        <w:t>Background</w:t>
      </w:r>
      <w:r w:rsidR="002B5B63">
        <w:rPr>
          <w:rFonts w:ascii="Georgia" w:hAnsi="Georgia" w:cs="Arial"/>
          <w:b/>
          <w:color w:val="1F497D"/>
          <w:sz w:val="24"/>
          <w:szCs w:val="24"/>
        </w:rPr>
        <w:t xml:space="preserve"> </w:t>
      </w:r>
    </w:p>
    <w:p w14:paraId="19C97CEB" w14:textId="77777777" w:rsidR="001B792F" w:rsidRDefault="001B792F" w:rsidP="0008203E">
      <w:pPr>
        <w:ind w:left="720" w:right="720" w:hanging="2880"/>
        <w:rPr>
          <w:rFonts w:ascii="Georgia" w:hAnsi="Georgia" w:cs="Arial"/>
          <w:sz w:val="22"/>
          <w:szCs w:val="22"/>
        </w:rPr>
      </w:pPr>
    </w:p>
    <w:p w14:paraId="61CA1259" w14:textId="46006C88" w:rsidR="00591F98" w:rsidRPr="00591F98" w:rsidRDefault="00591F98" w:rsidP="00591F98">
      <w:pPr>
        <w:ind w:left="576" w:right="576"/>
        <w:rPr>
          <w:rFonts w:ascii="Georgia" w:hAnsi="Georgia" w:cs="Arial"/>
          <w:sz w:val="22"/>
          <w:szCs w:val="22"/>
        </w:rPr>
      </w:pPr>
      <w:r w:rsidRPr="00591F98">
        <w:rPr>
          <w:rFonts w:ascii="Georgia" w:hAnsi="Georgia" w:cs="Arial"/>
          <w:sz w:val="22"/>
          <w:szCs w:val="22"/>
        </w:rPr>
        <w:t xml:space="preserve">This bulletin transmits </w:t>
      </w:r>
      <w:r w:rsidR="00512B5D">
        <w:rPr>
          <w:rFonts w:ascii="Georgia" w:hAnsi="Georgia" w:cs="Arial"/>
          <w:sz w:val="22"/>
          <w:szCs w:val="22"/>
        </w:rPr>
        <w:t xml:space="preserve">additions and </w:t>
      </w:r>
      <w:r w:rsidRPr="00591F98">
        <w:rPr>
          <w:rFonts w:ascii="Georgia" w:hAnsi="Georgia" w:cs="Arial"/>
          <w:sz w:val="22"/>
          <w:szCs w:val="22"/>
        </w:rPr>
        <w:t xml:space="preserve">updates to </w:t>
      </w:r>
      <w:r w:rsidR="00512B5D">
        <w:rPr>
          <w:rFonts w:ascii="Georgia" w:hAnsi="Georgia" w:cs="Arial"/>
          <w:sz w:val="22"/>
          <w:szCs w:val="22"/>
        </w:rPr>
        <w:t xml:space="preserve">the vaccine service codes payable for </w:t>
      </w:r>
      <w:r w:rsidRPr="00591F98">
        <w:rPr>
          <w:rFonts w:ascii="Georgia" w:hAnsi="Georgia" w:cs="Arial"/>
          <w:sz w:val="22"/>
          <w:szCs w:val="22"/>
        </w:rPr>
        <w:t>MassHealth’s limited services clinics (LSC</w:t>
      </w:r>
      <w:r w:rsidR="00512B5D">
        <w:rPr>
          <w:rFonts w:ascii="Georgia" w:hAnsi="Georgia" w:cs="Arial"/>
          <w:sz w:val="22"/>
          <w:szCs w:val="22"/>
        </w:rPr>
        <w:t>s</w:t>
      </w:r>
      <w:r w:rsidRPr="00591F98">
        <w:rPr>
          <w:rFonts w:ascii="Georgia" w:hAnsi="Georgia" w:cs="Arial"/>
          <w:sz w:val="22"/>
          <w:szCs w:val="22"/>
        </w:rPr>
        <w:t xml:space="preserve">). These changes are effective for dates of service on or after January 1, 2018. </w:t>
      </w:r>
    </w:p>
    <w:p w14:paraId="202EBC0C" w14:textId="77777777" w:rsidR="00591F98" w:rsidRPr="00591F98" w:rsidRDefault="00591F98" w:rsidP="00591F98">
      <w:pPr>
        <w:ind w:left="576" w:right="576"/>
        <w:rPr>
          <w:rFonts w:ascii="Georgia" w:hAnsi="Georgia" w:cs="Arial"/>
          <w:sz w:val="22"/>
          <w:szCs w:val="22"/>
        </w:rPr>
      </w:pPr>
    </w:p>
    <w:p w14:paraId="3BF0D86C" w14:textId="77777777" w:rsidR="00165D0F" w:rsidRPr="00165D0F" w:rsidRDefault="00591F98" w:rsidP="00591F98">
      <w:pPr>
        <w:ind w:left="576" w:right="576"/>
        <w:rPr>
          <w:rFonts w:ascii="Georgia" w:hAnsi="Georgia" w:cs="Arial"/>
          <w:sz w:val="22"/>
          <w:szCs w:val="22"/>
        </w:rPr>
      </w:pPr>
      <w:r w:rsidRPr="00591F98">
        <w:rPr>
          <w:rFonts w:ascii="Georgia" w:hAnsi="Georgia" w:cs="Arial"/>
          <w:sz w:val="22"/>
          <w:szCs w:val="22"/>
        </w:rPr>
        <w:t>The Massachusetts Department of Public Health (DPH) is authorized to license LSCs under M.G.L. c. 111, sec. 51J and 52, and regulations at 105 CMR 140.1000. Pursuant to these regulations, LSCs are licensed to provide a limited set of medical services and may not serve as a member’s primary care or provide treatment to children younger than the age specified by statute and regulation. See M.G.L. c. 111, Section 51J, and 105 CMR 140.1000, as amended.</w:t>
      </w:r>
    </w:p>
    <w:p w14:paraId="21AB8CB1" w14:textId="77777777" w:rsidR="002B5B63" w:rsidRDefault="002B5B63" w:rsidP="00287894">
      <w:pPr>
        <w:ind w:left="576" w:right="576"/>
        <w:rPr>
          <w:rFonts w:ascii="Georgia" w:hAnsi="Georgia" w:cs="Arial"/>
          <w:sz w:val="22"/>
          <w:szCs w:val="22"/>
        </w:rPr>
      </w:pPr>
    </w:p>
    <w:p w14:paraId="5FC0EA17" w14:textId="77777777" w:rsidR="002B5B63" w:rsidRPr="00591F98" w:rsidRDefault="00591F98" w:rsidP="00287894">
      <w:pPr>
        <w:ind w:left="576" w:right="576"/>
        <w:rPr>
          <w:rFonts w:ascii="Georgia" w:hAnsi="Georgia" w:cs="Arial"/>
          <w:b/>
          <w:i/>
          <w:sz w:val="22"/>
          <w:szCs w:val="22"/>
        </w:rPr>
      </w:pPr>
      <w:r w:rsidRPr="00591F98">
        <w:rPr>
          <w:rFonts w:ascii="Georgia" w:hAnsi="Georgia" w:cs="Arial"/>
          <w:b/>
          <w:i/>
          <w:sz w:val="22"/>
          <w:szCs w:val="22"/>
        </w:rPr>
        <w:t>Definition</w:t>
      </w:r>
      <w:r w:rsidR="00512B5D">
        <w:rPr>
          <w:rFonts w:ascii="Georgia" w:hAnsi="Georgia" w:cs="Arial"/>
          <w:b/>
          <w:sz w:val="24"/>
          <w:szCs w:val="24"/>
        </w:rPr>
        <w:t>: Limited Services Clinic Services</w:t>
      </w:r>
    </w:p>
    <w:p w14:paraId="06E16B0C" w14:textId="77777777" w:rsidR="00591F98" w:rsidRDefault="00591F98" w:rsidP="00287894">
      <w:pPr>
        <w:ind w:left="576" w:right="576"/>
        <w:rPr>
          <w:rFonts w:ascii="Georgia" w:hAnsi="Georgia" w:cs="Arial"/>
          <w:b/>
          <w:sz w:val="22"/>
          <w:szCs w:val="22"/>
        </w:rPr>
      </w:pPr>
    </w:p>
    <w:p w14:paraId="10D4540C" w14:textId="77777777" w:rsidR="00591F98" w:rsidRPr="00591F98" w:rsidRDefault="00591F98" w:rsidP="00591F98">
      <w:pPr>
        <w:ind w:left="576" w:right="576"/>
        <w:rPr>
          <w:rFonts w:ascii="Georgia" w:hAnsi="Georgia" w:cs="Arial"/>
          <w:sz w:val="22"/>
          <w:szCs w:val="22"/>
        </w:rPr>
      </w:pPr>
      <w:r w:rsidRPr="00591F98">
        <w:rPr>
          <w:rFonts w:ascii="Georgia" w:hAnsi="Georgia" w:cs="Arial"/>
          <w:sz w:val="22"/>
          <w:szCs w:val="22"/>
        </w:rPr>
        <w:t xml:space="preserve">MassHealth LSC services must be furnished in an LSC setting, and are a prescribed set of diagnostic and treatment services provided to a MassHealth member that: </w:t>
      </w:r>
    </w:p>
    <w:p w14:paraId="3CA91C0A" w14:textId="77777777" w:rsidR="00591F98" w:rsidRPr="00591F98" w:rsidRDefault="00591F98" w:rsidP="00F915BC">
      <w:pPr>
        <w:tabs>
          <w:tab w:val="left" w:pos="1440"/>
        </w:tabs>
        <w:ind w:left="1296" w:right="576" w:hanging="720"/>
        <w:rPr>
          <w:rFonts w:ascii="Georgia" w:hAnsi="Georgia" w:cs="Arial"/>
          <w:sz w:val="22"/>
          <w:szCs w:val="22"/>
        </w:rPr>
      </w:pPr>
      <w:r w:rsidRPr="00591F98">
        <w:rPr>
          <w:rFonts w:ascii="Georgia" w:hAnsi="Georgia" w:cs="Arial"/>
          <w:sz w:val="22"/>
          <w:szCs w:val="22"/>
        </w:rPr>
        <w:t>(1)</w:t>
      </w:r>
      <w:r w:rsidRPr="00591F98">
        <w:rPr>
          <w:rFonts w:ascii="Georgia" w:hAnsi="Georgia" w:cs="Arial"/>
          <w:sz w:val="22"/>
          <w:szCs w:val="22"/>
        </w:rPr>
        <w:tab/>
        <w:t xml:space="preserve">require only a focused history and physical examination but not venipuncture; </w:t>
      </w:r>
    </w:p>
    <w:p w14:paraId="3EA570A4" w14:textId="521425E7" w:rsidR="00591F98" w:rsidRPr="00591F98" w:rsidRDefault="00591F98" w:rsidP="00F915BC">
      <w:pPr>
        <w:tabs>
          <w:tab w:val="left" w:pos="1440"/>
        </w:tabs>
        <w:ind w:left="1296" w:right="576" w:hanging="720"/>
        <w:rPr>
          <w:rFonts w:ascii="Georgia" w:hAnsi="Georgia" w:cs="Arial"/>
          <w:sz w:val="22"/>
          <w:szCs w:val="22"/>
        </w:rPr>
      </w:pPr>
      <w:r w:rsidRPr="00591F98">
        <w:rPr>
          <w:rFonts w:ascii="Georgia" w:hAnsi="Georgia" w:cs="Arial"/>
          <w:sz w:val="22"/>
          <w:szCs w:val="22"/>
        </w:rPr>
        <w:t>(2)</w:t>
      </w:r>
      <w:r w:rsidRPr="00591F98">
        <w:rPr>
          <w:rFonts w:ascii="Georgia" w:hAnsi="Georgia" w:cs="Arial"/>
          <w:sz w:val="22"/>
          <w:szCs w:val="22"/>
        </w:rPr>
        <w:tab/>
        <w:t xml:space="preserve">may make use of only Clinical Laboratory Improvement Act (as amended) waived </w:t>
      </w:r>
      <w:r w:rsidR="00B76513">
        <w:rPr>
          <w:rFonts w:ascii="Georgia" w:hAnsi="Georgia" w:cs="Arial"/>
          <w:sz w:val="22"/>
          <w:szCs w:val="22"/>
        </w:rPr>
        <w:t>tests;</w:t>
      </w:r>
    </w:p>
    <w:p w14:paraId="6BDF2894" w14:textId="74BB1A8F" w:rsidR="00591F98" w:rsidRPr="00591F98" w:rsidRDefault="00591F98" w:rsidP="00F915BC">
      <w:pPr>
        <w:tabs>
          <w:tab w:val="left" w:pos="1440"/>
        </w:tabs>
        <w:ind w:left="1296" w:right="576" w:hanging="720"/>
        <w:rPr>
          <w:rFonts w:ascii="Georgia" w:hAnsi="Georgia" w:cs="Arial"/>
          <w:sz w:val="22"/>
          <w:szCs w:val="22"/>
        </w:rPr>
      </w:pPr>
      <w:r w:rsidRPr="00591F98">
        <w:rPr>
          <w:rFonts w:ascii="Georgia" w:hAnsi="Georgia" w:cs="Arial"/>
          <w:sz w:val="22"/>
          <w:szCs w:val="22"/>
        </w:rPr>
        <w:t>(3)</w:t>
      </w:r>
      <w:r w:rsidRPr="00591F98">
        <w:rPr>
          <w:rFonts w:ascii="Georgia" w:hAnsi="Georgia" w:cs="Arial"/>
          <w:sz w:val="22"/>
          <w:szCs w:val="22"/>
        </w:rPr>
        <w:tab/>
        <w:t>may be provided within the scope of practice of a licensed nurse practitioner individu</w:t>
      </w:r>
      <w:r w:rsidR="00B76513">
        <w:rPr>
          <w:rFonts w:ascii="Georgia" w:hAnsi="Georgia" w:cs="Arial"/>
          <w:sz w:val="22"/>
          <w:szCs w:val="22"/>
        </w:rPr>
        <w:t xml:space="preserve">ally </w:t>
      </w:r>
      <w:r w:rsidRPr="00591F98">
        <w:rPr>
          <w:rFonts w:ascii="Georgia" w:hAnsi="Georgia" w:cs="Arial"/>
          <w:sz w:val="22"/>
          <w:szCs w:val="22"/>
        </w:rPr>
        <w:t>enrolled in MassHealth using available facilities and equipment (</w:t>
      </w:r>
      <w:r w:rsidR="00D25C6D">
        <w:rPr>
          <w:rFonts w:ascii="Georgia" w:hAnsi="Georgia" w:cs="Arial"/>
          <w:sz w:val="22"/>
          <w:szCs w:val="22"/>
        </w:rPr>
        <w:t>M.</w:t>
      </w:r>
      <w:r w:rsidRPr="00591F98">
        <w:rPr>
          <w:rFonts w:ascii="Georgia" w:hAnsi="Georgia" w:cs="Arial"/>
          <w:sz w:val="22"/>
          <w:szCs w:val="22"/>
        </w:rPr>
        <w:t xml:space="preserve">G.L. c. 111 sec. </w:t>
      </w:r>
      <w:r w:rsidR="00B76513">
        <w:rPr>
          <w:rFonts w:ascii="Georgia" w:hAnsi="Georgia" w:cs="Arial"/>
          <w:sz w:val="22"/>
          <w:szCs w:val="22"/>
        </w:rPr>
        <w:t>52);</w:t>
      </w:r>
    </w:p>
    <w:p w14:paraId="6B24B045" w14:textId="77777777" w:rsidR="00591F98" w:rsidRPr="00591F98" w:rsidRDefault="00591F98" w:rsidP="00F915BC">
      <w:pPr>
        <w:tabs>
          <w:tab w:val="left" w:pos="1440"/>
        </w:tabs>
        <w:ind w:left="1296" w:right="576" w:hanging="720"/>
        <w:rPr>
          <w:rFonts w:ascii="Georgia" w:hAnsi="Georgia" w:cs="Arial"/>
          <w:sz w:val="22"/>
          <w:szCs w:val="22"/>
        </w:rPr>
      </w:pPr>
      <w:r w:rsidRPr="00591F98">
        <w:rPr>
          <w:rFonts w:ascii="Georgia" w:hAnsi="Georgia" w:cs="Arial"/>
          <w:sz w:val="22"/>
          <w:szCs w:val="22"/>
        </w:rPr>
        <w:t>(4)</w:t>
      </w:r>
      <w:r w:rsidRPr="00591F98">
        <w:rPr>
          <w:rFonts w:ascii="Georgia" w:hAnsi="Georgia" w:cs="Arial"/>
          <w:sz w:val="22"/>
          <w:szCs w:val="22"/>
        </w:rPr>
        <w:tab/>
        <w:t xml:space="preserve">are for episodic, urgent care related to an illness or for immunizations;  </w:t>
      </w:r>
    </w:p>
    <w:p w14:paraId="798B46AB" w14:textId="48F6C853" w:rsidR="00591F98" w:rsidRPr="00591F98" w:rsidRDefault="00591F98" w:rsidP="00F915BC">
      <w:pPr>
        <w:tabs>
          <w:tab w:val="left" w:pos="1440"/>
        </w:tabs>
        <w:ind w:left="1296" w:right="576" w:hanging="720"/>
        <w:rPr>
          <w:rFonts w:ascii="Georgia" w:hAnsi="Georgia" w:cs="Arial"/>
          <w:sz w:val="22"/>
          <w:szCs w:val="22"/>
        </w:rPr>
      </w:pPr>
      <w:r w:rsidRPr="00591F98">
        <w:rPr>
          <w:rFonts w:ascii="Georgia" w:hAnsi="Georgia" w:cs="Arial"/>
          <w:sz w:val="22"/>
          <w:szCs w:val="22"/>
        </w:rPr>
        <w:t>(5)</w:t>
      </w:r>
      <w:r w:rsidRPr="00591F98">
        <w:rPr>
          <w:rFonts w:ascii="Georgia" w:hAnsi="Georgia" w:cs="Arial"/>
          <w:sz w:val="22"/>
          <w:szCs w:val="22"/>
        </w:rPr>
        <w:tab/>
        <w:t>are included in the list of services submitted to the Massachusetts Department of Public</w:t>
      </w:r>
      <w:r w:rsidR="00B76513">
        <w:rPr>
          <w:rFonts w:ascii="Georgia" w:hAnsi="Georgia" w:cs="Arial"/>
          <w:sz w:val="22"/>
          <w:szCs w:val="22"/>
        </w:rPr>
        <w:t xml:space="preserve"> </w:t>
      </w:r>
      <w:r w:rsidRPr="00591F98">
        <w:rPr>
          <w:rFonts w:ascii="Georgia" w:hAnsi="Georgia" w:cs="Arial"/>
          <w:sz w:val="22"/>
          <w:szCs w:val="22"/>
        </w:rPr>
        <w:t xml:space="preserve">Health (DPH), pursuant to 105 CMR 140.103(F) and approved by DPH; and  </w:t>
      </w:r>
    </w:p>
    <w:p w14:paraId="4F032D4D" w14:textId="03897790" w:rsidR="00487637" w:rsidRDefault="00591F98" w:rsidP="00F915BC">
      <w:pPr>
        <w:tabs>
          <w:tab w:val="left" w:pos="1440"/>
        </w:tabs>
        <w:ind w:left="1296" w:right="576" w:hanging="720"/>
        <w:rPr>
          <w:rFonts w:ascii="Georgia" w:hAnsi="Georgia" w:cs="Arial"/>
          <w:sz w:val="22"/>
          <w:szCs w:val="22"/>
        </w:rPr>
      </w:pPr>
      <w:r w:rsidRPr="00591F98">
        <w:rPr>
          <w:rFonts w:ascii="Georgia" w:hAnsi="Georgia" w:cs="Arial"/>
          <w:sz w:val="22"/>
          <w:szCs w:val="22"/>
        </w:rPr>
        <w:t>(6)</w:t>
      </w:r>
      <w:r w:rsidRPr="00591F98">
        <w:rPr>
          <w:rFonts w:ascii="Georgia" w:hAnsi="Georgia" w:cs="Arial"/>
          <w:sz w:val="22"/>
          <w:szCs w:val="22"/>
        </w:rPr>
        <w:tab/>
        <w:t>are included in the list of services and codes approved for payment to LSCs by MassHealth.</w:t>
      </w:r>
    </w:p>
    <w:p w14:paraId="76D5B9F7" w14:textId="77777777" w:rsidR="00487637" w:rsidRDefault="00487637" w:rsidP="00487637">
      <w:pPr>
        <w:ind w:left="576" w:right="576"/>
        <w:rPr>
          <w:rFonts w:ascii="Georgia" w:hAnsi="Georgia" w:cs="Arial"/>
          <w:b/>
          <w:sz w:val="22"/>
          <w:szCs w:val="22"/>
        </w:rPr>
      </w:pPr>
    </w:p>
    <w:p w14:paraId="66BCA7A6" w14:textId="77777777" w:rsidR="00487637" w:rsidRPr="002C731E" w:rsidRDefault="00487637" w:rsidP="00487637">
      <w:pPr>
        <w:ind w:left="576" w:right="576"/>
        <w:rPr>
          <w:rFonts w:ascii="Georgia" w:hAnsi="Georgia" w:cs="Arial"/>
          <w:sz w:val="22"/>
          <w:szCs w:val="22"/>
        </w:rPr>
      </w:pPr>
      <w:r w:rsidRPr="002C731E">
        <w:rPr>
          <w:rFonts w:ascii="Georgia" w:hAnsi="Georgia" w:cs="Arial"/>
          <w:b/>
          <w:sz w:val="22"/>
          <w:szCs w:val="22"/>
        </w:rPr>
        <w:t>Vaccines Provided in an LSC</w:t>
      </w:r>
      <w:r w:rsidRPr="002C731E">
        <w:rPr>
          <w:rFonts w:ascii="Georgia" w:hAnsi="Georgia" w:cs="Arial"/>
          <w:sz w:val="22"/>
          <w:szCs w:val="22"/>
        </w:rPr>
        <w:t xml:space="preserve">         </w:t>
      </w:r>
      <w:r w:rsidRPr="002C731E">
        <w:rPr>
          <w:rFonts w:ascii="Georgia" w:hAnsi="Georgia" w:cs="Arial"/>
          <w:sz w:val="22"/>
          <w:szCs w:val="22"/>
        </w:rPr>
        <w:tab/>
      </w:r>
    </w:p>
    <w:p w14:paraId="6E7869DD" w14:textId="77777777" w:rsidR="00487637" w:rsidRPr="002C731E" w:rsidRDefault="00487637" w:rsidP="00487637">
      <w:pPr>
        <w:ind w:left="576" w:right="576"/>
        <w:rPr>
          <w:rFonts w:ascii="Georgia" w:hAnsi="Georgia" w:cs="Arial"/>
          <w:sz w:val="22"/>
          <w:szCs w:val="22"/>
        </w:rPr>
      </w:pPr>
    </w:p>
    <w:p w14:paraId="1C8225F8" w14:textId="77777777" w:rsidR="00487637" w:rsidRPr="002C731E" w:rsidRDefault="00487637" w:rsidP="00487637">
      <w:pPr>
        <w:ind w:left="576" w:right="576"/>
        <w:rPr>
          <w:rFonts w:ascii="Georgia" w:hAnsi="Georgia" w:cs="Arial"/>
          <w:sz w:val="22"/>
          <w:szCs w:val="22"/>
        </w:rPr>
      </w:pPr>
      <w:r w:rsidRPr="002C731E">
        <w:rPr>
          <w:rFonts w:ascii="Georgia" w:hAnsi="Georgia" w:cs="Arial"/>
          <w:sz w:val="22"/>
          <w:szCs w:val="22"/>
        </w:rPr>
        <w:t>MassHealth pays for the administration of vaccines if administered separately from a visit.  Free-of-charge vaccines supplied by the DPH are not reimbursable by MassHealth. (See 130 CMR 433.413(C)).</w:t>
      </w:r>
    </w:p>
    <w:p w14:paraId="58106256" w14:textId="77777777" w:rsidR="00487637" w:rsidRPr="00487637" w:rsidRDefault="00487637" w:rsidP="00487637"/>
    <w:p w14:paraId="1874E8B7" w14:textId="77777777" w:rsidR="00487637" w:rsidRDefault="00487637" w:rsidP="00E715FE">
      <w:pPr>
        <w:pStyle w:val="Heading1"/>
        <w:tabs>
          <w:tab w:val="clear" w:pos="6426"/>
          <w:tab w:val="left" w:pos="5760"/>
        </w:tabs>
        <w:ind w:left="5040"/>
        <w:rPr>
          <w:rFonts w:ascii="Georgia" w:hAnsi="Georgia" w:cs="Arial"/>
          <w:color w:val="1F497D"/>
          <w:szCs w:val="22"/>
        </w:rPr>
      </w:pPr>
    </w:p>
    <w:p w14:paraId="568B1618" w14:textId="77777777" w:rsidR="0019652F" w:rsidRPr="00B54F89" w:rsidRDefault="0019652F" w:rsidP="00E715FE">
      <w:pPr>
        <w:pStyle w:val="Heading1"/>
        <w:tabs>
          <w:tab w:val="clear" w:pos="6426"/>
          <w:tab w:val="left" w:pos="5760"/>
        </w:tabs>
        <w:ind w:left="5040"/>
        <w:rPr>
          <w:rFonts w:ascii="Georgia" w:hAnsi="Georgia" w:cs="Arial"/>
          <w:color w:val="1F497D"/>
          <w:sz w:val="24"/>
          <w:szCs w:val="24"/>
        </w:rPr>
      </w:pPr>
      <w:r w:rsidRPr="00B54F89">
        <w:rPr>
          <w:rFonts w:ascii="Georgia" w:hAnsi="Georgia" w:cs="Arial"/>
          <w:color w:val="1F497D"/>
          <w:sz w:val="24"/>
          <w:szCs w:val="24"/>
        </w:rPr>
        <w:t>MassHealth</w:t>
      </w:r>
    </w:p>
    <w:p w14:paraId="30DB773A" w14:textId="5846BEF2" w:rsidR="0019652F" w:rsidRPr="001433E7" w:rsidRDefault="00E53C51" w:rsidP="00E715FE">
      <w:pPr>
        <w:pStyle w:val="Heading1"/>
        <w:tabs>
          <w:tab w:val="clear" w:pos="6426"/>
          <w:tab w:val="left" w:pos="5760"/>
        </w:tabs>
        <w:ind w:left="5040"/>
        <w:rPr>
          <w:rFonts w:ascii="Georgia" w:hAnsi="Georgia" w:cs="Arial"/>
          <w:color w:val="1F497D"/>
          <w:szCs w:val="22"/>
        </w:rPr>
      </w:pPr>
      <w:r w:rsidRPr="00591F98">
        <w:rPr>
          <w:rFonts w:ascii="Georgia" w:hAnsi="Georgia" w:cs="Arial"/>
          <w:color w:val="1F497D"/>
          <w:sz w:val="24"/>
          <w:szCs w:val="24"/>
        </w:rPr>
        <w:t xml:space="preserve">Limited Services Clinic Bulletin </w:t>
      </w:r>
      <w:r w:rsidR="00D634BF">
        <w:rPr>
          <w:rFonts w:ascii="Georgia" w:hAnsi="Georgia" w:cs="Arial"/>
          <w:color w:val="1F497D"/>
          <w:sz w:val="24"/>
          <w:szCs w:val="24"/>
        </w:rPr>
        <w:t>5</w:t>
      </w:r>
    </w:p>
    <w:p w14:paraId="6E79C41C" w14:textId="5A5B495F" w:rsidR="0019652F" w:rsidRPr="001433E7" w:rsidRDefault="00245330" w:rsidP="00E715FE">
      <w:pPr>
        <w:pStyle w:val="Heading1"/>
        <w:tabs>
          <w:tab w:val="clear" w:pos="6426"/>
          <w:tab w:val="left" w:pos="5760"/>
        </w:tabs>
        <w:ind w:left="5040"/>
        <w:rPr>
          <w:rFonts w:ascii="Georgia" w:hAnsi="Georgia" w:cs="Arial"/>
          <w:color w:val="1F497D"/>
          <w:szCs w:val="22"/>
        </w:rPr>
      </w:pPr>
      <w:r>
        <w:rPr>
          <w:rFonts w:ascii="Georgia" w:hAnsi="Georgia" w:cs="Arial"/>
          <w:color w:val="1F497D"/>
          <w:sz w:val="24"/>
          <w:szCs w:val="24"/>
        </w:rPr>
        <w:t>March</w:t>
      </w:r>
      <w:r w:rsidR="00E53C51" w:rsidRPr="00591F98">
        <w:rPr>
          <w:rFonts w:ascii="Georgia" w:hAnsi="Georgia" w:cs="Arial"/>
          <w:color w:val="1F497D"/>
          <w:sz w:val="24"/>
          <w:szCs w:val="24"/>
        </w:rPr>
        <w:t xml:space="preserve"> 2018</w:t>
      </w:r>
    </w:p>
    <w:p w14:paraId="5065506B" w14:textId="77777777" w:rsidR="001B792F" w:rsidRPr="00B13DE1" w:rsidRDefault="0019652F" w:rsidP="006C1E2A">
      <w:pPr>
        <w:pStyle w:val="Heading1"/>
        <w:tabs>
          <w:tab w:val="clear" w:pos="6426"/>
          <w:tab w:val="left" w:pos="5760"/>
        </w:tabs>
        <w:ind w:left="5040"/>
        <w:rPr>
          <w:rFonts w:ascii="Georgia" w:hAnsi="Georgia" w:cs="Arial"/>
          <w:color w:val="1F497D"/>
          <w:sz w:val="24"/>
          <w:szCs w:val="24"/>
        </w:rPr>
      </w:pPr>
      <w:r w:rsidRPr="00B13DE1">
        <w:rPr>
          <w:rFonts w:ascii="Georgia" w:hAnsi="Georgia" w:cs="Arial"/>
          <w:color w:val="1F497D"/>
          <w:sz w:val="24"/>
          <w:szCs w:val="24"/>
        </w:rPr>
        <w:t xml:space="preserve">Page </w:t>
      </w:r>
      <w:r w:rsidRPr="00B13DE1">
        <w:rPr>
          <w:rFonts w:ascii="Georgia" w:hAnsi="Georgia" w:cs="Arial"/>
          <w:color w:val="1F497D"/>
          <w:sz w:val="24"/>
          <w:szCs w:val="24"/>
        </w:rPr>
        <w:fldChar w:fldCharType="begin"/>
      </w:r>
      <w:r w:rsidRPr="00B13DE1">
        <w:rPr>
          <w:rFonts w:ascii="Georgia" w:hAnsi="Georgia" w:cs="Arial"/>
          <w:color w:val="1F497D"/>
          <w:sz w:val="24"/>
          <w:szCs w:val="24"/>
        </w:rPr>
        <w:instrText>page \* arabic</w:instrText>
      </w:r>
      <w:r w:rsidRPr="00B13DE1">
        <w:rPr>
          <w:rFonts w:ascii="Georgia" w:hAnsi="Georgia" w:cs="Arial"/>
          <w:color w:val="1F497D"/>
          <w:sz w:val="24"/>
          <w:szCs w:val="24"/>
        </w:rPr>
        <w:fldChar w:fldCharType="separate"/>
      </w:r>
      <w:r w:rsidR="009538D8">
        <w:rPr>
          <w:rFonts w:ascii="Georgia" w:hAnsi="Georgia" w:cs="Arial"/>
          <w:noProof/>
          <w:color w:val="1F497D"/>
          <w:sz w:val="24"/>
          <w:szCs w:val="24"/>
        </w:rPr>
        <w:t>2</w:t>
      </w:r>
      <w:r w:rsidRPr="00B13DE1">
        <w:rPr>
          <w:rFonts w:ascii="Georgia" w:hAnsi="Georgia" w:cs="Arial"/>
          <w:color w:val="1F497D"/>
          <w:sz w:val="24"/>
          <w:szCs w:val="24"/>
        </w:rPr>
        <w:fldChar w:fldCharType="end"/>
      </w:r>
    </w:p>
    <w:p w14:paraId="59CB0897" w14:textId="77777777" w:rsidR="006C1E2A" w:rsidRPr="006C1E2A" w:rsidRDefault="006C1E2A" w:rsidP="006C1E2A"/>
    <w:p w14:paraId="5D155C06" w14:textId="004C2F0C" w:rsidR="002C731E" w:rsidRPr="002C731E" w:rsidRDefault="002C731E" w:rsidP="002C731E">
      <w:pPr>
        <w:ind w:left="576" w:right="576"/>
        <w:rPr>
          <w:rFonts w:ascii="Georgia" w:hAnsi="Georgia" w:cs="Arial"/>
          <w:sz w:val="22"/>
          <w:szCs w:val="22"/>
        </w:rPr>
      </w:pPr>
      <w:r w:rsidRPr="002C731E">
        <w:rPr>
          <w:rFonts w:ascii="Georgia" w:hAnsi="Georgia" w:cs="Arial"/>
          <w:b/>
          <w:sz w:val="22"/>
          <w:szCs w:val="22"/>
        </w:rPr>
        <w:t>Vaccines Provided in an LSC</w:t>
      </w:r>
      <w:r w:rsidRPr="002C731E">
        <w:rPr>
          <w:rFonts w:ascii="Georgia" w:hAnsi="Georgia" w:cs="Arial"/>
          <w:sz w:val="22"/>
          <w:szCs w:val="22"/>
        </w:rPr>
        <w:t xml:space="preserve"> </w:t>
      </w:r>
      <w:r w:rsidR="00487637" w:rsidRPr="00487637">
        <w:rPr>
          <w:rFonts w:ascii="Georgia" w:hAnsi="Georgia" w:cs="Arial"/>
          <w:i/>
          <w:sz w:val="22"/>
          <w:szCs w:val="22"/>
        </w:rPr>
        <w:t>(cont.)</w:t>
      </w:r>
      <w:r w:rsidRPr="002C731E">
        <w:rPr>
          <w:rFonts w:ascii="Georgia" w:hAnsi="Georgia" w:cs="Arial"/>
          <w:sz w:val="22"/>
          <w:szCs w:val="22"/>
        </w:rPr>
        <w:t xml:space="preserve">        </w:t>
      </w:r>
      <w:r w:rsidRPr="002C731E">
        <w:rPr>
          <w:rFonts w:ascii="Georgia" w:hAnsi="Georgia" w:cs="Arial"/>
          <w:sz w:val="22"/>
          <w:szCs w:val="22"/>
        </w:rPr>
        <w:tab/>
      </w:r>
    </w:p>
    <w:p w14:paraId="67E15707" w14:textId="77777777" w:rsidR="002C731E" w:rsidRPr="002C731E" w:rsidRDefault="002C731E" w:rsidP="002C731E">
      <w:pPr>
        <w:ind w:left="576" w:right="576"/>
        <w:rPr>
          <w:rFonts w:ascii="Georgia" w:hAnsi="Georgia" w:cs="Arial"/>
          <w:sz w:val="22"/>
          <w:szCs w:val="22"/>
        </w:rPr>
      </w:pPr>
    </w:p>
    <w:p w14:paraId="7FF22037" w14:textId="100195B6" w:rsidR="00D74EF6" w:rsidRPr="000A6985" w:rsidRDefault="002C731E" w:rsidP="002C731E">
      <w:pPr>
        <w:ind w:left="576" w:right="576"/>
        <w:rPr>
          <w:rFonts w:ascii="Georgia" w:hAnsi="Georgia" w:cs="Arial"/>
          <w:sz w:val="22"/>
          <w:szCs w:val="22"/>
        </w:rPr>
      </w:pPr>
      <w:r w:rsidRPr="000A6985">
        <w:rPr>
          <w:rFonts w:ascii="Georgia" w:hAnsi="Georgia" w:cs="Arial"/>
          <w:sz w:val="22"/>
          <w:szCs w:val="22"/>
        </w:rPr>
        <w:t>Information about the availability of DPH-supplied vaccines can be fou</w:t>
      </w:r>
      <w:r w:rsidR="00D74EF6" w:rsidRPr="000A6985">
        <w:rPr>
          <w:rFonts w:ascii="Georgia" w:hAnsi="Georgia" w:cs="Arial"/>
          <w:sz w:val="22"/>
          <w:szCs w:val="22"/>
        </w:rPr>
        <w:t>nd at the following DPH website</w:t>
      </w:r>
      <w:r w:rsidRPr="000A6985">
        <w:rPr>
          <w:rFonts w:ascii="Georgia" w:hAnsi="Georgia" w:cs="Arial"/>
          <w:sz w:val="22"/>
          <w:szCs w:val="22"/>
        </w:rPr>
        <w:t xml:space="preserve">: </w:t>
      </w:r>
      <w:hyperlink r:id="rId11" w:history="1">
        <w:r w:rsidR="000A6985" w:rsidRPr="00F915BC">
          <w:rPr>
            <w:rStyle w:val="Hyperlink"/>
            <w:sz w:val="22"/>
            <w:szCs w:val="22"/>
          </w:rPr>
          <w:t>www.mass.gov/orgs/department-of-public-health</w:t>
        </w:r>
      </w:hyperlink>
      <w:r w:rsidR="00D74EF6" w:rsidRPr="000A6985">
        <w:rPr>
          <w:rFonts w:ascii="Georgia" w:hAnsi="Georgia" w:cs="Arial"/>
          <w:sz w:val="22"/>
          <w:szCs w:val="22"/>
        </w:rPr>
        <w:t xml:space="preserve">.  </w:t>
      </w:r>
    </w:p>
    <w:p w14:paraId="65A3E7C5" w14:textId="3E6FF30A" w:rsidR="002C731E" w:rsidRPr="002C731E" w:rsidRDefault="002C731E" w:rsidP="002C731E">
      <w:pPr>
        <w:ind w:left="576" w:right="576"/>
        <w:rPr>
          <w:rFonts w:ascii="Georgia" w:hAnsi="Georgia" w:cs="Arial"/>
          <w:sz w:val="22"/>
          <w:szCs w:val="22"/>
        </w:rPr>
      </w:pPr>
    </w:p>
    <w:p w14:paraId="6FFAF9BB" w14:textId="4D5FCEF5"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MassHealth will reimburse LSCs for vaccines that are not supplied by DPH and that are identified in the section of this bulletin that lists MassHealth LSC service codes. According to DPH regulations at 105 CMR 140.100</w:t>
      </w:r>
      <w:r w:rsidR="00512B5D">
        <w:rPr>
          <w:rFonts w:ascii="Georgia" w:hAnsi="Georgia" w:cs="Arial"/>
          <w:sz w:val="22"/>
          <w:szCs w:val="22"/>
        </w:rPr>
        <w:t>1(E)(3)</w:t>
      </w:r>
      <w:r w:rsidRPr="002C731E">
        <w:rPr>
          <w:rFonts w:ascii="Georgia" w:hAnsi="Georgia" w:cs="Arial"/>
          <w:sz w:val="22"/>
          <w:szCs w:val="22"/>
        </w:rPr>
        <w:t xml:space="preserve">, no LSC may provide childhood immunizations (excluding influenza vaccine) unless such clinic is a satellite of or otherwise affiliated with </w:t>
      </w:r>
      <w:r w:rsidR="0044729D" w:rsidRPr="0044729D">
        <w:rPr>
          <w:rFonts w:ascii="Georgia" w:hAnsi="Georgia" w:cs="Arial"/>
          <w:sz w:val="22"/>
          <w:szCs w:val="22"/>
        </w:rPr>
        <w:t xml:space="preserve">a health care facility licensed pursuant to M.G.L. c. 111, § 51, an </w:t>
      </w:r>
      <w:r w:rsidR="0044729D">
        <w:rPr>
          <w:rFonts w:ascii="Georgia" w:hAnsi="Georgia" w:cs="Arial"/>
          <w:sz w:val="22"/>
          <w:szCs w:val="22"/>
        </w:rPr>
        <w:t>A</w:t>
      </w:r>
      <w:r w:rsidR="0044729D" w:rsidRPr="0044729D">
        <w:rPr>
          <w:rFonts w:ascii="Georgia" w:hAnsi="Georgia" w:cs="Arial"/>
          <w:sz w:val="22"/>
          <w:szCs w:val="22"/>
        </w:rPr>
        <w:t xml:space="preserve">ccountable </w:t>
      </w:r>
      <w:r w:rsidR="0044729D">
        <w:rPr>
          <w:rFonts w:ascii="Georgia" w:hAnsi="Georgia" w:cs="Arial"/>
          <w:sz w:val="22"/>
          <w:szCs w:val="22"/>
        </w:rPr>
        <w:t>C</w:t>
      </w:r>
      <w:r w:rsidR="0044729D" w:rsidRPr="0044729D">
        <w:rPr>
          <w:rFonts w:ascii="Georgia" w:hAnsi="Georgia" w:cs="Arial"/>
          <w:sz w:val="22"/>
          <w:szCs w:val="22"/>
        </w:rPr>
        <w:t xml:space="preserve">are </w:t>
      </w:r>
      <w:r w:rsidR="0044729D">
        <w:rPr>
          <w:rFonts w:ascii="Georgia" w:hAnsi="Georgia" w:cs="Arial"/>
          <w:sz w:val="22"/>
          <w:szCs w:val="22"/>
        </w:rPr>
        <w:t>O</w:t>
      </w:r>
      <w:r w:rsidR="0044729D" w:rsidRPr="0044729D">
        <w:rPr>
          <w:rFonts w:ascii="Georgia" w:hAnsi="Georgia" w:cs="Arial"/>
          <w:sz w:val="22"/>
          <w:szCs w:val="22"/>
        </w:rPr>
        <w:t>rganization or provider organization subject to M.G.L. c. 6D, or other licensed practitioners</w:t>
      </w:r>
      <w:r w:rsidR="0044729D">
        <w:rPr>
          <w:rFonts w:ascii="Georgia" w:hAnsi="Georgia" w:cs="Arial"/>
          <w:sz w:val="22"/>
          <w:szCs w:val="22"/>
        </w:rPr>
        <w:t>.</w:t>
      </w:r>
    </w:p>
    <w:p w14:paraId="0A4B6230" w14:textId="77777777" w:rsidR="002C731E" w:rsidRPr="003F5A51" w:rsidRDefault="002C731E" w:rsidP="002C731E">
      <w:pPr>
        <w:ind w:left="576" w:right="576"/>
        <w:rPr>
          <w:rFonts w:ascii="Georgia" w:hAnsi="Georgia" w:cs="Arial"/>
          <w:b/>
          <w:sz w:val="22"/>
          <w:szCs w:val="22"/>
        </w:rPr>
      </w:pPr>
    </w:p>
    <w:p w14:paraId="09028A9B" w14:textId="77777777" w:rsidR="002C731E" w:rsidRPr="003F5A51" w:rsidRDefault="002C731E" w:rsidP="002C731E">
      <w:pPr>
        <w:ind w:left="576" w:right="576"/>
        <w:rPr>
          <w:rFonts w:ascii="Georgia" w:hAnsi="Georgia" w:cs="Arial"/>
          <w:b/>
          <w:sz w:val="22"/>
          <w:szCs w:val="22"/>
        </w:rPr>
      </w:pPr>
      <w:r w:rsidRPr="003F5A51">
        <w:rPr>
          <w:rFonts w:ascii="Georgia" w:hAnsi="Georgia" w:cs="Arial"/>
          <w:b/>
          <w:sz w:val="22"/>
          <w:szCs w:val="22"/>
        </w:rPr>
        <w:t>LSC Service Codes</w:t>
      </w:r>
    </w:p>
    <w:p w14:paraId="418C1481" w14:textId="77777777"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ab/>
      </w:r>
      <w:r w:rsidRPr="002C731E">
        <w:rPr>
          <w:rFonts w:ascii="Georgia" w:hAnsi="Georgia" w:cs="Arial"/>
          <w:sz w:val="22"/>
          <w:szCs w:val="22"/>
        </w:rPr>
        <w:tab/>
      </w:r>
    </w:p>
    <w:p w14:paraId="35FB7B8B" w14:textId="77777777"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The following service codes are the only payable codes for MassHealth LSC providers.</w:t>
      </w:r>
    </w:p>
    <w:p w14:paraId="0BBF65CE" w14:textId="77777777" w:rsidR="002C731E" w:rsidRPr="002C731E" w:rsidRDefault="002C731E" w:rsidP="002C731E">
      <w:pPr>
        <w:ind w:left="576" w:right="576"/>
        <w:rPr>
          <w:rFonts w:ascii="Georgia" w:hAnsi="Georgia" w:cs="Arial"/>
          <w:sz w:val="22"/>
          <w:szCs w:val="22"/>
        </w:rPr>
      </w:pPr>
    </w:p>
    <w:tbl>
      <w:tblPr>
        <w:tblStyle w:val="TableGrid"/>
        <w:tblW w:w="0" w:type="auto"/>
        <w:tblInd w:w="576" w:type="dxa"/>
        <w:tblLook w:val="04A0" w:firstRow="1" w:lastRow="0" w:firstColumn="1" w:lastColumn="0" w:noHBand="0" w:noVBand="1"/>
      </w:tblPr>
      <w:tblGrid>
        <w:gridCol w:w="972"/>
        <w:gridCol w:w="8748"/>
      </w:tblGrid>
      <w:tr w:rsidR="00533093" w14:paraId="08DC2C9C" w14:textId="77777777" w:rsidTr="00E05F02">
        <w:tc>
          <w:tcPr>
            <w:tcW w:w="972" w:type="dxa"/>
          </w:tcPr>
          <w:p w14:paraId="48B14F4D" w14:textId="77777777" w:rsidR="00533093" w:rsidRPr="00283142" w:rsidRDefault="00533093" w:rsidP="005A29FB">
            <w:pPr>
              <w:rPr>
                <w:b/>
                <w:sz w:val="22"/>
                <w:szCs w:val="22"/>
              </w:rPr>
            </w:pPr>
            <w:r w:rsidRPr="00283142">
              <w:rPr>
                <w:b/>
                <w:sz w:val="22"/>
                <w:szCs w:val="22"/>
              </w:rPr>
              <w:t>Service</w:t>
            </w:r>
          </w:p>
          <w:p w14:paraId="553C110B" w14:textId="77777777" w:rsidR="00533093" w:rsidRPr="00283142" w:rsidRDefault="00533093" w:rsidP="005A29FB">
            <w:pPr>
              <w:rPr>
                <w:b/>
                <w:sz w:val="22"/>
                <w:szCs w:val="22"/>
              </w:rPr>
            </w:pPr>
            <w:r w:rsidRPr="00283142">
              <w:rPr>
                <w:b/>
                <w:sz w:val="22"/>
                <w:szCs w:val="22"/>
              </w:rPr>
              <w:t>Code</w:t>
            </w:r>
          </w:p>
        </w:tc>
        <w:tc>
          <w:tcPr>
            <w:tcW w:w="8748" w:type="dxa"/>
            <w:vAlign w:val="center"/>
          </w:tcPr>
          <w:p w14:paraId="7C66A530" w14:textId="77777777" w:rsidR="00533093" w:rsidRPr="00283142" w:rsidRDefault="00533093" w:rsidP="00E05F02">
            <w:pPr>
              <w:jc w:val="center"/>
              <w:rPr>
                <w:b/>
                <w:sz w:val="22"/>
                <w:szCs w:val="22"/>
              </w:rPr>
            </w:pPr>
            <w:r w:rsidRPr="00283142">
              <w:rPr>
                <w:b/>
                <w:sz w:val="22"/>
                <w:szCs w:val="22"/>
              </w:rPr>
              <w:t>Service Description</w:t>
            </w:r>
          </w:p>
        </w:tc>
      </w:tr>
      <w:tr w:rsidR="003F5A51" w14:paraId="715BB3C5" w14:textId="77777777" w:rsidTr="00533093">
        <w:tc>
          <w:tcPr>
            <w:tcW w:w="972" w:type="dxa"/>
          </w:tcPr>
          <w:p w14:paraId="01A80E0E" w14:textId="77777777" w:rsidR="003F5A51" w:rsidRPr="00283142" w:rsidRDefault="003F5A51" w:rsidP="0052570C">
            <w:pPr>
              <w:rPr>
                <w:sz w:val="22"/>
                <w:szCs w:val="22"/>
              </w:rPr>
            </w:pPr>
            <w:r w:rsidRPr="00283142">
              <w:rPr>
                <w:sz w:val="22"/>
                <w:szCs w:val="22"/>
              </w:rPr>
              <w:t>69210</w:t>
            </w:r>
          </w:p>
        </w:tc>
        <w:tc>
          <w:tcPr>
            <w:tcW w:w="8748" w:type="dxa"/>
          </w:tcPr>
          <w:p w14:paraId="272FD719" w14:textId="77777777" w:rsidR="003F5A51" w:rsidRPr="00283142" w:rsidRDefault="003F5A51" w:rsidP="0052570C">
            <w:pPr>
              <w:rPr>
                <w:sz w:val="22"/>
                <w:szCs w:val="22"/>
              </w:rPr>
            </w:pPr>
            <w:r w:rsidRPr="00283142">
              <w:rPr>
                <w:sz w:val="22"/>
                <w:szCs w:val="22"/>
              </w:rPr>
              <w:t>Removal impacted cerumen (separate procedure), one or both ears</w:t>
            </w:r>
          </w:p>
        </w:tc>
      </w:tr>
      <w:tr w:rsidR="003F5A51" w14:paraId="25AD6CF5" w14:textId="77777777" w:rsidTr="00533093">
        <w:tc>
          <w:tcPr>
            <w:tcW w:w="972" w:type="dxa"/>
          </w:tcPr>
          <w:p w14:paraId="660C822A" w14:textId="77777777" w:rsidR="003F5A51" w:rsidRPr="00283142" w:rsidRDefault="003F5A51" w:rsidP="0052570C">
            <w:pPr>
              <w:rPr>
                <w:sz w:val="22"/>
                <w:szCs w:val="22"/>
              </w:rPr>
            </w:pPr>
            <w:r w:rsidRPr="00283142">
              <w:rPr>
                <w:sz w:val="22"/>
                <w:szCs w:val="22"/>
              </w:rPr>
              <w:t xml:space="preserve">86308 </w:t>
            </w:r>
          </w:p>
        </w:tc>
        <w:tc>
          <w:tcPr>
            <w:tcW w:w="8748" w:type="dxa"/>
          </w:tcPr>
          <w:p w14:paraId="08EA7594" w14:textId="77777777" w:rsidR="003F5A51" w:rsidRPr="00283142" w:rsidRDefault="003F5A51" w:rsidP="0052570C">
            <w:pPr>
              <w:rPr>
                <w:sz w:val="22"/>
                <w:szCs w:val="22"/>
              </w:rPr>
            </w:pPr>
            <w:r w:rsidRPr="00283142">
              <w:rPr>
                <w:sz w:val="22"/>
                <w:szCs w:val="22"/>
              </w:rPr>
              <w:t xml:space="preserve">Heterophile antibodies; screening                     </w:t>
            </w:r>
          </w:p>
        </w:tc>
      </w:tr>
      <w:tr w:rsidR="003F5A51" w14:paraId="400B63CF" w14:textId="77777777" w:rsidTr="00533093">
        <w:tc>
          <w:tcPr>
            <w:tcW w:w="972" w:type="dxa"/>
          </w:tcPr>
          <w:p w14:paraId="0939C3B5" w14:textId="77777777" w:rsidR="003F5A51" w:rsidRPr="00283142" w:rsidRDefault="003F5A51" w:rsidP="0052570C">
            <w:pPr>
              <w:rPr>
                <w:sz w:val="22"/>
                <w:szCs w:val="22"/>
              </w:rPr>
            </w:pPr>
            <w:r w:rsidRPr="00283142">
              <w:rPr>
                <w:sz w:val="22"/>
                <w:szCs w:val="22"/>
              </w:rPr>
              <w:t>87650</w:t>
            </w:r>
          </w:p>
        </w:tc>
        <w:tc>
          <w:tcPr>
            <w:tcW w:w="8748" w:type="dxa"/>
          </w:tcPr>
          <w:p w14:paraId="08159BEC" w14:textId="77777777" w:rsidR="003F5A51" w:rsidRPr="00283142" w:rsidRDefault="003F5A51" w:rsidP="0052570C">
            <w:pPr>
              <w:rPr>
                <w:sz w:val="22"/>
                <w:szCs w:val="22"/>
              </w:rPr>
            </w:pPr>
            <w:r w:rsidRPr="00283142">
              <w:rPr>
                <w:sz w:val="22"/>
                <w:szCs w:val="22"/>
              </w:rPr>
              <w:t>Infectious agent detection by nucleic acid (DNA or RNA); Streptococcus, group A, direct probe technique</w:t>
            </w:r>
          </w:p>
        </w:tc>
      </w:tr>
      <w:tr w:rsidR="003F5A51" w14:paraId="6C615663" w14:textId="77777777" w:rsidTr="00533093">
        <w:tc>
          <w:tcPr>
            <w:tcW w:w="972" w:type="dxa"/>
          </w:tcPr>
          <w:p w14:paraId="1000C316" w14:textId="77777777" w:rsidR="003F5A51" w:rsidRPr="00283142" w:rsidRDefault="003F5A51" w:rsidP="0052570C">
            <w:pPr>
              <w:rPr>
                <w:sz w:val="22"/>
                <w:szCs w:val="22"/>
              </w:rPr>
            </w:pPr>
            <w:r w:rsidRPr="00283142">
              <w:rPr>
                <w:sz w:val="22"/>
                <w:szCs w:val="22"/>
              </w:rPr>
              <w:t xml:space="preserve">87804 </w:t>
            </w:r>
          </w:p>
        </w:tc>
        <w:tc>
          <w:tcPr>
            <w:tcW w:w="8748" w:type="dxa"/>
          </w:tcPr>
          <w:p w14:paraId="0848D007" w14:textId="77777777" w:rsidR="003F5A51" w:rsidRPr="00283142" w:rsidRDefault="003F5A51" w:rsidP="0052570C">
            <w:pPr>
              <w:rPr>
                <w:sz w:val="22"/>
                <w:szCs w:val="22"/>
              </w:rPr>
            </w:pPr>
            <w:r w:rsidRPr="00283142">
              <w:rPr>
                <w:sz w:val="22"/>
                <w:szCs w:val="22"/>
              </w:rPr>
              <w:t>Infectious agent antigen detection by immunoassay with direct optical observation; Influenza</w:t>
            </w:r>
          </w:p>
        </w:tc>
      </w:tr>
      <w:tr w:rsidR="003F5A51" w14:paraId="431034E1" w14:textId="77777777" w:rsidTr="00533093">
        <w:tc>
          <w:tcPr>
            <w:tcW w:w="972" w:type="dxa"/>
          </w:tcPr>
          <w:p w14:paraId="6D3BF67E" w14:textId="77777777" w:rsidR="003F5A51" w:rsidRPr="00283142" w:rsidRDefault="003F5A51" w:rsidP="0052570C">
            <w:pPr>
              <w:rPr>
                <w:sz w:val="22"/>
                <w:szCs w:val="22"/>
              </w:rPr>
            </w:pPr>
            <w:r w:rsidRPr="00283142">
              <w:rPr>
                <w:sz w:val="22"/>
                <w:szCs w:val="22"/>
              </w:rPr>
              <w:t xml:space="preserve">87880    </w:t>
            </w:r>
          </w:p>
        </w:tc>
        <w:tc>
          <w:tcPr>
            <w:tcW w:w="8748" w:type="dxa"/>
          </w:tcPr>
          <w:p w14:paraId="306C3A95" w14:textId="77777777" w:rsidR="003F5A51" w:rsidRPr="00283142" w:rsidRDefault="003F5A51" w:rsidP="0052570C">
            <w:pPr>
              <w:rPr>
                <w:sz w:val="22"/>
                <w:szCs w:val="22"/>
              </w:rPr>
            </w:pPr>
            <w:r w:rsidRPr="00283142">
              <w:rPr>
                <w:sz w:val="22"/>
                <w:szCs w:val="22"/>
              </w:rPr>
              <w:t>Infectious agent detection by immunoassay with direct optical observation;  Streptococcus, group A</w:t>
            </w:r>
          </w:p>
        </w:tc>
      </w:tr>
      <w:tr w:rsidR="003F5A51" w14:paraId="48C1DD6F" w14:textId="77777777" w:rsidTr="00533093">
        <w:tc>
          <w:tcPr>
            <w:tcW w:w="972" w:type="dxa"/>
          </w:tcPr>
          <w:p w14:paraId="5FC971E7" w14:textId="77777777" w:rsidR="003F5A51" w:rsidRPr="00283142" w:rsidRDefault="003F5A51" w:rsidP="0052570C">
            <w:pPr>
              <w:rPr>
                <w:sz w:val="22"/>
                <w:szCs w:val="22"/>
              </w:rPr>
            </w:pPr>
            <w:r w:rsidRPr="00283142">
              <w:rPr>
                <w:sz w:val="22"/>
                <w:szCs w:val="22"/>
              </w:rPr>
              <w:t xml:space="preserve">90471     </w:t>
            </w:r>
          </w:p>
        </w:tc>
        <w:tc>
          <w:tcPr>
            <w:tcW w:w="8748" w:type="dxa"/>
          </w:tcPr>
          <w:p w14:paraId="4E23A6C6" w14:textId="77777777" w:rsidR="003F5A51" w:rsidRPr="00283142" w:rsidRDefault="003F5A51" w:rsidP="0052570C">
            <w:pPr>
              <w:rPr>
                <w:sz w:val="22"/>
                <w:szCs w:val="22"/>
              </w:rPr>
            </w:pPr>
            <w:r w:rsidRPr="00283142">
              <w:rPr>
                <w:sz w:val="22"/>
                <w:szCs w:val="22"/>
              </w:rPr>
              <w:t>Immunization administration (includes percutaneous, intradermal, subcutaneous, or intramuscular injections); one vaccine (single or combination vaccine/toxoid)</w:t>
            </w:r>
          </w:p>
        </w:tc>
      </w:tr>
      <w:tr w:rsidR="003F5A51" w14:paraId="203BB09B" w14:textId="77777777" w:rsidTr="00533093">
        <w:tc>
          <w:tcPr>
            <w:tcW w:w="972" w:type="dxa"/>
          </w:tcPr>
          <w:p w14:paraId="5058CD8E" w14:textId="77777777" w:rsidR="003F5A51" w:rsidRPr="00283142" w:rsidRDefault="003F5A51" w:rsidP="0052570C">
            <w:pPr>
              <w:rPr>
                <w:sz w:val="22"/>
                <w:szCs w:val="22"/>
              </w:rPr>
            </w:pPr>
            <w:r w:rsidRPr="00283142">
              <w:rPr>
                <w:sz w:val="22"/>
                <w:szCs w:val="22"/>
              </w:rPr>
              <w:t>90472</w:t>
            </w:r>
          </w:p>
        </w:tc>
        <w:tc>
          <w:tcPr>
            <w:tcW w:w="8748" w:type="dxa"/>
          </w:tcPr>
          <w:p w14:paraId="79D29F71" w14:textId="77777777" w:rsidR="003F5A51" w:rsidRPr="00283142" w:rsidRDefault="003F5A51" w:rsidP="0052570C">
            <w:pPr>
              <w:rPr>
                <w:sz w:val="22"/>
                <w:szCs w:val="22"/>
              </w:rPr>
            </w:pPr>
            <w:r w:rsidRPr="00283142">
              <w:rPr>
                <w:sz w:val="22"/>
                <w:szCs w:val="22"/>
              </w:rPr>
              <w:t>Immunization administration (includes percutaneous, intradermal, subcutaneous, or intramuscular injections); each additional vaccine (single or combination vaccine/toxoid) (List separately in addition to code for primary procedure)</w:t>
            </w:r>
          </w:p>
        </w:tc>
      </w:tr>
      <w:tr w:rsidR="003F5A51" w14:paraId="37E5044D" w14:textId="77777777" w:rsidTr="00533093">
        <w:tc>
          <w:tcPr>
            <w:tcW w:w="972" w:type="dxa"/>
          </w:tcPr>
          <w:p w14:paraId="2CF2FC35" w14:textId="77777777" w:rsidR="003F5A51" w:rsidRPr="00283142" w:rsidRDefault="003F5A51" w:rsidP="0052570C">
            <w:pPr>
              <w:rPr>
                <w:sz w:val="22"/>
                <w:szCs w:val="22"/>
              </w:rPr>
            </w:pPr>
            <w:r w:rsidRPr="00283142">
              <w:rPr>
                <w:sz w:val="22"/>
                <w:szCs w:val="22"/>
              </w:rPr>
              <w:t>90620</w:t>
            </w:r>
          </w:p>
        </w:tc>
        <w:tc>
          <w:tcPr>
            <w:tcW w:w="8748" w:type="dxa"/>
          </w:tcPr>
          <w:p w14:paraId="00C24530" w14:textId="77777777" w:rsidR="003F5A51" w:rsidRPr="00283142" w:rsidRDefault="003F5A51" w:rsidP="0052570C">
            <w:pPr>
              <w:rPr>
                <w:sz w:val="22"/>
                <w:szCs w:val="22"/>
              </w:rPr>
            </w:pPr>
            <w:r w:rsidRPr="00283142">
              <w:rPr>
                <w:sz w:val="22"/>
                <w:szCs w:val="22"/>
              </w:rPr>
              <w:t>Meningococcal recombinant protein and outer membrane vesicle vaccine, serogroup B (MenB-4C), 2 dose schedule, for intramuscular use</w:t>
            </w:r>
          </w:p>
        </w:tc>
      </w:tr>
      <w:tr w:rsidR="003F5A51" w14:paraId="7096CC50" w14:textId="77777777" w:rsidTr="00533093">
        <w:tc>
          <w:tcPr>
            <w:tcW w:w="972" w:type="dxa"/>
          </w:tcPr>
          <w:p w14:paraId="67E2CAD9" w14:textId="77777777" w:rsidR="003F5A51" w:rsidRPr="00283142" w:rsidRDefault="003F5A51" w:rsidP="0052570C">
            <w:pPr>
              <w:rPr>
                <w:sz w:val="22"/>
                <w:szCs w:val="22"/>
              </w:rPr>
            </w:pPr>
            <w:r w:rsidRPr="00283142">
              <w:rPr>
                <w:sz w:val="22"/>
                <w:szCs w:val="22"/>
              </w:rPr>
              <w:t xml:space="preserve">90621 </w:t>
            </w:r>
          </w:p>
        </w:tc>
        <w:tc>
          <w:tcPr>
            <w:tcW w:w="8748" w:type="dxa"/>
          </w:tcPr>
          <w:p w14:paraId="028CDA13" w14:textId="67CBAD22" w:rsidR="003F5A51" w:rsidRPr="00283142" w:rsidRDefault="003F5A51" w:rsidP="00D25C6D">
            <w:pPr>
              <w:rPr>
                <w:sz w:val="22"/>
                <w:szCs w:val="22"/>
              </w:rPr>
            </w:pPr>
            <w:r w:rsidRPr="00283142">
              <w:rPr>
                <w:sz w:val="22"/>
                <w:szCs w:val="22"/>
              </w:rPr>
              <w:t>Meningococcal recombinant lipoprotein vaccine, serogroup B (MenB-FHbp), 2 or 3 dose schedule, for intramuscular use</w:t>
            </w:r>
          </w:p>
        </w:tc>
      </w:tr>
      <w:tr w:rsidR="003F5A51" w14:paraId="2CB55961" w14:textId="77777777" w:rsidTr="00533093">
        <w:tc>
          <w:tcPr>
            <w:tcW w:w="972" w:type="dxa"/>
          </w:tcPr>
          <w:p w14:paraId="642908DB" w14:textId="77777777" w:rsidR="003F5A51" w:rsidRPr="00283142" w:rsidRDefault="003F5A51" w:rsidP="0052570C">
            <w:pPr>
              <w:rPr>
                <w:sz w:val="22"/>
                <w:szCs w:val="22"/>
              </w:rPr>
            </w:pPr>
            <w:r w:rsidRPr="00283142">
              <w:rPr>
                <w:sz w:val="22"/>
                <w:szCs w:val="22"/>
              </w:rPr>
              <w:t xml:space="preserve">90632     </w:t>
            </w:r>
          </w:p>
        </w:tc>
        <w:tc>
          <w:tcPr>
            <w:tcW w:w="8748" w:type="dxa"/>
          </w:tcPr>
          <w:p w14:paraId="1545AAC7" w14:textId="77777777" w:rsidR="003F5A51" w:rsidRPr="00283142" w:rsidRDefault="003F5A51" w:rsidP="0052570C">
            <w:pPr>
              <w:rPr>
                <w:sz w:val="22"/>
                <w:szCs w:val="22"/>
              </w:rPr>
            </w:pPr>
            <w:r w:rsidRPr="00283142">
              <w:rPr>
                <w:sz w:val="22"/>
                <w:szCs w:val="22"/>
              </w:rPr>
              <w:t>Hepatitis A vaccine, adult dosage, for intramuscular use (covered for adults 19 years or older; available free of charge through the Massachusetts Immunization Program for children aged two through 18 years)</w:t>
            </w:r>
          </w:p>
        </w:tc>
      </w:tr>
      <w:tr w:rsidR="003F5A51" w14:paraId="40362A19" w14:textId="77777777" w:rsidTr="00533093">
        <w:tc>
          <w:tcPr>
            <w:tcW w:w="972" w:type="dxa"/>
          </w:tcPr>
          <w:p w14:paraId="4432A3D9" w14:textId="77777777" w:rsidR="003F5A51" w:rsidRPr="00283142" w:rsidRDefault="003F5A51" w:rsidP="0052570C">
            <w:pPr>
              <w:rPr>
                <w:sz w:val="22"/>
                <w:szCs w:val="22"/>
              </w:rPr>
            </w:pPr>
            <w:r w:rsidRPr="00283142">
              <w:rPr>
                <w:sz w:val="22"/>
                <w:szCs w:val="22"/>
              </w:rPr>
              <w:t>90633</w:t>
            </w:r>
          </w:p>
        </w:tc>
        <w:tc>
          <w:tcPr>
            <w:tcW w:w="8748" w:type="dxa"/>
          </w:tcPr>
          <w:p w14:paraId="65C48BDA" w14:textId="77777777" w:rsidR="003F5A51" w:rsidRPr="00283142" w:rsidRDefault="003F5A51" w:rsidP="0052570C">
            <w:pPr>
              <w:rPr>
                <w:sz w:val="22"/>
                <w:szCs w:val="22"/>
              </w:rPr>
            </w:pPr>
            <w:r w:rsidRPr="00283142">
              <w:rPr>
                <w:sz w:val="22"/>
                <w:szCs w:val="22"/>
              </w:rPr>
              <w:t>Hepatitis A vaccine (HepA), pediatric/adolescent dosage-2 dose schedule, for intramuscular use</w:t>
            </w:r>
          </w:p>
        </w:tc>
      </w:tr>
      <w:tr w:rsidR="003F5A51" w14:paraId="153C7EDC" w14:textId="77777777" w:rsidTr="00533093">
        <w:tc>
          <w:tcPr>
            <w:tcW w:w="972" w:type="dxa"/>
          </w:tcPr>
          <w:p w14:paraId="78F9DD3E" w14:textId="77777777" w:rsidR="003F5A51" w:rsidRPr="00283142" w:rsidRDefault="003F5A51" w:rsidP="0052570C">
            <w:pPr>
              <w:rPr>
                <w:sz w:val="22"/>
                <w:szCs w:val="22"/>
              </w:rPr>
            </w:pPr>
            <w:r w:rsidRPr="00283142">
              <w:rPr>
                <w:sz w:val="22"/>
                <w:szCs w:val="22"/>
              </w:rPr>
              <w:t>90634</w:t>
            </w:r>
          </w:p>
        </w:tc>
        <w:tc>
          <w:tcPr>
            <w:tcW w:w="8748" w:type="dxa"/>
          </w:tcPr>
          <w:p w14:paraId="24A97D66" w14:textId="77777777" w:rsidR="003F5A51" w:rsidRPr="00283142" w:rsidRDefault="003F5A51" w:rsidP="0052570C">
            <w:pPr>
              <w:rPr>
                <w:sz w:val="22"/>
                <w:szCs w:val="22"/>
              </w:rPr>
            </w:pPr>
            <w:r w:rsidRPr="00283142">
              <w:rPr>
                <w:sz w:val="22"/>
                <w:szCs w:val="22"/>
              </w:rPr>
              <w:t>Hepatitis A vaccine (HepA), pediatric/adolescent dosage-3 dose schedule, for intramuscular use</w:t>
            </w:r>
          </w:p>
        </w:tc>
      </w:tr>
      <w:tr w:rsidR="003F5A51" w14:paraId="59875BCA" w14:textId="77777777" w:rsidTr="00533093">
        <w:tc>
          <w:tcPr>
            <w:tcW w:w="972" w:type="dxa"/>
          </w:tcPr>
          <w:p w14:paraId="4CDB785E" w14:textId="77777777" w:rsidR="003F5A51" w:rsidRPr="00283142" w:rsidRDefault="003F5A51" w:rsidP="0052570C">
            <w:pPr>
              <w:rPr>
                <w:sz w:val="22"/>
                <w:szCs w:val="22"/>
              </w:rPr>
            </w:pPr>
            <w:r w:rsidRPr="00283142">
              <w:rPr>
                <w:sz w:val="22"/>
                <w:szCs w:val="22"/>
              </w:rPr>
              <w:t>90636</w:t>
            </w:r>
          </w:p>
        </w:tc>
        <w:tc>
          <w:tcPr>
            <w:tcW w:w="8748" w:type="dxa"/>
          </w:tcPr>
          <w:p w14:paraId="1AA57BB4" w14:textId="77777777" w:rsidR="003F5A51" w:rsidRPr="00283142" w:rsidRDefault="003F5A51" w:rsidP="0052570C">
            <w:pPr>
              <w:rPr>
                <w:sz w:val="22"/>
                <w:szCs w:val="22"/>
              </w:rPr>
            </w:pPr>
            <w:r w:rsidRPr="00283142">
              <w:rPr>
                <w:sz w:val="22"/>
                <w:szCs w:val="22"/>
              </w:rPr>
              <w:t>Hepatitis A and hepatitis B vaccine (HepA-HepB), adult dosage, for intramuscular use</w:t>
            </w:r>
          </w:p>
        </w:tc>
      </w:tr>
      <w:tr w:rsidR="003F5A51" w14:paraId="724526BB" w14:textId="77777777" w:rsidTr="00533093">
        <w:tc>
          <w:tcPr>
            <w:tcW w:w="972" w:type="dxa"/>
          </w:tcPr>
          <w:p w14:paraId="38D94573" w14:textId="77777777" w:rsidR="003F5A51" w:rsidRPr="00283142" w:rsidRDefault="003F5A51" w:rsidP="0052570C">
            <w:pPr>
              <w:rPr>
                <w:sz w:val="22"/>
                <w:szCs w:val="22"/>
              </w:rPr>
            </w:pPr>
            <w:r w:rsidRPr="00283142">
              <w:rPr>
                <w:sz w:val="22"/>
                <w:szCs w:val="22"/>
              </w:rPr>
              <w:t xml:space="preserve">90656    </w:t>
            </w:r>
          </w:p>
        </w:tc>
        <w:tc>
          <w:tcPr>
            <w:tcW w:w="8748" w:type="dxa"/>
          </w:tcPr>
          <w:p w14:paraId="024A2A4B" w14:textId="77777777" w:rsidR="003F5A51" w:rsidRPr="00283142" w:rsidRDefault="003F5A51" w:rsidP="0052570C">
            <w:pPr>
              <w:rPr>
                <w:sz w:val="22"/>
                <w:szCs w:val="22"/>
              </w:rPr>
            </w:pPr>
            <w:r w:rsidRPr="00283142">
              <w:rPr>
                <w:sz w:val="22"/>
                <w:szCs w:val="22"/>
              </w:rPr>
              <w:t>Influenza virus vaccine, split virus, preservative free, when administered to individuals three years and older, for intramuscular use</w:t>
            </w:r>
          </w:p>
        </w:tc>
      </w:tr>
      <w:tr w:rsidR="003F5A51" w14:paraId="0F65F8F1" w14:textId="77777777" w:rsidTr="00533093">
        <w:tc>
          <w:tcPr>
            <w:tcW w:w="972" w:type="dxa"/>
          </w:tcPr>
          <w:p w14:paraId="61EBC992" w14:textId="77777777" w:rsidR="003F5A51" w:rsidRPr="00283142" w:rsidRDefault="003F5A51" w:rsidP="0052570C">
            <w:pPr>
              <w:rPr>
                <w:sz w:val="22"/>
                <w:szCs w:val="22"/>
              </w:rPr>
            </w:pPr>
            <w:r w:rsidRPr="00283142">
              <w:rPr>
                <w:sz w:val="22"/>
                <w:szCs w:val="22"/>
              </w:rPr>
              <w:t xml:space="preserve">90662  </w:t>
            </w:r>
          </w:p>
        </w:tc>
        <w:tc>
          <w:tcPr>
            <w:tcW w:w="8748" w:type="dxa"/>
          </w:tcPr>
          <w:p w14:paraId="2DA0DDB3" w14:textId="77777777" w:rsidR="003F5A51" w:rsidRPr="00283142" w:rsidRDefault="003F5A51" w:rsidP="0052570C">
            <w:pPr>
              <w:rPr>
                <w:sz w:val="22"/>
                <w:szCs w:val="22"/>
              </w:rPr>
            </w:pPr>
            <w:r w:rsidRPr="00283142">
              <w:rPr>
                <w:sz w:val="22"/>
                <w:szCs w:val="22"/>
              </w:rPr>
              <w:t xml:space="preserve">Influenza virus vaccine, derived from cell cultures, subunit, preservative and antibiotic free, for intramuscular use. (I.C.)   </w:t>
            </w:r>
          </w:p>
        </w:tc>
      </w:tr>
      <w:tr w:rsidR="003F5A51" w14:paraId="6073513F" w14:textId="77777777" w:rsidTr="00533093">
        <w:tc>
          <w:tcPr>
            <w:tcW w:w="972" w:type="dxa"/>
          </w:tcPr>
          <w:p w14:paraId="560BF204" w14:textId="77777777" w:rsidR="003F5A51" w:rsidRPr="00283142" w:rsidRDefault="003F5A51" w:rsidP="0052570C">
            <w:pPr>
              <w:rPr>
                <w:sz w:val="22"/>
                <w:szCs w:val="22"/>
              </w:rPr>
            </w:pPr>
            <w:r w:rsidRPr="00283142">
              <w:rPr>
                <w:sz w:val="22"/>
                <w:szCs w:val="22"/>
              </w:rPr>
              <w:t>90658</w:t>
            </w:r>
          </w:p>
        </w:tc>
        <w:tc>
          <w:tcPr>
            <w:tcW w:w="8748" w:type="dxa"/>
          </w:tcPr>
          <w:p w14:paraId="235073B3" w14:textId="77777777" w:rsidR="003F5A51" w:rsidRPr="00283142" w:rsidRDefault="003F5A51" w:rsidP="0052570C">
            <w:pPr>
              <w:rPr>
                <w:sz w:val="22"/>
                <w:szCs w:val="22"/>
              </w:rPr>
            </w:pPr>
            <w:r w:rsidRPr="00283142">
              <w:rPr>
                <w:sz w:val="22"/>
                <w:szCs w:val="22"/>
              </w:rPr>
              <w:t>Influenza virus vaccine, split virus, when administered to individuals three years of age and older, for intramuscular use</w:t>
            </w:r>
          </w:p>
        </w:tc>
      </w:tr>
      <w:tr w:rsidR="003F5A51" w14:paraId="5F353142" w14:textId="77777777" w:rsidTr="00533093">
        <w:tc>
          <w:tcPr>
            <w:tcW w:w="972" w:type="dxa"/>
          </w:tcPr>
          <w:p w14:paraId="4300D912" w14:textId="77777777" w:rsidR="003F5A51" w:rsidRPr="00283142" w:rsidRDefault="003F5A51" w:rsidP="0052570C">
            <w:pPr>
              <w:rPr>
                <w:sz w:val="22"/>
                <w:szCs w:val="22"/>
              </w:rPr>
            </w:pPr>
            <w:r w:rsidRPr="00283142">
              <w:rPr>
                <w:sz w:val="22"/>
                <w:szCs w:val="22"/>
              </w:rPr>
              <w:t>90686</w:t>
            </w:r>
          </w:p>
        </w:tc>
        <w:tc>
          <w:tcPr>
            <w:tcW w:w="8748" w:type="dxa"/>
          </w:tcPr>
          <w:p w14:paraId="129452B2" w14:textId="77777777" w:rsidR="003F5A51" w:rsidRPr="00283142" w:rsidRDefault="003F5A51" w:rsidP="0052570C">
            <w:pPr>
              <w:rPr>
                <w:sz w:val="22"/>
                <w:szCs w:val="22"/>
              </w:rPr>
            </w:pPr>
            <w:r w:rsidRPr="00283142">
              <w:rPr>
                <w:sz w:val="22"/>
                <w:szCs w:val="22"/>
              </w:rPr>
              <w:t xml:space="preserve">Influenza virus vaccine, quadrivalent, split </w:t>
            </w:r>
            <w:r w:rsidR="007F27C4" w:rsidRPr="00283142">
              <w:rPr>
                <w:sz w:val="22"/>
                <w:szCs w:val="22"/>
              </w:rPr>
              <w:t xml:space="preserve">virus, preservative free, when </w:t>
            </w:r>
            <w:r w:rsidRPr="00283142">
              <w:rPr>
                <w:sz w:val="22"/>
                <w:szCs w:val="22"/>
              </w:rPr>
              <w:t xml:space="preserve">administered to children 6-35 months of age, for intramuscular use. (I.C.)   </w:t>
            </w:r>
          </w:p>
        </w:tc>
      </w:tr>
    </w:tbl>
    <w:p w14:paraId="046E06D6" w14:textId="77777777" w:rsidR="00D56854" w:rsidRDefault="00D56854" w:rsidP="007F27C4">
      <w:pPr>
        <w:pStyle w:val="Heading1"/>
        <w:tabs>
          <w:tab w:val="clear" w:pos="6426"/>
          <w:tab w:val="left" w:pos="5760"/>
        </w:tabs>
        <w:ind w:left="5040"/>
        <w:rPr>
          <w:rFonts w:ascii="Georgia" w:hAnsi="Georgia" w:cs="Arial"/>
          <w:color w:val="1F497D"/>
          <w:sz w:val="24"/>
          <w:szCs w:val="24"/>
        </w:rPr>
      </w:pPr>
    </w:p>
    <w:p w14:paraId="6020F190" w14:textId="77777777" w:rsidR="007F27C4" w:rsidRPr="00B54F89" w:rsidRDefault="007F27C4" w:rsidP="007F27C4">
      <w:pPr>
        <w:pStyle w:val="Heading1"/>
        <w:tabs>
          <w:tab w:val="clear" w:pos="6426"/>
          <w:tab w:val="left" w:pos="5760"/>
        </w:tabs>
        <w:ind w:left="5040"/>
        <w:rPr>
          <w:rFonts w:ascii="Georgia" w:hAnsi="Georgia" w:cs="Arial"/>
          <w:color w:val="1F497D"/>
          <w:sz w:val="24"/>
          <w:szCs w:val="24"/>
        </w:rPr>
      </w:pPr>
      <w:r w:rsidRPr="00B54F89">
        <w:rPr>
          <w:rFonts w:ascii="Georgia" w:hAnsi="Georgia" w:cs="Arial"/>
          <w:color w:val="1F497D"/>
          <w:sz w:val="24"/>
          <w:szCs w:val="24"/>
        </w:rPr>
        <w:t>MassHealth</w:t>
      </w:r>
    </w:p>
    <w:p w14:paraId="6AE01E24" w14:textId="0FA36D7D" w:rsidR="00E53C51" w:rsidRPr="001433E7" w:rsidRDefault="00E53C51" w:rsidP="00E53C51">
      <w:pPr>
        <w:pStyle w:val="Heading1"/>
        <w:tabs>
          <w:tab w:val="clear" w:pos="6426"/>
          <w:tab w:val="left" w:pos="5760"/>
        </w:tabs>
        <w:ind w:left="5040"/>
        <w:rPr>
          <w:rFonts w:ascii="Georgia" w:hAnsi="Georgia" w:cs="Arial"/>
          <w:color w:val="1F497D"/>
          <w:szCs w:val="22"/>
        </w:rPr>
      </w:pPr>
      <w:r w:rsidRPr="00591F98">
        <w:rPr>
          <w:rFonts w:ascii="Georgia" w:hAnsi="Georgia" w:cs="Arial"/>
          <w:color w:val="1F497D"/>
          <w:sz w:val="24"/>
          <w:szCs w:val="24"/>
        </w:rPr>
        <w:t xml:space="preserve">Limited Services Clinic Bulletin </w:t>
      </w:r>
      <w:r w:rsidR="00D634BF">
        <w:rPr>
          <w:rFonts w:ascii="Georgia" w:hAnsi="Georgia" w:cs="Arial"/>
          <w:color w:val="1F497D"/>
          <w:sz w:val="24"/>
          <w:szCs w:val="24"/>
        </w:rPr>
        <w:t>5</w:t>
      </w:r>
    </w:p>
    <w:p w14:paraId="32F13C72" w14:textId="3D111BBF" w:rsidR="00E53C51" w:rsidRPr="001433E7" w:rsidRDefault="00245330" w:rsidP="00E53C51">
      <w:pPr>
        <w:pStyle w:val="Heading1"/>
        <w:tabs>
          <w:tab w:val="clear" w:pos="6426"/>
          <w:tab w:val="left" w:pos="5760"/>
        </w:tabs>
        <w:ind w:left="5040"/>
        <w:rPr>
          <w:rFonts w:ascii="Georgia" w:hAnsi="Georgia" w:cs="Arial"/>
          <w:color w:val="1F497D"/>
          <w:szCs w:val="22"/>
        </w:rPr>
      </w:pPr>
      <w:r>
        <w:rPr>
          <w:rFonts w:ascii="Georgia" w:hAnsi="Georgia" w:cs="Arial"/>
          <w:color w:val="1F497D"/>
          <w:sz w:val="24"/>
          <w:szCs w:val="24"/>
        </w:rPr>
        <w:t>March</w:t>
      </w:r>
      <w:r w:rsidR="00E53C51" w:rsidRPr="00591F98">
        <w:rPr>
          <w:rFonts w:ascii="Georgia" w:hAnsi="Georgia" w:cs="Arial"/>
          <w:color w:val="1F497D"/>
          <w:sz w:val="24"/>
          <w:szCs w:val="24"/>
        </w:rPr>
        <w:t xml:space="preserve"> 2018</w:t>
      </w:r>
    </w:p>
    <w:p w14:paraId="4221C9ED" w14:textId="29D251CB" w:rsidR="003F5A51" w:rsidRPr="00283142" w:rsidRDefault="00E53C51" w:rsidP="00283142">
      <w:pPr>
        <w:pStyle w:val="Heading1"/>
        <w:tabs>
          <w:tab w:val="clear" w:pos="6426"/>
          <w:tab w:val="left" w:pos="5760"/>
        </w:tabs>
        <w:ind w:left="5040"/>
        <w:rPr>
          <w:rFonts w:ascii="Georgia" w:hAnsi="Georgia" w:cs="Arial"/>
          <w:color w:val="1F497D"/>
          <w:sz w:val="24"/>
          <w:szCs w:val="24"/>
        </w:rPr>
      </w:pPr>
      <w:r w:rsidRPr="00B13DE1">
        <w:rPr>
          <w:rFonts w:ascii="Georgia" w:hAnsi="Georgia" w:cs="Arial"/>
          <w:color w:val="1F497D"/>
          <w:sz w:val="24"/>
          <w:szCs w:val="24"/>
        </w:rPr>
        <w:t>Page 3</w:t>
      </w:r>
    </w:p>
    <w:p w14:paraId="254C55C0" w14:textId="77777777" w:rsidR="003F5A51" w:rsidRPr="003F5A51" w:rsidRDefault="003F5A51" w:rsidP="003F5A51">
      <w:pPr>
        <w:ind w:left="576" w:right="576"/>
        <w:rPr>
          <w:rFonts w:ascii="Georgia" w:hAnsi="Georgia" w:cs="Arial"/>
          <w:b/>
          <w:i/>
          <w:sz w:val="22"/>
          <w:szCs w:val="22"/>
        </w:rPr>
      </w:pPr>
      <w:proofErr w:type="gramStart"/>
      <w:r w:rsidRPr="003F5A51">
        <w:rPr>
          <w:rFonts w:ascii="Georgia" w:hAnsi="Georgia" w:cs="Arial"/>
          <w:b/>
          <w:sz w:val="22"/>
          <w:szCs w:val="22"/>
        </w:rPr>
        <w:t>LSC Service Codes</w:t>
      </w:r>
      <w:r>
        <w:rPr>
          <w:rFonts w:ascii="Georgia" w:hAnsi="Georgia" w:cs="Arial"/>
          <w:b/>
          <w:sz w:val="22"/>
          <w:szCs w:val="22"/>
        </w:rPr>
        <w:t xml:space="preserve"> </w:t>
      </w:r>
      <w:r w:rsidRPr="003F5A51">
        <w:rPr>
          <w:rFonts w:ascii="Georgia" w:hAnsi="Georgia" w:cs="Arial"/>
          <w:b/>
          <w:i/>
          <w:sz w:val="22"/>
          <w:szCs w:val="22"/>
        </w:rPr>
        <w:t>(cont.)</w:t>
      </w:r>
      <w:proofErr w:type="gramEnd"/>
    </w:p>
    <w:p w14:paraId="7C82799E" w14:textId="77777777" w:rsidR="00533093" w:rsidRDefault="00533093"/>
    <w:tbl>
      <w:tblPr>
        <w:tblStyle w:val="TableGrid"/>
        <w:tblW w:w="0" w:type="auto"/>
        <w:tblInd w:w="576" w:type="dxa"/>
        <w:tblLook w:val="04A0" w:firstRow="1" w:lastRow="0" w:firstColumn="1" w:lastColumn="0" w:noHBand="0" w:noVBand="1"/>
      </w:tblPr>
      <w:tblGrid>
        <w:gridCol w:w="972"/>
        <w:gridCol w:w="8748"/>
      </w:tblGrid>
      <w:tr w:rsidR="00533093" w14:paraId="54D4378C" w14:textId="77777777" w:rsidTr="00E05F02">
        <w:trPr>
          <w:cantSplit/>
        </w:trPr>
        <w:tc>
          <w:tcPr>
            <w:tcW w:w="972" w:type="dxa"/>
          </w:tcPr>
          <w:p w14:paraId="34809E8E" w14:textId="77777777" w:rsidR="00533093" w:rsidRPr="00283142" w:rsidRDefault="00533093" w:rsidP="00F919D7">
            <w:pPr>
              <w:rPr>
                <w:b/>
                <w:sz w:val="21"/>
                <w:szCs w:val="22"/>
              </w:rPr>
            </w:pPr>
            <w:r w:rsidRPr="00283142">
              <w:rPr>
                <w:b/>
                <w:sz w:val="21"/>
                <w:szCs w:val="22"/>
              </w:rPr>
              <w:t>Service</w:t>
            </w:r>
          </w:p>
          <w:p w14:paraId="454F86AD" w14:textId="77777777" w:rsidR="00533093" w:rsidRPr="00283142" w:rsidRDefault="00533093" w:rsidP="00F919D7">
            <w:pPr>
              <w:rPr>
                <w:b/>
                <w:sz w:val="21"/>
                <w:szCs w:val="22"/>
              </w:rPr>
            </w:pPr>
            <w:r w:rsidRPr="00283142">
              <w:rPr>
                <w:b/>
                <w:sz w:val="21"/>
                <w:szCs w:val="22"/>
              </w:rPr>
              <w:t>Code</w:t>
            </w:r>
          </w:p>
        </w:tc>
        <w:tc>
          <w:tcPr>
            <w:tcW w:w="8748" w:type="dxa"/>
            <w:vAlign w:val="center"/>
          </w:tcPr>
          <w:p w14:paraId="16EE7391" w14:textId="77777777" w:rsidR="00533093" w:rsidRPr="00283142" w:rsidRDefault="00533093" w:rsidP="00E05F02">
            <w:pPr>
              <w:jc w:val="center"/>
              <w:rPr>
                <w:sz w:val="21"/>
                <w:szCs w:val="22"/>
              </w:rPr>
            </w:pPr>
            <w:r w:rsidRPr="00283142">
              <w:rPr>
                <w:b/>
                <w:sz w:val="21"/>
                <w:szCs w:val="22"/>
              </w:rPr>
              <w:t>Service Description</w:t>
            </w:r>
          </w:p>
        </w:tc>
      </w:tr>
      <w:tr w:rsidR="007F27C4" w14:paraId="5487C3ED" w14:textId="77777777" w:rsidTr="00F915BC">
        <w:trPr>
          <w:cantSplit/>
        </w:trPr>
        <w:tc>
          <w:tcPr>
            <w:tcW w:w="972" w:type="dxa"/>
          </w:tcPr>
          <w:p w14:paraId="6C63E6B3" w14:textId="77777777" w:rsidR="007F27C4" w:rsidRPr="00283142" w:rsidRDefault="007F27C4" w:rsidP="00FA360B">
            <w:pPr>
              <w:rPr>
                <w:sz w:val="21"/>
                <w:szCs w:val="22"/>
              </w:rPr>
            </w:pPr>
            <w:r w:rsidRPr="00283142">
              <w:rPr>
                <w:sz w:val="21"/>
                <w:szCs w:val="22"/>
              </w:rPr>
              <w:t>90688</w:t>
            </w:r>
          </w:p>
        </w:tc>
        <w:tc>
          <w:tcPr>
            <w:tcW w:w="8748" w:type="dxa"/>
          </w:tcPr>
          <w:p w14:paraId="4F964FFF" w14:textId="0BBDDDC7" w:rsidR="007F27C4" w:rsidRPr="00283142" w:rsidRDefault="007F27C4" w:rsidP="00FA360B">
            <w:pPr>
              <w:rPr>
                <w:sz w:val="21"/>
                <w:szCs w:val="22"/>
              </w:rPr>
            </w:pPr>
            <w:r w:rsidRPr="00283142">
              <w:rPr>
                <w:sz w:val="21"/>
                <w:szCs w:val="22"/>
              </w:rPr>
              <w:t>Influenza virus vaccine, quadrivalent, split virus, w</w:t>
            </w:r>
            <w:r w:rsidR="0037372A" w:rsidRPr="00283142">
              <w:rPr>
                <w:sz w:val="21"/>
                <w:szCs w:val="22"/>
              </w:rPr>
              <w:t>hen administered to individuals</w:t>
            </w:r>
            <w:r w:rsidRPr="00283142">
              <w:rPr>
                <w:sz w:val="21"/>
                <w:szCs w:val="22"/>
              </w:rPr>
              <w:t xml:space="preserve"> </w:t>
            </w:r>
            <w:r w:rsidR="00F915BC" w:rsidRPr="00283142">
              <w:rPr>
                <w:sz w:val="21"/>
                <w:szCs w:val="22"/>
              </w:rPr>
              <w:t>three</w:t>
            </w:r>
            <w:r w:rsidRPr="00283142">
              <w:rPr>
                <w:sz w:val="21"/>
                <w:szCs w:val="22"/>
              </w:rPr>
              <w:t xml:space="preserve"> years of age and older, for intramuscular use.   </w:t>
            </w:r>
          </w:p>
        </w:tc>
      </w:tr>
      <w:tr w:rsidR="007F27C4" w14:paraId="76E33E45" w14:textId="77777777" w:rsidTr="00F915BC">
        <w:trPr>
          <w:cantSplit/>
        </w:trPr>
        <w:tc>
          <w:tcPr>
            <w:tcW w:w="972" w:type="dxa"/>
          </w:tcPr>
          <w:p w14:paraId="77743037" w14:textId="77777777" w:rsidR="007F27C4" w:rsidRPr="00283142" w:rsidRDefault="007F27C4" w:rsidP="00FA360B">
            <w:pPr>
              <w:rPr>
                <w:sz w:val="21"/>
                <w:szCs w:val="22"/>
              </w:rPr>
            </w:pPr>
            <w:r w:rsidRPr="00283142">
              <w:rPr>
                <w:sz w:val="21"/>
                <w:szCs w:val="22"/>
              </w:rPr>
              <w:t>90715</w:t>
            </w:r>
          </w:p>
        </w:tc>
        <w:tc>
          <w:tcPr>
            <w:tcW w:w="8748" w:type="dxa"/>
          </w:tcPr>
          <w:p w14:paraId="3F6A9502" w14:textId="0DF1C867" w:rsidR="007F27C4" w:rsidRPr="00283142" w:rsidRDefault="007F27C4" w:rsidP="00D25C6D">
            <w:pPr>
              <w:rPr>
                <w:sz w:val="21"/>
                <w:szCs w:val="22"/>
              </w:rPr>
            </w:pPr>
            <w:r w:rsidRPr="00283142">
              <w:rPr>
                <w:sz w:val="21"/>
                <w:szCs w:val="22"/>
              </w:rPr>
              <w:t xml:space="preserve">Tetanus, diphtheria toxoids and acellular pertussis vaccine (Tdap), when administered to individuals seven years or older, for intramuscular use (covered for adults 19 years or </w:t>
            </w:r>
            <w:r w:rsidR="0037372A" w:rsidRPr="00283142">
              <w:rPr>
                <w:sz w:val="21"/>
                <w:szCs w:val="22"/>
              </w:rPr>
              <w:t>older; available free of charge through the Massachusetts Immunization Program for children seven through18 years of age)</w:t>
            </w:r>
          </w:p>
        </w:tc>
      </w:tr>
      <w:tr w:rsidR="007F27C4" w14:paraId="6818D007" w14:textId="77777777" w:rsidTr="00F915BC">
        <w:trPr>
          <w:cantSplit/>
        </w:trPr>
        <w:tc>
          <w:tcPr>
            <w:tcW w:w="972" w:type="dxa"/>
          </w:tcPr>
          <w:p w14:paraId="06D8E763" w14:textId="77777777" w:rsidR="007F27C4" w:rsidRPr="00283142" w:rsidRDefault="007F27C4" w:rsidP="00FA360B">
            <w:pPr>
              <w:rPr>
                <w:sz w:val="21"/>
                <w:szCs w:val="22"/>
              </w:rPr>
            </w:pPr>
            <w:r w:rsidRPr="00283142">
              <w:rPr>
                <w:sz w:val="21"/>
                <w:szCs w:val="22"/>
              </w:rPr>
              <w:t>90732</w:t>
            </w:r>
          </w:p>
        </w:tc>
        <w:tc>
          <w:tcPr>
            <w:tcW w:w="8748" w:type="dxa"/>
          </w:tcPr>
          <w:p w14:paraId="4A31806E" w14:textId="77777777" w:rsidR="007F27C4" w:rsidRPr="00283142" w:rsidRDefault="007F27C4" w:rsidP="00FA360B">
            <w:pPr>
              <w:rPr>
                <w:sz w:val="21"/>
                <w:szCs w:val="22"/>
              </w:rPr>
            </w:pPr>
            <w:r w:rsidRPr="00283142">
              <w:rPr>
                <w:sz w:val="21"/>
                <w:szCs w:val="22"/>
              </w:rPr>
              <w:t>Pneumococcal polysaccharide vaccine, 23-valent, adult or immunosuppressed patient dosage, when administered to individuals two years or older, for  subcutaneous or intramuscular use (covered for adults 19 years or older; available free of charge through the Massachusetts Immunization Program for children aged two through</w:t>
            </w:r>
            <w:r w:rsidR="0037372A" w:rsidRPr="00283142">
              <w:rPr>
                <w:sz w:val="21"/>
                <w:szCs w:val="22"/>
              </w:rPr>
              <w:t xml:space="preserve"> </w:t>
            </w:r>
            <w:r w:rsidRPr="00283142">
              <w:rPr>
                <w:sz w:val="21"/>
                <w:szCs w:val="22"/>
              </w:rPr>
              <w:t>18 years)</w:t>
            </w:r>
          </w:p>
        </w:tc>
      </w:tr>
      <w:tr w:rsidR="007F27C4" w14:paraId="1BB470FE" w14:textId="77777777" w:rsidTr="00F915BC">
        <w:trPr>
          <w:cantSplit/>
        </w:trPr>
        <w:tc>
          <w:tcPr>
            <w:tcW w:w="972" w:type="dxa"/>
          </w:tcPr>
          <w:p w14:paraId="1AF1951B" w14:textId="77777777" w:rsidR="007F27C4" w:rsidRPr="00283142" w:rsidRDefault="007F27C4" w:rsidP="00FA360B">
            <w:pPr>
              <w:rPr>
                <w:sz w:val="21"/>
                <w:szCs w:val="22"/>
              </w:rPr>
            </w:pPr>
            <w:r w:rsidRPr="00283142">
              <w:rPr>
                <w:sz w:val="21"/>
                <w:szCs w:val="22"/>
              </w:rPr>
              <w:t>90733</w:t>
            </w:r>
          </w:p>
        </w:tc>
        <w:tc>
          <w:tcPr>
            <w:tcW w:w="8748" w:type="dxa"/>
          </w:tcPr>
          <w:p w14:paraId="40F1EA40" w14:textId="77777777" w:rsidR="007F27C4" w:rsidRPr="00283142" w:rsidRDefault="007F27C4" w:rsidP="00FA360B">
            <w:pPr>
              <w:rPr>
                <w:sz w:val="21"/>
                <w:szCs w:val="22"/>
              </w:rPr>
            </w:pPr>
            <w:r w:rsidRPr="00283142">
              <w:rPr>
                <w:sz w:val="21"/>
                <w:szCs w:val="22"/>
              </w:rPr>
              <w:t>Meningococcal polysaccharide vaccine (any group(s)), for subcutaneous use</w:t>
            </w:r>
          </w:p>
        </w:tc>
      </w:tr>
      <w:tr w:rsidR="007F27C4" w14:paraId="6E39AD72" w14:textId="77777777" w:rsidTr="00F915BC">
        <w:trPr>
          <w:cantSplit/>
        </w:trPr>
        <w:tc>
          <w:tcPr>
            <w:tcW w:w="972" w:type="dxa"/>
          </w:tcPr>
          <w:p w14:paraId="745F8EA5" w14:textId="77777777" w:rsidR="007F27C4" w:rsidRPr="00283142" w:rsidRDefault="007F27C4" w:rsidP="00FA360B">
            <w:pPr>
              <w:rPr>
                <w:sz w:val="21"/>
                <w:szCs w:val="22"/>
              </w:rPr>
            </w:pPr>
            <w:r w:rsidRPr="00283142">
              <w:rPr>
                <w:sz w:val="21"/>
                <w:szCs w:val="22"/>
              </w:rPr>
              <w:t>90734</w:t>
            </w:r>
          </w:p>
        </w:tc>
        <w:tc>
          <w:tcPr>
            <w:tcW w:w="8748" w:type="dxa"/>
          </w:tcPr>
          <w:p w14:paraId="10F04FFF" w14:textId="0FA1D83C" w:rsidR="007F27C4" w:rsidRPr="00283142" w:rsidRDefault="007F27C4" w:rsidP="00D25C6D">
            <w:pPr>
              <w:rPr>
                <w:sz w:val="21"/>
                <w:szCs w:val="22"/>
              </w:rPr>
            </w:pPr>
            <w:r w:rsidRPr="00283142">
              <w:rPr>
                <w:sz w:val="21"/>
                <w:szCs w:val="22"/>
              </w:rPr>
              <w:t>Meningococcal conjugate vaccine, serogroups A, C, Y and W-135 (tetravalent), for intramuscular use (covered for adults 19 years and older; available free of charge through the Massachusetts Immunization Program for children aged two through 18) I.C.(claim requires individual consideration)</w:t>
            </w:r>
          </w:p>
        </w:tc>
      </w:tr>
      <w:tr w:rsidR="007F27C4" w14:paraId="29EF415F" w14:textId="77777777" w:rsidTr="00F915BC">
        <w:trPr>
          <w:cantSplit/>
        </w:trPr>
        <w:tc>
          <w:tcPr>
            <w:tcW w:w="972" w:type="dxa"/>
          </w:tcPr>
          <w:p w14:paraId="35BFD704" w14:textId="77777777" w:rsidR="007F27C4" w:rsidRPr="00283142" w:rsidRDefault="007F27C4" w:rsidP="00FA360B">
            <w:pPr>
              <w:rPr>
                <w:sz w:val="21"/>
                <w:szCs w:val="22"/>
              </w:rPr>
            </w:pPr>
            <w:r w:rsidRPr="00283142">
              <w:rPr>
                <w:sz w:val="21"/>
                <w:szCs w:val="22"/>
              </w:rPr>
              <w:t>90746</w:t>
            </w:r>
          </w:p>
        </w:tc>
        <w:tc>
          <w:tcPr>
            <w:tcW w:w="8748" w:type="dxa"/>
          </w:tcPr>
          <w:p w14:paraId="1BA87DCF" w14:textId="77777777" w:rsidR="007F27C4" w:rsidRPr="00283142" w:rsidRDefault="007F27C4" w:rsidP="00FA360B">
            <w:pPr>
              <w:rPr>
                <w:sz w:val="21"/>
                <w:szCs w:val="22"/>
              </w:rPr>
            </w:pPr>
            <w:r w:rsidRPr="00283142">
              <w:rPr>
                <w:sz w:val="21"/>
                <w:szCs w:val="22"/>
              </w:rPr>
              <w:t xml:space="preserve">Hepatitis B vaccine, adult dosage, for intramuscular use </w:t>
            </w:r>
          </w:p>
        </w:tc>
      </w:tr>
      <w:tr w:rsidR="007F27C4" w14:paraId="4AD791C0" w14:textId="77777777" w:rsidTr="00F915BC">
        <w:trPr>
          <w:cantSplit/>
        </w:trPr>
        <w:tc>
          <w:tcPr>
            <w:tcW w:w="972" w:type="dxa"/>
          </w:tcPr>
          <w:p w14:paraId="5AABA4D0" w14:textId="77777777" w:rsidR="007F27C4" w:rsidRPr="00283142" w:rsidRDefault="007F27C4" w:rsidP="00FA360B">
            <w:pPr>
              <w:rPr>
                <w:sz w:val="21"/>
                <w:szCs w:val="22"/>
              </w:rPr>
            </w:pPr>
            <w:r w:rsidRPr="00283142">
              <w:rPr>
                <w:sz w:val="21"/>
                <w:szCs w:val="22"/>
              </w:rPr>
              <w:t>92567</w:t>
            </w:r>
          </w:p>
        </w:tc>
        <w:tc>
          <w:tcPr>
            <w:tcW w:w="8748" w:type="dxa"/>
          </w:tcPr>
          <w:p w14:paraId="05DEAE76" w14:textId="77777777" w:rsidR="007F27C4" w:rsidRPr="00283142" w:rsidRDefault="007F27C4" w:rsidP="00FA360B">
            <w:pPr>
              <w:rPr>
                <w:sz w:val="21"/>
                <w:szCs w:val="22"/>
              </w:rPr>
            </w:pPr>
            <w:r w:rsidRPr="00283142">
              <w:rPr>
                <w:sz w:val="21"/>
                <w:szCs w:val="22"/>
              </w:rPr>
              <w:t>Tympanometry (impedance testing)</w:t>
            </w:r>
          </w:p>
        </w:tc>
      </w:tr>
      <w:tr w:rsidR="007F27C4" w14:paraId="49B4637A" w14:textId="77777777" w:rsidTr="00F915BC">
        <w:trPr>
          <w:cantSplit/>
          <w:trHeight w:val="1380"/>
        </w:trPr>
        <w:tc>
          <w:tcPr>
            <w:tcW w:w="972" w:type="dxa"/>
          </w:tcPr>
          <w:p w14:paraId="4AFF4505" w14:textId="77777777" w:rsidR="007F27C4" w:rsidRPr="00283142" w:rsidRDefault="007F27C4" w:rsidP="00FA360B">
            <w:pPr>
              <w:rPr>
                <w:sz w:val="21"/>
                <w:szCs w:val="22"/>
              </w:rPr>
            </w:pPr>
            <w:r w:rsidRPr="00283142">
              <w:rPr>
                <w:sz w:val="21"/>
                <w:szCs w:val="22"/>
              </w:rPr>
              <w:t>99201</w:t>
            </w:r>
          </w:p>
        </w:tc>
        <w:tc>
          <w:tcPr>
            <w:tcW w:w="8748" w:type="dxa"/>
          </w:tcPr>
          <w:p w14:paraId="3E07BB97" w14:textId="77777777" w:rsidR="007F27C4" w:rsidRPr="00283142" w:rsidRDefault="007F27C4" w:rsidP="00FA360B">
            <w:pPr>
              <w:rPr>
                <w:sz w:val="21"/>
                <w:szCs w:val="22"/>
              </w:rPr>
            </w:pPr>
            <w:r w:rsidRPr="00283142">
              <w:rPr>
                <w:sz w:val="21"/>
                <w:szCs w:val="22"/>
              </w:rPr>
              <w:t>Office or other outpatient visit for the evaluation and management of a new patient, which requires these three key components: a problem focused history; a problem focused examination; and straightforward medical decision making. Counseling and/or coordination of care with other providers or agencies are provided consistent with the nature of the problem(s) and</w:t>
            </w:r>
            <w:r w:rsidR="00412B59" w:rsidRPr="00283142">
              <w:rPr>
                <w:sz w:val="21"/>
                <w:szCs w:val="22"/>
              </w:rPr>
              <w:t xml:space="preserve"> the patient's and/or family's </w:t>
            </w:r>
            <w:r w:rsidRPr="00283142">
              <w:rPr>
                <w:sz w:val="21"/>
                <w:szCs w:val="22"/>
              </w:rPr>
              <w:t>needs. Usually, the presenting problem(s) are self limited or minor. Physicians (or nurse practitioners) typically spend 10 minutes face-to-face with the patient and/or family.</w:t>
            </w:r>
          </w:p>
        </w:tc>
      </w:tr>
      <w:tr w:rsidR="007F27C4" w14:paraId="1D3E5B40" w14:textId="77777777" w:rsidTr="00F915BC">
        <w:trPr>
          <w:cantSplit/>
          <w:trHeight w:val="1380"/>
        </w:trPr>
        <w:tc>
          <w:tcPr>
            <w:tcW w:w="972" w:type="dxa"/>
          </w:tcPr>
          <w:p w14:paraId="28590E12" w14:textId="77777777" w:rsidR="007F27C4" w:rsidRPr="00283142" w:rsidRDefault="007F27C4" w:rsidP="00FA360B">
            <w:pPr>
              <w:rPr>
                <w:sz w:val="21"/>
                <w:szCs w:val="22"/>
              </w:rPr>
            </w:pPr>
            <w:r w:rsidRPr="00283142">
              <w:rPr>
                <w:sz w:val="21"/>
                <w:szCs w:val="22"/>
              </w:rPr>
              <w:t>99202</w:t>
            </w:r>
          </w:p>
        </w:tc>
        <w:tc>
          <w:tcPr>
            <w:tcW w:w="8748" w:type="dxa"/>
          </w:tcPr>
          <w:p w14:paraId="7B7D9EB4" w14:textId="77777777" w:rsidR="007F27C4" w:rsidRPr="00283142" w:rsidRDefault="007F27C4" w:rsidP="00FA360B">
            <w:pPr>
              <w:rPr>
                <w:sz w:val="21"/>
                <w:szCs w:val="22"/>
              </w:rPr>
            </w:pPr>
            <w:r w:rsidRPr="00283142">
              <w:rPr>
                <w:sz w:val="21"/>
                <w:szCs w:val="22"/>
              </w:rPr>
              <w:t>Office or other outpatient visit for the evaluation and management of a new patient, which requires these three key components: an expanded pr</w:t>
            </w:r>
            <w:r w:rsidR="00412B59" w:rsidRPr="00283142">
              <w:rPr>
                <w:sz w:val="21"/>
                <w:szCs w:val="22"/>
              </w:rPr>
              <w:t xml:space="preserve">oblem focused </w:t>
            </w:r>
            <w:r w:rsidRPr="00283142">
              <w:rPr>
                <w:sz w:val="21"/>
                <w:szCs w:val="22"/>
              </w:rPr>
              <w:t>history; an expanded problem focused examination; and straightforward medical decision making. Counseling and/or coordination of care with other providers or agencies are provided consistent with the na</w:t>
            </w:r>
            <w:r w:rsidR="00BD7984" w:rsidRPr="00283142">
              <w:rPr>
                <w:sz w:val="21"/>
                <w:szCs w:val="22"/>
              </w:rPr>
              <w:t xml:space="preserve">ture of the problem(s) and the </w:t>
            </w:r>
            <w:r w:rsidRPr="00283142">
              <w:rPr>
                <w:sz w:val="21"/>
                <w:szCs w:val="22"/>
              </w:rPr>
              <w:t>patient's and/or family's needs. Usually, the presenting problem(s) are of low to moderate severity. Physicians (or nurse practitioners) typically spend 20 minutes face-to-face with the patient and/or family.</w:t>
            </w:r>
          </w:p>
        </w:tc>
      </w:tr>
      <w:tr w:rsidR="007F27C4" w14:paraId="3C5817B3" w14:textId="77777777" w:rsidTr="00F915BC">
        <w:trPr>
          <w:cantSplit/>
          <w:trHeight w:val="1380"/>
        </w:trPr>
        <w:tc>
          <w:tcPr>
            <w:tcW w:w="972" w:type="dxa"/>
          </w:tcPr>
          <w:p w14:paraId="7C3F6377" w14:textId="77777777" w:rsidR="007F27C4" w:rsidRPr="00283142" w:rsidRDefault="007F27C4" w:rsidP="00FA360B">
            <w:pPr>
              <w:rPr>
                <w:sz w:val="21"/>
                <w:szCs w:val="22"/>
              </w:rPr>
            </w:pPr>
            <w:r w:rsidRPr="00283142">
              <w:rPr>
                <w:sz w:val="21"/>
                <w:szCs w:val="22"/>
              </w:rPr>
              <w:t>99203</w:t>
            </w:r>
          </w:p>
        </w:tc>
        <w:tc>
          <w:tcPr>
            <w:tcW w:w="8748" w:type="dxa"/>
          </w:tcPr>
          <w:p w14:paraId="26D7B56F" w14:textId="77777777" w:rsidR="007F27C4" w:rsidRPr="00283142" w:rsidRDefault="007F27C4" w:rsidP="00FA360B">
            <w:pPr>
              <w:rPr>
                <w:sz w:val="21"/>
                <w:szCs w:val="22"/>
              </w:rPr>
            </w:pPr>
            <w:r w:rsidRPr="00283142">
              <w:rPr>
                <w:sz w:val="21"/>
                <w:szCs w:val="22"/>
              </w:rPr>
              <w:t>Office or other outpatient visit for the evaluation and management of a new patient, which requires these three key components: a detailed history; a detailed examination; and medical decision making of low complexity. Counseling and/or coordination of care with other providers or agencies are provided consistent with the nature of the problem(s) and the patient's a</w:t>
            </w:r>
            <w:r w:rsidR="00412B59" w:rsidRPr="00283142">
              <w:rPr>
                <w:sz w:val="21"/>
                <w:szCs w:val="22"/>
              </w:rPr>
              <w:t xml:space="preserve">nd/or family's needs. Usually, </w:t>
            </w:r>
            <w:r w:rsidRPr="00283142">
              <w:rPr>
                <w:sz w:val="21"/>
                <w:szCs w:val="22"/>
              </w:rPr>
              <w:t>the presenting problem(s) are of moderate severity. Physicians (or nurse practitioners) typically spend 30 minutes face-to-face with the patient and/or family.</w:t>
            </w:r>
          </w:p>
        </w:tc>
      </w:tr>
      <w:tr w:rsidR="007F27C4" w14:paraId="64409809" w14:textId="77777777" w:rsidTr="00F915BC">
        <w:trPr>
          <w:cantSplit/>
          <w:trHeight w:val="818"/>
        </w:trPr>
        <w:tc>
          <w:tcPr>
            <w:tcW w:w="972" w:type="dxa"/>
          </w:tcPr>
          <w:p w14:paraId="1A920698" w14:textId="77777777" w:rsidR="007F27C4" w:rsidRPr="00283142" w:rsidRDefault="007F27C4" w:rsidP="00A14FEE">
            <w:pPr>
              <w:rPr>
                <w:sz w:val="21"/>
                <w:szCs w:val="22"/>
              </w:rPr>
            </w:pPr>
            <w:r w:rsidRPr="00283142">
              <w:rPr>
                <w:sz w:val="21"/>
                <w:szCs w:val="22"/>
              </w:rPr>
              <w:t>99211</w:t>
            </w:r>
          </w:p>
        </w:tc>
        <w:tc>
          <w:tcPr>
            <w:tcW w:w="8748" w:type="dxa"/>
          </w:tcPr>
          <w:p w14:paraId="6F13C384" w14:textId="77777777" w:rsidR="007F27C4" w:rsidRPr="00283142" w:rsidRDefault="007F27C4" w:rsidP="00A14FEE">
            <w:pPr>
              <w:rPr>
                <w:sz w:val="21"/>
                <w:szCs w:val="22"/>
              </w:rPr>
            </w:pPr>
            <w:r w:rsidRPr="00283142">
              <w:rPr>
                <w:sz w:val="21"/>
                <w:szCs w:val="22"/>
              </w:rPr>
              <w:t xml:space="preserve">Office or other outpatient visit for the evaluation and management of an established patient that may not require the presence of a physician. Usually, the presenting problem(s) are minimal. Typically, five minutes are spent performing or supervising these services. </w:t>
            </w:r>
          </w:p>
        </w:tc>
      </w:tr>
      <w:tr w:rsidR="007F27C4" w14:paraId="1C6DD41F" w14:textId="77777777" w:rsidTr="00F915BC">
        <w:trPr>
          <w:cantSplit/>
          <w:trHeight w:val="1448"/>
        </w:trPr>
        <w:tc>
          <w:tcPr>
            <w:tcW w:w="972" w:type="dxa"/>
          </w:tcPr>
          <w:p w14:paraId="1D157F7E" w14:textId="77777777" w:rsidR="007F27C4" w:rsidRPr="00283142" w:rsidRDefault="007F27C4" w:rsidP="00A14FEE">
            <w:pPr>
              <w:rPr>
                <w:sz w:val="21"/>
                <w:szCs w:val="22"/>
              </w:rPr>
            </w:pPr>
            <w:r w:rsidRPr="00283142">
              <w:rPr>
                <w:sz w:val="21"/>
                <w:szCs w:val="22"/>
              </w:rPr>
              <w:t>99212</w:t>
            </w:r>
          </w:p>
        </w:tc>
        <w:tc>
          <w:tcPr>
            <w:tcW w:w="8748" w:type="dxa"/>
          </w:tcPr>
          <w:p w14:paraId="5CC8BFAA" w14:textId="77777777" w:rsidR="007F27C4" w:rsidRPr="00283142" w:rsidRDefault="007F27C4" w:rsidP="00A14FEE">
            <w:pPr>
              <w:rPr>
                <w:sz w:val="21"/>
                <w:szCs w:val="22"/>
              </w:rPr>
            </w:pPr>
            <w:r w:rsidRPr="00283142">
              <w:rPr>
                <w:sz w:val="21"/>
                <w:szCs w:val="22"/>
              </w:rPr>
              <w:t>Office or other outpatient visit for the evaluation and management of an established patient, which requires at least two of these three key components: a problem focused history; a problem focused examination; and straightforward medical decision making. Counseling and/or coordination of care with other providers or agencies are provided consistent with the na</w:t>
            </w:r>
            <w:r w:rsidR="00412B59" w:rsidRPr="00283142">
              <w:rPr>
                <w:sz w:val="21"/>
                <w:szCs w:val="22"/>
              </w:rPr>
              <w:t xml:space="preserve">ture of the problem(s) and the </w:t>
            </w:r>
            <w:r w:rsidRPr="00283142">
              <w:rPr>
                <w:sz w:val="21"/>
                <w:szCs w:val="22"/>
              </w:rPr>
              <w:t>patient's and/or family’s needs. Usually, the presenting problem(s) are self-limited or minor. Physicians (or nurse practitioners) typically spend 10 minutes face-to-face with the patient and/or family.</w:t>
            </w:r>
          </w:p>
        </w:tc>
      </w:tr>
    </w:tbl>
    <w:p w14:paraId="2F1D84D9" w14:textId="77777777" w:rsidR="00D25C6D" w:rsidRDefault="00D25C6D"/>
    <w:p w14:paraId="7A701902" w14:textId="77777777" w:rsidR="00D25C6D" w:rsidRDefault="00D25C6D"/>
    <w:p w14:paraId="4E1FF0E7" w14:textId="77777777" w:rsidR="00D25C6D" w:rsidRDefault="00D25C6D"/>
    <w:p w14:paraId="0F282991" w14:textId="77777777" w:rsidR="00283142" w:rsidRDefault="00283142" w:rsidP="00D25C6D">
      <w:pPr>
        <w:pStyle w:val="Heading1"/>
        <w:tabs>
          <w:tab w:val="clear" w:pos="6426"/>
          <w:tab w:val="left" w:pos="5760"/>
        </w:tabs>
        <w:ind w:left="5040"/>
        <w:rPr>
          <w:rFonts w:ascii="Georgia" w:hAnsi="Georgia" w:cs="Arial"/>
          <w:color w:val="1F497D"/>
          <w:sz w:val="24"/>
          <w:szCs w:val="24"/>
        </w:rPr>
      </w:pPr>
    </w:p>
    <w:p w14:paraId="1ADBE142" w14:textId="77777777" w:rsidR="00D25C6D" w:rsidRPr="00B54F89" w:rsidRDefault="00D25C6D" w:rsidP="00D25C6D">
      <w:pPr>
        <w:pStyle w:val="Heading1"/>
        <w:tabs>
          <w:tab w:val="clear" w:pos="6426"/>
          <w:tab w:val="left" w:pos="5760"/>
        </w:tabs>
        <w:ind w:left="5040"/>
        <w:rPr>
          <w:rFonts w:ascii="Georgia" w:hAnsi="Georgia" w:cs="Arial"/>
          <w:color w:val="1F497D"/>
          <w:sz w:val="24"/>
          <w:szCs w:val="24"/>
        </w:rPr>
      </w:pPr>
      <w:r w:rsidRPr="00B54F89">
        <w:rPr>
          <w:rFonts w:ascii="Georgia" w:hAnsi="Georgia" w:cs="Arial"/>
          <w:color w:val="1F497D"/>
          <w:sz w:val="24"/>
          <w:szCs w:val="24"/>
        </w:rPr>
        <w:t>MassHealth</w:t>
      </w:r>
    </w:p>
    <w:p w14:paraId="005D6278" w14:textId="366EAC79" w:rsidR="00D25C6D" w:rsidRPr="001433E7" w:rsidRDefault="00D25C6D" w:rsidP="00D25C6D">
      <w:pPr>
        <w:pStyle w:val="Heading1"/>
        <w:tabs>
          <w:tab w:val="clear" w:pos="6426"/>
          <w:tab w:val="left" w:pos="5760"/>
        </w:tabs>
        <w:ind w:left="5040"/>
        <w:rPr>
          <w:rFonts w:ascii="Georgia" w:hAnsi="Georgia" w:cs="Arial"/>
          <w:color w:val="1F497D"/>
          <w:szCs w:val="22"/>
        </w:rPr>
      </w:pPr>
      <w:r w:rsidRPr="00591F98">
        <w:rPr>
          <w:rFonts w:ascii="Georgia" w:hAnsi="Georgia" w:cs="Arial"/>
          <w:color w:val="1F497D"/>
          <w:sz w:val="24"/>
          <w:szCs w:val="24"/>
        </w:rPr>
        <w:t xml:space="preserve">Limited Services Clinic Bulletin </w:t>
      </w:r>
      <w:r w:rsidR="00D634BF">
        <w:rPr>
          <w:rFonts w:ascii="Georgia" w:hAnsi="Georgia" w:cs="Arial"/>
          <w:color w:val="1F497D"/>
          <w:sz w:val="24"/>
          <w:szCs w:val="24"/>
        </w:rPr>
        <w:t>5</w:t>
      </w:r>
    </w:p>
    <w:p w14:paraId="19973FA2" w14:textId="7276AF3C" w:rsidR="00D25C6D" w:rsidRPr="001433E7" w:rsidRDefault="00245330" w:rsidP="00D25C6D">
      <w:pPr>
        <w:pStyle w:val="Heading1"/>
        <w:tabs>
          <w:tab w:val="clear" w:pos="6426"/>
          <w:tab w:val="left" w:pos="5760"/>
        </w:tabs>
        <w:ind w:left="5040"/>
        <w:rPr>
          <w:rFonts w:ascii="Georgia" w:hAnsi="Georgia" w:cs="Arial"/>
          <w:color w:val="1F497D"/>
          <w:szCs w:val="22"/>
        </w:rPr>
      </w:pPr>
      <w:r>
        <w:rPr>
          <w:rFonts w:ascii="Georgia" w:hAnsi="Georgia" w:cs="Arial"/>
          <w:color w:val="1F497D"/>
          <w:sz w:val="24"/>
          <w:szCs w:val="24"/>
        </w:rPr>
        <w:t>March</w:t>
      </w:r>
      <w:r w:rsidR="00D25C6D" w:rsidRPr="00591F98">
        <w:rPr>
          <w:rFonts w:ascii="Georgia" w:hAnsi="Georgia" w:cs="Arial"/>
          <w:color w:val="1F497D"/>
          <w:sz w:val="24"/>
          <w:szCs w:val="24"/>
        </w:rPr>
        <w:t xml:space="preserve"> 2018</w:t>
      </w:r>
    </w:p>
    <w:p w14:paraId="5A70D982" w14:textId="77777777" w:rsidR="00D25C6D" w:rsidRDefault="00D25C6D" w:rsidP="00D25C6D">
      <w:pPr>
        <w:pStyle w:val="Heading1"/>
        <w:tabs>
          <w:tab w:val="clear" w:pos="6426"/>
          <w:tab w:val="left" w:pos="5760"/>
        </w:tabs>
        <w:ind w:left="5040"/>
        <w:rPr>
          <w:rFonts w:ascii="Georgia" w:hAnsi="Georgia" w:cs="Arial"/>
          <w:color w:val="1F497D"/>
          <w:sz w:val="24"/>
          <w:szCs w:val="24"/>
        </w:rPr>
      </w:pPr>
      <w:r w:rsidRPr="00B13DE1">
        <w:rPr>
          <w:rFonts w:ascii="Georgia" w:hAnsi="Georgia" w:cs="Arial"/>
          <w:color w:val="1F497D"/>
          <w:sz w:val="24"/>
          <w:szCs w:val="24"/>
        </w:rPr>
        <w:t>Page 4</w:t>
      </w:r>
    </w:p>
    <w:p w14:paraId="6F82ACDF" w14:textId="77777777" w:rsidR="00D25C6D" w:rsidRDefault="00D25C6D" w:rsidP="00D25C6D">
      <w:pPr>
        <w:ind w:left="576" w:right="576"/>
        <w:rPr>
          <w:rFonts w:ascii="Georgia" w:hAnsi="Georgia" w:cs="Arial"/>
          <w:b/>
          <w:sz w:val="22"/>
          <w:szCs w:val="22"/>
        </w:rPr>
      </w:pPr>
    </w:p>
    <w:p w14:paraId="6A08A6F9" w14:textId="77777777" w:rsidR="00D25C6D" w:rsidRPr="003F5A51" w:rsidRDefault="00D25C6D" w:rsidP="00D25C6D">
      <w:pPr>
        <w:ind w:left="576" w:right="576"/>
        <w:rPr>
          <w:rFonts w:ascii="Georgia" w:hAnsi="Georgia" w:cs="Arial"/>
          <w:b/>
          <w:i/>
          <w:sz w:val="22"/>
          <w:szCs w:val="22"/>
        </w:rPr>
      </w:pPr>
      <w:r w:rsidRPr="003F5A51">
        <w:rPr>
          <w:rFonts w:ascii="Georgia" w:hAnsi="Georgia" w:cs="Arial"/>
          <w:b/>
          <w:sz w:val="22"/>
          <w:szCs w:val="22"/>
        </w:rPr>
        <w:t>LSC Service Codes</w:t>
      </w:r>
      <w:r>
        <w:rPr>
          <w:rFonts w:ascii="Georgia" w:hAnsi="Georgia" w:cs="Arial"/>
          <w:b/>
          <w:sz w:val="22"/>
          <w:szCs w:val="22"/>
        </w:rPr>
        <w:t xml:space="preserve"> </w:t>
      </w:r>
      <w:r w:rsidRPr="003F5A51">
        <w:rPr>
          <w:rFonts w:ascii="Georgia" w:hAnsi="Georgia" w:cs="Arial"/>
          <w:b/>
          <w:i/>
          <w:sz w:val="22"/>
          <w:szCs w:val="22"/>
        </w:rPr>
        <w:t>(cont.)</w:t>
      </w:r>
    </w:p>
    <w:p w14:paraId="2A71B5B5" w14:textId="77777777" w:rsidR="00D25C6D" w:rsidRDefault="00D25C6D"/>
    <w:tbl>
      <w:tblPr>
        <w:tblStyle w:val="TableGrid"/>
        <w:tblW w:w="0" w:type="auto"/>
        <w:tblInd w:w="576" w:type="dxa"/>
        <w:tblLook w:val="04A0" w:firstRow="1" w:lastRow="0" w:firstColumn="1" w:lastColumn="0" w:noHBand="0" w:noVBand="1"/>
      </w:tblPr>
      <w:tblGrid>
        <w:gridCol w:w="972"/>
        <w:gridCol w:w="8748"/>
      </w:tblGrid>
      <w:tr w:rsidR="00D25C6D" w14:paraId="1A4BCBB5" w14:textId="77777777" w:rsidTr="00E05F02">
        <w:trPr>
          <w:cantSplit/>
          <w:trHeight w:val="485"/>
        </w:trPr>
        <w:tc>
          <w:tcPr>
            <w:tcW w:w="972" w:type="dxa"/>
          </w:tcPr>
          <w:p w14:paraId="27761D30" w14:textId="77777777" w:rsidR="00D25C6D" w:rsidRPr="00283142" w:rsidRDefault="00D25C6D" w:rsidP="008F2FA6">
            <w:pPr>
              <w:rPr>
                <w:b/>
                <w:sz w:val="22"/>
                <w:szCs w:val="22"/>
              </w:rPr>
            </w:pPr>
            <w:r w:rsidRPr="00283142">
              <w:rPr>
                <w:b/>
                <w:sz w:val="22"/>
                <w:szCs w:val="22"/>
              </w:rPr>
              <w:t>Service</w:t>
            </w:r>
          </w:p>
          <w:p w14:paraId="304F84CF" w14:textId="794A9014" w:rsidR="00D25C6D" w:rsidRPr="00283142" w:rsidRDefault="00D25C6D" w:rsidP="00F63D15">
            <w:pPr>
              <w:rPr>
                <w:sz w:val="22"/>
                <w:szCs w:val="22"/>
              </w:rPr>
            </w:pPr>
            <w:r w:rsidRPr="00283142">
              <w:rPr>
                <w:b/>
                <w:sz w:val="22"/>
                <w:szCs w:val="22"/>
              </w:rPr>
              <w:t>Code</w:t>
            </w:r>
          </w:p>
        </w:tc>
        <w:tc>
          <w:tcPr>
            <w:tcW w:w="8748" w:type="dxa"/>
            <w:vAlign w:val="center"/>
          </w:tcPr>
          <w:p w14:paraId="75A6C7CC" w14:textId="3C8640B5" w:rsidR="00D25C6D" w:rsidRPr="00283142" w:rsidRDefault="00D25C6D" w:rsidP="00E05F02">
            <w:pPr>
              <w:jc w:val="center"/>
              <w:rPr>
                <w:sz w:val="22"/>
                <w:szCs w:val="22"/>
              </w:rPr>
            </w:pPr>
            <w:r w:rsidRPr="00283142">
              <w:rPr>
                <w:b/>
                <w:sz w:val="22"/>
                <w:szCs w:val="22"/>
              </w:rPr>
              <w:t>Service Description</w:t>
            </w:r>
          </w:p>
        </w:tc>
      </w:tr>
      <w:tr w:rsidR="007F27C4" w14:paraId="5A87C47A" w14:textId="77777777" w:rsidTr="00F915BC">
        <w:trPr>
          <w:cantSplit/>
          <w:trHeight w:val="1439"/>
        </w:trPr>
        <w:tc>
          <w:tcPr>
            <w:tcW w:w="972" w:type="dxa"/>
          </w:tcPr>
          <w:p w14:paraId="3C6F6A4D" w14:textId="77777777" w:rsidR="007F27C4" w:rsidRPr="00283142" w:rsidRDefault="007F27C4" w:rsidP="00F63D15">
            <w:pPr>
              <w:rPr>
                <w:sz w:val="22"/>
                <w:szCs w:val="22"/>
              </w:rPr>
            </w:pPr>
            <w:r w:rsidRPr="00283142">
              <w:rPr>
                <w:sz w:val="22"/>
                <w:szCs w:val="22"/>
              </w:rPr>
              <w:t>99213</w:t>
            </w:r>
          </w:p>
        </w:tc>
        <w:tc>
          <w:tcPr>
            <w:tcW w:w="8748" w:type="dxa"/>
          </w:tcPr>
          <w:p w14:paraId="194DD8ED" w14:textId="77777777" w:rsidR="007F27C4" w:rsidRPr="00283142" w:rsidRDefault="007F27C4" w:rsidP="00F63D15">
            <w:pPr>
              <w:rPr>
                <w:sz w:val="22"/>
                <w:szCs w:val="22"/>
              </w:rPr>
            </w:pPr>
            <w:r w:rsidRPr="00283142">
              <w:rPr>
                <w:sz w:val="22"/>
                <w:szCs w:val="22"/>
              </w:rPr>
              <w:t>Office or other outpatient visit for the evaluation and management of an established patient, which requires at least two of these three key components: an expanded problem focused history; an expanded problem focused examination; and medical decision making of low complexity. Counseling and coordination of care with other providers or agencies are provided consistent with the nature of the problem(s) and the patient's and/or family's needs. Usually, the presenting problem(s) are of low to moderate severity. Physicians (or nurse practitioners) typically spend 15 minutes face-to-with the patient and/or family.</w:t>
            </w:r>
          </w:p>
        </w:tc>
      </w:tr>
    </w:tbl>
    <w:p w14:paraId="48D56703" w14:textId="77777777" w:rsidR="00533093" w:rsidRDefault="00533093" w:rsidP="0028593E">
      <w:pPr>
        <w:ind w:left="576" w:right="576"/>
        <w:rPr>
          <w:rFonts w:ascii="Georgia" w:hAnsi="Georgia" w:cs="Arial"/>
          <w:sz w:val="22"/>
          <w:szCs w:val="22"/>
        </w:rPr>
      </w:pPr>
    </w:p>
    <w:p w14:paraId="3DDDA978" w14:textId="77777777" w:rsidR="002C731E" w:rsidRPr="0037372A" w:rsidRDefault="002C731E" w:rsidP="002C731E">
      <w:pPr>
        <w:ind w:left="576" w:right="576"/>
        <w:rPr>
          <w:rFonts w:ascii="Georgia" w:hAnsi="Georgia" w:cs="Arial"/>
          <w:b/>
          <w:sz w:val="22"/>
          <w:szCs w:val="22"/>
        </w:rPr>
      </w:pPr>
      <w:r w:rsidRPr="0037372A">
        <w:rPr>
          <w:rFonts w:ascii="Georgia" w:hAnsi="Georgia" w:cs="Arial"/>
          <w:b/>
          <w:sz w:val="22"/>
          <w:szCs w:val="22"/>
        </w:rPr>
        <w:t>Service Limitations</w:t>
      </w:r>
    </w:p>
    <w:p w14:paraId="7BBB3017" w14:textId="77777777" w:rsidR="002C731E" w:rsidRPr="002C731E" w:rsidRDefault="002C731E" w:rsidP="002C731E">
      <w:pPr>
        <w:ind w:left="576" w:right="576"/>
        <w:rPr>
          <w:rFonts w:ascii="Georgia" w:hAnsi="Georgia" w:cs="Arial"/>
          <w:sz w:val="22"/>
          <w:szCs w:val="22"/>
        </w:rPr>
      </w:pPr>
    </w:p>
    <w:p w14:paraId="5730D7D8" w14:textId="1A370FA4"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 xml:space="preserve">All LSCs participating in MassHealth must comply with the regulations governing MassHealth, including but not limited to 130 CMR 450.000. MassHealth members who are participants in the Primary Care Clinician (PCC) </w:t>
      </w:r>
      <w:r w:rsidR="00115EE8">
        <w:rPr>
          <w:rFonts w:ascii="Georgia" w:hAnsi="Georgia" w:cs="Arial"/>
          <w:sz w:val="22"/>
          <w:szCs w:val="22"/>
        </w:rPr>
        <w:t>Plan</w:t>
      </w:r>
      <w:r w:rsidR="00115EE8" w:rsidRPr="002C731E">
        <w:rPr>
          <w:rFonts w:ascii="Georgia" w:hAnsi="Georgia" w:cs="Arial"/>
          <w:sz w:val="22"/>
          <w:szCs w:val="22"/>
        </w:rPr>
        <w:t xml:space="preserve"> </w:t>
      </w:r>
      <w:r w:rsidRPr="002C731E">
        <w:rPr>
          <w:rFonts w:ascii="Georgia" w:hAnsi="Georgia" w:cs="Arial"/>
          <w:sz w:val="22"/>
          <w:szCs w:val="22"/>
        </w:rPr>
        <w:t xml:space="preserve">do not require a referral from a PCC for LSC services. </w:t>
      </w:r>
      <w:r w:rsidR="00115EE8">
        <w:rPr>
          <w:rFonts w:ascii="Georgia" w:hAnsi="Georgia" w:cs="Arial"/>
          <w:sz w:val="22"/>
          <w:szCs w:val="22"/>
        </w:rPr>
        <w:t>MassHealth members who are enrolled in a Primary Care Accountable Care Organization do not require a referral from a participating Primary Care Provider for LSC services.</w:t>
      </w:r>
    </w:p>
    <w:p w14:paraId="07D54C1E" w14:textId="77777777" w:rsidR="002C731E" w:rsidRPr="002C731E" w:rsidRDefault="002C731E" w:rsidP="002C731E">
      <w:pPr>
        <w:ind w:left="576" w:right="576"/>
        <w:rPr>
          <w:rFonts w:ascii="Georgia" w:hAnsi="Georgia" w:cs="Arial"/>
          <w:sz w:val="22"/>
          <w:szCs w:val="22"/>
        </w:rPr>
      </w:pPr>
    </w:p>
    <w:p w14:paraId="1CD5DBCA" w14:textId="77777777"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In addition, MassHealth policy prohibits providers from billing for more than one service for the same member on the same date if the services are provided at the same location. (See 130 CMR 433.413(A).)</w:t>
      </w:r>
    </w:p>
    <w:p w14:paraId="535D9366" w14:textId="77777777"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ab/>
      </w:r>
    </w:p>
    <w:p w14:paraId="47EC80AD" w14:textId="77777777"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An LSC may bill for an office (clinic) visit or a treatment/procedure, but may not bill for both categories of service (office/clinic visit and treatment/procedure) for the same member on the same date when the office (clinic) visit and the treatment or procedure are performed in the same location.</w:t>
      </w:r>
    </w:p>
    <w:p w14:paraId="571157C5" w14:textId="77777777" w:rsidR="002C731E" w:rsidRPr="002C731E" w:rsidRDefault="002C731E" w:rsidP="002C731E">
      <w:pPr>
        <w:ind w:left="576" w:right="576"/>
        <w:rPr>
          <w:rFonts w:ascii="Georgia" w:hAnsi="Georgia" w:cs="Arial"/>
          <w:sz w:val="22"/>
          <w:szCs w:val="22"/>
        </w:rPr>
      </w:pPr>
    </w:p>
    <w:p w14:paraId="4F61021F" w14:textId="77777777"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Also according to MassHealth policy, when an immunization or injection is the primary purpose of an office (clinic) visit, the LSC may bill only for the injectable material and its administration and not for a visit code. However, when the immunization or injection is not the primary purpose of the office (clinic) visit, the LSC may bill for both the visit and the injectable material, but not for its administration. (See 130 CMR 433.413(B)</w:t>
      </w:r>
      <w:r w:rsidR="00E53C51">
        <w:rPr>
          <w:rFonts w:ascii="Georgia" w:hAnsi="Georgia" w:cs="Arial"/>
          <w:sz w:val="22"/>
          <w:szCs w:val="22"/>
        </w:rPr>
        <w:t xml:space="preserve"> </w:t>
      </w:r>
      <w:r w:rsidR="00E53C51">
        <w:rPr>
          <w:rFonts w:ascii="Georgia" w:eastAsia="Calibri" w:hAnsi="Georgia" w:cs="Arial"/>
          <w:sz w:val="22"/>
          <w:szCs w:val="22"/>
        </w:rPr>
        <w:t>and 433.413(C)</w:t>
      </w:r>
      <w:r w:rsidRPr="002C731E">
        <w:rPr>
          <w:rFonts w:ascii="Georgia" w:hAnsi="Georgia" w:cs="Arial"/>
          <w:sz w:val="22"/>
          <w:szCs w:val="22"/>
        </w:rPr>
        <w:t xml:space="preserve">.) </w:t>
      </w:r>
    </w:p>
    <w:p w14:paraId="579B4C22" w14:textId="77777777"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 xml:space="preserve"> </w:t>
      </w:r>
    </w:p>
    <w:p w14:paraId="7BC48B44" w14:textId="77777777" w:rsidR="002C731E" w:rsidRPr="002C731E" w:rsidRDefault="002C731E" w:rsidP="002C731E">
      <w:pPr>
        <w:ind w:left="576" w:right="576"/>
        <w:rPr>
          <w:rFonts w:ascii="Georgia" w:hAnsi="Georgia" w:cs="Arial"/>
          <w:sz w:val="22"/>
          <w:szCs w:val="22"/>
        </w:rPr>
      </w:pPr>
      <w:r w:rsidRPr="0037372A">
        <w:rPr>
          <w:rFonts w:ascii="Georgia" w:hAnsi="Georgia" w:cs="Arial"/>
          <w:b/>
          <w:sz w:val="22"/>
          <w:szCs w:val="22"/>
        </w:rPr>
        <w:t>Member Eligibility</w:t>
      </w:r>
      <w:r w:rsidRPr="002C731E">
        <w:rPr>
          <w:rFonts w:ascii="Georgia" w:hAnsi="Georgia" w:cs="Arial"/>
          <w:sz w:val="22"/>
          <w:szCs w:val="22"/>
        </w:rPr>
        <w:tab/>
      </w:r>
    </w:p>
    <w:p w14:paraId="3E1FA484" w14:textId="77777777" w:rsidR="002C731E" w:rsidRPr="002C731E" w:rsidRDefault="002C731E" w:rsidP="002C731E">
      <w:pPr>
        <w:ind w:left="576" w:right="576"/>
        <w:rPr>
          <w:rFonts w:ascii="Georgia" w:hAnsi="Georgia" w:cs="Arial"/>
          <w:sz w:val="22"/>
          <w:szCs w:val="22"/>
        </w:rPr>
      </w:pPr>
    </w:p>
    <w:p w14:paraId="4DDFF285" w14:textId="2726EBDB"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According to MassHealth regulations at 130 CMR 450.231, a provider is responsible for verifying member eligibility before the delivery of a service. Providers must also ensure that the services provided are covered under the individual’s MassHealth coverage type before service delivery. According to DPH regulations at 105 CMR 140.</w:t>
      </w:r>
      <w:r w:rsidR="00E53C51">
        <w:rPr>
          <w:rFonts w:ascii="Georgia" w:hAnsi="Georgia" w:cs="Arial"/>
          <w:sz w:val="22"/>
          <w:szCs w:val="22"/>
        </w:rPr>
        <w:t>1001(A)(2)</w:t>
      </w:r>
      <w:r w:rsidRPr="002C731E">
        <w:rPr>
          <w:rFonts w:ascii="Georgia" w:hAnsi="Georgia" w:cs="Arial"/>
          <w:sz w:val="22"/>
          <w:szCs w:val="22"/>
        </w:rPr>
        <w:t>, no LSC may provide treatment to children younger than</w:t>
      </w:r>
      <w:r w:rsidR="00BB65EB">
        <w:rPr>
          <w:rFonts w:ascii="Georgia" w:hAnsi="Georgia" w:cs="Arial"/>
          <w:sz w:val="22"/>
          <w:szCs w:val="22"/>
        </w:rPr>
        <w:t xml:space="preserve"> specified by DPH, currently</w:t>
      </w:r>
      <w:r w:rsidRPr="002C731E">
        <w:rPr>
          <w:rFonts w:ascii="Georgia" w:hAnsi="Georgia" w:cs="Arial"/>
          <w:sz w:val="22"/>
          <w:szCs w:val="22"/>
        </w:rPr>
        <w:t xml:space="preserve"> </w:t>
      </w:r>
      <w:r w:rsidR="00E53C51">
        <w:rPr>
          <w:rFonts w:ascii="Georgia" w:hAnsi="Georgia" w:cs="Arial"/>
          <w:sz w:val="22"/>
          <w:szCs w:val="22"/>
        </w:rPr>
        <w:t>18</w:t>
      </w:r>
      <w:r w:rsidRPr="002C731E">
        <w:rPr>
          <w:rFonts w:ascii="Georgia" w:hAnsi="Georgia" w:cs="Arial"/>
          <w:sz w:val="22"/>
          <w:szCs w:val="22"/>
        </w:rPr>
        <w:t xml:space="preserve"> months old. Information relating to member eligibility checks and coverage types is available on the MassHealth website at </w:t>
      </w:r>
      <w:hyperlink r:id="rId12" w:history="1">
        <w:r w:rsidR="000A6985" w:rsidRPr="00F915BC">
          <w:rPr>
            <w:rStyle w:val="Hyperlink"/>
            <w:rFonts w:ascii="Georgia" w:hAnsi="Georgia" w:cs="Arial"/>
            <w:sz w:val="22"/>
            <w:szCs w:val="22"/>
          </w:rPr>
          <w:t>www.mass.gov/masshealth</w:t>
        </w:r>
        <w:r w:rsidR="00F915BC" w:rsidRPr="00F915BC">
          <w:rPr>
            <w:rStyle w:val="Hyperlink"/>
            <w:rFonts w:ascii="Georgia" w:hAnsi="Georgia" w:cs="Arial"/>
            <w:sz w:val="22"/>
            <w:szCs w:val="22"/>
          </w:rPr>
          <w:t>-for-providers</w:t>
        </w:r>
      </w:hyperlink>
      <w:r w:rsidR="00F915BC">
        <w:rPr>
          <w:rFonts w:ascii="Georgia" w:hAnsi="Georgia" w:cs="Arial"/>
          <w:sz w:val="22"/>
          <w:szCs w:val="22"/>
        </w:rPr>
        <w:t>.</w:t>
      </w:r>
    </w:p>
    <w:p w14:paraId="2367B634" w14:textId="77777777" w:rsidR="002C731E" w:rsidRPr="0037372A" w:rsidRDefault="002C731E" w:rsidP="002C731E">
      <w:pPr>
        <w:ind w:left="576" w:right="576"/>
        <w:rPr>
          <w:rFonts w:ascii="Georgia" w:hAnsi="Georgia" w:cs="Arial"/>
          <w:b/>
          <w:sz w:val="22"/>
          <w:szCs w:val="22"/>
        </w:rPr>
      </w:pPr>
    </w:p>
    <w:p w14:paraId="6E3C3847" w14:textId="77777777" w:rsidR="000A6985" w:rsidRDefault="000A6985">
      <w:pPr>
        <w:rPr>
          <w:rFonts w:ascii="Georgia" w:hAnsi="Georgia" w:cs="Arial"/>
          <w:b/>
          <w:sz w:val="22"/>
          <w:szCs w:val="22"/>
        </w:rPr>
        <w:sectPr w:rsidR="000A6985" w:rsidSect="00F915BC">
          <w:footerReference w:type="default" r:id="rId13"/>
          <w:pgSz w:w="12240" w:h="15840" w:code="1"/>
          <w:pgMar w:top="720" w:right="1080" w:bottom="810" w:left="1080" w:header="0" w:footer="490" w:gutter="0"/>
          <w:pgBorders w:offsetFrom="page">
            <w:top w:val="single" w:sz="18" w:space="31" w:color="1F497D"/>
            <w:left w:val="single" w:sz="18" w:space="31" w:color="1F497D"/>
            <w:bottom w:val="single" w:sz="18" w:space="31" w:color="1F497D"/>
            <w:right w:val="single" w:sz="18" w:space="31" w:color="1F497D"/>
          </w:pgBorders>
          <w:cols w:space="720"/>
        </w:sectPr>
      </w:pPr>
    </w:p>
    <w:p w14:paraId="780277CC" w14:textId="77777777" w:rsidR="00D25C6D" w:rsidRDefault="00D25C6D" w:rsidP="00D25C6D">
      <w:pPr>
        <w:pStyle w:val="Heading1"/>
        <w:tabs>
          <w:tab w:val="clear" w:pos="6426"/>
          <w:tab w:val="left" w:pos="5760"/>
        </w:tabs>
        <w:ind w:left="5040"/>
        <w:rPr>
          <w:rFonts w:ascii="Georgia" w:hAnsi="Georgia" w:cs="Arial"/>
          <w:color w:val="1F497D"/>
          <w:sz w:val="24"/>
          <w:szCs w:val="24"/>
        </w:rPr>
      </w:pPr>
    </w:p>
    <w:p w14:paraId="33580787" w14:textId="77777777" w:rsidR="00D25C6D" w:rsidRPr="00B54F89" w:rsidRDefault="00D25C6D" w:rsidP="00D25C6D">
      <w:pPr>
        <w:pStyle w:val="Heading1"/>
        <w:tabs>
          <w:tab w:val="clear" w:pos="6426"/>
          <w:tab w:val="left" w:pos="5760"/>
        </w:tabs>
        <w:ind w:left="5040"/>
        <w:rPr>
          <w:rFonts w:ascii="Georgia" w:hAnsi="Georgia" w:cs="Arial"/>
          <w:color w:val="1F497D"/>
          <w:sz w:val="24"/>
          <w:szCs w:val="24"/>
        </w:rPr>
      </w:pPr>
      <w:r w:rsidRPr="00B54F89">
        <w:rPr>
          <w:rFonts w:ascii="Georgia" w:hAnsi="Georgia" w:cs="Arial"/>
          <w:color w:val="1F497D"/>
          <w:sz w:val="24"/>
          <w:szCs w:val="24"/>
        </w:rPr>
        <w:t>MassHealth</w:t>
      </w:r>
    </w:p>
    <w:p w14:paraId="532598EA" w14:textId="693FF769" w:rsidR="00D25C6D" w:rsidRPr="001433E7" w:rsidRDefault="00D25C6D" w:rsidP="00D25C6D">
      <w:pPr>
        <w:pStyle w:val="Heading1"/>
        <w:tabs>
          <w:tab w:val="clear" w:pos="6426"/>
          <w:tab w:val="left" w:pos="5760"/>
        </w:tabs>
        <w:ind w:left="5040"/>
        <w:rPr>
          <w:rFonts w:ascii="Georgia" w:hAnsi="Georgia" w:cs="Arial"/>
          <w:color w:val="1F497D"/>
          <w:szCs w:val="22"/>
        </w:rPr>
      </w:pPr>
      <w:r w:rsidRPr="00591F98">
        <w:rPr>
          <w:rFonts w:ascii="Georgia" w:hAnsi="Georgia" w:cs="Arial"/>
          <w:color w:val="1F497D"/>
          <w:sz w:val="24"/>
          <w:szCs w:val="24"/>
        </w:rPr>
        <w:t xml:space="preserve">Limited Services Clinic Bulletin </w:t>
      </w:r>
      <w:r w:rsidR="00D634BF">
        <w:rPr>
          <w:rFonts w:ascii="Georgia" w:hAnsi="Georgia" w:cs="Arial"/>
          <w:color w:val="1F497D"/>
          <w:sz w:val="24"/>
          <w:szCs w:val="24"/>
        </w:rPr>
        <w:t>5</w:t>
      </w:r>
    </w:p>
    <w:p w14:paraId="64681ECC" w14:textId="6C417D9F" w:rsidR="00D25C6D" w:rsidRPr="001433E7" w:rsidRDefault="00245330" w:rsidP="00D25C6D">
      <w:pPr>
        <w:pStyle w:val="Heading1"/>
        <w:tabs>
          <w:tab w:val="clear" w:pos="6426"/>
          <w:tab w:val="left" w:pos="5760"/>
        </w:tabs>
        <w:ind w:left="5040"/>
        <w:rPr>
          <w:rFonts w:ascii="Georgia" w:hAnsi="Georgia" w:cs="Arial"/>
          <w:color w:val="1F497D"/>
          <w:szCs w:val="22"/>
        </w:rPr>
      </w:pPr>
      <w:r>
        <w:rPr>
          <w:rFonts w:ascii="Georgia" w:hAnsi="Georgia" w:cs="Arial"/>
          <w:color w:val="1F497D"/>
          <w:sz w:val="24"/>
          <w:szCs w:val="24"/>
        </w:rPr>
        <w:t>March</w:t>
      </w:r>
      <w:r w:rsidR="00D25C6D" w:rsidRPr="00591F98">
        <w:rPr>
          <w:rFonts w:ascii="Georgia" w:hAnsi="Georgia" w:cs="Arial"/>
          <w:color w:val="1F497D"/>
          <w:sz w:val="24"/>
          <w:szCs w:val="24"/>
        </w:rPr>
        <w:t xml:space="preserve"> 2018</w:t>
      </w:r>
    </w:p>
    <w:p w14:paraId="0972777E" w14:textId="5226F7A4" w:rsidR="00D25C6D" w:rsidRDefault="00D25C6D" w:rsidP="00D25C6D">
      <w:pPr>
        <w:pStyle w:val="Heading1"/>
        <w:tabs>
          <w:tab w:val="clear" w:pos="6426"/>
          <w:tab w:val="left" w:pos="5760"/>
        </w:tabs>
        <w:ind w:left="5040"/>
        <w:rPr>
          <w:rFonts w:ascii="Georgia" w:hAnsi="Georgia" w:cs="Arial"/>
          <w:color w:val="1F497D"/>
          <w:sz w:val="24"/>
          <w:szCs w:val="24"/>
        </w:rPr>
      </w:pPr>
      <w:r w:rsidRPr="00B13DE1">
        <w:rPr>
          <w:rFonts w:ascii="Georgia" w:hAnsi="Georgia" w:cs="Arial"/>
          <w:color w:val="1F497D"/>
          <w:sz w:val="24"/>
          <w:szCs w:val="24"/>
        </w:rPr>
        <w:t xml:space="preserve">Page </w:t>
      </w:r>
      <w:r>
        <w:rPr>
          <w:rFonts w:ascii="Georgia" w:hAnsi="Georgia" w:cs="Arial"/>
          <w:color w:val="1F497D"/>
          <w:sz w:val="24"/>
          <w:szCs w:val="24"/>
        </w:rPr>
        <w:t>5</w:t>
      </w:r>
    </w:p>
    <w:p w14:paraId="6990BBEA" w14:textId="77777777" w:rsidR="00D25C6D" w:rsidRDefault="00D25C6D" w:rsidP="0028593E">
      <w:pPr>
        <w:ind w:left="576" w:right="576"/>
        <w:rPr>
          <w:rFonts w:ascii="Georgia" w:hAnsi="Georgia" w:cs="Arial"/>
          <w:b/>
          <w:sz w:val="22"/>
          <w:szCs w:val="22"/>
        </w:rPr>
      </w:pPr>
    </w:p>
    <w:p w14:paraId="5CC5B338" w14:textId="19E14B3B" w:rsidR="0028593E" w:rsidRPr="0037372A" w:rsidRDefault="002C731E" w:rsidP="00E0595A">
      <w:pPr>
        <w:ind w:left="540" w:right="576"/>
        <w:rPr>
          <w:rFonts w:ascii="Georgia" w:hAnsi="Georgia" w:cs="Arial"/>
          <w:b/>
          <w:sz w:val="22"/>
          <w:szCs w:val="22"/>
        </w:rPr>
      </w:pPr>
      <w:r w:rsidRPr="0037372A">
        <w:rPr>
          <w:rFonts w:ascii="Georgia" w:hAnsi="Georgia" w:cs="Arial"/>
          <w:b/>
          <w:sz w:val="22"/>
          <w:szCs w:val="22"/>
        </w:rPr>
        <w:t>Billing Instructions</w:t>
      </w:r>
      <w:r w:rsidRPr="0037372A">
        <w:rPr>
          <w:rFonts w:ascii="Georgia" w:hAnsi="Georgia" w:cs="Arial"/>
          <w:b/>
          <w:sz w:val="22"/>
          <w:szCs w:val="22"/>
        </w:rPr>
        <w:tab/>
      </w:r>
    </w:p>
    <w:p w14:paraId="27794C61" w14:textId="77777777" w:rsidR="0028593E" w:rsidRDefault="0028593E" w:rsidP="0028593E">
      <w:pPr>
        <w:ind w:left="576" w:right="576"/>
        <w:rPr>
          <w:rFonts w:ascii="Georgia" w:hAnsi="Georgia" w:cs="Arial"/>
          <w:sz w:val="22"/>
          <w:szCs w:val="22"/>
        </w:rPr>
      </w:pPr>
    </w:p>
    <w:p w14:paraId="522E6F77" w14:textId="2F3A349F" w:rsidR="00283142" w:rsidRPr="008050C8" w:rsidRDefault="005133E9" w:rsidP="00E0595A">
      <w:pPr>
        <w:ind w:left="567"/>
        <w:rPr>
          <w:rFonts w:ascii="Georgia" w:hAnsi="Georgia" w:cs="Arial"/>
          <w:color w:val="0000FF"/>
          <w:sz w:val="22"/>
          <w:szCs w:val="22"/>
        </w:rPr>
      </w:pPr>
      <w:r w:rsidRPr="005133E9">
        <w:rPr>
          <w:rFonts w:ascii="Georgia" w:hAnsi="Georgia"/>
          <w:sz w:val="22"/>
          <w:szCs w:val="22"/>
        </w:rPr>
        <w:t xml:space="preserve">This bulletin is available on the MassHealth website at </w:t>
      </w:r>
      <w:hyperlink r:id="rId14" w:history="1">
        <w:r w:rsidRPr="008050C8">
          <w:rPr>
            <w:rStyle w:val="Hyperlink"/>
            <w:rFonts w:ascii="Georgia" w:hAnsi="Georgia"/>
            <w:sz w:val="22"/>
            <w:szCs w:val="22"/>
          </w:rPr>
          <w:t>www.mass.gov/masshealth-provider-bulletins</w:t>
        </w:r>
      </w:hyperlink>
      <w:r w:rsidRPr="008050C8">
        <w:rPr>
          <w:rStyle w:val="Hyperlink"/>
          <w:u w:val="none"/>
        </w:rPr>
        <w:t>.</w:t>
      </w:r>
      <w:r w:rsidR="00283142" w:rsidRPr="008050C8">
        <w:rPr>
          <w:rStyle w:val="Hyperlink"/>
          <w:sz w:val="22"/>
          <w:szCs w:val="22"/>
          <w:u w:val="none"/>
        </w:rPr>
        <w:t xml:space="preserve"> </w:t>
      </w:r>
    </w:p>
    <w:p w14:paraId="214CAD16" w14:textId="77777777" w:rsidR="00283142" w:rsidRDefault="00283142" w:rsidP="00E0595A">
      <w:pPr>
        <w:ind w:left="540"/>
      </w:pPr>
    </w:p>
    <w:p w14:paraId="6A11CE0F" w14:textId="5CB6D8CF" w:rsidR="005133E9" w:rsidRPr="008050C8" w:rsidRDefault="005133E9" w:rsidP="005133E9">
      <w:pPr>
        <w:ind w:left="585"/>
        <w:rPr>
          <w:rFonts w:ascii="Georgia" w:hAnsi="Georgia"/>
          <w:sz w:val="22"/>
          <w:szCs w:val="22"/>
        </w:rPr>
      </w:pPr>
      <w:r w:rsidRPr="005133E9">
        <w:rPr>
          <w:rFonts w:ascii="Georgia" w:hAnsi="Georgia"/>
          <w:sz w:val="22"/>
          <w:szCs w:val="22"/>
        </w:rPr>
        <w:t xml:space="preserve">To </w:t>
      </w:r>
      <w:hyperlink r:id="rId15" w:history="1">
        <w:r w:rsidRPr="005133E9">
          <w:rPr>
            <w:rStyle w:val="Hyperlink"/>
            <w:rFonts w:ascii="Georgia" w:hAnsi="Georgia"/>
            <w:sz w:val="22"/>
            <w:szCs w:val="22"/>
          </w:rPr>
          <w:t>sign up</w:t>
        </w:r>
        <w:r w:rsidRPr="008050C8">
          <w:rPr>
            <w:rStyle w:val="Hyperlink"/>
            <w:rFonts w:ascii="Georgia" w:hAnsi="Georgia"/>
            <w:sz w:val="22"/>
            <w:szCs w:val="22"/>
            <w:u w:val="none"/>
          </w:rPr>
          <w:t xml:space="preserve"> </w:t>
        </w:r>
      </w:hyperlink>
      <w:r w:rsidRPr="005133E9">
        <w:rPr>
          <w:rFonts w:ascii="Georgia" w:hAnsi="Georgia"/>
          <w:sz w:val="22"/>
          <w:szCs w:val="22"/>
        </w:rPr>
        <w:t>to receive email alerts when MassHealth issues new bulletins and transmittal letters, send a blank email to </w:t>
      </w:r>
      <w:hyperlink r:id="rId16" w:history="1">
        <w:r w:rsidRPr="005133E9">
          <w:rPr>
            <w:rStyle w:val="Hyperlink"/>
            <w:rFonts w:ascii="Georgia" w:hAnsi="Georgia"/>
            <w:sz w:val="22"/>
            <w:szCs w:val="22"/>
          </w:rPr>
          <w:t>join-masshealth-provider-pubs@listserv.state.ma.us</w:t>
        </w:r>
      </w:hyperlink>
      <w:r w:rsidRPr="005133E9">
        <w:rPr>
          <w:rFonts w:ascii="Georgia" w:hAnsi="Georgia"/>
          <w:sz w:val="22"/>
          <w:szCs w:val="22"/>
        </w:rPr>
        <w:t>. No text in the body or subject line is needed.</w:t>
      </w:r>
    </w:p>
    <w:p w14:paraId="7373E154" w14:textId="18606ED6" w:rsidR="002C731E" w:rsidRPr="008050C8" w:rsidRDefault="002C731E" w:rsidP="0028593E">
      <w:pPr>
        <w:ind w:left="576" w:right="576"/>
        <w:rPr>
          <w:rFonts w:ascii="Georgia" w:hAnsi="Georgia" w:cs="Arial"/>
          <w:color w:val="0000FF"/>
          <w:sz w:val="22"/>
          <w:szCs w:val="22"/>
        </w:rPr>
      </w:pPr>
    </w:p>
    <w:p w14:paraId="4FF3610F" w14:textId="77777777" w:rsidR="002C731E" w:rsidRPr="0037372A" w:rsidRDefault="002C731E" w:rsidP="002C731E">
      <w:pPr>
        <w:ind w:left="576" w:right="576"/>
        <w:rPr>
          <w:rFonts w:ascii="Georgia" w:hAnsi="Georgia" w:cs="Arial"/>
          <w:b/>
          <w:sz w:val="22"/>
          <w:szCs w:val="22"/>
        </w:rPr>
      </w:pPr>
      <w:r w:rsidRPr="0037372A">
        <w:rPr>
          <w:rFonts w:ascii="Georgia" w:hAnsi="Georgia" w:cs="Arial"/>
          <w:b/>
          <w:sz w:val="22"/>
          <w:szCs w:val="22"/>
        </w:rPr>
        <w:t>Recordkeeping Requirements (Medical Records)</w:t>
      </w:r>
      <w:r w:rsidRPr="0037372A">
        <w:rPr>
          <w:rFonts w:ascii="Georgia" w:hAnsi="Georgia" w:cs="Arial"/>
          <w:b/>
          <w:sz w:val="22"/>
          <w:szCs w:val="22"/>
        </w:rPr>
        <w:tab/>
      </w:r>
    </w:p>
    <w:p w14:paraId="46DF565D" w14:textId="77777777" w:rsidR="002C731E" w:rsidRPr="002C731E" w:rsidRDefault="002C731E" w:rsidP="002C731E">
      <w:pPr>
        <w:ind w:left="576" w:right="576"/>
        <w:rPr>
          <w:rFonts w:ascii="Georgia" w:hAnsi="Georgia" w:cs="Arial"/>
          <w:sz w:val="22"/>
          <w:szCs w:val="22"/>
        </w:rPr>
      </w:pPr>
    </w:p>
    <w:p w14:paraId="0101066E" w14:textId="61ED2627" w:rsidR="002C731E" w:rsidRDefault="002C731E" w:rsidP="002C731E">
      <w:pPr>
        <w:ind w:left="576" w:right="576"/>
        <w:rPr>
          <w:rFonts w:ascii="Georgia" w:hAnsi="Georgia" w:cs="Arial"/>
          <w:sz w:val="22"/>
          <w:szCs w:val="22"/>
        </w:rPr>
      </w:pPr>
      <w:r w:rsidRPr="002C731E">
        <w:rPr>
          <w:rFonts w:ascii="Georgia" w:hAnsi="Georgia" w:cs="Arial"/>
          <w:sz w:val="22"/>
          <w:szCs w:val="22"/>
        </w:rPr>
        <w:t>LSCs are governed by MassHealth recordkeeping provisions at 130 CMR 450.205 and DPH regulations at 105 CMR 140.302. In addition, DPH regulations at 105 CMR 140.</w:t>
      </w:r>
      <w:r w:rsidR="00E53C51">
        <w:rPr>
          <w:rFonts w:ascii="Georgia" w:hAnsi="Georgia" w:cs="Arial"/>
          <w:sz w:val="22"/>
          <w:szCs w:val="22"/>
        </w:rPr>
        <w:t xml:space="preserve">1001(G) </w:t>
      </w:r>
      <w:r w:rsidRPr="002C731E">
        <w:rPr>
          <w:rFonts w:ascii="Georgia" w:hAnsi="Georgia" w:cs="Arial"/>
          <w:sz w:val="22"/>
          <w:szCs w:val="22"/>
        </w:rPr>
        <w:t>state that the LSC must provide a copy of the medical record to the MassHealth member at the end of the visit or as soon as available, and, with the member’s consent, provide a facsimile or electronically transmitted copy of the medical record of the visit to the member’s primary care practitioner, if any. Such copies or transmissions must be provided at no charge to the member.</w:t>
      </w:r>
    </w:p>
    <w:p w14:paraId="2563AE6B" w14:textId="77777777" w:rsidR="00D25C6D" w:rsidRDefault="00D25C6D" w:rsidP="002C731E">
      <w:pPr>
        <w:ind w:left="576" w:right="576"/>
        <w:rPr>
          <w:rFonts w:ascii="Georgia" w:hAnsi="Georgia" w:cs="Arial"/>
          <w:sz w:val="22"/>
          <w:szCs w:val="22"/>
        </w:rPr>
      </w:pPr>
    </w:p>
    <w:p w14:paraId="5F075C73" w14:textId="77777777" w:rsidR="002C731E" w:rsidRPr="0037372A" w:rsidRDefault="002C731E" w:rsidP="002C731E">
      <w:pPr>
        <w:ind w:left="576" w:right="576"/>
        <w:rPr>
          <w:rFonts w:ascii="Georgia" w:hAnsi="Georgia" w:cs="Arial"/>
          <w:b/>
          <w:sz w:val="22"/>
          <w:szCs w:val="22"/>
        </w:rPr>
      </w:pPr>
      <w:r w:rsidRPr="0037372A">
        <w:rPr>
          <w:rFonts w:ascii="Georgia" w:hAnsi="Georgia" w:cs="Arial"/>
          <w:b/>
          <w:sz w:val="22"/>
          <w:szCs w:val="22"/>
        </w:rPr>
        <w:t>Fee Schedule</w:t>
      </w:r>
      <w:r w:rsidRPr="0037372A">
        <w:rPr>
          <w:rFonts w:ascii="Georgia" w:hAnsi="Georgia" w:cs="Arial"/>
          <w:b/>
          <w:sz w:val="22"/>
          <w:szCs w:val="22"/>
        </w:rPr>
        <w:tab/>
      </w:r>
    </w:p>
    <w:p w14:paraId="38728AFC" w14:textId="77777777" w:rsidR="002C731E" w:rsidRPr="002C731E" w:rsidRDefault="002C731E" w:rsidP="002C731E">
      <w:pPr>
        <w:ind w:left="576" w:right="576"/>
        <w:rPr>
          <w:rFonts w:ascii="Georgia" w:hAnsi="Georgia" w:cs="Arial"/>
          <w:sz w:val="22"/>
          <w:szCs w:val="22"/>
        </w:rPr>
      </w:pPr>
    </w:p>
    <w:p w14:paraId="1D4AABE8" w14:textId="77777777"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 xml:space="preserve">Service codes noted above are within the current Executive Office of Health and Human Services fee schedules at 101 CMR 317.00: </w:t>
      </w:r>
      <w:r w:rsidRPr="00F915BC">
        <w:rPr>
          <w:rFonts w:ascii="Georgia" w:hAnsi="Georgia" w:cs="Arial"/>
          <w:i/>
          <w:sz w:val="22"/>
          <w:szCs w:val="22"/>
        </w:rPr>
        <w:t>Medicine</w:t>
      </w:r>
      <w:r w:rsidRPr="002C731E">
        <w:rPr>
          <w:rFonts w:ascii="Georgia" w:hAnsi="Georgia" w:cs="Arial"/>
          <w:sz w:val="22"/>
          <w:szCs w:val="22"/>
        </w:rPr>
        <w:t xml:space="preserve">; 101 CMR 316.00: </w:t>
      </w:r>
      <w:r w:rsidRPr="00F915BC">
        <w:rPr>
          <w:rFonts w:ascii="Georgia" w:hAnsi="Georgia" w:cs="Arial"/>
          <w:i/>
          <w:sz w:val="22"/>
          <w:szCs w:val="22"/>
        </w:rPr>
        <w:t>Surgery and Anesthesia Services</w:t>
      </w:r>
      <w:r w:rsidRPr="002C731E">
        <w:rPr>
          <w:rFonts w:ascii="Georgia" w:hAnsi="Georgia" w:cs="Arial"/>
          <w:sz w:val="22"/>
          <w:szCs w:val="22"/>
        </w:rPr>
        <w:t xml:space="preserve">; and 101 CMR 320.00: </w:t>
      </w:r>
      <w:r w:rsidRPr="00F915BC">
        <w:rPr>
          <w:rFonts w:ascii="Georgia" w:hAnsi="Georgia" w:cs="Arial"/>
          <w:i/>
          <w:sz w:val="22"/>
          <w:szCs w:val="22"/>
        </w:rPr>
        <w:t>Clinical Laboratory Services</w:t>
      </w:r>
      <w:r w:rsidRPr="002C731E">
        <w:rPr>
          <w:rFonts w:ascii="Georgia" w:hAnsi="Georgia" w:cs="Arial"/>
          <w:sz w:val="22"/>
          <w:szCs w:val="22"/>
        </w:rPr>
        <w:t xml:space="preserve">. </w:t>
      </w:r>
    </w:p>
    <w:p w14:paraId="54B1AC43" w14:textId="77777777" w:rsidR="002C731E" w:rsidRPr="002C731E" w:rsidRDefault="002C731E" w:rsidP="002C731E">
      <w:pPr>
        <w:ind w:left="576" w:right="576"/>
        <w:rPr>
          <w:rFonts w:ascii="Georgia" w:hAnsi="Georgia" w:cs="Arial"/>
          <w:sz w:val="22"/>
          <w:szCs w:val="22"/>
        </w:rPr>
      </w:pPr>
    </w:p>
    <w:p w14:paraId="3F2A5D08" w14:textId="77777777"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 xml:space="preserve">Services provided by licensed nurse practitioners and billed by LSCs are paid according to the applicable mid-level fee schedule. </w:t>
      </w:r>
    </w:p>
    <w:p w14:paraId="573FDBD0" w14:textId="77777777" w:rsidR="002C731E" w:rsidRPr="002C731E" w:rsidRDefault="002C731E" w:rsidP="002C731E">
      <w:pPr>
        <w:ind w:left="576" w:right="576"/>
        <w:rPr>
          <w:rFonts w:ascii="Georgia" w:hAnsi="Georgia" w:cs="Arial"/>
          <w:sz w:val="22"/>
          <w:szCs w:val="22"/>
        </w:rPr>
      </w:pPr>
    </w:p>
    <w:p w14:paraId="47E0A795" w14:textId="77777777" w:rsidR="002C731E" w:rsidRPr="0037372A" w:rsidRDefault="002C731E" w:rsidP="0037372A">
      <w:pPr>
        <w:ind w:left="3456" w:right="576" w:hanging="2880"/>
        <w:rPr>
          <w:rFonts w:ascii="Georgia" w:hAnsi="Georgia" w:cs="Arial"/>
          <w:b/>
          <w:color w:val="1F497D"/>
          <w:sz w:val="24"/>
          <w:szCs w:val="24"/>
        </w:rPr>
      </w:pPr>
      <w:r w:rsidRPr="0037372A">
        <w:rPr>
          <w:rFonts w:ascii="Georgia" w:hAnsi="Georgia" w:cs="Arial"/>
          <w:b/>
          <w:color w:val="1F497D"/>
          <w:sz w:val="24"/>
          <w:szCs w:val="24"/>
        </w:rPr>
        <w:t>Questions</w:t>
      </w:r>
    </w:p>
    <w:p w14:paraId="1089E3FC" w14:textId="77777777" w:rsidR="002C731E" w:rsidRPr="002C731E" w:rsidRDefault="002C731E" w:rsidP="002C731E">
      <w:pPr>
        <w:ind w:left="576" w:right="576"/>
        <w:rPr>
          <w:rFonts w:ascii="Georgia" w:hAnsi="Georgia" w:cs="Arial"/>
          <w:sz w:val="22"/>
          <w:szCs w:val="22"/>
        </w:rPr>
      </w:pPr>
    </w:p>
    <w:p w14:paraId="14FC00C2" w14:textId="77777777" w:rsidR="002C731E" w:rsidRPr="002C731E" w:rsidRDefault="002C731E" w:rsidP="002C731E">
      <w:pPr>
        <w:ind w:left="576" w:right="576"/>
        <w:rPr>
          <w:rFonts w:ascii="Georgia" w:hAnsi="Georgia" w:cs="Arial"/>
          <w:sz w:val="22"/>
          <w:szCs w:val="22"/>
        </w:rPr>
      </w:pPr>
      <w:r w:rsidRPr="002C731E">
        <w:rPr>
          <w:rFonts w:ascii="Georgia" w:hAnsi="Georgia" w:cs="Arial"/>
          <w:sz w:val="22"/>
          <w:szCs w:val="22"/>
        </w:rPr>
        <w:t>If you have any questions about the information in this bulletin, please contact the MassHealth Customer Serv</w:t>
      </w:r>
      <w:r w:rsidR="007F27C4">
        <w:rPr>
          <w:rFonts w:ascii="Georgia" w:hAnsi="Georgia" w:cs="Arial"/>
          <w:sz w:val="22"/>
          <w:szCs w:val="22"/>
        </w:rPr>
        <w:t>ice Center at 1-800-841-2900, e</w:t>
      </w:r>
      <w:r w:rsidRPr="002C731E">
        <w:rPr>
          <w:rFonts w:ascii="Georgia" w:hAnsi="Georgia" w:cs="Arial"/>
          <w:sz w:val="22"/>
          <w:szCs w:val="22"/>
        </w:rPr>
        <w:t>mail your question to providersupport@mahealth.</w:t>
      </w:r>
      <w:r w:rsidR="00B13DE1">
        <w:rPr>
          <w:rFonts w:ascii="Georgia" w:hAnsi="Georgia" w:cs="Arial"/>
          <w:sz w:val="22"/>
          <w:szCs w:val="22"/>
        </w:rPr>
        <w:t>net, or fax your inquiry to 617-988-</w:t>
      </w:r>
      <w:r w:rsidRPr="002C731E">
        <w:rPr>
          <w:rFonts w:ascii="Georgia" w:hAnsi="Georgia" w:cs="Arial"/>
          <w:sz w:val="22"/>
          <w:szCs w:val="22"/>
        </w:rPr>
        <w:t>8974.</w:t>
      </w:r>
    </w:p>
    <w:p w14:paraId="22B5CD86" w14:textId="77777777" w:rsidR="00D65B5E" w:rsidRPr="003F56EC" w:rsidRDefault="00D65B5E" w:rsidP="003F56EC">
      <w:pPr>
        <w:tabs>
          <w:tab w:val="left" w:pos="6900"/>
        </w:tabs>
        <w:rPr>
          <w:rFonts w:ascii="Georgia" w:hAnsi="Georgia" w:cs="Arial"/>
          <w:sz w:val="22"/>
          <w:szCs w:val="22"/>
        </w:rPr>
      </w:pPr>
    </w:p>
    <w:sectPr w:rsidR="00D65B5E" w:rsidRPr="003F56EC" w:rsidSect="00F915BC">
      <w:footerReference w:type="default" r:id="rId17"/>
      <w:pgSz w:w="12240" w:h="15840" w:code="1"/>
      <w:pgMar w:top="720" w:right="1080" w:bottom="810" w:left="1080" w:header="0" w:footer="936"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E4FD9" w14:textId="77777777" w:rsidR="00D05050" w:rsidRDefault="00D05050" w:rsidP="00D65B5E">
      <w:r>
        <w:separator/>
      </w:r>
    </w:p>
  </w:endnote>
  <w:endnote w:type="continuationSeparator" w:id="0">
    <w:p w14:paraId="305A4EFC" w14:textId="77777777" w:rsidR="00D05050" w:rsidRDefault="00D05050"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533B9" w14:textId="77777777" w:rsidR="009E2B46" w:rsidRPr="003F56EC" w:rsidRDefault="009E2B46" w:rsidP="009E2B46">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p w14:paraId="217DEC91" w14:textId="77777777" w:rsidR="009E2B46" w:rsidRPr="003F56EC" w:rsidRDefault="009E2B46" w:rsidP="003F56EC">
    <w:pPr>
      <w:tabs>
        <w:tab w:val="left" w:pos="504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0C8A9" w14:textId="77777777" w:rsidR="009E2B46" w:rsidRPr="003F56EC" w:rsidRDefault="009E2B46" w:rsidP="003F56EC">
    <w:pPr>
      <w:tabs>
        <w:tab w:val="left" w:pos="5040"/>
      </w:tabs>
      <w:suppressAutoHyphens/>
      <w:ind w:firstLine="540"/>
      <w:rPr>
        <w:rFonts w:ascii="Bookman Old Style" w:hAnsi="Bookman Old Style"/>
        <w:i/>
      </w:rPr>
    </w:pPr>
    <w:r>
      <w:rPr>
        <w:rStyle w:val="Hyperlink"/>
        <w:rFonts w:ascii="Bookman Old Style" w:hAnsi="Bookman Old Style"/>
        <w:i/>
        <w:color w:val="auto"/>
        <w:u w:val="none"/>
      </w:rPr>
      <w:tab/>
    </w:r>
    <w:r>
      <w:rPr>
        <w:rStyle w:val="Hyperlink"/>
        <w:rFonts w:ascii="Bookman Old Style" w:hAnsi="Bookman Old Style"/>
        <w:i/>
        <w:color w:val="auto"/>
        <w:u w:val="none"/>
      </w:rPr>
      <w:tab/>
    </w:r>
    <w:r>
      <w:rPr>
        <w:rStyle w:val="Hyperlink"/>
        <w:rFonts w:ascii="Bookman Old Style" w:hAnsi="Bookman Old Style"/>
        <w:i/>
        <w:color w:val="auto"/>
        <w:u w:val="none"/>
      </w:rPr>
      <w:tab/>
    </w: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r w:rsidRPr="003F56EC">
      <w:rPr>
        <w:rStyle w:val="Hyperlink"/>
        <w:rFonts w:ascii="Bookman Old Style" w:hAnsi="Bookman Old Style"/>
        <w:i/>
        <w:color w:val="auto"/>
        <w:u w:val="non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854D1" w14:textId="77777777" w:rsidR="00D05050" w:rsidRDefault="00D05050" w:rsidP="00D65B5E">
      <w:r>
        <w:separator/>
      </w:r>
    </w:p>
  </w:footnote>
  <w:footnote w:type="continuationSeparator" w:id="0">
    <w:p w14:paraId="08564042" w14:textId="77777777" w:rsidR="00D05050" w:rsidRDefault="00D05050" w:rsidP="00D65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Pierce">
    <w15:presenceInfo w15:providerId="AD" w15:userId="S-1-5-21-639267416-956046722-931750244-2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1F1"/>
    <w:rsid w:val="00060097"/>
    <w:rsid w:val="00081D68"/>
    <w:rsid w:val="0008203E"/>
    <w:rsid w:val="000A0245"/>
    <w:rsid w:val="000A0662"/>
    <w:rsid w:val="000A6985"/>
    <w:rsid w:val="000B6C3A"/>
    <w:rsid w:val="000C085A"/>
    <w:rsid w:val="000F3698"/>
    <w:rsid w:val="000F5EDD"/>
    <w:rsid w:val="0010460D"/>
    <w:rsid w:val="00104B27"/>
    <w:rsid w:val="001100D4"/>
    <w:rsid w:val="00115EE8"/>
    <w:rsid w:val="00122FC2"/>
    <w:rsid w:val="001341D1"/>
    <w:rsid w:val="001433E7"/>
    <w:rsid w:val="00144477"/>
    <w:rsid w:val="0015177D"/>
    <w:rsid w:val="00153CFF"/>
    <w:rsid w:val="00163194"/>
    <w:rsid w:val="00165B68"/>
    <w:rsid w:val="00165D0F"/>
    <w:rsid w:val="00173613"/>
    <w:rsid w:val="00174EED"/>
    <w:rsid w:val="0019295A"/>
    <w:rsid w:val="001954D2"/>
    <w:rsid w:val="0019652F"/>
    <w:rsid w:val="001A369C"/>
    <w:rsid w:val="001B792F"/>
    <w:rsid w:val="001D63E2"/>
    <w:rsid w:val="00204BAE"/>
    <w:rsid w:val="00241C06"/>
    <w:rsid w:val="00245330"/>
    <w:rsid w:val="00253ED3"/>
    <w:rsid w:val="00277E30"/>
    <w:rsid w:val="00283142"/>
    <w:rsid w:val="0028593E"/>
    <w:rsid w:val="00286E7B"/>
    <w:rsid w:val="00287894"/>
    <w:rsid w:val="002B3CFE"/>
    <w:rsid w:val="002B5624"/>
    <w:rsid w:val="002B5B63"/>
    <w:rsid w:val="002C4BD7"/>
    <w:rsid w:val="002C731E"/>
    <w:rsid w:val="002D71CA"/>
    <w:rsid w:val="002F0836"/>
    <w:rsid w:val="00300B78"/>
    <w:rsid w:val="0032082C"/>
    <w:rsid w:val="00331AAC"/>
    <w:rsid w:val="003456F5"/>
    <w:rsid w:val="00346BC5"/>
    <w:rsid w:val="00346CA3"/>
    <w:rsid w:val="00355078"/>
    <w:rsid w:val="0035533A"/>
    <w:rsid w:val="003560CD"/>
    <w:rsid w:val="00357B29"/>
    <w:rsid w:val="00367D15"/>
    <w:rsid w:val="0037372A"/>
    <w:rsid w:val="00376B20"/>
    <w:rsid w:val="00386528"/>
    <w:rsid w:val="00392917"/>
    <w:rsid w:val="00396FB3"/>
    <w:rsid w:val="003A0EBE"/>
    <w:rsid w:val="003A1405"/>
    <w:rsid w:val="003A2475"/>
    <w:rsid w:val="003B3AED"/>
    <w:rsid w:val="003C1569"/>
    <w:rsid w:val="003F0749"/>
    <w:rsid w:val="003F1943"/>
    <w:rsid w:val="003F3CCE"/>
    <w:rsid w:val="003F56EC"/>
    <w:rsid w:val="003F5A51"/>
    <w:rsid w:val="003F6732"/>
    <w:rsid w:val="0040070D"/>
    <w:rsid w:val="00404387"/>
    <w:rsid w:val="00406BBF"/>
    <w:rsid w:val="00410E6D"/>
    <w:rsid w:val="00412B59"/>
    <w:rsid w:val="0041425B"/>
    <w:rsid w:val="00421334"/>
    <w:rsid w:val="00424DB7"/>
    <w:rsid w:val="0043034D"/>
    <w:rsid w:val="004316F2"/>
    <w:rsid w:val="00434CF2"/>
    <w:rsid w:val="00440E3D"/>
    <w:rsid w:val="0044541E"/>
    <w:rsid w:val="0044729D"/>
    <w:rsid w:val="00452681"/>
    <w:rsid w:val="00454870"/>
    <w:rsid w:val="0046223D"/>
    <w:rsid w:val="0046348B"/>
    <w:rsid w:val="00472BF9"/>
    <w:rsid w:val="00486922"/>
    <w:rsid w:val="00487637"/>
    <w:rsid w:val="00491119"/>
    <w:rsid w:val="00491DF9"/>
    <w:rsid w:val="004A0F8D"/>
    <w:rsid w:val="004A2EDB"/>
    <w:rsid w:val="004A642D"/>
    <w:rsid w:val="004B0337"/>
    <w:rsid w:val="004B165B"/>
    <w:rsid w:val="004C0D0B"/>
    <w:rsid w:val="004D7CEC"/>
    <w:rsid w:val="004E1DB1"/>
    <w:rsid w:val="004E36FE"/>
    <w:rsid w:val="004F09A1"/>
    <w:rsid w:val="004F347E"/>
    <w:rsid w:val="00511E42"/>
    <w:rsid w:val="00512B5D"/>
    <w:rsid w:val="005133E9"/>
    <w:rsid w:val="00530C00"/>
    <w:rsid w:val="00533093"/>
    <w:rsid w:val="00540E00"/>
    <w:rsid w:val="00544D3B"/>
    <w:rsid w:val="005475A4"/>
    <w:rsid w:val="00566F08"/>
    <w:rsid w:val="00590CCB"/>
    <w:rsid w:val="00591CAF"/>
    <w:rsid w:val="00591F98"/>
    <w:rsid w:val="005A29F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40A54"/>
    <w:rsid w:val="00661476"/>
    <w:rsid w:val="006621A1"/>
    <w:rsid w:val="00684368"/>
    <w:rsid w:val="006917AF"/>
    <w:rsid w:val="0069586B"/>
    <w:rsid w:val="00695CC0"/>
    <w:rsid w:val="006B22E3"/>
    <w:rsid w:val="006C1E2A"/>
    <w:rsid w:val="006D0985"/>
    <w:rsid w:val="006D3F3E"/>
    <w:rsid w:val="006D63AE"/>
    <w:rsid w:val="006E3443"/>
    <w:rsid w:val="00701802"/>
    <w:rsid w:val="00706585"/>
    <w:rsid w:val="00715ADA"/>
    <w:rsid w:val="00736364"/>
    <w:rsid w:val="00746065"/>
    <w:rsid w:val="0075470C"/>
    <w:rsid w:val="00762517"/>
    <w:rsid w:val="00793652"/>
    <w:rsid w:val="007D602F"/>
    <w:rsid w:val="007E5047"/>
    <w:rsid w:val="007F085D"/>
    <w:rsid w:val="007F27C4"/>
    <w:rsid w:val="008050C8"/>
    <w:rsid w:val="00814EEC"/>
    <w:rsid w:val="008163A0"/>
    <w:rsid w:val="00817AED"/>
    <w:rsid w:val="008300C9"/>
    <w:rsid w:val="0083595D"/>
    <w:rsid w:val="00836D22"/>
    <w:rsid w:val="00853580"/>
    <w:rsid w:val="008556C1"/>
    <w:rsid w:val="00856CFC"/>
    <w:rsid w:val="008638E0"/>
    <w:rsid w:val="0087427D"/>
    <w:rsid w:val="00882865"/>
    <w:rsid w:val="00884B8D"/>
    <w:rsid w:val="008A0DD5"/>
    <w:rsid w:val="008A2757"/>
    <w:rsid w:val="008A5E41"/>
    <w:rsid w:val="008B6990"/>
    <w:rsid w:val="008C1CF5"/>
    <w:rsid w:val="008C3BDF"/>
    <w:rsid w:val="0090478E"/>
    <w:rsid w:val="00905BB5"/>
    <w:rsid w:val="0091250B"/>
    <w:rsid w:val="00930A2B"/>
    <w:rsid w:val="009478C1"/>
    <w:rsid w:val="009538D8"/>
    <w:rsid w:val="00957B5D"/>
    <w:rsid w:val="00967E33"/>
    <w:rsid w:val="009A494A"/>
    <w:rsid w:val="009A7D2E"/>
    <w:rsid w:val="009B4F43"/>
    <w:rsid w:val="009C3053"/>
    <w:rsid w:val="009C37D5"/>
    <w:rsid w:val="009D1F5C"/>
    <w:rsid w:val="009E157D"/>
    <w:rsid w:val="009E2B46"/>
    <w:rsid w:val="00A010D1"/>
    <w:rsid w:val="00A373B6"/>
    <w:rsid w:val="00A45AAC"/>
    <w:rsid w:val="00A61095"/>
    <w:rsid w:val="00A63B71"/>
    <w:rsid w:val="00A7476F"/>
    <w:rsid w:val="00A91FB2"/>
    <w:rsid w:val="00A9437D"/>
    <w:rsid w:val="00A973B4"/>
    <w:rsid w:val="00AA1074"/>
    <w:rsid w:val="00AA5EED"/>
    <w:rsid w:val="00AB0550"/>
    <w:rsid w:val="00AB1C1F"/>
    <w:rsid w:val="00AD41AD"/>
    <w:rsid w:val="00AD6B24"/>
    <w:rsid w:val="00AF7CB8"/>
    <w:rsid w:val="00B02284"/>
    <w:rsid w:val="00B13DE1"/>
    <w:rsid w:val="00B23AA2"/>
    <w:rsid w:val="00B350E1"/>
    <w:rsid w:val="00B36452"/>
    <w:rsid w:val="00B441C4"/>
    <w:rsid w:val="00B54F89"/>
    <w:rsid w:val="00B61CF5"/>
    <w:rsid w:val="00B653B3"/>
    <w:rsid w:val="00B76513"/>
    <w:rsid w:val="00B77773"/>
    <w:rsid w:val="00B85308"/>
    <w:rsid w:val="00B877BE"/>
    <w:rsid w:val="00B93E59"/>
    <w:rsid w:val="00B9734C"/>
    <w:rsid w:val="00B97DEF"/>
    <w:rsid w:val="00BB65EB"/>
    <w:rsid w:val="00BC0557"/>
    <w:rsid w:val="00BC677C"/>
    <w:rsid w:val="00BD7984"/>
    <w:rsid w:val="00BE52FC"/>
    <w:rsid w:val="00BF5AA4"/>
    <w:rsid w:val="00C03F85"/>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05050"/>
    <w:rsid w:val="00D061FC"/>
    <w:rsid w:val="00D17FC2"/>
    <w:rsid w:val="00D25C6D"/>
    <w:rsid w:val="00D275E5"/>
    <w:rsid w:val="00D34ADE"/>
    <w:rsid w:val="00D421CC"/>
    <w:rsid w:val="00D50BEF"/>
    <w:rsid w:val="00D56854"/>
    <w:rsid w:val="00D634BF"/>
    <w:rsid w:val="00D64B09"/>
    <w:rsid w:val="00D657CA"/>
    <w:rsid w:val="00D65B5E"/>
    <w:rsid w:val="00D66920"/>
    <w:rsid w:val="00D74EF6"/>
    <w:rsid w:val="00D840C5"/>
    <w:rsid w:val="00D84C86"/>
    <w:rsid w:val="00D96485"/>
    <w:rsid w:val="00D97760"/>
    <w:rsid w:val="00DA2F9E"/>
    <w:rsid w:val="00DA3E13"/>
    <w:rsid w:val="00DB2672"/>
    <w:rsid w:val="00DC292A"/>
    <w:rsid w:val="00DE46E6"/>
    <w:rsid w:val="00E024B7"/>
    <w:rsid w:val="00E0595A"/>
    <w:rsid w:val="00E05F02"/>
    <w:rsid w:val="00E26B81"/>
    <w:rsid w:val="00E273F8"/>
    <w:rsid w:val="00E308C6"/>
    <w:rsid w:val="00E46BE7"/>
    <w:rsid w:val="00E50FFE"/>
    <w:rsid w:val="00E515EE"/>
    <w:rsid w:val="00E53C51"/>
    <w:rsid w:val="00E63572"/>
    <w:rsid w:val="00E715FE"/>
    <w:rsid w:val="00E837E7"/>
    <w:rsid w:val="00E84B1B"/>
    <w:rsid w:val="00EA1D60"/>
    <w:rsid w:val="00EA562B"/>
    <w:rsid w:val="00ED115A"/>
    <w:rsid w:val="00EE1509"/>
    <w:rsid w:val="00F12126"/>
    <w:rsid w:val="00F12C1E"/>
    <w:rsid w:val="00F21012"/>
    <w:rsid w:val="00F3021E"/>
    <w:rsid w:val="00F346A4"/>
    <w:rsid w:val="00F559B6"/>
    <w:rsid w:val="00F66A36"/>
    <w:rsid w:val="00F7118D"/>
    <w:rsid w:val="00F81EF5"/>
    <w:rsid w:val="00F85079"/>
    <w:rsid w:val="00F915BC"/>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3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table" w:styleId="TableGrid">
    <w:name w:val="Table Grid"/>
    <w:basedOn w:val="TableNormal"/>
    <w:rsid w:val="00B3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12B5D"/>
    <w:rPr>
      <w:sz w:val="16"/>
      <w:szCs w:val="16"/>
    </w:rPr>
  </w:style>
  <w:style w:type="paragraph" w:styleId="CommentText">
    <w:name w:val="annotation text"/>
    <w:basedOn w:val="Normal"/>
    <w:link w:val="CommentTextChar"/>
    <w:rsid w:val="00512B5D"/>
  </w:style>
  <w:style w:type="character" w:customStyle="1" w:styleId="CommentTextChar">
    <w:name w:val="Comment Text Char"/>
    <w:basedOn w:val="DefaultParagraphFont"/>
    <w:link w:val="CommentText"/>
    <w:rsid w:val="00512B5D"/>
  </w:style>
  <w:style w:type="paragraph" w:styleId="CommentSubject">
    <w:name w:val="annotation subject"/>
    <w:basedOn w:val="CommentText"/>
    <w:next w:val="CommentText"/>
    <w:link w:val="CommentSubjectChar"/>
    <w:rsid w:val="00512B5D"/>
    <w:rPr>
      <w:b/>
      <w:bCs/>
    </w:rPr>
  </w:style>
  <w:style w:type="character" w:customStyle="1" w:styleId="CommentSubjectChar">
    <w:name w:val="Comment Subject Char"/>
    <w:basedOn w:val="CommentTextChar"/>
    <w:link w:val="CommentSubject"/>
    <w:rsid w:val="00512B5D"/>
    <w:rPr>
      <w:b/>
      <w:bCs/>
    </w:rPr>
  </w:style>
  <w:style w:type="paragraph" w:styleId="Revision">
    <w:name w:val="Revision"/>
    <w:hidden/>
    <w:uiPriority w:val="99"/>
    <w:semiHidden/>
    <w:rsid w:val="00D25C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table" w:styleId="TableGrid">
    <w:name w:val="Table Grid"/>
    <w:basedOn w:val="TableNormal"/>
    <w:rsid w:val="00B3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12B5D"/>
    <w:rPr>
      <w:sz w:val="16"/>
      <w:szCs w:val="16"/>
    </w:rPr>
  </w:style>
  <w:style w:type="paragraph" w:styleId="CommentText">
    <w:name w:val="annotation text"/>
    <w:basedOn w:val="Normal"/>
    <w:link w:val="CommentTextChar"/>
    <w:rsid w:val="00512B5D"/>
  </w:style>
  <w:style w:type="character" w:customStyle="1" w:styleId="CommentTextChar">
    <w:name w:val="Comment Text Char"/>
    <w:basedOn w:val="DefaultParagraphFont"/>
    <w:link w:val="CommentText"/>
    <w:rsid w:val="00512B5D"/>
  </w:style>
  <w:style w:type="paragraph" w:styleId="CommentSubject">
    <w:name w:val="annotation subject"/>
    <w:basedOn w:val="CommentText"/>
    <w:next w:val="CommentText"/>
    <w:link w:val="CommentSubjectChar"/>
    <w:rsid w:val="00512B5D"/>
    <w:rPr>
      <w:b/>
      <w:bCs/>
    </w:rPr>
  </w:style>
  <w:style w:type="character" w:customStyle="1" w:styleId="CommentSubjectChar">
    <w:name w:val="Comment Subject Char"/>
    <w:basedOn w:val="CommentTextChar"/>
    <w:link w:val="CommentSubject"/>
    <w:rsid w:val="00512B5D"/>
    <w:rPr>
      <w:b/>
      <w:bCs/>
    </w:rPr>
  </w:style>
  <w:style w:type="paragraph" w:styleId="Revision">
    <w:name w:val="Revision"/>
    <w:hidden/>
    <w:uiPriority w:val="99"/>
    <w:semiHidden/>
    <w:rsid w:val="00D2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43494">
      <w:bodyDiv w:val="1"/>
      <w:marLeft w:val="0"/>
      <w:marRight w:val="0"/>
      <w:marTop w:val="0"/>
      <w:marBottom w:val="0"/>
      <w:divBdr>
        <w:top w:val="none" w:sz="0" w:space="0" w:color="auto"/>
        <w:left w:val="none" w:sz="0" w:space="0" w:color="auto"/>
        <w:bottom w:val="none" w:sz="0" w:space="0" w:color="auto"/>
        <w:right w:val="none" w:sz="0" w:space="0" w:color="auto"/>
      </w:divBdr>
    </w:div>
    <w:div w:id="964121670">
      <w:bodyDiv w:val="1"/>
      <w:marLeft w:val="0"/>
      <w:marRight w:val="0"/>
      <w:marTop w:val="0"/>
      <w:marBottom w:val="0"/>
      <w:divBdr>
        <w:top w:val="none" w:sz="0" w:space="0" w:color="auto"/>
        <w:left w:val="none" w:sz="0" w:space="0" w:color="auto"/>
        <w:bottom w:val="none" w:sz="0" w:space="0" w:color="auto"/>
        <w:right w:val="none" w:sz="0" w:space="0" w:color="auto"/>
      </w:divBdr>
    </w:div>
    <w:div w:id="146815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for-provid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join-masshealth-provider-pubs@listserv.state.ma.u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orgs/department-of-public-health" TargetMode="Externa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6CAC8-B1D0-418B-BA04-9461E0F5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1963</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14160</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Dan Deleo</cp:lastModifiedBy>
  <cp:revision>6</cp:revision>
  <cp:lastPrinted>2018-03-22T15:59:00Z</cp:lastPrinted>
  <dcterms:created xsi:type="dcterms:W3CDTF">2018-03-22T14:51:00Z</dcterms:created>
  <dcterms:modified xsi:type="dcterms:W3CDTF">2018-03-22T15:59:00Z</dcterms:modified>
</cp:coreProperties>
</file>