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98" w:type="dxa"/>
        <w:tblLayout w:type="fixed"/>
        <w:tblLook w:val="06A0" w:firstRow="1" w:lastRow="0" w:firstColumn="1" w:lastColumn="0" w:noHBand="1" w:noVBand="1"/>
      </w:tblPr>
      <w:tblGrid>
        <w:gridCol w:w="2746"/>
        <w:gridCol w:w="7185"/>
        <w:gridCol w:w="3067"/>
      </w:tblGrid>
      <w:tr w:rsidR="14ED4C9E" w14:paraId="05E300AA" w14:textId="77777777" w:rsidTr="3C0FD80D">
        <w:trPr>
          <w:trHeight w:val="615"/>
        </w:trPr>
        <w:tc>
          <w:tcPr>
            <w:tcW w:w="2746" w:type="dxa"/>
          </w:tcPr>
          <w:p w14:paraId="63517C73" w14:textId="32D4BDF0" w:rsidR="14ED4C9E" w:rsidRDefault="192F67DB" w:rsidP="3C0FD80D">
            <w:pPr>
              <w:rPr>
                <w:rFonts w:ascii="Arial" w:eastAsia="Arial" w:hAnsi="Arial" w:cs="Arial"/>
                <w:b/>
                <w:bCs/>
                <w:color w:val="000000" w:themeColor="text1"/>
                <w:sz w:val="24"/>
                <w:szCs w:val="24"/>
              </w:rPr>
            </w:pPr>
            <w:r w:rsidRPr="3C0FD80D">
              <w:rPr>
                <w:rFonts w:ascii="Arial" w:eastAsia="Arial" w:hAnsi="Arial" w:cs="Arial"/>
                <w:b/>
                <w:bCs/>
                <w:color w:val="000000" w:themeColor="text1"/>
                <w:sz w:val="24"/>
                <w:szCs w:val="24"/>
              </w:rPr>
              <w:t>Group</w:t>
            </w:r>
          </w:p>
        </w:tc>
        <w:tc>
          <w:tcPr>
            <w:tcW w:w="7185" w:type="dxa"/>
          </w:tcPr>
          <w:p w14:paraId="61C1610C" w14:textId="10D68C6A" w:rsidR="14ED4C9E" w:rsidRDefault="192F67DB" w:rsidP="3C0FD80D">
            <w:pPr>
              <w:rPr>
                <w:rFonts w:ascii="Arial" w:eastAsia="Arial" w:hAnsi="Arial" w:cs="Arial"/>
                <w:b/>
                <w:bCs/>
                <w:color w:val="000000" w:themeColor="text1"/>
                <w:sz w:val="24"/>
                <w:szCs w:val="24"/>
              </w:rPr>
            </w:pPr>
            <w:r w:rsidRPr="3C0FD80D">
              <w:rPr>
                <w:rFonts w:ascii="Arial" w:eastAsia="Arial" w:hAnsi="Arial" w:cs="Arial"/>
                <w:b/>
                <w:bCs/>
                <w:color w:val="000000" w:themeColor="text1"/>
                <w:sz w:val="24"/>
                <w:szCs w:val="24"/>
              </w:rPr>
              <w:t>Description</w:t>
            </w:r>
          </w:p>
        </w:tc>
        <w:tc>
          <w:tcPr>
            <w:tcW w:w="3067" w:type="dxa"/>
          </w:tcPr>
          <w:p w14:paraId="07D6F480" w14:textId="1524FA05" w:rsidR="7DAF7862" w:rsidRDefault="51EA1A3F" w:rsidP="3C0FD80D">
            <w:pPr>
              <w:rPr>
                <w:rFonts w:ascii="Arial" w:eastAsia="Arial" w:hAnsi="Arial" w:cs="Arial"/>
                <w:b/>
                <w:bCs/>
                <w:color w:val="000000" w:themeColor="text1"/>
                <w:sz w:val="24"/>
                <w:szCs w:val="24"/>
              </w:rPr>
            </w:pPr>
            <w:r w:rsidRPr="3C0FD80D">
              <w:rPr>
                <w:rFonts w:ascii="Arial" w:eastAsia="Arial" w:hAnsi="Arial" w:cs="Arial"/>
                <w:b/>
                <w:bCs/>
                <w:color w:val="000000" w:themeColor="text1"/>
                <w:sz w:val="24"/>
                <w:szCs w:val="24"/>
              </w:rPr>
              <w:t>Type</w:t>
            </w:r>
          </w:p>
        </w:tc>
      </w:tr>
      <w:tr w:rsidR="14ED4C9E" w14:paraId="02788D52" w14:textId="77777777" w:rsidTr="3C0FD80D">
        <w:trPr>
          <w:trHeight w:val="3165"/>
        </w:trPr>
        <w:tc>
          <w:tcPr>
            <w:tcW w:w="2746" w:type="dxa"/>
          </w:tcPr>
          <w:p w14:paraId="56C759E4" w14:textId="434D6E4C" w:rsidR="1D89210C" w:rsidRDefault="3AD48FF3"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 xml:space="preserve">Coalition for </w:t>
            </w:r>
            <w:r w:rsidR="192F67DB" w:rsidRPr="3C0FD80D">
              <w:rPr>
                <w:rFonts w:ascii="Arial" w:eastAsia="Arial" w:hAnsi="Arial" w:cs="Arial"/>
                <w:color w:val="000000" w:themeColor="text1"/>
                <w:sz w:val="24"/>
                <w:szCs w:val="24"/>
              </w:rPr>
              <w:t>Local Public Health</w:t>
            </w:r>
          </w:p>
        </w:tc>
        <w:tc>
          <w:tcPr>
            <w:tcW w:w="7185" w:type="dxa"/>
          </w:tcPr>
          <w:p w14:paraId="5A9BB818" w14:textId="318A803A" w:rsidR="14ED4C9E" w:rsidRDefault="192F67DB"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 xml:space="preserve">The Coalition for Local Public Health (CLPH) consists of public health organizations dedicated to advocating for the resources needed to promote healthy communities in Massachusetts through strong Boards of Health and Health Departments. Our organizations represent over 4,900 citizens and professionals interested in supporting the Commonwealth’s local health infrastructure. There are seven member organizations:  Massachusetts Association of Health Boards, Massachusetts Association of Public Health Nurses, Massachusetts Environmental Health Association, Massachusetts Health Officers Association, Massachusetts Public Health Association and Western Massachusetts Public Health Association and the Massachusetts Large Cities Health </w:t>
            </w:r>
            <w:r w:rsidR="3E68115D" w:rsidRPr="3C0FD80D">
              <w:rPr>
                <w:rFonts w:ascii="Arial" w:eastAsia="Arial" w:hAnsi="Arial" w:cs="Arial"/>
                <w:color w:val="000000" w:themeColor="text1"/>
                <w:sz w:val="24"/>
                <w:szCs w:val="24"/>
              </w:rPr>
              <w:t>Coalition</w:t>
            </w:r>
            <w:r w:rsidRPr="3C0FD80D">
              <w:rPr>
                <w:rFonts w:ascii="Arial" w:eastAsia="Arial" w:hAnsi="Arial" w:cs="Arial"/>
                <w:color w:val="000000" w:themeColor="text1"/>
                <w:sz w:val="24"/>
                <w:szCs w:val="24"/>
              </w:rPr>
              <w:t>.</w:t>
            </w:r>
          </w:p>
        </w:tc>
        <w:tc>
          <w:tcPr>
            <w:tcW w:w="3067" w:type="dxa"/>
          </w:tcPr>
          <w:p w14:paraId="3F5A2F14" w14:textId="6611F1DE" w:rsidR="39282EEF" w:rsidRDefault="6172CB52"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Advocacy Organizations</w:t>
            </w:r>
          </w:p>
        </w:tc>
      </w:tr>
      <w:tr w:rsidR="110FD163" w14:paraId="2DB32F00" w14:textId="77777777" w:rsidTr="3C0FD80D">
        <w:trPr>
          <w:trHeight w:val="300"/>
        </w:trPr>
        <w:tc>
          <w:tcPr>
            <w:tcW w:w="2746" w:type="dxa"/>
          </w:tcPr>
          <w:p w14:paraId="348F807D" w14:textId="220A6769" w:rsidR="110FD163" w:rsidRDefault="5000D270" w:rsidP="3C0FD80D">
            <w:pPr>
              <w:rPr>
                <w:rFonts w:ascii="Arial" w:eastAsia="Arial" w:hAnsi="Arial" w:cs="Arial"/>
                <w:color w:val="424242"/>
                <w:sz w:val="24"/>
                <w:szCs w:val="24"/>
              </w:rPr>
            </w:pPr>
            <w:r w:rsidRPr="3C0FD80D">
              <w:rPr>
                <w:rFonts w:ascii="Arial" w:eastAsia="Arial" w:hAnsi="Arial" w:cs="Arial"/>
                <w:color w:val="424242"/>
                <w:sz w:val="24"/>
                <w:szCs w:val="24"/>
              </w:rPr>
              <w:t>Commission on Indian Affairs</w:t>
            </w:r>
          </w:p>
        </w:tc>
        <w:tc>
          <w:tcPr>
            <w:tcW w:w="7185" w:type="dxa"/>
          </w:tcPr>
          <w:p w14:paraId="6D2E4310" w14:textId="4E41B6D6" w:rsidR="110FD163" w:rsidRDefault="5000D270" w:rsidP="3C0FD80D">
            <w:pPr>
              <w:rPr>
                <w:rFonts w:ascii="Arial" w:eastAsia="Arial" w:hAnsi="Arial" w:cs="Arial"/>
                <w:color w:val="141414"/>
                <w:sz w:val="24"/>
                <w:szCs w:val="24"/>
              </w:rPr>
            </w:pPr>
            <w:r w:rsidRPr="3C0FD80D">
              <w:rPr>
                <w:rFonts w:ascii="Arial" w:eastAsia="Arial" w:hAnsi="Arial" w:cs="Arial"/>
                <w:color w:val="141414"/>
                <w:sz w:val="24"/>
                <w:szCs w:val="24"/>
              </w:rPr>
              <w:t xml:space="preserve">The Commonwealth of Massachusetts' Commission on Indian Affairs (MCIA) was created by the legislature in 1974. The Commission is governed by </w:t>
            </w:r>
            <w:hyperlink r:id="rId7">
              <w:r w:rsidRPr="3C0FD80D">
                <w:rPr>
                  <w:rStyle w:val="Hyperlink"/>
                  <w:rFonts w:ascii="Arial" w:eastAsia="Arial" w:hAnsi="Arial" w:cs="Arial"/>
                  <w:color w:val="14558F"/>
                  <w:sz w:val="24"/>
                  <w:szCs w:val="24"/>
                  <w:u w:val="none"/>
                </w:rPr>
                <w:t>M.G.L. Chapter 6A: Section 8A</w:t>
              </w:r>
            </w:hyperlink>
            <w:r w:rsidRPr="3C0FD80D">
              <w:rPr>
                <w:rFonts w:ascii="Arial" w:eastAsia="Arial" w:hAnsi="Arial" w:cs="Arial"/>
                <w:color w:val="141414"/>
                <w:sz w:val="24"/>
                <w:szCs w:val="24"/>
              </w:rPr>
              <w:t>.</w:t>
            </w:r>
          </w:p>
          <w:p w14:paraId="008E9E98" w14:textId="4D2CB821" w:rsidR="110FD163" w:rsidRDefault="110FD163" w:rsidP="3C0FD80D">
            <w:pPr>
              <w:rPr>
                <w:rFonts w:ascii="Arial" w:eastAsia="Arial" w:hAnsi="Arial" w:cs="Arial"/>
                <w:color w:val="141414"/>
                <w:sz w:val="24"/>
                <w:szCs w:val="24"/>
              </w:rPr>
            </w:pPr>
          </w:p>
          <w:p w14:paraId="7DD4C18E" w14:textId="3DB3CCDB" w:rsidR="110FD163" w:rsidRDefault="29101891" w:rsidP="3C0FD80D">
            <w:pPr>
              <w:rPr>
                <w:rFonts w:ascii="Arial" w:eastAsia="Arial" w:hAnsi="Arial" w:cs="Arial"/>
                <w:color w:val="141414"/>
                <w:sz w:val="24"/>
                <w:szCs w:val="24"/>
              </w:rPr>
            </w:pPr>
            <w:r w:rsidRPr="3C0FD80D">
              <w:rPr>
                <w:rFonts w:ascii="Arial" w:eastAsia="Arial" w:hAnsi="Arial" w:cs="Arial"/>
                <w:color w:val="141414"/>
                <w:sz w:val="24"/>
                <w:szCs w:val="24"/>
              </w:rPr>
              <w:t xml:space="preserve">The Commission on </w:t>
            </w:r>
            <w:r w:rsidR="5000D270" w:rsidRPr="3C0FD80D">
              <w:rPr>
                <w:rFonts w:ascii="Arial" w:eastAsia="Arial" w:hAnsi="Arial" w:cs="Arial"/>
                <w:color w:val="141414"/>
                <w:sz w:val="24"/>
                <w:szCs w:val="24"/>
              </w:rPr>
              <w:t>Indian Affairs</w:t>
            </w:r>
            <w:r w:rsidR="7DD40596" w:rsidRPr="3C0FD80D">
              <w:rPr>
                <w:rFonts w:ascii="Arial" w:eastAsia="Arial" w:hAnsi="Arial" w:cs="Arial"/>
                <w:color w:val="141414"/>
                <w:sz w:val="24"/>
                <w:szCs w:val="24"/>
              </w:rPr>
              <w:t>’</w:t>
            </w:r>
            <w:r w:rsidR="5000D270" w:rsidRPr="3C0FD80D">
              <w:rPr>
                <w:rFonts w:ascii="Arial" w:eastAsia="Arial" w:hAnsi="Arial" w:cs="Arial"/>
                <w:color w:val="141414"/>
                <w:sz w:val="24"/>
                <w:szCs w:val="24"/>
              </w:rPr>
              <w:t xml:space="preserve"> fundamental role is to assist Native American individuals, </w:t>
            </w:r>
            <w:proofErr w:type="gramStart"/>
            <w:r w:rsidR="5000D270" w:rsidRPr="3C0FD80D">
              <w:rPr>
                <w:rFonts w:ascii="Arial" w:eastAsia="Arial" w:hAnsi="Arial" w:cs="Arial"/>
                <w:color w:val="141414"/>
                <w:sz w:val="24"/>
                <w:szCs w:val="24"/>
              </w:rPr>
              <w:t>tribes</w:t>
            </w:r>
            <w:proofErr w:type="gramEnd"/>
            <w:r w:rsidR="5000D270" w:rsidRPr="3C0FD80D">
              <w:rPr>
                <w:rFonts w:ascii="Arial" w:eastAsia="Arial" w:hAnsi="Arial" w:cs="Arial"/>
                <w:color w:val="141414"/>
                <w:sz w:val="24"/>
                <w:szCs w:val="24"/>
              </w:rPr>
              <w:t xml:space="preserve"> and organizations in their relationship with state and local government agencies and to advise the Commonwealth in matters pertaining to Native Americans.</w:t>
            </w:r>
          </w:p>
          <w:p w14:paraId="031953B2" w14:textId="4196EC18" w:rsidR="110FD163" w:rsidRDefault="110FD163" w:rsidP="3C0FD80D">
            <w:pPr>
              <w:rPr>
                <w:rFonts w:ascii="Arial" w:eastAsia="Arial" w:hAnsi="Arial" w:cs="Arial"/>
                <w:color w:val="000000" w:themeColor="text1"/>
                <w:sz w:val="24"/>
                <w:szCs w:val="24"/>
              </w:rPr>
            </w:pPr>
          </w:p>
        </w:tc>
        <w:tc>
          <w:tcPr>
            <w:tcW w:w="3067" w:type="dxa"/>
          </w:tcPr>
          <w:p w14:paraId="5CE0F69F" w14:textId="7D06BB39" w:rsidR="110FD163" w:rsidRDefault="5000D270"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DPH Advisories and Commissions</w:t>
            </w:r>
          </w:p>
          <w:p w14:paraId="7264CDCE" w14:textId="023EC59A" w:rsidR="110FD163" w:rsidRDefault="110FD163" w:rsidP="3C0FD80D">
            <w:pPr>
              <w:rPr>
                <w:rFonts w:ascii="Arial" w:eastAsia="Arial" w:hAnsi="Arial" w:cs="Arial"/>
                <w:color w:val="000000" w:themeColor="text1"/>
                <w:sz w:val="24"/>
                <w:szCs w:val="24"/>
              </w:rPr>
            </w:pPr>
          </w:p>
        </w:tc>
      </w:tr>
      <w:tr w:rsidR="534DE727" w14:paraId="7F48CBBC" w14:textId="77777777" w:rsidTr="3C0FD80D">
        <w:trPr>
          <w:trHeight w:val="300"/>
        </w:trPr>
        <w:tc>
          <w:tcPr>
            <w:tcW w:w="2746" w:type="dxa"/>
          </w:tcPr>
          <w:p w14:paraId="48A95808" w14:textId="661986D7" w:rsidR="550C6BF3" w:rsidRDefault="550C6BF3" w:rsidP="3C0FD80D">
            <w:pPr>
              <w:rPr>
                <w:rFonts w:ascii="Arial" w:eastAsia="Arial" w:hAnsi="Arial" w:cs="Arial"/>
                <w:color w:val="424242"/>
                <w:sz w:val="24"/>
                <w:szCs w:val="24"/>
              </w:rPr>
            </w:pPr>
            <w:r w:rsidRPr="3C0FD80D">
              <w:rPr>
                <w:rFonts w:ascii="Arial" w:eastAsia="Arial" w:hAnsi="Arial" w:cs="Arial"/>
                <w:color w:val="424242"/>
                <w:sz w:val="24"/>
                <w:szCs w:val="24"/>
              </w:rPr>
              <w:t>Ending the HIV Epidemic (EHE Steering Committee)</w:t>
            </w:r>
          </w:p>
        </w:tc>
        <w:tc>
          <w:tcPr>
            <w:tcW w:w="7185" w:type="dxa"/>
          </w:tcPr>
          <w:p w14:paraId="7F33CB86" w14:textId="64AECCE7" w:rsidR="550C6BF3" w:rsidRDefault="550C6BF3" w:rsidP="3C0FD80D">
            <w:pPr>
              <w:spacing w:line="259" w:lineRule="auto"/>
              <w:ind w:left="-20" w:right="-20"/>
              <w:rPr>
                <w:rFonts w:ascii="Arial" w:eastAsia="Arial" w:hAnsi="Arial" w:cs="Arial"/>
                <w:sz w:val="24"/>
                <w:szCs w:val="24"/>
              </w:rPr>
            </w:pPr>
            <w:r w:rsidRPr="3C0FD80D">
              <w:rPr>
                <w:rFonts w:ascii="Arial" w:eastAsia="Arial" w:hAnsi="Arial" w:cs="Arial"/>
                <w:color w:val="141414"/>
                <w:sz w:val="24"/>
                <w:szCs w:val="24"/>
              </w:rPr>
              <w:t xml:space="preserve">The EHE Steering Committee is comprised of diverse representatives, including people with HIV or at-risk for HIV, Suffolk County local health departments and boards of health </w:t>
            </w:r>
            <w:r w:rsidRPr="3C0FD80D">
              <w:rPr>
                <w:rFonts w:ascii="Arial" w:eastAsia="Arial" w:hAnsi="Arial" w:cs="Arial"/>
                <w:color w:val="000000" w:themeColor="text1"/>
                <w:sz w:val="24"/>
                <w:szCs w:val="24"/>
              </w:rPr>
              <w:t xml:space="preserve">(Boston, Chelsea, Revere, and Winthrop), local healthcare facilities, behavioral health providers, family planning and </w:t>
            </w:r>
            <w:r w:rsidRPr="3C0FD80D">
              <w:rPr>
                <w:rFonts w:ascii="Arial" w:eastAsia="Arial" w:hAnsi="Arial" w:cs="Arial"/>
                <w:color w:val="000000" w:themeColor="text1"/>
                <w:sz w:val="24"/>
                <w:szCs w:val="24"/>
              </w:rPr>
              <w:lastRenderedPageBreak/>
              <w:t xml:space="preserve">women’s health providers, correctional health providers, addiction treatment providers, including providers of medication-assisted treatment for opioid use disorder, professional associations, peer advocates, community-and faith-based organizations, and representatives from academic and research institutions. </w:t>
            </w:r>
            <w:r w:rsidRPr="3C0FD80D">
              <w:rPr>
                <w:rFonts w:ascii="Arial" w:eastAsia="Arial" w:hAnsi="Arial" w:cs="Arial"/>
                <w:sz w:val="24"/>
                <w:szCs w:val="24"/>
              </w:rPr>
              <w:t xml:space="preserve"> </w:t>
            </w:r>
          </w:p>
          <w:p w14:paraId="1CDDB808" w14:textId="1E822B3A" w:rsidR="534DE727" w:rsidRDefault="534DE727" w:rsidP="3C0FD80D">
            <w:pPr>
              <w:rPr>
                <w:rFonts w:ascii="Arial" w:eastAsia="Arial" w:hAnsi="Arial" w:cs="Arial"/>
                <w:color w:val="000000" w:themeColor="text1"/>
                <w:sz w:val="24"/>
                <w:szCs w:val="24"/>
              </w:rPr>
            </w:pPr>
          </w:p>
        </w:tc>
        <w:tc>
          <w:tcPr>
            <w:tcW w:w="3067" w:type="dxa"/>
          </w:tcPr>
          <w:p w14:paraId="7BFC9BBF" w14:textId="7D06BB39" w:rsidR="550C6BF3" w:rsidRDefault="550C6BF3"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lastRenderedPageBreak/>
              <w:t>DPH Advisories and Commissions</w:t>
            </w:r>
          </w:p>
          <w:p w14:paraId="28B58F74" w14:textId="71B65DF7" w:rsidR="534DE727" w:rsidRDefault="534DE727" w:rsidP="3C0FD80D">
            <w:pPr>
              <w:rPr>
                <w:rFonts w:ascii="Arial" w:eastAsia="Arial" w:hAnsi="Arial" w:cs="Arial"/>
                <w:color w:val="000000" w:themeColor="text1"/>
                <w:sz w:val="24"/>
                <w:szCs w:val="24"/>
              </w:rPr>
            </w:pPr>
          </w:p>
        </w:tc>
      </w:tr>
      <w:tr w:rsidR="110FD163" w14:paraId="1670E940" w14:textId="77777777" w:rsidTr="3C0FD80D">
        <w:trPr>
          <w:trHeight w:val="300"/>
        </w:trPr>
        <w:tc>
          <w:tcPr>
            <w:tcW w:w="2746" w:type="dxa"/>
          </w:tcPr>
          <w:p w14:paraId="537AFB89" w14:textId="2B3C2B03" w:rsidR="110FD163" w:rsidRDefault="5000D270" w:rsidP="3C0FD80D">
            <w:pPr>
              <w:rPr>
                <w:rFonts w:ascii="Arial" w:eastAsia="Arial" w:hAnsi="Arial" w:cs="Arial"/>
                <w:color w:val="424242"/>
                <w:sz w:val="24"/>
                <w:szCs w:val="24"/>
              </w:rPr>
            </w:pPr>
            <w:r w:rsidRPr="3C0FD80D">
              <w:rPr>
                <w:rFonts w:ascii="Arial" w:eastAsia="Arial" w:hAnsi="Arial" w:cs="Arial"/>
                <w:color w:val="424242"/>
                <w:sz w:val="24"/>
                <w:szCs w:val="24"/>
              </w:rPr>
              <w:t>Health and Homeland Alert Network (HHAN)</w:t>
            </w:r>
          </w:p>
        </w:tc>
        <w:tc>
          <w:tcPr>
            <w:tcW w:w="7185" w:type="dxa"/>
          </w:tcPr>
          <w:p w14:paraId="7AAD1587" w14:textId="2363F6D8" w:rsidR="110FD163" w:rsidRDefault="6BB91F4F" w:rsidP="3C0FD80D">
            <w:pPr>
              <w:shd w:val="clear" w:color="auto" w:fill="FFFFFF" w:themeFill="background1"/>
              <w:rPr>
                <w:rFonts w:ascii="Arial" w:eastAsia="Arial" w:hAnsi="Arial" w:cs="Arial"/>
                <w:color w:val="000000" w:themeColor="text1"/>
                <w:sz w:val="24"/>
                <w:szCs w:val="24"/>
              </w:rPr>
            </w:pPr>
            <w:r w:rsidRPr="3C0FD80D">
              <w:rPr>
                <w:rFonts w:ascii="Arial" w:eastAsia="Arial" w:hAnsi="Arial" w:cs="Arial"/>
                <w:color w:val="000000" w:themeColor="text1"/>
                <w:sz w:val="24"/>
                <w:szCs w:val="24"/>
              </w:rPr>
              <w:t xml:space="preserve">Group of </w:t>
            </w:r>
            <w:r w:rsidR="48F42CAE" w:rsidRPr="3C0FD80D">
              <w:rPr>
                <w:rFonts w:ascii="Arial" w:eastAsia="Arial" w:hAnsi="Arial" w:cs="Arial"/>
                <w:color w:val="000000" w:themeColor="text1"/>
                <w:sz w:val="24"/>
                <w:szCs w:val="24"/>
              </w:rPr>
              <w:t>over 36,000</w:t>
            </w:r>
            <w:r w:rsidR="2E4701E4" w:rsidRPr="3C0FD80D">
              <w:rPr>
                <w:rFonts w:ascii="Arial" w:eastAsia="Arial" w:hAnsi="Arial" w:cs="Arial"/>
                <w:color w:val="000000" w:themeColor="text1"/>
                <w:sz w:val="24"/>
                <w:szCs w:val="24"/>
              </w:rPr>
              <w:t xml:space="preserve"> </w:t>
            </w:r>
            <w:r w:rsidRPr="3C0FD80D">
              <w:rPr>
                <w:rFonts w:ascii="Arial" w:eastAsia="Arial" w:hAnsi="Arial" w:cs="Arial"/>
                <w:color w:val="000000" w:themeColor="text1"/>
                <w:sz w:val="24"/>
                <w:szCs w:val="24"/>
              </w:rPr>
              <w:t xml:space="preserve">practicing physicians, nurse practitioners, physician assistants as well as individuals associated with hospitals, EMS, community health </w:t>
            </w:r>
            <w:proofErr w:type="gramStart"/>
            <w:r w:rsidRPr="3C0FD80D">
              <w:rPr>
                <w:rFonts w:ascii="Arial" w:eastAsia="Arial" w:hAnsi="Arial" w:cs="Arial"/>
                <w:color w:val="000000" w:themeColor="text1"/>
                <w:sz w:val="24"/>
                <w:szCs w:val="24"/>
              </w:rPr>
              <w:t>centers</w:t>
            </w:r>
            <w:proofErr w:type="gramEnd"/>
          </w:p>
          <w:p w14:paraId="16F62BFF" w14:textId="2FE469B8" w:rsidR="110FD163" w:rsidRDefault="5000D270" w:rsidP="3C0FD80D">
            <w:pPr>
              <w:shd w:val="clear" w:color="auto" w:fill="FFFFFF" w:themeFill="background1"/>
              <w:rPr>
                <w:rFonts w:ascii="Arial" w:eastAsia="Arial" w:hAnsi="Arial" w:cs="Arial"/>
                <w:color w:val="000000" w:themeColor="text1"/>
                <w:sz w:val="24"/>
                <w:szCs w:val="24"/>
              </w:rPr>
            </w:pPr>
            <w:r w:rsidRPr="3C0FD80D">
              <w:rPr>
                <w:rFonts w:ascii="Arial" w:eastAsia="Arial" w:hAnsi="Arial" w:cs="Arial"/>
                <w:color w:val="000000" w:themeColor="text1"/>
                <w:sz w:val="24"/>
                <w:szCs w:val="24"/>
              </w:rPr>
              <w:t xml:space="preserve"> and long-term care/assisted living centers. </w:t>
            </w:r>
          </w:p>
          <w:p w14:paraId="4AC0F965" w14:textId="2822A0BE" w:rsidR="110FD163" w:rsidRDefault="110FD163" w:rsidP="3C0FD80D">
            <w:pPr>
              <w:shd w:val="clear" w:color="auto" w:fill="FFFFFF" w:themeFill="background1"/>
              <w:rPr>
                <w:rFonts w:ascii="Arial" w:eastAsia="Arial" w:hAnsi="Arial" w:cs="Arial"/>
                <w:color w:val="000000" w:themeColor="text1"/>
                <w:sz w:val="24"/>
                <w:szCs w:val="24"/>
              </w:rPr>
            </w:pPr>
          </w:p>
        </w:tc>
        <w:tc>
          <w:tcPr>
            <w:tcW w:w="3067" w:type="dxa"/>
          </w:tcPr>
          <w:p w14:paraId="18E54E82" w14:textId="7D06BB39" w:rsidR="110FD163" w:rsidRDefault="5000D270"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DPH Advisories and Commissions</w:t>
            </w:r>
          </w:p>
        </w:tc>
      </w:tr>
      <w:tr w:rsidR="14ED4C9E" w14:paraId="160DB6F5" w14:textId="77777777" w:rsidTr="3C0FD80D">
        <w:trPr>
          <w:trHeight w:val="300"/>
        </w:trPr>
        <w:tc>
          <w:tcPr>
            <w:tcW w:w="2746" w:type="dxa"/>
          </w:tcPr>
          <w:p w14:paraId="2BC67D59" w14:textId="6FB0593A" w:rsidR="14ED4C9E" w:rsidRDefault="192F67DB"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Massachusetts Public Health Association</w:t>
            </w:r>
          </w:p>
        </w:tc>
        <w:tc>
          <w:tcPr>
            <w:tcW w:w="7185" w:type="dxa"/>
          </w:tcPr>
          <w:p w14:paraId="26924E96" w14:textId="3ACB9D26" w:rsidR="157C083A" w:rsidRDefault="4222962D" w:rsidP="6BE3E5C2">
            <w:pPr>
              <w:rPr>
                <w:rFonts w:ascii="Arial" w:eastAsia="Arial" w:hAnsi="Arial" w:cs="Arial"/>
                <w:sz w:val="24"/>
                <w:szCs w:val="24"/>
              </w:rPr>
            </w:pPr>
            <w:r w:rsidRPr="3C0FD80D">
              <w:rPr>
                <w:rFonts w:ascii="Arial" w:eastAsia="Arial" w:hAnsi="Arial" w:cs="Arial"/>
                <w:color w:val="000000" w:themeColor="text1"/>
                <w:sz w:val="24"/>
                <w:szCs w:val="24"/>
              </w:rPr>
              <w:t xml:space="preserve">The Massachusetts Public Health Association (MPHA) is a nonprofit organization that promotes a healthy Massachusetts through advocacy, community organizing, and coalition building. </w:t>
            </w:r>
            <w:r w:rsidR="02AB7CBC" w:rsidRPr="3C0FD80D">
              <w:rPr>
                <w:rFonts w:ascii="Arial" w:eastAsia="Arial" w:hAnsi="Arial" w:cs="Arial"/>
                <w:color w:val="000000" w:themeColor="text1"/>
                <w:sz w:val="24"/>
                <w:szCs w:val="24"/>
              </w:rPr>
              <w:t xml:space="preserve">MPHA </w:t>
            </w:r>
            <w:r w:rsidRPr="3C0FD80D">
              <w:rPr>
                <w:rFonts w:ascii="Arial" w:eastAsia="Arial" w:hAnsi="Arial" w:cs="Arial"/>
                <w:color w:val="000000" w:themeColor="text1"/>
                <w:sz w:val="24"/>
                <w:szCs w:val="24"/>
              </w:rPr>
              <w:t xml:space="preserve">are leaders in the movement to create health equity by addressing the root causes of health and wellness. </w:t>
            </w:r>
            <w:r w:rsidR="6ACC7B29" w:rsidRPr="3C0FD80D">
              <w:rPr>
                <w:rFonts w:ascii="Arial" w:eastAsia="Arial" w:hAnsi="Arial" w:cs="Arial"/>
                <w:color w:val="000000" w:themeColor="text1"/>
                <w:sz w:val="24"/>
                <w:szCs w:val="24"/>
              </w:rPr>
              <w:t>MPHA</w:t>
            </w:r>
            <w:r w:rsidRPr="3C0FD80D">
              <w:rPr>
                <w:rFonts w:ascii="Arial" w:eastAsia="Arial" w:hAnsi="Arial" w:cs="Arial"/>
                <w:color w:val="000000" w:themeColor="text1"/>
                <w:sz w:val="24"/>
                <w:szCs w:val="24"/>
              </w:rPr>
              <w:t xml:space="preserve"> promote policies that impact the major drivers of health outcomes, such as access to healthy food, safe affordable housing, and transportation. </w:t>
            </w:r>
            <w:r w:rsidR="0F546972" w:rsidRPr="3C0FD80D">
              <w:rPr>
                <w:rFonts w:ascii="Arial" w:eastAsia="Arial" w:hAnsi="Arial" w:cs="Arial"/>
                <w:color w:val="000000" w:themeColor="text1"/>
                <w:sz w:val="24"/>
                <w:szCs w:val="24"/>
              </w:rPr>
              <w:t>MPHA</w:t>
            </w:r>
            <w:r w:rsidRPr="3C0FD80D">
              <w:rPr>
                <w:rFonts w:ascii="Arial" w:eastAsia="Arial" w:hAnsi="Arial" w:cs="Arial"/>
                <w:color w:val="000000" w:themeColor="text1"/>
                <w:sz w:val="24"/>
                <w:szCs w:val="24"/>
              </w:rPr>
              <w:t xml:space="preserve"> also advocate for equitable public health services throughout the Commonwealth.</w:t>
            </w:r>
          </w:p>
        </w:tc>
        <w:tc>
          <w:tcPr>
            <w:tcW w:w="3067" w:type="dxa"/>
          </w:tcPr>
          <w:p w14:paraId="627BBFBF" w14:textId="216B17E2" w:rsidR="32C1988B" w:rsidRDefault="7E7BB9AA"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Advocacy Organizations</w:t>
            </w:r>
          </w:p>
        </w:tc>
      </w:tr>
      <w:tr w:rsidR="14ED4C9E" w14:paraId="483B83D8" w14:textId="77777777" w:rsidTr="3C0FD80D">
        <w:trPr>
          <w:trHeight w:val="300"/>
        </w:trPr>
        <w:tc>
          <w:tcPr>
            <w:tcW w:w="2746" w:type="dxa"/>
          </w:tcPr>
          <w:p w14:paraId="00C77756" w14:textId="6447B19A" w:rsidR="14ED4C9E" w:rsidRDefault="192F67DB" w:rsidP="3C0FD80D">
            <w:pPr>
              <w:rPr>
                <w:rFonts w:ascii="Arial" w:eastAsia="Arial" w:hAnsi="Arial" w:cs="Arial"/>
                <w:color w:val="424242"/>
                <w:sz w:val="24"/>
                <w:szCs w:val="24"/>
              </w:rPr>
            </w:pPr>
            <w:r w:rsidRPr="3C0FD80D">
              <w:rPr>
                <w:rFonts w:ascii="Arial" w:eastAsia="Arial" w:hAnsi="Arial" w:cs="Arial"/>
                <w:color w:val="424242"/>
                <w:sz w:val="24"/>
                <w:szCs w:val="24"/>
              </w:rPr>
              <w:t>Preventive Health and Health Services Block Grant</w:t>
            </w:r>
            <w:r w:rsidR="488D096B" w:rsidRPr="3C0FD80D">
              <w:rPr>
                <w:rFonts w:ascii="Arial" w:eastAsia="Arial" w:hAnsi="Arial" w:cs="Arial"/>
                <w:color w:val="424242"/>
                <w:sz w:val="24"/>
                <w:szCs w:val="24"/>
              </w:rPr>
              <w:t xml:space="preserve"> Advisory Committee</w:t>
            </w:r>
          </w:p>
        </w:tc>
        <w:tc>
          <w:tcPr>
            <w:tcW w:w="7185" w:type="dxa"/>
          </w:tcPr>
          <w:p w14:paraId="268F9673" w14:textId="23721E4F" w:rsidR="14ED4C9E" w:rsidRDefault="192F67DB"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Advisory Committee for the</w:t>
            </w:r>
            <w:r w:rsidR="3123D06E" w:rsidRPr="3C0FD80D">
              <w:rPr>
                <w:rFonts w:ascii="Arial" w:eastAsia="Arial" w:hAnsi="Arial" w:cs="Arial"/>
                <w:color w:val="000000" w:themeColor="text1"/>
                <w:sz w:val="24"/>
                <w:szCs w:val="24"/>
              </w:rPr>
              <w:t xml:space="preserve"> Massachusetts Department of Public Health </w:t>
            </w:r>
            <w:r w:rsidRPr="3C0FD80D">
              <w:rPr>
                <w:rFonts w:ascii="Arial" w:eastAsia="Arial" w:hAnsi="Arial" w:cs="Arial"/>
                <w:color w:val="000000" w:themeColor="text1"/>
                <w:sz w:val="24"/>
                <w:szCs w:val="24"/>
              </w:rPr>
              <w:t xml:space="preserve">Preventive Health and Health Services Block Grant. Has representatives from MDPH, community-based organizations, advocacy groups and other non-profits including but not limited to Massachusetts Public Health Association, Health Resources in Action, Public Health Institute of Western Massachusetts, Massachusetts Councils on Aging, </w:t>
            </w:r>
            <w:proofErr w:type="spellStart"/>
            <w:r w:rsidRPr="3C0FD80D">
              <w:rPr>
                <w:rFonts w:ascii="Arial" w:eastAsia="Arial" w:hAnsi="Arial" w:cs="Arial"/>
                <w:color w:val="000000" w:themeColor="text1"/>
                <w:sz w:val="24"/>
                <w:szCs w:val="24"/>
              </w:rPr>
              <w:t>WalkMassachusetts</w:t>
            </w:r>
            <w:proofErr w:type="spellEnd"/>
            <w:r w:rsidRPr="3C0FD80D">
              <w:rPr>
                <w:rFonts w:ascii="Arial" w:eastAsia="Arial" w:hAnsi="Arial" w:cs="Arial"/>
                <w:color w:val="000000" w:themeColor="text1"/>
                <w:sz w:val="24"/>
                <w:szCs w:val="24"/>
              </w:rPr>
              <w:t xml:space="preserve">, American Heart Association, Tobacco Free </w:t>
            </w:r>
            <w:proofErr w:type="gramStart"/>
            <w:r w:rsidRPr="3C0FD80D">
              <w:rPr>
                <w:rFonts w:ascii="Arial" w:eastAsia="Arial" w:hAnsi="Arial" w:cs="Arial"/>
                <w:color w:val="000000" w:themeColor="text1"/>
                <w:sz w:val="24"/>
                <w:szCs w:val="24"/>
              </w:rPr>
              <w:t>Massachusetts</w:t>
            </w:r>
            <w:proofErr w:type="gramEnd"/>
            <w:r w:rsidRPr="3C0FD80D">
              <w:rPr>
                <w:rFonts w:ascii="Arial" w:eastAsia="Arial" w:hAnsi="Arial" w:cs="Arial"/>
                <w:color w:val="000000" w:themeColor="text1"/>
                <w:sz w:val="24"/>
                <w:szCs w:val="24"/>
              </w:rPr>
              <w:t xml:space="preserve"> and the Massachusetts Association of Health Boards</w:t>
            </w:r>
            <w:r w:rsidR="33B49063" w:rsidRPr="3C0FD80D">
              <w:rPr>
                <w:rFonts w:ascii="Arial" w:eastAsia="Arial" w:hAnsi="Arial" w:cs="Arial"/>
                <w:color w:val="000000" w:themeColor="text1"/>
                <w:sz w:val="24"/>
                <w:szCs w:val="24"/>
              </w:rPr>
              <w:t>.</w:t>
            </w:r>
          </w:p>
        </w:tc>
        <w:tc>
          <w:tcPr>
            <w:tcW w:w="3067" w:type="dxa"/>
          </w:tcPr>
          <w:p w14:paraId="18A92782" w14:textId="1C9ED904" w:rsidR="548B1D41" w:rsidRDefault="4EDA0F13"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Community Coalition, Advocacy Organization, Non-profit organizations</w:t>
            </w:r>
            <w:r w:rsidR="2C3AD2D2" w:rsidRPr="3C0FD80D">
              <w:rPr>
                <w:rFonts w:ascii="Arial" w:eastAsia="Arial" w:hAnsi="Arial" w:cs="Arial"/>
                <w:color w:val="000000" w:themeColor="text1"/>
                <w:sz w:val="24"/>
                <w:szCs w:val="24"/>
              </w:rPr>
              <w:t>, Government Agencies and Entities</w:t>
            </w:r>
          </w:p>
        </w:tc>
      </w:tr>
      <w:tr w:rsidR="110FD163" w14:paraId="4FC63AC8" w14:textId="77777777" w:rsidTr="3C0FD80D">
        <w:trPr>
          <w:trHeight w:val="300"/>
        </w:trPr>
        <w:tc>
          <w:tcPr>
            <w:tcW w:w="2746" w:type="dxa"/>
          </w:tcPr>
          <w:p w14:paraId="00FB6900" w14:textId="1E67D8A6" w:rsidR="110FD163" w:rsidRDefault="5000D270"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 xml:space="preserve">Trans &amp; Gender Expansive Community </w:t>
            </w:r>
            <w:r w:rsidRPr="3C0FD80D">
              <w:rPr>
                <w:rFonts w:ascii="Arial" w:eastAsia="Arial" w:hAnsi="Arial" w:cs="Arial"/>
                <w:color w:val="000000" w:themeColor="text1"/>
                <w:sz w:val="24"/>
                <w:szCs w:val="24"/>
              </w:rPr>
              <w:lastRenderedPageBreak/>
              <w:t>Advisory Board (TGE CAB)</w:t>
            </w:r>
          </w:p>
        </w:tc>
        <w:tc>
          <w:tcPr>
            <w:tcW w:w="7185" w:type="dxa"/>
          </w:tcPr>
          <w:p w14:paraId="0B339C37" w14:textId="18334E05" w:rsidR="61FB874E" w:rsidRDefault="109578D3" w:rsidP="3C0FD80D">
            <w:pPr>
              <w:rPr>
                <w:rFonts w:ascii="Arial" w:eastAsia="Arial" w:hAnsi="Arial" w:cs="Arial"/>
                <w:sz w:val="24"/>
                <w:szCs w:val="24"/>
              </w:rPr>
            </w:pPr>
            <w:r w:rsidRPr="3C0FD80D">
              <w:rPr>
                <w:rFonts w:ascii="Arial" w:eastAsia="Arial" w:hAnsi="Arial" w:cs="Arial"/>
                <w:color w:val="141A1C"/>
                <w:sz w:val="24"/>
                <w:szCs w:val="24"/>
              </w:rPr>
              <w:lastRenderedPageBreak/>
              <w:t xml:space="preserve">The MA Bureau of Substance Addiction Services is committed to providing gender-affirming care to all people accessing services </w:t>
            </w:r>
            <w:r w:rsidRPr="3C0FD80D">
              <w:rPr>
                <w:rFonts w:ascii="Arial" w:eastAsia="Arial" w:hAnsi="Arial" w:cs="Arial"/>
                <w:color w:val="141A1C"/>
                <w:sz w:val="24"/>
                <w:szCs w:val="24"/>
              </w:rPr>
              <w:lastRenderedPageBreak/>
              <w:t xml:space="preserve">within its system. As such, the bureau created a Transgender Affirming Services Coordinator position and </w:t>
            </w:r>
            <w:r w:rsidRPr="3C0FD80D">
              <w:rPr>
                <w:rFonts w:ascii="Arial" w:eastAsia="Arial" w:hAnsi="Arial" w:cs="Arial"/>
                <w:b/>
                <w:bCs/>
                <w:color w:val="141A1C"/>
                <w:sz w:val="24"/>
                <w:szCs w:val="24"/>
              </w:rPr>
              <w:t>Trans and Gender Expansive Community Advisory Board (TGE CAB),</w:t>
            </w:r>
            <w:r w:rsidRPr="3C0FD80D">
              <w:rPr>
                <w:rFonts w:ascii="Arial" w:eastAsia="Arial" w:hAnsi="Arial" w:cs="Arial"/>
                <w:color w:val="141A1C"/>
                <w:sz w:val="24"/>
                <w:szCs w:val="24"/>
              </w:rPr>
              <w:t xml:space="preserve"> a group of community members, service providers, and service consumers with lived and professional expertise who provide consulting services to the Massachusetts Department of Public Health (MDPH) on topics related to gender identity within the Commonwealth’s substance use services system. </w:t>
            </w:r>
            <w:r w:rsidRPr="3C0FD80D">
              <w:rPr>
                <w:rFonts w:ascii="Arial" w:eastAsia="Arial" w:hAnsi="Arial" w:cs="Arial"/>
                <w:sz w:val="24"/>
                <w:szCs w:val="24"/>
              </w:rPr>
              <w:t xml:space="preserve"> </w:t>
            </w:r>
          </w:p>
        </w:tc>
        <w:tc>
          <w:tcPr>
            <w:tcW w:w="3067" w:type="dxa"/>
          </w:tcPr>
          <w:p w14:paraId="398CD915" w14:textId="7D06BB39" w:rsidR="4578BAB1" w:rsidRDefault="162FA5EC"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lastRenderedPageBreak/>
              <w:t>DPH Advisories and Commissions</w:t>
            </w:r>
          </w:p>
          <w:p w14:paraId="5A392F15" w14:textId="4A91C9F5" w:rsidR="110FD163" w:rsidRDefault="110FD163" w:rsidP="3C0FD80D">
            <w:pPr>
              <w:rPr>
                <w:rFonts w:ascii="Arial" w:eastAsia="Arial" w:hAnsi="Arial" w:cs="Arial"/>
                <w:color w:val="000000" w:themeColor="text1"/>
                <w:sz w:val="24"/>
                <w:szCs w:val="24"/>
              </w:rPr>
            </w:pPr>
          </w:p>
        </w:tc>
      </w:tr>
      <w:tr w:rsidR="110FD163" w14:paraId="51F3E6B3" w14:textId="77777777" w:rsidTr="3C0FD80D">
        <w:trPr>
          <w:trHeight w:val="300"/>
        </w:trPr>
        <w:tc>
          <w:tcPr>
            <w:tcW w:w="2746" w:type="dxa"/>
          </w:tcPr>
          <w:p w14:paraId="4B678513" w14:textId="3B61D5C8" w:rsidR="3C0F7C11" w:rsidRDefault="387E38AF"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lastRenderedPageBreak/>
              <w:t>Tribal Community Advisory Board</w:t>
            </w:r>
          </w:p>
        </w:tc>
        <w:tc>
          <w:tcPr>
            <w:tcW w:w="7185" w:type="dxa"/>
          </w:tcPr>
          <w:p w14:paraId="57C674C7" w14:textId="77E4C379" w:rsidR="110FD163" w:rsidRDefault="1559008F" w:rsidP="6BE3E5C2">
            <w:pPr>
              <w:rPr>
                <w:rFonts w:ascii="Arial" w:eastAsia="Arial" w:hAnsi="Arial" w:cs="Arial"/>
                <w:sz w:val="24"/>
                <w:szCs w:val="24"/>
              </w:rPr>
            </w:pPr>
            <w:r w:rsidRPr="3C0FD80D">
              <w:rPr>
                <w:rFonts w:ascii="Arial" w:eastAsia="Arial" w:hAnsi="Arial" w:cs="Arial"/>
                <w:color w:val="424242"/>
                <w:sz w:val="24"/>
                <w:szCs w:val="24"/>
              </w:rPr>
              <w:t>The Native American Community Advisory Board (CAB) is comprised of indigenous tribes, organizations, and the Massachusetts Department of Public Health Bureau of Substance Addiction Services, a state entity. Orchestrated by the Institutes for New England Native American Studies at UMASS Boston, the group meets virtually every two weeks. Together t</w:t>
            </w:r>
            <w:r w:rsidR="1C3D6B2A" w:rsidRPr="3C0FD80D">
              <w:rPr>
                <w:rFonts w:ascii="Arial" w:eastAsia="Arial" w:hAnsi="Arial" w:cs="Arial"/>
                <w:color w:val="424242"/>
                <w:sz w:val="24"/>
                <w:szCs w:val="24"/>
              </w:rPr>
              <w:t xml:space="preserve">he group </w:t>
            </w:r>
            <w:r w:rsidRPr="3C0FD80D">
              <w:rPr>
                <w:rFonts w:ascii="Arial" w:eastAsia="Arial" w:hAnsi="Arial" w:cs="Arial"/>
                <w:color w:val="424242"/>
                <w:sz w:val="24"/>
                <w:szCs w:val="24"/>
              </w:rPr>
              <w:t>advise</w:t>
            </w:r>
            <w:r w:rsidR="74B86795" w:rsidRPr="3C0FD80D">
              <w:rPr>
                <w:rFonts w:ascii="Arial" w:eastAsia="Arial" w:hAnsi="Arial" w:cs="Arial"/>
                <w:color w:val="424242"/>
                <w:sz w:val="24"/>
                <w:szCs w:val="24"/>
              </w:rPr>
              <w:t>s</w:t>
            </w:r>
            <w:r w:rsidRPr="3C0FD80D">
              <w:rPr>
                <w:rFonts w:ascii="Arial" w:eastAsia="Arial" w:hAnsi="Arial" w:cs="Arial"/>
                <w:color w:val="424242"/>
                <w:sz w:val="24"/>
                <w:szCs w:val="24"/>
              </w:rPr>
              <w:t xml:space="preserve"> state agencies, non-profit organizations, and others on how to best address issues affecting </w:t>
            </w:r>
            <w:proofErr w:type="gramStart"/>
            <w:r w:rsidRPr="3C0FD80D">
              <w:rPr>
                <w:rFonts w:ascii="Arial" w:eastAsia="Arial" w:hAnsi="Arial" w:cs="Arial"/>
                <w:color w:val="424242"/>
                <w:sz w:val="24"/>
                <w:szCs w:val="24"/>
              </w:rPr>
              <w:t>all of</w:t>
            </w:r>
            <w:proofErr w:type="gramEnd"/>
            <w:r w:rsidRPr="3C0FD80D">
              <w:rPr>
                <w:rFonts w:ascii="Arial" w:eastAsia="Arial" w:hAnsi="Arial" w:cs="Arial"/>
                <w:color w:val="424242"/>
                <w:sz w:val="24"/>
                <w:szCs w:val="24"/>
              </w:rPr>
              <w:t xml:space="preserve"> the Native peoples residing in Massachusetts. The CAB corroborates on preserving a culture of health by collaborating on Native cultural events, fostering Native identity in the arts and sciences, and supporting educational opportunities for allies who want to learn from and serve Native populations.</w:t>
            </w:r>
          </w:p>
        </w:tc>
        <w:tc>
          <w:tcPr>
            <w:tcW w:w="3067" w:type="dxa"/>
          </w:tcPr>
          <w:p w14:paraId="401BD9B7" w14:textId="7D06BB39" w:rsidR="3C0F7C11" w:rsidRDefault="387E38AF" w:rsidP="3C0FD80D">
            <w:pPr>
              <w:rPr>
                <w:rFonts w:ascii="Arial" w:eastAsia="Arial" w:hAnsi="Arial" w:cs="Arial"/>
                <w:color w:val="000000" w:themeColor="text1"/>
                <w:sz w:val="24"/>
                <w:szCs w:val="24"/>
              </w:rPr>
            </w:pPr>
            <w:r w:rsidRPr="3C0FD80D">
              <w:rPr>
                <w:rFonts w:ascii="Arial" w:eastAsia="Arial" w:hAnsi="Arial" w:cs="Arial"/>
                <w:color w:val="000000" w:themeColor="text1"/>
                <w:sz w:val="24"/>
                <w:szCs w:val="24"/>
              </w:rPr>
              <w:t>DPH Advisories and Commissions</w:t>
            </w:r>
          </w:p>
          <w:p w14:paraId="4AE601D6" w14:textId="0609590D" w:rsidR="110FD163" w:rsidRDefault="110FD163" w:rsidP="3C0FD80D">
            <w:pPr>
              <w:rPr>
                <w:rFonts w:ascii="Arial" w:eastAsia="Arial" w:hAnsi="Arial" w:cs="Arial"/>
                <w:color w:val="000000" w:themeColor="text1"/>
                <w:sz w:val="24"/>
                <w:szCs w:val="24"/>
              </w:rPr>
            </w:pPr>
          </w:p>
        </w:tc>
      </w:tr>
    </w:tbl>
    <w:p w14:paraId="123570AE" w14:textId="707B6A44" w:rsidR="14ED4C9E" w:rsidRDefault="14ED4C9E" w:rsidP="14ED4C9E"/>
    <w:p w14:paraId="51F9D01D" w14:textId="4670F42A" w:rsidR="268C9EFE" w:rsidRDefault="268C9EFE" w:rsidP="34646826">
      <w:r w:rsidRPr="34646826">
        <w:rPr>
          <w:i/>
          <w:iCs/>
        </w:rPr>
        <w:t xml:space="preserve">Updated </w:t>
      </w:r>
      <w:proofErr w:type="gramStart"/>
      <w:r w:rsidRPr="34646826">
        <w:rPr>
          <w:i/>
          <w:iCs/>
        </w:rPr>
        <w:t>5/20/24</w:t>
      </w:r>
      <w:proofErr w:type="gramEnd"/>
    </w:p>
    <w:p w14:paraId="233A4BA3" w14:textId="0DC55AEE" w:rsidR="76FEA7CE" w:rsidRDefault="76FEA7CE" w:rsidP="3029A437">
      <w:pPr>
        <w:rPr>
          <w:sz w:val="28"/>
          <w:szCs w:val="28"/>
        </w:rPr>
      </w:pPr>
      <w:r w:rsidRPr="3029A437">
        <w:rPr>
          <w:sz w:val="28"/>
          <w:szCs w:val="28"/>
        </w:rPr>
        <w:t xml:space="preserve">See partners associated with each priority area </w:t>
      </w:r>
      <w:r w:rsidR="17365B3D" w:rsidRPr="3029A437">
        <w:rPr>
          <w:sz w:val="28"/>
          <w:szCs w:val="28"/>
        </w:rPr>
        <w:t>on their respective pages</w:t>
      </w:r>
      <w:r w:rsidR="701A1221" w:rsidRPr="3029A437">
        <w:rPr>
          <w:sz w:val="28"/>
          <w:szCs w:val="28"/>
        </w:rPr>
        <w:t xml:space="preserve"> at </w:t>
      </w:r>
      <w:hyperlink r:id="rId8">
        <w:r w:rsidR="701A1221" w:rsidRPr="3029A437">
          <w:rPr>
            <w:rStyle w:val="Hyperlink"/>
            <w:sz w:val="28"/>
            <w:szCs w:val="28"/>
          </w:rPr>
          <w:t>https://mass.gov/ship</w:t>
        </w:r>
      </w:hyperlink>
      <w:r w:rsidR="701A1221" w:rsidRPr="3029A437">
        <w:rPr>
          <w:sz w:val="28"/>
          <w:szCs w:val="28"/>
        </w:rPr>
        <w:t xml:space="preserve"> </w:t>
      </w:r>
    </w:p>
    <w:sectPr w:rsidR="76FEA7CE">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F2B3" w14:textId="77777777" w:rsidR="0063637C" w:rsidRDefault="0063637C">
      <w:pPr>
        <w:spacing w:after="0" w:line="240" w:lineRule="auto"/>
      </w:pPr>
      <w:r>
        <w:separator/>
      </w:r>
    </w:p>
  </w:endnote>
  <w:endnote w:type="continuationSeparator" w:id="0">
    <w:p w14:paraId="1A7517E3" w14:textId="77777777" w:rsidR="0063637C" w:rsidRDefault="0063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5CB94B94" w14:paraId="14E844E5" w14:textId="77777777" w:rsidTr="34646826">
      <w:trPr>
        <w:trHeight w:val="300"/>
      </w:trPr>
      <w:tc>
        <w:tcPr>
          <w:tcW w:w="4320" w:type="dxa"/>
        </w:tcPr>
        <w:p w14:paraId="3A0DBCA3" w14:textId="3887882D" w:rsidR="5CB94B94" w:rsidRDefault="5CB94B94" w:rsidP="5CB94B94">
          <w:pPr>
            <w:pStyle w:val="Header"/>
            <w:ind w:left="-115"/>
          </w:pPr>
        </w:p>
      </w:tc>
      <w:tc>
        <w:tcPr>
          <w:tcW w:w="4320" w:type="dxa"/>
        </w:tcPr>
        <w:p w14:paraId="013A4648" w14:textId="1AB3FFF0" w:rsidR="5CB94B94" w:rsidRDefault="5CB94B94" w:rsidP="34646826">
          <w:pPr>
            <w:pStyle w:val="Header"/>
            <w:jc w:val="center"/>
          </w:pPr>
        </w:p>
      </w:tc>
      <w:tc>
        <w:tcPr>
          <w:tcW w:w="4320" w:type="dxa"/>
        </w:tcPr>
        <w:p w14:paraId="191855C4" w14:textId="71F7A786" w:rsidR="5CB94B94" w:rsidRDefault="5CB94B94" w:rsidP="5CB94B94">
          <w:pPr>
            <w:pStyle w:val="Header"/>
            <w:ind w:right="-115"/>
            <w:jc w:val="right"/>
          </w:pPr>
          <w:r>
            <w:fldChar w:fldCharType="begin"/>
          </w:r>
          <w:r>
            <w:instrText>PAGE</w:instrText>
          </w:r>
          <w:r w:rsidR="00000000">
            <w:fldChar w:fldCharType="separate"/>
          </w:r>
          <w:r w:rsidR="002D1446">
            <w:rPr>
              <w:noProof/>
            </w:rPr>
            <w:t>1</w:t>
          </w:r>
          <w:r>
            <w:fldChar w:fldCharType="end"/>
          </w:r>
        </w:p>
      </w:tc>
    </w:tr>
  </w:tbl>
  <w:p w14:paraId="05CD7077" w14:textId="7D91A5B8" w:rsidR="5CB94B94" w:rsidRDefault="5CB94B94" w:rsidP="5CB9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CEBA" w14:textId="77777777" w:rsidR="0063637C" w:rsidRDefault="0063637C">
      <w:pPr>
        <w:spacing w:after="0" w:line="240" w:lineRule="auto"/>
      </w:pPr>
      <w:r>
        <w:separator/>
      </w:r>
    </w:p>
  </w:footnote>
  <w:footnote w:type="continuationSeparator" w:id="0">
    <w:p w14:paraId="0F62554F" w14:textId="77777777" w:rsidR="0063637C" w:rsidRDefault="00636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77C1" w14:textId="77B8015F" w:rsidR="5CB94B94" w:rsidRDefault="5CB94B94" w:rsidP="5CB94B94">
    <w:pPr>
      <w:pStyle w:val="Header"/>
      <w:jc w:val="center"/>
      <w:rPr>
        <w:rFonts w:ascii="Arial" w:eastAsia="Arial" w:hAnsi="Arial" w:cs="Arial"/>
        <w:sz w:val="36"/>
        <w:szCs w:val="36"/>
      </w:rPr>
    </w:pPr>
    <w:r>
      <w:rPr>
        <w:noProof/>
      </w:rPr>
      <w:drawing>
        <wp:anchor distT="0" distB="0" distL="114300" distR="114300" simplePos="0" relativeHeight="251658240" behindDoc="0" locked="0" layoutInCell="1" allowOverlap="1" wp14:anchorId="37FE9989" wp14:editId="5E89600D">
          <wp:simplePos x="0" y="0"/>
          <wp:positionH relativeFrom="column">
            <wp:align>left</wp:align>
          </wp:positionH>
          <wp:positionV relativeFrom="paragraph">
            <wp:posOffset>0</wp:posOffset>
          </wp:positionV>
          <wp:extent cx="847725" cy="847725"/>
          <wp:effectExtent l="0" t="0" r="0" b="0"/>
          <wp:wrapSquare wrapText="bothSides"/>
          <wp:docPr id="297232965" name="Picture 29723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5CB94B94">
      <w:rPr>
        <w:rFonts w:ascii="Arial" w:eastAsia="Arial" w:hAnsi="Arial" w:cs="Arial"/>
        <w:b/>
        <w:bCs/>
        <w:sz w:val="40"/>
        <w:szCs w:val="40"/>
      </w:rPr>
      <w:t>List of Partners Engaged for the 2024 State Health Assessment and the State Health Improvement Plan</w:t>
    </w:r>
  </w:p>
</w:hdr>
</file>

<file path=word/intelligence2.xml><?xml version="1.0" encoding="utf-8"?>
<int2:intelligence xmlns:int2="http://schemas.microsoft.com/office/intelligence/2020/intelligence" xmlns:oel="http://schemas.microsoft.com/office/2019/extlst">
  <int2:observations>
    <int2:textHash int2:hashCode="j2aZnGCVC7v339" int2:id="nkpdZ8CH">
      <int2:state int2:value="Rejected" int2:type="AugLoop_Text_Critique"/>
    </int2:textHash>
    <int2:textHash int2:hashCode="wgGTlhZDGln5DW" int2:id="b0eYcvn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B1E0"/>
    <w:multiLevelType w:val="multilevel"/>
    <w:tmpl w:val="E5FCAD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34A280BE"/>
    <w:multiLevelType w:val="hybridMultilevel"/>
    <w:tmpl w:val="BDCE3012"/>
    <w:lvl w:ilvl="0" w:tplc="68C85B30">
      <w:start w:val="1"/>
      <w:numFmt w:val="bullet"/>
      <w:lvlText w:val="-"/>
      <w:lvlJc w:val="left"/>
      <w:pPr>
        <w:ind w:left="720" w:hanging="360"/>
      </w:pPr>
      <w:rPr>
        <w:rFonts w:ascii="Calibri" w:hAnsi="Calibri" w:hint="default"/>
      </w:rPr>
    </w:lvl>
    <w:lvl w:ilvl="1" w:tplc="AC06142A">
      <w:start w:val="1"/>
      <w:numFmt w:val="bullet"/>
      <w:lvlText w:val="o"/>
      <w:lvlJc w:val="left"/>
      <w:pPr>
        <w:ind w:left="1440" w:hanging="360"/>
      </w:pPr>
      <w:rPr>
        <w:rFonts w:ascii="Courier New" w:hAnsi="Courier New" w:hint="default"/>
      </w:rPr>
    </w:lvl>
    <w:lvl w:ilvl="2" w:tplc="F8264BAA">
      <w:start w:val="1"/>
      <w:numFmt w:val="bullet"/>
      <w:lvlText w:val=""/>
      <w:lvlJc w:val="left"/>
      <w:pPr>
        <w:ind w:left="2160" w:hanging="360"/>
      </w:pPr>
      <w:rPr>
        <w:rFonts w:ascii="Wingdings" w:hAnsi="Wingdings" w:hint="default"/>
      </w:rPr>
    </w:lvl>
    <w:lvl w:ilvl="3" w:tplc="38BE21EA">
      <w:start w:val="1"/>
      <w:numFmt w:val="bullet"/>
      <w:lvlText w:val=""/>
      <w:lvlJc w:val="left"/>
      <w:pPr>
        <w:ind w:left="2880" w:hanging="360"/>
      </w:pPr>
      <w:rPr>
        <w:rFonts w:ascii="Symbol" w:hAnsi="Symbol" w:hint="default"/>
      </w:rPr>
    </w:lvl>
    <w:lvl w:ilvl="4" w:tplc="7F5EB96A">
      <w:start w:val="1"/>
      <w:numFmt w:val="bullet"/>
      <w:lvlText w:val="o"/>
      <w:lvlJc w:val="left"/>
      <w:pPr>
        <w:ind w:left="3600" w:hanging="360"/>
      </w:pPr>
      <w:rPr>
        <w:rFonts w:ascii="Courier New" w:hAnsi="Courier New" w:hint="default"/>
      </w:rPr>
    </w:lvl>
    <w:lvl w:ilvl="5" w:tplc="C23613C4">
      <w:start w:val="1"/>
      <w:numFmt w:val="bullet"/>
      <w:lvlText w:val=""/>
      <w:lvlJc w:val="left"/>
      <w:pPr>
        <w:ind w:left="4320" w:hanging="360"/>
      </w:pPr>
      <w:rPr>
        <w:rFonts w:ascii="Wingdings" w:hAnsi="Wingdings" w:hint="default"/>
      </w:rPr>
    </w:lvl>
    <w:lvl w:ilvl="6" w:tplc="9CAE28CC">
      <w:start w:val="1"/>
      <w:numFmt w:val="bullet"/>
      <w:lvlText w:val=""/>
      <w:lvlJc w:val="left"/>
      <w:pPr>
        <w:ind w:left="5040" w:hanging="360"/>
      </w:pPr>
      <w:rPr>
        <w:rFonts w:ascii="Symbol" w:hAnsi="Symbol" w:hint="default"/>
      </w:rPr>
    </w:lvl>
    <w:lvl w:ilvl="7" w:tplc="84600074">
      <w:start w:val="1"/>
      <w:numFmt w:val="bullet"/>
      <w:lvlText w:val="o"/>
      <w:lvlJc w:val="left"/>
      <w:pPr>
        <w:ind w:left="5760" w:hanging="360"/>
      </w:pPr>
      <w:rPr>
        <w:rFonts w:ascii="Courier New" w:hAnsi="Courier New" w:hint="default"/>
      </w:rPr>
    </w:lvl>
    <w:lvl w:ilvl="8" w:tplc="9BA69CFA">
      <w:start w:val="1"/>
      <w:numFmt w:val="bullet"/>
      <w:lvlText w:val=""/>
      <w:lvlJc w:val="left"/>
      <w:pPr>
        <w:ind w:left="6480" w:hanging="360"/>
      </w:pPr>
      <w:rPr>
        <w:rFonts w:ascii="Wingdings" w:hAnsi="Wingdings" w:hint="default"/>
      </w:rPr>
    </w:lvl>
  </w:abstractNum>
  <w:abstractNum w:abstractNumId="2" w15:restartNumberingAfterBreak="0">
    <w:nsid w:val="5564D189"/>
    <w:multiLevelType w:val="multilevel"/>
    <w:tmpl w:val="D68E96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57FC2BDB"/>
    <w:multiLevelType w:val="hybridMultilevel"/>
    <w:tmpl w:val="3C90B0BA"/>
    <w:lvl w:ilvl="0" w:tplc="86725E4C">
      <w:start w:val="1"/>
      <w:numFmt w:val="decimal"/>
      <w:lvlText w:val="%1."/>
      <w:lvlJc w:val="left"/>
      <w:pPr>
        <w:ind w:left="720" w:hanging="360"/>
      </w:pPr>
    </w:lvl>
    <w:lvl w:ilvl="1" w:tplc="1728CD78">
      <w:start w:val="1"/>
      <w:numFmt w:val="lowerLetter"/>
      <w:lvlText w:val="%2."/>
      <w:lvlJc w:val="left"/>
      <w:pPr>
        <w:ind w:left="1440" w:hanging="360"/>
      </w:pPr>
    </w:lvl>
    <w:lvl w:ilvl="2" w:tplc="0CFC743E">
      <w:start w:val="1"/>
      <w:numFmt w:val="lowerRoman"/>
      <w:lvlText w:val="%3."/>
      <w:lvlJc w:val="right"/>
      <w:pPr>
        <w:ind w:left="2160" w:hanging="180"/>
      </w:pPr>
    </w:lvl>
    <w:lvl w:ilvl="3" w:tplc="F55C8A88">
      <w:start w:val="1"/>
      <w:numFmt w:val="decimal"/>
      <w:lvlText w:val="%4."/>
      <w:lvlJc w:val="left"/>
      <w:pPr>
        <w:ind w:left="2880" w:hanging="360"/>
      </w:pPr>
    </w:lvl>
    <w:lvl w:ilvl="4" w:tplc="EF065EAA">
      <w:start w:val="1"/>
      <w:numFmt w:val="lowerLetter"/>
      <w:lvlText w:val="%5."/>
      <w:lvlJc w:val="left"/>
      <w:pPr>
        <w:ind w:left="3600" w:hanging="360"/>
      </w:pPr>
    </w:lvl>
    <w:lvl w:ilvl="5" w:tplc="38C426AA">
      <w:start w:val="1"/>
      <w:numFmt w:val="lowerRoman"/>
      <w:lvlText w:val="%6."/>
      <w:lvlJc w:val="right"/>
      <w:pPr>
        <w:ind w:left="4320" w:hanging="180"/>
      </w:pPr>
    </w:lvl>
    <w:lvl w:ilvl="6" w:tplc="8EE08B4E">
      <w:start w:val="1"/>
      <w:numFmt w:val="decimal"/>
      <w:lvlText w:val="%7."/>
      <w:lvlJc w:val="left"/>
      <w:pPr>
        <w:ind w:left="5040" w:hanging="360"/>
      </w:pPr>
    </w:lvl>
    <w:lvl w:ilvl="7" w:tplc="BAE6A946">
      <w:start w:val="1"/>
      <w:numFmt w:val="lowerLetter"/>
      <w:lvlText w:val="%8."/>
      <w:lvlJc w:val="left"/>
      <w:pPr>
        <w:ind w:left="5760" w:hanging="360"/>
      </w:pPr>
    </w:lvl>
    <w:lvl w:ilvl="8" w:tplc="6AEEBB0E">
      <w:start w:val="1"/>
      <w:numFmt w:val="lowerRoman"/>
      <w:lvlText w:val="%9."/>
      <w:lvlJc w:val="right"/>
      <w:pPr>
        <w:ind w:left="6480" w:hanging="180"/>
      </w:pPr>
    </w:lvl>
  </w:abstractNum>
  <w:abstractNum w:abstractNumId="4" w15:restartNumberingAfterBreak="0">
    <w:nsid w:val="58845282"/>
    <w:multiLevelType w:val="hybridMultilevel"/>
    <w:tmpl w:val="CCD0BF5A"/>
    <w:lvl w:ilvl="0" w:tplc="60D891CC">
      <w:start w:val="1"/>
      <w:numFmt w:val="bullet"/>
      <w:lvlText w:val="-"/>
      <w:lvlJc w:val="left"/>
      <w:pPr>
        <w:ind w:left="1080" w:hanging="360"/>
      </w:pPr>
      <w:rPr>
        <w:rFonts w:ascii="Calibri" w:hAnsi="Calibri" w:hint="default"/>
      </w:rPr>
    </w:lvl>
    <w:lvl w:ilvl="1" w:tplc="B224C530">
      <w:start w:val="1"/>
      <w:numFmt w:val="bullet"/>
      <w:lvlText w:val="o"/>
      <w:lvlJc w:val="left"/>
      <w:pPr>
        <w:ind w:left="1800" w:hanging="360"/>
      </w:pPr>
      <w:rPr>
        <w:rFonts w:ascii="Courier New" w:hAnsi="Courier New" w:hint="default"/>
      </w:rPr>
    </w:lvl>
    <w:lvl w:ilvl="2" w:tplc="54444A04">
      <w:start w:val="1"/>
      <w:numFmt w:val="bullet"/>
      <w:lvlText w:val=""/>
      <w:lvlJc w:val="left"/>
      <w:pPr>
        <w:ind w:left="2520" w:hanging="360"/>
      </w:pPr>
      <w:rPr>
        <w:rFonts w:ascii="Wingdings" w:hAnsi="Wingdings" w:hint="default"/>
      </w:rPr>
    </w:lvl>
    <w:lvl w:ilvl="3" w:tplc="EFB0D34C">
      <w:start w:val="1"/>
      <w:numFmt w:val="bullet"/>
      <w:lvlText w:val=""/>
      <w:lvlJc w:val="left"/>
      <w:pPr>
        <w:ind w:left="3240" w:hanging="360"/>
      </w:pPr>
      <w:rPr>
        <w:rFonts w:ascii="Symbol" w:hAnsi="Symbol" w:hint="default"/>
      </w:rPr>
    </w:lvl>
    <w:lvl w:ilvl="4" w:tplc="AAB46B9A">
      <w:start w:val="1"/>
      <w:numFmt w:val="bullet"/>
      <w:lvlText w:val="o"/>
      <w:lvlJc w:val="left"/>
      <w:pPr>
        <w:ind w:left="3960" w:hanging="360"/>
      </w:pPr>
      <w:rPr>
        <w:rFonts w:ascii="Courier New" w:hAnsi="Courier New" w:hint="default"/>
      </w:rPr>
    </w:lvl>
    <w:lvl w:ilvl="5" w:tplc="65749B7E">
      <w:start w:val="1"/>
      <w:numFmt w:val="bullet"/>
      <w:lvlText w:val=""/>
      <w:lvlJc w:val="left"/>
      <w:pPr>
        <w:ind w:left="4680" w:hanging="360"/>
      </w:pPr>
      <w:rPr>
        <w:rFonts w:ascii="Wingdings" w:hAnsi="Wingdings" w:hint="default"/>
      </w:rPr>
    </w:lvl>
    <w:lvl w:ilvl="6" w:tplc="96303D5C">
      <w:start w:val="1"/>
      <w:numFmt w:val="bullet"/>
      <w:lvlText w:val=""/>
      <w:lvlJc w:val="left"/>
      <w:pPr>
        <w:ind w:left="5400" w:hanging="360"/>
      </w:pPr>
      <w:rPr>
        <w:rFonts w:ascii="Symbol" w:hAnsi="Symbol" w:hint="default"/>
      </w:rPr>
    </w:lvl>
    <w:lvl w:ilvl="7" w:tplc="75FA5A94">
      <w:start w:val="1"/>
      <w:numFmt w:val="bullet"/>
      <w:lvlText w:val="o"/>
      <w:lvlJc w:val="left"/>
      <w:pPr>
        <w:ind w:left="6120" w:hanging="360"/>
      </w:pPr>
      <w:rPr>
        <w:rFonts w:ascii="Courier New" w:hAnsi="Courier New" w:hint="default"/>
      </w:rPr>
    </w:lvl>
    <w:lvl w:ilvl="8" w:tplc="565C76E4">
      <w:start w:val="1"/>
      <w:numFmt w:val="bullet"/>
      <w:lvlText w:val=""/>
      <w:lvlJc w:val="left"/>
      <w:pPr>
        <w:ind w:left="6840" w:hanging="360"/>
      </w:pPr>
      <w:rPr>
        <w:rFonts w:ascii="Wingdings" w:hAnsi="Wingdings" w:hint="default"/>
      </w:rPr>
    </w:lvl>
  </w:abstractNum>
  <w:abstractNum w:abstractNumId="5" w15:restartNumberingAfterBreak="0">
    <w:nsid w:val="65DDF1F1"/>
    <w:multiLevelType w:val="hybridMultilevel"/>
    <w:tmpl w:val="FB7A16C6"/>
    <w:lvl w:ilvl="0" w:tplc="01D838FC">
      <w:start w:val="1"/>
      <w:numFmt w:val="decimal"/>
      <w:lvlText w:val="%1."/>
      <w:lvlJc w:val="left"/>
      <w:pPr>
        <w:ind w:left="720" w:hanging="360"/>
      </w:pPr>
    </w:lvl>
    <w:lvl w:ilvl="1" w:tplc="96944A82">
      <w:start w:val="1"/>
      <w:numFmt w:val="lowerLetter"/>
      <w:lvlText w:val="%2."/>
      <w:lvlJc w:val="left"/>
      <w:pPr>
        <w:ind w:left="1440" w:hanging="360"/>
      </w:pPr>
    </w:lvl>
    <w:lvl w:ilvl="2" w:tplc="C122CE4C">
      <w:start w:val="1"/>
      <w:numFmt w:val="lowerRoman"/>
      <w:lvlText w:val="%3."/>
      <w:lvlJc w:val="right"/>
      <w:pPr>
        <w:ind w:left="2160" w:hanging="180"/>
      </w:pPr>
    </w:lvl>
    <w:lvl w:ilvl="3" w:tplc="BCB60880">
      <w:start w:val="1"/>
      <w:numFmt w:val="decimal"/>
      <w:lvlText w:val="%4."/>
      <w:lvlJc w:val="left"/>
      <w:pPr>
        <w:ind w:left="2880" w:hanging="360"/>
      </w:pPr>
    </w:lvl>
    <w:lvl w:ilvl="4" w:tplc="7D14ED98">
      <w:start w:val="1"/>
      <w:numFmt w:val="lowerLetter"/>
      <w:lvlText w:val="%5."/>
      <w:lvlJc w:val="left"/>
      <w:pPr>
        <w:ind w:left="3600" w:hanging="360"/>
      </w:pPr>
    </w:lvl>
    <w:lvl w:ilvl="5" w:tplc="95404990">
      <w:start w:val="1"/>
      <w:numFmt w:val="lowerRoman"/>
      <w:lvlText w:val="%6."/>
      <w:lvlJc w:val="right"/>
      <w:pPr>
        <w:ind w:left="4320" w:hanging="180"/>
      </w:pPr>
    </w:lvl>
    <w:lvl w:ilvl="6" w:tplc="845AEDE0">
      <w:start w:val="1"/>
      <w:numFmt w:val="decimal"/>
      <w:lvlText w:val="%7."/>
      <w:lvlJc w:val="left"/>
      <w:pPr>
        <w:ind w:left="5040" w:hanging="360"/>
      </w:pPr>
    </w:lvl>
    <w:lvl w:ilvl="7" w:tplc="6A269C92">
      <w:start w:val="1"/>
      <w:numFmt w:val="lowerLetter"/>
      <w:lvlText w:val="%8."/>
      <w:lvlJc w:val="left"/>
      <w:pPr>
        <w:ind w:left="5760" w:hanging="360"/>
      </w:pPr>
    </w:lvl>
    <w:lvl w:ilvl="8" w:tplc="0504A47C">
      <w:start w:val="1"/>
      <w:numFmt w:val="lowerRoman"/>
      <w:lvlText w:val="%9."/>
      <w:lvlJc w:val="right"/>
      <w:pPr>
        <w:ind w:left="6480" w:hanging="180"/>
      </w:pPr>
    </w:lvl>
  </w:abstractNum>
  <w:abstractNum w:abstractNumId="6" w15:restartNumberingAfterBreak="0">
    <w:nsid w:val="67EC5C17"/>
    <w:multiLevelType w:val="hybridMultilevel"/>
    <w:tmpl w:val="DAF234C4"/>
    <w:lvl w:ilvl="0" w:tplc="B812FA78">
      <w:start w:val="1"/>
      <w:numFmt w:val="bullet"/>
      <w:lvlText w:val="-"/>
      <w:lvlJc w:val="left"/>
      <w:pPr>
        <w:ind w:left="1080" w:hanging="360"/>
      </w:pPr>
      <w:rPr>
        <w:rFonts w:ascii="Calibri" w:hAnsi="Calibri" w:hint="default"/>
      </w:rPr>
    </w:lvl>
    <w:lvl w:ilvl="1" w:tplc="5D1C7702">
      <w:start w:val="1"/>
      <w:numFmt w:val="bullet"/>
      <w:lvlText w:val="o"/>
      <w:lvlJc w:val="left"/>
      <w:pPr>
        <w:ind w:left="1800" w:hanging="360"/>
      </w:pPr>
      <w:rPr>
        <w:rFonts w:ascii="Courier New" w:hAnsi="Courier New" w:hint="default"/>
      </w:rPr>
    </w:lvl>
    <w:lvl w:ilvl="2" w:tplc="1FDE0492">
      <w:start w:val="1"/>
      <w:numFmt w:val="bullet"/>
      <w:lvlText w:val=""/>
      <w:lvlJc w:val="left"/>
      <w:pPr>
        <w:ind w:left="2520" w:hanging="360"/>
      </w:pPr>
      <w:rPr>
        <w:rFonts w:ascii="Wingdings" w:hAnsi="Wingdings" w:hint="default"/>
      </w:rPr>
    </w:lvl>
    <w:lvl w:ilvl="3" w:tplc="CE9A8F1A">
      <w:start w:val="1"/>
      <w:numFmt w:val="bullet"/>
      <w:lvlText w:val=""/>
      <w:lvlJc w:val="left"/>
      <w:pPr>
        <w:ind w:left="3240" w:hanging="360"/>
      </w:pPr>
      <w:rPr>
        <w:rFonts w:ascii="Symbol" w:hAnsi="Symbol" w:hint="default"/>
      </w:rPr>
    </w:lvl>
    <w:lvl w:ilvl="4" w:tplc="6FFA3880">
      <w:start w:val="1"/>
      <w:numFmt w:val="bullet"/>
      <w:lvlText w:val="o"/>
      <w:lvlJc w:val="left"/>
      <w:pPr>
        <w:ind w:left="3960" w:hanging="360"/>
      </w:pPr>
      <w:rPr>
        <w:rFonts w:ascii="Courier New" w:hAnsi="Courier New" w:hint="default"/>
      </w:rPr>
    </w:lvl>
    <w:lvl w:ilvl="5" w:tplc="05ACEF06">
      <w:start w:val="1"/>
      <w:numFmt w:val="bullet"/>
      <w:lvlText w:val=""/>
      <w:lvlJc w:val="left"/>
      <w:pPr>
        <w:ind w:left="4680" w:hanging="360"/>
      </w:pPr>
      <w:rPr>
        <w:rFonts w:ascii="Wingdings" w:hAnsi="Wingdings" w:hint="default"/>
      </w:rPr>
    </w:lvl>
    <w:lvl w:ilvl="6" w:tplc="7F3A561A">
      <w:start w:val="1"/>
      <w:numFmt w:val="bullet"/>
      <w:lvlText w:val=""/>
      <w:lvlJc w:val="left"/>
      <w:pPr>
        <w:ind w:left="5400" w:hanging="360"/>
      </w:pPr>
      <w:rPr>
        <w:rFonts w:ascii="Symbol" w:hAnsi="Symbol" w:hint="default"/>
      </w:rPr>
    </w:lvl>
    <w:lvl w:ilvl="7" w:tplc="82463A1A">
      <w:start w:val="1"/>
      <w:numFmt w:val="bullet"/>
      <w:lvlText w:val="o"/>
      <w:lvlJc w:val="left"/>
      <w:pPr>
        <w:ind w:left="6120" w:hanging="360"/>
      </w:pPr>
      <w:rPr>
        <w:rFonts w:ascii="Courier New" w:hAnsi="Courier New" w:hint="default"/>
      </w:rPr>
    </w:lvl>
    <w:lvl w:ilvl="8" w:tplc="85E65682">
      <w:start w:val="1"/>
      <w:numFmt w:val="bullet"/>
      <w:lvlText w:val=""/>
      <w:lvlJc w:val="left"/>
      <w:pPr>
        <w:ind w:left="6840" w:hanging="360"/>
      </w:pPr>
      <w:rPr>
        <w:rFonts w:ascii="Wingdings" w:hAnsi="Wingdings" w:hint="default"/>
      </w:rPr>
    </w:lvl>
  </w:abstractNum>
  <w:num w:numId="1" w16cid:durableId="1212227245">
    <w:abstractNumId w:val="3"/>
  </w:num>
  <w:num w:numId="2" w16cid:durableId="106891601">
    <w:abstractNumId w:val="6"/>
  </w:num>
  <w:num w:numId="3" w16cid:durableId="1661154294">
    <w:abstractNumId w:val="2"/>
  </w:num>
  <w:num w:numId="4" w16cid:durableId="1889609459">
    <w:abstractNumId w:val="5"/>
  </w:num>
  <w:num w:numId="5" w16cid:durableId="459492325">
    <w:abstractNumId w:val="4"/>
  </w:num>
  <w:num w:numId="6" w16cid:durableId="1642953264">
    <w:abstractNumId w:val="0"/>
  </w:num>
  <w:num w:numId="7" w16cid:durableId="212156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AAE19"/>
    <w:rsid w:val="002D1446"/>
    <w:rsid w:val="0063637C"/>
    <w:rsid w:val="00681EFE"/>
    <w:rsid w:val="0170E56D"/>
    <w:rsid w:val="01E43191"/>
    <w:rsid w:val="02AB7CBC"/>
    <w:rsid w:val="02B37046"/>
    <w:rsid w:val="05504D21"/>
    <w:rsid w:val="05B41239"/>
    <w:rsid w:val="08DA3A3A"/>
    <w:rsid w:val="0A23BE44"/>
    <w:rsid w:val="0B546BA5"/>
    <w:rsid w:val="0BBF8EA5"/>
    <w:rsid w:val="0C14B23E"/>
    <w:rsid w:val="0C3E1953"/>
    <w:rsid w:val="0C412A2F"/>
    <w:rsid w:val="0C75A43D"/>
    <w:rsid w:val="0CAC58BB"/>
    <w:rsid w:val="0DBCE9CD"/>
    <w:rsid w:val="0E2D2C30"/>
    <w:rsid w:val="0E849F61"/>
    <w:rsid w:val="0F546972"/>
    <w:rsid w:val="0F5EA2DE"/>
    <w:rsid w:val="1016DE24"/>
    <w:rsid w:val="109578D3"/>
    <w:rsid w:val="110FD163"/>
    <w:rsid w:val="11280BF7"/>
    <w:rsid w:val="11331B93"/>
    <w:rsid w:val="11DB5974"/>
    <w:rsid w:val="1283CC84"/>
    <w:rsid w:val="13240B03"/>
    <w:rsid w:val="141F9CE5"/>
    <w:rsid w:val="143BA023"/>
    <w:rsid w:val="147C60EB"/>
    <w:rsid w:val="14ED4C9E"/>
    <w:rsid w:val="1559008F"/>
    <w:rsid w:val="157C083A"/>
    <w:rsid w:val="158E6485"/>
    <w:rsid w:val="162FA5EC"/>
    <w:rsid w:val="165BABC5"/>
    <w:rsid w:val="17365B3D"/>
    <w:rsid w:val="1759D1ED"/>
    <w:rsid w:val="1876F264"/>
    <w:rsid w:val="192F67DB"/>
    <w:rsid w:val="197A395F"/>
    <w:rsid w:val="1AE26B44"/>
    <w:rsid w:val="1B1609C0"/>
    <w:rsid w:val="1B3E8848"/>
    <w:rsid w:val="1C3D6B2A"/>
    <w:rsid w:val="1C859B4E"/>
    <w:rsid w:val="1CB1DA21"/>
    <w:rsid w:val="1D89210C"/>
    <w:rsid w:val="1E56CC78"/>
    <w:rsid w:val="1EE6E14D"/>
    <w:rsid w:val="1EF5B7CB"/>
    <w:rsid w:val="1FCF791B"/>
    <w:rsid w:val="20DE4070"/>
    <w:rsid w:val="213AC4AF"/>
    <w:rsid w:val="216B497C"/>
    <w:rsid w:val="22229F08"/>
    <w:rsid w:val="222E4D3C"/>
    <w:rsid w:val="25664B20"/>
    <w:rsid w:val="268C9EFE"/>
    <w:rsid w:val="29101891"/>
    <w:rsid w:val="291FCC3B"/>
    <w:rsid w:val="29530413"/>
    <w:rsid w:val="2A4BB7A5"/>
    <w:rsid w:val="2ABB9C9C"/>
    <w:rsid w:val="2C3AD2D2"/>
    <w:rsid w:val="2DB996CE"/>
    <w:rsid w:val="2E219CA1"/>
    <w:rsid w:val="2E4701E4"/>
    <w:rsid w:val="2F1AAE19"/>
    <w:rsid w:val="2F50851C"/>
    <w:rsid w:val="2F8F0DBF"/>
    <w:rsid w:val="2FBD2149"/>
    <w:rsid w:val="3029A437"/>
    <w:rsid w:val="310E298F"/>
    <w:rsid w:val="3123D06E"/>
    <w:rsid w:val="3214891A"/>
    <w:rsid w:val="325A9288"/>
    <w:rsid w:val="32C1988B"/>
    <w:rsid w:val="33B0597B"/>
    <w:rsid w:val="33B49063"/>
    <w:rsid w:val="34646826"/>
    <w:rsid w:val="36BFDD56"/>
    <w:rsid w:val="37DF9714"/>
    <w:rsid w:val="3864ADF4"/>
    <w:rsid w:val="387E38AF"/>
    <w:rsid w:val="39282EEF"/>
    <w:rsid w:val="3942E6E5"/>
    <w:rsid w:val="399530E7"/>
    <w:rsid w:val="3A4CFD28"/>
    <w:rsid w:val="3A55F1A3"/>
    <w:rsid w:val="3A966658"/>
    <w:rsid w:val="3AD48FF3"/>
    <w:rsid w:val="3C0F7C11"/>
    <w:rsid w:val="3C0FD80D"/>
    <w:rsid w:val="3D2DB18B"/>
    <w:rsid w:val="3D32AF28"/>
    <w:rsid w:val="3D9EBA83"/>
    <w:rsid w:val="3E68115D"/>
    <w:rsid w:val="40B12F10"/>
    <w:rsid w:val="40CDE342"/>
    <w:rsid w:val="4222962D"/>
    <w:rsid w:val="42AD2E1C"/>
    <w:rsid w:val="43F5ABC0"/>
    <w:rsid w:val="4578BAB1"/>
    <w:rsid w:val="45CBA681"/>
    <w:rsid w:val="471257D3"/>
    <w:rsid w:val="475F80A4"/>
    <w:rsid w:val="47D0A667"/>
    <w:rsid w:val="488D096B"/>
    <w:rsid w:val="48AE2834"/>
    <w:rsid w:val="48F42CAE"/>
    <w:rsid w:val="48F828DF"/>
    <w:rsid w:val="4A2FA660"/>
    <w:rsid w:val="4ABE4888"/>
    <w:rsid w:val="4AE2601D"/>
    <w:rsid w:val="4B2673DB"/>
    <w:rsid w:val="4B5A2D64"/>
    <w:rsid w:val="4CCE3869"/>
    <w:rsid w:val="4EDA0F13"/>
    <w:rsid w:val="5000D270"/>
    <w:rsid w:val="507E5C1E"/>
    <w:rsid w:val="51179053"/>
    <w:rsid w:val="5157AB06"/>
    <w:rsid w:val="51EA1A3F"/>
    <w:rsid w:val="534DE727"/>
    <w:rsid w:val="536F25F2"/>
    <w:rsid w:val="548B1D41"/>
    <w:rsid w:val="550C6BF3"/>
    <w:rsid w:val="551794B5"/>
    <w:rsid w:val="5661EDEE"/>
    <w:rsid w:val="5695F706"/>
    <w:rsid w:val="588CC9B7"/>
    <w:rsid w:val="58C86310"/>
    <w:rsid w:val="58FECAC9"/>
    <w:rsid w:val="5A44BFB5"/>
    <w:rsid w:val="5A9A9B2A"/>
    <w:rsid w:val="5B48CFB6"/>
    <w:rsid w:val="5C1C7069"/>
    <w:rsid w:val="5CB94B94"/>
    <w:rsid w:val="5D5FABE6"/>
    <w:rsid w:val="5E8626A1"/>
    <w:rsid w:val="6069F9CA"/>
    <w:rsid w:val="610098B9"/>
    <w:rsid w:val="6172CB52"/>
    <w:rsid w:val="61FB874E"/>
    <w:rsid w:val="631D53AE"/>
    <w:rsid w:val="63C93A7E"/>
    <w:rsid w:val="642E384D"/>
    <w:rsid w:val="65834C52"/>
    <w:rsid w:val="670A1A60"/>
    <w:rsid w:val="671F1CB3"/>
    <w:rsid w:val="67DDE743"/>
    <w:rsid w:val="682ADE93"/>
    <w:rsid w:val="68BAED14"/>
    <w:rsid w:val="6ABA2461"/>
    <w:rsid w:val="6ACC7B29"/>
    <w:rsid w:val="6BB2B8AB"/>
    <w:rsid w:val="6BB91F4F"/>
    <w:rsid w:val="6BE3E5C2"/>
    <w:rsid w:val="6D22FC06"/>
    <w:rsid w:val="701A1221"/>
    <w:rsid w:val="70465601"/>
    <w:rsid w:val="70EC967A"/>
    <w:rsid w:val="70ED3646"/>
    <w:rsid w:val="71D36613"/>
    <w:rsid w:val="72054A20"/>
    <w:rsid w:val="728D1495"/>
    <w:rsid w:val="72DCB96B"/>
    <w:rsid w:val="73A11A81"/>
    <w:rsid w:val="74B86795"/>
    <w:rsid w:val="7519C724"/>
    <w:rsid w:val="76F099FB"/>
    <w:rsid w:val="76FEA7CE"/>
    <w:rsid w:val="7783EA5F"/>
    <w:rsid w:val="77EC2BDD"/>
    <w:rsid w:val="77F8E023"/>
    <w:rsid w:val="7869DC92"/>
    <w:rsid w:val="7A2CE27E"/>
    <w:rsid w:val="7B2EED4E"/>
    <w:rsid w:val="7C88C6B0"/>
    <w:rsid w:val="7CCBBEE6"/>
    <w:rsid w:val="7DAF7862"/>
    <w:rsid w:val="7DD2315B"/>
    <w:rsid w:val="7DD40596"/>
    <w:rsid w:val="7E7BB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AE19"/>
  <w15:chartTrackingRefBased/>
  <w15:docId w15:val="{88005266-5FB0-4D9E-BDFA-FF4601A1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gov/ship"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malegislature.gov/Laws/GeneralLaws/PartI/TitleII/Chapter6A/Section8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Hae In (DPH)</dc:creator>
  <cp:keywords/>
  <dc:description/>
  <cp:lastModifiedBy>Leung, Manwai (DPH)</cp:lastModifiedBy>
  <cp:revision>2</cp:revision>
  <dcterms:created xsi:type="dcterms:W3CDTF">2024-06-27T14:51:00Z</dcterms:created>
  <dcterms:modified xsi:type="dcterms:W3CDTF">2024-06-27T14:51:00Z</dcterms:modified>
</cp:coreProperties>
</file>