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7E6" w:rsidRDefault="00A327E6" w:rsidP="003B5A51">
      <w:pPr>
        <w:jc w:val="center"/>
        <w:rPr>
          <w:noProof/>
        </w:rPr>
      </w:pPr>
      <w:bookmarkStart w:id="0" w:name="_Toc120690094"/>
      <w:bookmarkStart w:id="1" w:name="_Toc120696903"/>
      <w:bookmarkStart w:id="2" w:name="_Toc131326861"/>
      <w:bookmarkStart w:id="3" w:name="_Toc187641826"/>
      <w:r>
        <w:rPr>
          <w:noProof/>
          <w:lang w:eastAsia="zh-TW"/>
        </w:rPr>
        <w:pict>
          <v:shapetype id="_x0000_t202" coordsize="21600,21600" o:spt="202" path="m,l,21600r21600,l21600,xe">
            <v:stroke joinstyle="miter"/>
            <v:path gradientshapeok="t" o:connecttype="rect"/>
          </v:shapetype>
          <v:shape id="Text Box 2" o:spid="_x0000_s1026" type="#_x0000_t202" style="position:absolute;left:0;text-align:left;margin-left:-.35pt;margin-top:-13.15pt;width:466.9pt;height:12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" fillcolor="#22a6c0" strokecolor="#4bc3ff">
            <v:textbox>
              <w:txbxContent>
                <w:p w:rsidR="00A327E6" w:rsidRPr="00415FA2" w:rsidRDefault="00A327E6" w:rsidP="003B5A51">
                  <w:pPr>
                    <w:contextualSpacing/>
                    <w:rPr>
                      <w:color w:val="FFFFFF"/>
                      <w:sz w:val="80"/>
                      <w:szCs w:val="80"/>
                    </w:rPr>
                  </w:pPr>
                  <w:r w:rsidRPr="00415FA2">
                    <w:rPr>
                      <w:color w:val="FFFFFF"/>
                      <w:sz w:val="80"/>
                      <w:szCs w:val="80"/>
                    </w:rPr>
                    <w:t xml:space="preserve">    </w:t>
                  </w:r>
                  <w:smartTag w:uri="urn:schemas-microsoft-com:office:smarttags" w:element="place">
                    <w:smartTag w:uri="urn:schemas-microsoft-com:office:smarttags" w:element="PlaceName">
                      <w:r w:rsidRPr="00415FA2">
                        <w:rPr>
                          <w:color w:val="FFFFFF"/>
                          <w:sz w:val="80"/>
                          <w:szCs w:val="80"/>
                        </w:rPr>
                        <w:t>Logan</w:t>
                      </w:r>
                    </w:smartTag>
                    <w:r w:rsidRPr="00415FA2">
                      <w:rPr>
                        <w:color w:val="FFFFFF"/>
                        <w:sz w:val="80"/>
                        <w:szCs w:val="80"/>
                      </w:rPr>
                      <w:t xml:space="preserve"> </w:t>
                    </w:r>
                    <w:smartTag w:uri="urn:schemas-microsoft-com:office:smarttags" w:element="PlaceType">
                      <w:r w:rsidRPr="00415FA2">
                        <w:rPr>
                          <w:color w:val="FFFFFF"/>
                          <w:sz w:val="80"/>
                          <w:szCs w:val="80"/>
                        </w:rPr>
                        <w:t>Airport</w:t>
                      </w:r>
                    </w:smartTag>
                  </w:smartTag>
                  <w:r w:rsidRPr="00415FA2">
                    <w:rPr>
                      <w:color w:val="FFFFFF"/>
                      <w:sz w:val="80"/>
                      <w:szCs w:val="80"/>
                    </w:rPr>
                    <w:t xml:space="preserve"> </w:t>
                  </w:r>
                </w:p>
                <w:p w:rsidR="00A327E6" w:rsidRPr="00415FA2" w:rsidRDefault="00A327E6" w:rsidP="003B5A51">
                  <w:pPr>
                    <w:contextualSpacing/>
                    <w:rPr>
                      <w:color w:val="FFFFFF"/>
                      <w:sz w:val="80"/>
                      <w:szCs w:val="80"/>
                    </w:rPr>
                  </w:pPr>
                  <w:r w:rsidRPr="00415FA2">
                    <w:rPr>
                      <w:color w:val="FFFFFF"/>
                      <w:sz w:val="80"/>
                      <w:szCs w:val="80"/>
                    </w:rPr>
                    <w:tab/>
                    <w:t xml:space="preserve">               Health Study</w:t>
                  </w:r>
                </w:p>
              </w:txbxContent>
            </v:textbox>
          </v:shape>
        </w:pict>
      </w:r>
      <w:r>
        <w:rPr>
          <w:noProof/>
          <w:lang w:eastAsia="zh-TW"/>
        </w:rPr>
        <w:pict>
          <v:shape id="Text Box 4" o:spid="_x0000_s1027" type="#_x0000_t202" style="position:absolute;left:0;text-align:left;margin-left:405.75pt;margin-top:22.5pt;width:69.75pt;height:43.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" stroked="f" strokeweight=".5pt">
            <v:textbox>
              <w:txbxContent>
                <w:p w:rsidR="00A327E6" w:rsidRDefault="00A327E6" w:rsidP="003B5A51">
                  <w:r>
                    <w:t>May 2014</w:t>
                  </w:r>
                </w:p>
                <w:p w:rsidR="00A327E6" w:rsidRDefault="00A327E6" w:rsidP="003B5A51"/>
              </w:txbxContent>
            </v:textbox>
          </v:shape>
        </w:pict>
      </w:r>
    </w:p>
    <w:p w:rsidR="00A327E6" w:rsidRDefault="00A327E6" w:rsidP="003B5A51">
      <w:pPr>
        <w:jc w:val="center"/>
        <w:rPr>
          <w:noProof/>
        </w:rPr>
      </w:pPr>
    </w:p>
    <w:p w:rsidR="00A327E6" w:rsidRDefault="00A327E6" w:rsidP="003B5A51">
      <w:pPr>
        <w:tabs>
          <w:tab w:val="left" w:pos="6257"/>
        </w:tabs>
        <w:rPr>
          <w:noProof/>
        </w:rPr>
      </w:pPr>
      <w:r>
        <w:rPr>
          <w:noProof/>
        </w:rPr>
        <w:tab/>
      </w:r>
      <w:r>
        <w:rPr>
          <w:noProof/>
        </w:rPr>
        <w:tab/>
      </w:r>
    </w:p>
    <w:p w:rsidR="00A327E6" w:rsidRDefault="00A327E6" w:rsidP="003B5A51">
      <w:pPr>
        <w:tabs>
          <w:tab w:val="left" w:pos="6257"/>
        </w:tabs>
        <w:rPr>
          <w:noProof/>
        </w:rPr>
      </w:pPr>
    </w:p>
    <w:p w:rsidR="00A327E6" w:rsidRDefault="00A327E6" w:rsidP="003B5A51">
      <w:pPr>
        <w:jc w:val="center"/>
      </w:pPr>
      <w:r>
        <w:rPr>
          <w:noProof/>
          <w:lang w:eastAsia="zh-TW"/>
        </w:rPr>
        <w:pict>
          <v:shape id="_x0000_s1028" type="#_x0000_t202" style="position:absolute;left:0;text-align:left;margin-left:-1.1pt;margin-top:371.25pt;width:468pt;height:135.3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" fillcolor="#22a6c0" strokecolor="#4bc3ff">
            <v:textbox>
              <w:txbxContent>
                <w:p w:rsidR="00A327E6" w:rsidRPr="00415FA2" w:rsidRDefault="00A327E6" w:rsidP="00804910">
                  <w:pPr>
                    <w:contextualSpacing/>
                    <w:jc w:val="center"/>
                    <w:rPr>
                      <w:i/>
                      <w:color w:val="FFFFFF"/>
                      <w:sz w:val="32"/>
                      <w:szCs w:val="32"/>
                    </w:rPr>
                  </w:pPr>
                  <w:r w:rsidRPr="00415FA2">
                    <w:rPr>
                      <w:color w:val="FFFFFF"/>
                      <w:sz w:val="32"/>
                      <w:szCs w:val="32"/>
                    </w:rPr>
                    <w:t xml:space="preserve">Massachusetts Department of Public Health </w:t>
                  </w:r>
                </w:p>
                <w:p w:rsidR="00A327E6" w:rsidRPr="00415FA2" w:rsidRDefault="00A327E6" w:rsidP="00804910">
                  <w:pPr>
                    <w:contextualSpacing/>
                    <w:jc w:val="center"/>
                    <w:rPr>
                      <w:i/>
                      <w:color w:val="FFFFFF"/>
                      <w:sz w:val="32"/>
                      <w:szCs w:val="32"/>
                    </w:rPr>
                  </w:pPr>
                  <w:r w:rsidRPr="00415FA2">
                    <w:rPr>
                      <w:i/>
                      <w:color w:val="FFFFFF"/>
                      <w:sz w:val="32"/>
                      <w:szCs w:val="32"/>
                    </w:rPr>
                    <w:t xml:space="preserve">Bureau of Environmental Health </w:t>
                  </w:r>
                </w:p>
                <w:p w:rsidR="00A327E6" w:rsidRDefault="00A327E6" w:rsidP="00804910">
                  <w:pPr>
                    <w:pStyle w:val="Default"/>
                    <w:jc w:val="center"/>
                    <w:rPr>
                      <w:rFonts w:ascii="Calibri" w:hAnsi="Calibri" w:cs="Calibri"/>
                      <w:color w:val="FFFFFF"/>
                      <w:sz w:val="28"/>
                      <w:szCs w:val="28"/>
                    </w:rPr>
                  </w:pPr>
                  <w:r w:rsidRPr="00415FA2">
                    <w:rPr>
                      <w:rFonts w:ascii="Calibri" w:hAnsi="Calibri" w:cs="Calibri"/>
                      <w:noProof/>
                      <w:color w:val="FFFFFF"/>
                      <w:sz w:val="28"/>
                      <w:szCs w:val="28"/>
                      <w:lang w:eastAsia="zh-T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i1026" type="#_x0000_t75" style="width:61.8pt;height:63pt;visibility:visible">
                        <v:imagedata r:id="rId7" o:title=""/>
                      </v:shape>
                    </w:pict>
                  </w:r>
                </w:p>
                <w:p w:rsidR="00A327E6" w:rsidRPr="00415FA2" w:rsidRDefault="00A327E6" w:rsidP="00804910">
                  <w:pPr>
                    <w:contextualSpacing/>
                    <w:rPr>
                      <w:color w:val="FFFFFF"/>
                      <w:sz w:val="80"/>
                      <w:szCs w:val="80"/>
                    </w:rPr>
                  </w:pPr>
                </w:p>
              </w:txbxContent>
            </v:textbox>
          </v:shape>
        </w:pict>
      </w:r>
      <w:r>
        <w:rPr>
          <w:noProof/>
          <w:lang w:eastAsia="zh-TW"/>
        </w:rPr>
        <w:pict>
          <v:shape id="_x0000_i1027" type="#_x0000_t75" alt="Map of Logan Airport" style="width:462pt;height:371.4pt">
            <v:imagedata r:id="rId8" o:title=""/>
          </v:shape>
        </w:pict>
      </w:r>
    </w:p>
    <w:p w:rsidR="00A327E6" w:rsidRDefault="00A327E6" w:rsidP="003B5A51">
      <w:pPr>
        <w:jc w:val="center"/>
      </w:pPr>
    </w:p>
    <w:p w:rsidR="00A327E6" w:rsidRDefault="00A327E6" w:rsidP="003B5A51">
      <w:pPr>
        <w:jc w:val="center"/>
      </w:pPr>
    </w:p>
    <w:p w:rsidR="00A327E6" w:rsidRDefault="00A327E6" w:rsidP="003B5A51">
      <w:pPr>
        <w:rPr>
          <w:color w:val="FFFFFF"/>
          <w:spacing w:val="15"/>
          <w:sz w:val="22"/>
        </w:rPr>
      </w:pPr>
      <w:r>
        <w:br w:type="page"/>
      </w:r>
    </w:p>
    <w:p w:rsidR="00A327E6" w:rsidRDefault="00A327E6" w:rsidP="006871AA">
      <w:pPr>
        <w:pStyle w:val="TOCHeading"/>
        <w:numPr>
          <w:ilvl w:val="0"/>
          <w:numId w:val="0"/>
        </w:numPr>
        <w:ind w:left="432" w:hanging="432"/>
      </w:pPr>
      <w:r>
        <w:t>TABLE OF Contents</w:t>
      </w:r>
    </w:p>
    <w:p w:rsidR="00A327E6" w:rsidRDefault="00A327E6">
      <w:pPr>
        <w:pStyle w:val="TOC1"/>
        <w:rPr>
          <w:rFonts w:ascii="Calibri" w:eastAsia="PMingLiU" w:hAnsi="Calibri"/>
          <w:b w:val="0"/>
          <w:caps w:val="0"/>
          <w:noProof/>
          <w:sz w:val="22"/>
          <w:szCs w:val="22"/>
        </w:rPr>
      </w:pPr>
      <w:r w:rsidRPr="00D328B6">
        <w:fldChar w:fldCharType="begin"/>
      </w:r>
      <w:r w:rsidRPr="00D328B6">
        <w:instrText xml:space="preserve"> TOC \o "1-3" \h \z \u </w:instrText>
      </w:r>
      <w:r w:rsidRPr="00D328B6">
        <w:fldChar w:fldCharType="separate"/>
      </w:r>
      <w:hyperlink w:anchor="_Toc388543086" w:history="1">
        <w:r w:rsidRPr="00A843DB">
          <w:rPr>
            <w:rStyle w:val="Hyperlink"/>
            <w:noProof/>
          </w:rPr>
          <w:t>Executive Summary</w:t>
        </w:r>
        <w:r>
          <w:rPr>
            <w:noProof/>
            <w:webHidden/>
          </w:rPr>
          <w:tab/>
        </w:r>
        <w:r>
          <w:rPr>
            <w:noProof/>
            <w:webHidden/>
          </w:rPr>
          <w:fldChar w:fldCharType="begin"/>
        </w:r>
        <w:r>
          <w:rPr>
            <w:noProof/>
            <w:webHidden/>
          </w:rPr>
          <w:instrText xml:space="preserve"> PAGEREF _Toc388543086 \h </w:instrText>
        </w:r>
        <w:r>
          <w:rPr>
            <w:noProof/>
            <w:webHidden/>
          </w:rPr>
        </w:r>
        <w:r>
          <w:rPr>
            <w:noProof/>
            <w:webHidden/>
          </w:rPr>
          <w:fldChar w:fldCharType="separate"/>
        </w:r>
        <w:r>
          <w:rPr>
            <w:noProof/>
            <w:webHidden/>
          </w:rPr>
          <w:t>1</w:t>
        </w:r>
        <w:r>
          <w:rPr>
            <w:noProof/>
            <w:webHidden/>
          </w:rPr>
          <w:fldChar w:fldCharType="end"/>
        </w:r>
      </w:hyperlink>
    </w:p>
    <w:p w:rsidR="00A327E6" w:rsidRDefault="00A327E6">
      <w:pPr>
        <w:pStyle w:val="TOC1"/>
        <w:rPr>
          <w:rFonts w:ascii="Calibri" w:eastAsia="PMingLiU" w:hAnsi="Calibri"/>
          <w:b w:val="0"/>
          <w:caps w:val="0"/>
          <w:noProof/>
          <w:sz w:val="22"/>
          <w:szCs w:val="22"/>
        </w:rPr>
      </w:pPr>
      <w:hyperlink w:anchor="_Toc388543087" w:history="1">
        <w:r w:rsidRPr="00A843DB">
          <w:rPr>
            <w:rStyle w:val="Hyperlink"/>
            <w:noProof/>
          </w:rPr>
          <w:t>1</w:t>
        </w:r>
        <w:r>
          <w:rPr>
            <w:rFonts w:ascii="Calibri" w:eastAsia="PMingLiU" w:hAnsi="Calibri"/>
            <w:b w:val="0"/>
            <w:caps w:val="0"/>
            <w:noProof/>
            <w:sz w:val="22"/>
            <w:szCs w:val="22"/>
          </w:rPr>
          <w:tab/>
        </w:r>
        <w:r w:rsidRPr="00A843DB">
          <w:rPr>
            <w:rStyle w:val="Hyperlink"/>
            <w:noProof/>
          </w:rPr>
          <w:t>PROJECT OVERVIEW</w:t>
        </w:r>
        <w:r>
          <w:rPr>
            <w:noProof/>
            <w:webHidden/>
          </w:rPr>
          <w:tab/>
        </w:r>
        <w:r>
          <w:rPr>
            <w:noProof/>
            <w:webHidden/>
          </w:rPr>
          <w:fldChar w:fldCharType="begin"/>
        </w:r>
        <w:r>
          <w:rPr>
            <w:noProof/>
            <w:webHidden/>
          </w:rPr>
          <w:instrText xml:space="preserve"> PAGEREF _Toc388543087 \h </w:instrText>
        </w:r>
        <w:r>
          <w:rPr>
            <w:noProof/>
            <w:webHidden/>
          </w:rPr>
        </w:r>
        <w:r>
          <w:rPr>
            <w:noProof/>
            <w:webHidden/>
          </w:rPr>
          <w:fldChar w:fldCharType="separate"/>
        </w:r>
        <w:r>
          <w:rPr>
            <w:noProof/>
            <w:webHidden/>
          </w:rPr>
          <w:t>1</w:t>
        </w:r>
        <w:r>
          <w:rPr>
            <w:noProof/>
            <w:webHidden/>
          </w:rPr>
          <w:fldChar w:fldCharType="end"/>
        </w:r>
      </w:hyperlink>
    </w:p>
    <w:p w:rsidR="00A327E6" w:rsidRDefault="00A327E6">
      <w:pPr>
        <w:pStyle w:val="TOC2"/>
        <w:rPr>
          <w:rFonts w:ascii="Calibri" w:eastAsia="PMingLiU" w:hAnsi="Calibri" w:cs="Times New Roman"/>
          <w:smallCaps w:val="0"/>
          <w:noProof/>
          <w:sz w:val="22"/>
          <w:szCs w:val="22"/>
        </w:rPr>
      </w:pPr>
      <w:hyperlink w:anchor="_Toc388543088" w:history="1">
        <w:r w:rsidRPr="00A843DB">
          <w:rPr>
            <w:rStyle w:val="Hyperlink"/>
            <w:noProof/>
          </w:rPr>
          <w:t>1.1</w:t>
        </w:r>
        <w:r>
          <w:rPr>
            <w:rFonts w:ascii="Calibri" w:eastAsia="PMingLiU" w:hAnsi="Calibri" w:cs="Times New Roman"/>
            <w:smallCaps w:val="0"/>
            <w:noProof/>
            <w:sz w:val="22"/>
            <w:szCs w:val="22"/>
          </w:rPr>
          <w:tab/>
        </w:r>
        <w:r w:rsidRPr="00A843DB">
          <w:rPr>
            <w:rStyle w:val="Hyperlink"/>
            <w:noProof/>
          </w:rPr>
          <w:t>Background</w:t>
        </w:r>
        <w:r>
          <w:rPr>
            <w:noProof/>
            <w:webHidden/>
          </w:rPr>
          <w:tab/>
        </w:r>
        <w:r>
          <w:rPr>
            <w:noProof/>
            <w:webHidden/>
          </w:rPr>
          <w:fldChar w:fldCharType="begin"/>
        </w:r>
        <w:r>
          <w:rPr>
            <w:noProof/>
            <w:webHidden/>
          </w:rPr>
          <w:instrText xml:space="preserve"> PAGEREF _Toc388543088 \h </w:instrText>
        </w:r>
        <w:r>
          <w:rPr>
            <w:noProof/>
            <w:webHidden/>
          </w:rPr>
        </w:r>
        <w:r>
          <w:rPr>
            <w:noProof/>
            <w:webHidden/>
          </w:rPr>
          <w:fldChar w:fldCharType="separate"/>
        </w:r>
        <w:r>
          <w:rPr>
            <w:noProof/>
            <w:webHidden/>
          </w:rPr>
          <w:t>1</w:t>
        </w:r>
        <w:r>
          <w:rPr>
            <w:noProof/>
            <w:webHidden/>
          </w:rPr>
          <w:fldChar w:fldCharType="end"/>
        </w:r>
      </w:hyperlink>
    </w:p>
    <w:p w:rsidR="00A327E6" w:rsidRDefault="00A327E6">
      <w:pPr>
        <w:pStyle w:val="TOC2"/>
        <w:rPr>
          <w:rFonts w:ascii="Calibri" w:eastAsia="PMingLiU" w:hAnsi="Calibri" w:cs="Times New Roman"/>
          <w:smallCaps w:val="0"/>
          <w:noProof/>
          <w:sz w:val="22"/>
          <w:szCs w:val="22"/>
        </w:rPr>
      </w:pPr>
      <w:hyperlink w:anchor="_Toc388543089" w:history="1">
        <w:r w:rsidRPr="00A843DB">
          <w:rPr>
            <w:rStyle w:val="Hyperlink"/>
            <w:noProof/>
          </w:rPr>
          <w:t>1.2</w:t>
        </w:r>
        <w:r>
          <w:rPr>
            <w:rFonts w:ascii="Calibri" w:eastAsia="PMingLiU" w:hAnsi="Calibri" w:cs="Times New Roman"/>
            <w:smallCaps w:val="0"/>
            <w:noProof/>
            <w:sz w:val="22"/>
            <w:szCs w:val="22"/>
          </w:rPr>
          <w:tab/>
        </w:r>
        <w:r w:rsidRPr="00A843DB">
          <w:rPr>
            <w:rStyle w:val="Hyperlink"/>
            <w:noProof/>
          </w:rPr>
          <w:t>Goals and Objectives</w:t>
        </w:r>
        <w:r>
          <w:rPr>
            <w:noProof/>
            <w:webHidden/>
          </w:rPr>
          <w:tab/>
        </w:r>
        <w:r>
          <w:rPr>
            <w:noProof/>
            <w:webHidden/>
          </w:rPr>
          <w:fldChar w:fldCharType="begin"/>
        </w:r>
        <w:r>
          <w:rPr>
            <w:noProof/>
            <w:webHidden/>
          </w:rPr>
          <w:instrText xml:space="preserve"> PAGEREF _Toc388543089 \h </w:instrText>
        </w:r>
        <w:r>
          <w:rPr>
            <w:noProof/>
            <w:webHidden/>
          </w:rPr>
        </w:r>
        <w:r>
          <w:rPr>
            <w:noProof/>
            <w:webHidden/>
          </w:rPr>
          <w:fldChar w:fldCharType="separate"/>
        </w:r>
        <w:r>
          <w:rPr>
            <w:noProof/>
            <w:webHidden/>
          </w:rPr>
          <w:t>3</w:t>
        </w:r>
        <w:r>
          <w:rPr>
            <w:noProof/>
            <w:webHidden/>
          </w:rPr>
          <w:fldChar w:fldCharType="end"/>
        </w:r>
      </w:hyperlink>
    </w:p>
    <w:p w:rsidR="00A327E6" w:rsidRDefault="00A327E6" w:rsidP="00C1380B">
      <w:pPr>
        <w:pStyle w:val="TOC1"/>
        <w:ind w:left="450" w:hanging="450"/>
        <w:rPr>
          <w:rFonts w:ascii="Calibri" w:eastAsia="PMingLiU" w:hAnsi="Calibri"/>
          <w:b w:val="0"/>
          <w:caps w:val="0"/>
          <w:noProof/>
          <w:sz w:val="22"/>
          <w:szCs w:val="22"/>
        </w:rPr>
      </w:pPr>
      <w:hyperlink w:anchor="_Toc388543090" w:history="1">
        <w:r w:rsidRPr="00A843DB">
          <w:rPr>
            <w:rStyle w:val="Hyperlink"/>
            <w:noProof/>
          </w:rPr>
          <w:t>2</w:t>
        </w:r>
        <w:r>
          <w:rPr>
            <w:rFonts w:ascii="Calibri" w:eastAsia="PMingLiU" w:hAnsi="Calibri"/>
            <w:b w:val="0"/>
            <w:caps w:val="0"/>
            <w:noProof/>
            <w:sz w:val="22"/>
            <w:szCs w:val="22"/>
          </w:rPr>
          <w:tab/>
        </w:r>
        <w:r w:rsidRPr="00A843DB">
          <w:rPr>
            <w:rStyle w:val="Hyperlink"/>
            <w:noProof/>
          </w:rPr>
          <w:t>SUMMARY OF HEALTH EFFECTS ASSOCIATED WITH EXPOSURE TO AIRPORT-RELATED AIR POLLUTANTS AND NOISE</w:t>
        </w:r>
        <w:r>
          <w:rPr>
            <w:noProof/>
            <w:webHidden/>
          </w:rPr>
          <w:tab/>
        </w:r>
        <w:r>
          <w:rPr>
            <w:noProof/>
            <w:webHidden/>
          </w:rPr>
          <w:fldChar w:fldCharType="begin"/>
        </w:r>
        <w:r>
          <w:rPr>
            <w:noProof/>
            <w:webHidden/>
          </w:rPr>
          <w:instrText xml:space="preserve"> PAGEREF _Toc388543090 \h </w:instrText>
        </w:r>
        <w:r>
          <w:rPr>
            <w:noProof/>
            <w:webHidden/>
          </w:rPr>
        </w:r>
        <w:r>
          <w:rPr>
            <w:noProof/>
            <w:webHidden/>
          </w:rPr>
          <w:fldChar w:fldCharType="separate"/>
        </w:r>
        <w:r>
          <w:rPr>
            <w:noProof/>
            <w:webHidden/>
          </w:rPr>
          <w:t>5</w:t>
        </w:r>
        <w:r>
          <w:rPr>
            <w:noProof/>
            <w:webHidden/>
          </w:rPr>
          <w:fldChar w:fldCharType="end"/>
        </w:r>
      </w:hyperlink>
    </w:p>
    <w:p w:rsidR="00A327E6" w:rsidRDefault="00A327E6">
      <w:pPr>
        <w:pStyle w:val="TOC2"/>
        <w:rPr>
          <w:rFonts w:ascii="Calibri" w:eastAsia="PMingLiU" w:hAnsi="Calibri" w:cs="Times New Roman"/>
          <w:smallCaps w:val="0"/>
          <w:noProof/>
          <w:sz w:val="22"/>
          <w:szCs w:val="22"/>
        </w:rPr>
      </w:pPr>
      <w:hyperlink w:anchor="_Toc388543091" w:history="1">
        <w:r w:rsidRPr="00A843DB">
          <w:rPr>
            <w:rStyle w:val="Hyperlink"/>
            <w:noProof/>
          </w:rPr>
          <w:t>2.1</w:t>
        </w:r>
        <w:r>
          <w:rPr>
            <w:rFonts w:ascii="Calibri" w:eastAsia="PMingLiU" w:hAnsi="Calibri" w:cs="Times New Roman"/>
            <w:smallCaps w:val="0"/>
            <w:noProof/>
            <w:sz w:val="22"/>
            <w:szCs w:val="22"/>
          </w:rPr>
          <w:tab/>
        </w:r>
        <w:r w:rsidRPr="00A843DB">
          <w:rPr>
            <w:rStyle w:val="Hyperlink"/>
            <w:noProof/>
          </w:rPr>
          <w:t>Introduction</w:t>
        </w:r>
        <w:r>
          <w:rPr>
            <w:noProof/>
            <w:webHidden/>
          </w:rPr>
          <w:tab/>
        </w:r>
        <w:r>
          <w:rPr>
            <w:noProof/>
            <w:webHidden/>
          </w:rPr>
          <w:fldChar w:fldCharType="begin"/>
        </w:r>
        <w:r>
          <w:rPr>
            <w:noProof/>
            <w:webHidden/>
          </w:rPr>
          <w:instrText xml:space="preserve"> PAGEREF _Toc388543091 \h </w:instrText>
        </w:r>
        <w:r>
          <w:rPr>
            <w:noProof/>
            <w:webHidden/>
          </w:rPr>
        </w:r>
        <w:r>
          <w:rPr>
            <w:noProof/>
            <w:webHidden/>
          </w:rPr>
          <w:fldChar w:fldCharType="separate"/>
        </w:r>
        <w:r>
          <w:rPr>
            <w:noProof/>
            <w:webHidden/>
          </w:rPr>
          <w:t>5</w:t>
        </w:r>
        <w:r>
          <w:rPr>
            <w:noProof/>
            <w:webHidden/>
          </w:rPr>
          <w:fldChar w:fldCharType="end"/>
        </w:r>
      </w:hyperlink>
    </w:p>
    <w:p w:rsidR="00A327E6" w:rsidRDefault="00A327E6">
      <w:pPr>
        <w:pStyle w:val="TOC2"/>
        <w:rPr>
          <w:rFonts w:ascii="Calibri" w:eastAsia="PMingLiU" w:hAnsi="Calibri" w:cs="Times New Roman"/>
          <w:smallCaps w:val="0"/>
          <w:noProof/>
          <w:sz w:val="22"/>
          <w:szCs w:val="22"/>
        </w:rPr>
      </w:pPr>
      <w:hyperlink w:anchor="_Toc388543092" w:history="1">
        <w:r w:rsidRPr="00A843DB">
          <w:rPr>
            <w:rStyle w:val="Hyperlink"/>
            <w:noProof/>
          </w:rPr>
          <w:t>2.2</w:t>
        </w:r>
        <w:r>
          <w:rPr>
            <w:rFonts w:ascii="Calibri" w:eastAsia="PMingLiU" w:hAnsi="Calibri" w:cs="Times New Roman"/>
            <w:smallCaps w:val="0"/>
            <w:noProof/>
            <w:sz w:val="22"/>
            <w:szCs w:val="22"/>
          </w:rPr>
          <w:tab/>
        </w:r>
        <w:r w:rsidRPr="00A843DB">
          <w:rPr>
            <w:rStyle w:val="Hyperlink"/>
            <w:noProof/>
          </w:rPr>
          <w:t>Summary of Health Studies of Air Pollution</w:t>
        </w:r>
        <w:r>
          <w:rPr>
            <w:noProof/>
            <w:webHidden/>
          </w:rPr>
          <w:tab/>
        </w:r>
        <w:r>
          <w:rPr>
            <w:noProof/>
            <w:webHidden/>
          </w:rPr>
          <w:fldChar w:fldCharType="begin"/>
        </w:r>
        <w:r>
          <w:rPr>
            <w:noProof/>
            <w:webHidden/>
          </w:rPr>
          <w:instrText xml:space="preserve"> PAGEREF _Toc388543092 \h </w:instrText>
        </w:r>
        <w:r>
          <w:rPr>
            <w:noProof/>
            <w:webHidden/>
          </w:rPr>
        </w:r>
        <w:r>
          <w:rPr>
            <w:noProof/>
            <w:webHidden/>
          </w:rPr>
          <w:fldChar w:fldCharType="separate"/>
        </w:r>
        <w:r>
          <w:rPr>
            <w:noProof/>
            <w:webHidden/>
          </w:rPr>
          <w:t>6</w:t>
        </w:r>
        <w:r>
          <w:rPr>
            <w:noProof/>
            <w:webHidden/>
          </w:rPr>
          <w:fldChar w:fldCharType="end"/>
        </w:r>
      </w:hyperlink>
    </w:p>
    <w:p w:rsidR="00A327E6" w:rsidRDefault="00A327E6">
      <w:pPr>
        <w:pStyle w:val="TOC2"/>
        <w:rPr>
          <w:rFonts w:ascii="Calibri" w:eastAsia="PMingLiU" w:hAnsi="Calibri" w:cs="Times New Roman"/>
          <w:smallCaps w:val="0"/>
          <w:noProof/>
          <w:sz w:val="22"/>
          <w:szCs w:val="22"/>
        </w:rPr>
      </w:pPr>
      <w:hyperlink w:anchor="_Toc388543093" w:history="1">
        <w:r w:rsidRPr="00A843DB">
          <w:rPr>
            <w:rStyle w:val="Hyperlink"/>
            <w:noProof/>
          </w:rPr>
          <w:t>2.3</w:t>
        </w:r>
        <w:r>
          <w:rPr>
            <w:rFonts w:ascii="Calibri" w:eastAsia="PMingLiU" w:hAnsi="Calibri" w:cs="Times New Roman"/>
            <w:smallCaps w:val="0"/>
            <w:noProof/>
            <w:sz w:val="22"/>
            <w:szCs w:val="22"/>
          </w:rPr>
          <w:tab/>
        </w:r>
        <w:r w:rsidRPr="00A843DB">
          <w:rPr>
            <w:rStyle w:val="Hyperlink"/>
            <w:noProof/>
          </w:rPr>
          <w:t>Health Effects Associated with Exposure to Noise</w:t>
        </w:r>
        <w:r>
          <w:rPr>
            <w:noProof/>
            <w:webHidden/>
          </w:rPr>
          <w:tab/>
        </w:r>
        <w:r>
          <w:rPr>
            <w:noProof/>
            <w:webHidden/>
          </w:rPr>
          <w:fldChar w:fldCharType="begin"/>
        </w:r>
        <w:r>
          <w:rPr>
            <w:noProof/>
            <w:webHidden/>
          </w:rPr>
          <w:instrText xml:space="preserve"> PAGEREF _Toc388543093 \h </w:instrText>
        </w:r>
        <w:r>
          <w:rPr>
            <w:noProof/>
            <w:webHidden/>
          </w:rPr>
        </w:r>
        <w:r>
          <w:rPr>
            <w:noProof/>
            <w:webHidden/>
          </w:rPr>
          <w:fldChar w:fldCharType="separate"/>
        </w:r>
        <w:r>
          <w:rPr>
            <w:noProof/>
            <w:webHidden/>
          </w:rPr>
          <w:t>17</w:t>
        </w:r>
        <w:r>
          <w:rPr>
            <w:noProof/>
            <w:webHidden/>
          </w:rPr>
          <w:fldChar w:fldCharType="end"/>
        </w:r>
      </w:hyperlink>
    </w:p>
    <w:p w:rsidR="00A327E6" w:rsidRDefault="00A327E6">
      <w:pPr>
        <w:pStyle w:val="TOC1"/>
        <w:rPr>
          <w:rFonts w:ascii="Calibri" w:eastAsia="PMingLiU" w:hAnsi="Calibri"/>
          <w:b w:val="0"/>
          <w:caps w:val="0"/>
          <w:noProof/>
          <w:sz w:val="22"/>
          <w:szCs w:val="22"/>
        </w:rPr>
      </w:pPr>
      <w:hyperlink w:anchor="_Toc388543094" w:history="1">
        <w:r w:rsidRPr="00A843DB">
          <w:rPr>
            <w:rStyle w:val="Hyperlink"/>
            <w:noProof/>
          </w:rPr>
          <w:t>3</w:t>
        </w:r>
        <w:r>
          <w:rPr>
            <w:rFonts w:ascii="Calibri" w:eastAsia="PMingLiU" w:hAnsi="Calibri"/>
            <w:b w:val="0"/>
            <w:caps w:val="0"/>
            <w:noProof/>
            <w:sz w:val="22"/>
            <w:szCs w:val="22"/>
          </w:rPr>
          <w:tab/>
        </w:r>
        <w:r w:rsidRPr="00A843DB">
          <w:rPr>
            <w:rStyle w:val="Hyperlink"/>
            <w:noProof/>
          </w:rPr>
          <w:t>HEALTH SURVEY DESIGN AND METHODS</w:t>
        </w:r>
        <w:r>
          <w:rPr>
            <w:noProof/>
            <w:webHidden/>
          </w:rPr>
          <w:tab/>
        </w:r>
        <w:r>
          <w:rPr>
            <w:noProof/>
            <w:webHidden/>
          </w:rPr>
          <w:fldChar w:fldCharType="begin"/>
        </w:r>
        <w:r>
          <w:rPr>
            <w:noProof/>
            <w:webHidden/>
          </w:rPr>
          <w:instrText xml:space="preserve"> PAGEREF _Toc388543094 \h </w:instrText>
        </w:r>
        <w:r>
          <w:rPr>
            <w:noProof/>
            <w:webHidden/>
          </w:rPr>
        </w:r>
        <w:r>
          <w:rPr>
            <w:noProof/>
            <w:webHidden/>
          </w:rPr>
          <w:fldChar w:fldCharType="separate"/>
        </w:r>
        <w:r>
          <w:rPr>
            <w:noProof/>
            <w:webHidden/>
          </w:rPr>
          <w:t>23</w:t>
        </w:r>
        <w:r>
          <w:rPr>
            <w:noProof/>
            <w:webHidden/>
          </w:rPr>
          <w:fldChar w:fldCharType="end"/>
        </w:r>
      </w:hyperlink>
    </w:p>
    <w:p w:rsidR="00A327E6" w:rsidRDefault="00A327E6">
      <w:pPr>
        <w:pStyle w:val="TOC2"/>
        <w:rPr>
          <w:rFonts w:ascii="Calibri" w:eastAsia="PMingLiU" w:hAnsi="Calibri" w:cs="Times New Roman"/>
          <w:smallCaps w:val="0"/>
          <w:noProof/>
          <w:sz w:val="22"/>
          <w:szCs w:val="22"/>
        </w:rPr>
      </w:pPr>
      <w:hyperlink w:anchor="_Toc388543095" w:history="1">
        <w:r w:rsidRPr="00A843DB">
          <w:rPr>
            <w:rStyle w:val="Hyperlink"/>
            <w:noProof/>
          </w:rPr>
          <w:t>3.1</w:t>
        </w:r>
        <w:r>
          <w:rPr>
            <w:rFonts w:ascii="Calibri" w:eastAsia="PMingLiU" w:hAnsi="Calibri" w:cs="Times New Roman"/>
            <w:smallCaps w:val="0"/>
            <w:noProof/>
            <w:sz w:val="22"/>
            <w:szCs w:val="22"/>
          </w:rPr>
          <w:tab/>
        </w:r>
        <w:r w:rsidRPr="00A843DB">
          <w:rPr>
            <w:rStyle w:val="Hyperlink"/>
            <w:noProof/>
          </w:rPr>
          <w:t>Study Area and Sample Population</w:t>
        </w:r>
        <w:r>
          <w:rPr>
            <w:noProof/>
            <w:webHidden/>
          </w:rPr>
          <w:tab/>
        </w:r>
        <w:r>
          <w:rPr>
            <w:noProof/>
            <w:webHidden/>
          </w:rPr>
          <w:fldChar w:fldCharType="begin"/>
        </w:r>
        <w:r>
          <w:rPr>
            <w:noProof/>
            <w:webHidden/>
          </w:rPr>
          <w:instrText xml:space="preserve"> PAGEREF _Toc388543095 \h </w:instrText>
        </w:r>
        <w:r>
          <w:rPr>
            <w:noProof/>
            <w:webHidden/>
          </w:rPr>
        </w:r>
        <w:r>
          <w:rPr>
            <w:noProof/>
            <w:webHidden/>
          </w:rPr>
          <w:fldChar w:fldCharType="separate"/>
        </w:r>
        <w:r>
          <w:rPr>
            <w:noProof/>
            <w:webHidden/>
          </w:rPr>
          <w:t>23</w:t>
        </w:r>
        <w:r>
          <w:rPr>
            <w:noProof/>
            <w:webHidden/>
          </w:rPr>
          <w:fldChar w:fldCharType="end"/>
        </w:r>
      </w:hyperlink>
    </w:p>
    <w:p w:rsidR="00A327E6" w:rsidRDefault="00A327E6">
      <w:pPr>
        <w:pStyle w:val="TOC2"/>
        <w:rPr>
          <w:rFonts w:ascii="Calibri" w:eastAsia="PMingLiU" w:hAnsi="Calibri" w:cs="Times New Roman"/>
          <w:smallCaps w:val="0"/>
          <w:noProof/>
          <w:sz w:val="22"/>
          <w:szCs w:val="22"/>
        </w:rPr>
      </w:pPr>
      <w:hyperlink w:anchor="_Toc388543096" w:history="1">
        <w:r w:rsidRPr="00A843DB">
          <w:rPr>
            <w:rStyle w:val="Hyperlink"/>
            <w:noProof/>
          </w:rPr>
          <w:t>3.2</w:t>
        </w:r>
        <w:r>
          <w:rPr>
            <w:rFonts w:ascii="Calibri" w:eastAsia="PMingLiU" w:hAnsi="Calibri" w:cs="Times New Roman"/>
            <w:smallCaps w:val="0"/>
            <w:noProof/>
            <w:sz w:val="22"/>
            <w:szCs w:val="22"/>
          </w:rPr>
          <w:tab/>
        </w:r>
        <w:r w:rsidRPr="00A843DB">
          <w:rPr>
            <w:rStyle w:val="Hyperlink"/>
            <w:noProof/>
          </w:rPr>
          <w:t>Design of the Survey Instrument</w:t>
        </w:r>
        <w:r>
          <w:rPr>
            <w:noProof/>
            <w:webHidden/>
          </w:rPr>
          <w:tab/>
        </w:r>
        <w:r>
          <w:rPr>
            <w:noProof/>
            <w:webHidden/>
          </w:rPr>
          <w:fldChar w:fldCharType="begin"/>
        </w:r>
        <w:r>
          <w:rPr>
            <w:noProof/>
            <w:webHidden/>
          </w:rPr>
          <w:instrText xml:space="preserve"> PAGEREF _Toc388543096 \h </w:instrText>
        </w:r>
        <w:r>
          <w:rPr>
            <w:noProof/>
            <w:webHidden/>
          </w:rPr>
        </w:r>
        <w:r>
          <w:rPr>
            <w:noProof/>
            <w:webHidden/>
          </w:rPr>
          <w:fldChar w:fldCharType="separate"/>
        </w:r>
        <w:r>
          <w:rPr>
            <w:noProof/>
            <w:webHidden/>
          </w:rPr>
          <w:t>26</w:t>
        </w:r>
        <w:r>
          <w:rPr>
            <w:noProof/>
            <w:webHidden/>
          </w:rPr>
          <w:fldChar w:fldCharType="end"/>
        </w:r>
      </w:hyperlink>
    </w:p>
    <w:p w:rsidR="00A327E6" w:rsidRDefault="00A327E6">
      <w:pPr>
        <w:pStyle w:val="TOC2"/>
        <w:rPr>
          <w:rFonts w:ascii="Calibri" w:eastAsia="PMingLiU" w:hAnsi="Calibri" w:cs="Times New Roman"/>
          <w:smallCaps w:val="0"/>
          <w:noProof/>
          <w:sz w:val="22"/>
          <w:szCs w:val="22"/>
        </w:rPr>
      </w:pPr>
      <w:hyperlink w:anchor="_Toc388543097" w:history="1">
        <w:r w:rsidRPr="00A843DB">
          <w:rPr>
            <w:rStyle w:val="Hyperlink"/>
            <w:noProof/>
          </w:rPr>
          <w:t>3.3</w:t>
        </w:r>
        <w:r>
          <w:rPr>
            <w:rFonts w:ascii="Calibri" w:eastAsia="PMingLiU" w:hAnsi="Calibri" w:cs="Times New Roman"/>
            <w:smallCaps w:val="0"/>
            <w:noProof/>
            <w:sz w:val="22"/>
            <w:szCs w:val="22"/>
          </w:rPr>
          <w:tab/>
        </w:r>
        <w:r w:rsidRPr="00A843DB">
          <w:rPr>
            <w:rStyle w:val="Hyperlink"/>
            <w:noProof/>
          </w:rPr>
          <w:t>Survey Administration</w:t>
        </w:r>
        <w:r>
          <w:rPr>
            <w:noProof/>
            <w:webHidden/>
          </w:rPr>
          <w:tab/>
        </w:r>
        <w:r>
          <w:rPr>
            <w:noProof/>
            <w:webHidden/>
          </w:rPr>
          <w:fldChar w:fldCharType="begin"/>
        </w:r>
        <w:r>
          <w:rPr>
            <w:noProof/>
            <w:webHidden/>
          </w:rPr>
          <w:instrText xml:space="preserve"> PAGEREF _Toc388543097 \h </w:instrText>
        </w:r>
        <w:r>
          <w:rPr>
            <w:noProof/>
            <w:webHidden/>
          </w:rPr>
        </w:r>
        <w:r>
          <w:rPr>
            <w:noProof/>
            <w:webHidden/>
          </w:rPr>
          <w:fldChar w:fldCharType="separate"/>
        </w:r>
        <w:r>
          <w:rPr>
            <w:noProof/>
            <w:webHidden/>
          </w:rPr>
          <w:t>28</w:t>
        </w:r>
        <w:r>
          <w:rPr>
            <w:noProof/>
            <w:webHidden/>
          </w:rPr>
          <w:fldChar w:fldCharType="end"/>
        </w:r>
      </w:hyperlink>
    </w:p>
    <w:p w:rsidR="00A327E6" w:rsidRDefault="00A327E6" w:rsidP="00C1380B">
      <w:pPr>
        <w:pStyle w:val="TOC1"/>
        <w:ind w:left="450" w:hanging="450"/>
        <w:rPr>
          <w:rFonts w:ascii="Calibri" w:eastAsia="PMingLiU" w:hAnsi="Calibri"/>
          <w:b w:val="0"/>
          <w:caps w:val="0"/>
          <w:noProof/>
          <w:sz w:val="22"/>
          <w:szCs w:val="22"/>
        </w:rPr>
      </w:pPr>
      <w:hyperlink w:anchor="_Toc388543098" w:history="1">
        <w:r w:rsidRPr="00A843DB">
          <w:rPr>
            <w:rStyle w:val="Hyperlink"/>
            <w:noProof/>
          </w:rPr>
          <w:t>4</w:t>
        </w:r>
        <w:r>
          <w:rPr>
            <w:rFonts w:ascii="Calibri" w:eastAsia="PMingLiU" w:hAnsi="Calibri"/>
            <w:b w:val="0"/>
            <w:caps w:val="0"/>
            <w:noProof/>
            <w:sz w:val="22"/>
            <w:szCs w:val="22"/>
          </w:rPr>
          <w:tab/>
        </w:r>
        <w:r w:rsidRPr="00A843DB">
          <w:rPr>
            <w:rStyle w:val="Hyperlink"/>
            <w:noProof/>
          </w:rPr>
          <w:t>ENVIRONMENTAL ASSESSMENT OF AIR POLLUTANTS AND NOISE ASSOCIATED WITH LOGAN AIRPORT OPERATIONS</w:t>
        </w:r>
        <w:r>
          <w:rPr>
            <w:noProof/>
            <w:webHidden/>
          </w:rPr>
          <w:tab/>
        </w:r>
        <w:r>
          <w:rPr>
            <w:noProof/>
            <w:webHidden/>
          </w:rPr>
          <w:fldChar w:fldCharType="begin"/>
        </w:r>
        <w:r>
          <w:rPr>
            <w:noProof/>
            <w:webHidden/>
          </w:rPr>
          <w:instrText xml:space="preserve"> PAGEREF _Toc388543098 \h </w:instrText>
        </w:r>
        <w:r>
          <w:rPr>
            <w:noProof/>
            <w:webHidden/>
          </w:rPr>
        </w:r>
        <w:r>
          <w:rPr>
            <w:noProof/>
            <w:webHidden/>
          </w:rPr>
          <w:fldChar w:fldCharType="separate"/>
        </w:r>
        <w:r>
          <w:rPr>
            <w:noProof/>
            <w:webHidden/>
          </w:rPr>
          <w:t>31</w:t>
        </w:r>
        <w:r>
          <w:rPr>
            <w:noProof/>
            <w:webHidden/>
          </w:rPr>
          <w:fldChar w:fldCharType="end"/>
        </w:r>
      </w:hyperlink>
    </w:p>
    <w:p w:rsidR="00A327E6" w:rsidRDefault="00A327E6">
      <w:pPr>
        <w:pStyle w:val="TOC2"/>
        <w:rPr>
          <w:rFonts w:ascii="Calibri" w:eastAsia="PMingLiU" w:hAnsi="Calibri" w:cs="Times New Roman"/>
          <w:smallCaps w:val="0"/>
          <w:noProof/>
          <w:sz w:val="22"/>
          <w:szCs w:val="22"/>
        </w:rPr>
      </w:pPr>
      <w:hyperlink w:anchor="_Toc388543099" w:history="1">
        <w:r w:rsidRPr="00A843DB">
          <w:rPr>
            <w:rStyle w:val="Hyperlink"/>
            <w:noProof/>
          </w:rPr>
          <w:t>4.1</w:t>
        </w:r>
        <w:r>
          <w:rPr>
            <w:rFonts w:ascii="Calibri" w:eastAsia="PMingLiU" w:hAnsi="Calibri" w:cs="Times New Roman"/>
            <w:smallCaps w:val="0"/>
            <w:noProof/>
            <w:sz w:val="22"/>
            <w:szCs w:val="22"/>
          </w:rPr>
          <w:tab/>
        </w:r>
        <w:r w:rsidRPr="00A843DB">
          <w:rPr>
            <w:rStyle w:val="Hyperlink"/>
            <w:noProof/>
          </w:rPr>
          <w:t>Overview</w:t>
        </w:r>
        <w:r>
          <w:rPr>
            <w:noProof/>
            <w:webHidden/>
          </w:rPr>
          <w:tab/>
        </w:r>
        <w:r>
          <w:rPr>
            <w:noProof/>
            <w:webHidden/>
          </w:rPr>
          <w:fldChar w:fldCharType="begin"/>
        </w:r>
        <w:r>
          <w:rPr>
            <w:noProof/>
            <w:webHidden/>
          </w:rPr>
          <w:instrText xml:space="preserve"> PAGEREF _Toc388543099 \h </w:instrText>
        </w:r>
        <w:r>
          <w:rPr>
            <w:noProof/>
            <w:webHidden/>
          </w:rPr>
        </w:r>
        <w:r>
          <w:rPr>
            <w:noProof/>
            <w:webHidden/>
          </w:rPr>
          <w:fldChar w:fldCharType="separate"/>
        </w:r>
        <w:r>
          <w:rPr>
            <w:noProof/>
            <w:webHidden/>
          </w:rPr>
          <w:t>31</w:t>
        </w:r>
        <w:r>
          <w:rPr>
            <w:noProof/>
            <w:webHidden/>
          </w:rPr>
          <w:fldChar w:fldCharType="end"/>
        </w:r>
      </w:hyperlink>
    </w:p>
    <w:p w:rsidR="00A327E6" w:rsidRDefault="00A327E6">
      <w:pPr>
        <w:pStyle w:val="TOC2"/>
        <w:rPr>
          <w:rFonts w:ascii="Calibri" w:eastAsia="PMingLiU" w:hAnsi="Calibri" w:cs="Times New Roman"/>
          <w:smallCaps w:val="0"/>
          <w:noProof/>
          <w:sz w:val="22"/>
          <w:szCs w:val="22"/>
        </w:rPr>
      </w:pPr>
      <w:hyperlink w:anchor="_Toc388543100" w:history="1">
        <w:r w:rsidRPr="00A843DB">
          <w:rPr>
            <w:rStyle w:val="Hyperlink"/>
            <w:noProof/>
          </w:rPr>
          <w:t>4.2</w:t>
        </w:r>
        <w:r>
          <w:rPr>
            <w:rFonts w:ascii="Calibri" w:eastAsia="PMingLiU" w:hAnsi="Calibri" w:cs="Times New Roman"/>
            <w:smallCaps w:val="0"/>
            <w:noProof/>
            <w:sz w:val="22"/>
            <w:szCs w:val="22"/>
          </w:rPr>
          <w:tab/>
        </w:r>
        <w:r w:rsidRPr="00A843DB">
          <w:rPr>
            <w:rStyle w:val="Hyperlink"/>
            <w:noProof/>
          </w:rPr>
          <w:t>Air Dispersion Modeling Analysis of 2005 Airport Emissions</w:t>
        </w:r>
        <w:r>
          <w:rPr>
            <w:noProof/>
            <w:webHidden/>
          </w:rPr>
          <w:tab/>
        </w:r>
        <w:r>
          <w:rPr>
            <w:noProof/>
            <w:webHidden/>
          </w:rPr>
          <w:fldChar w:fldCharType="begin"/>
        </w:r>
        <w:r>
          <w:rPr>
            <w:noProof/>
            <w:webHidden/>
          </w:rPr>
          <w:instrText xml:space="preserve"> PAGEREF _Toc388543100 \h </w:instrText>
        </w:r>
        <w:r>
          <w:rPr>
            <w:noProof/>
            <w:webHidden/>
          </w:rPr>
        </w:r>
        <w:r>
          <w:rPr>
            <w:noProof/>
            <w:webHidden/>
          </w:rPr>
          <w:fldChar w:fldCharType="separate"/>
        </w:r>
        <w:r>
          <w:rPr>
            <w:noProof/>
            <w:webHidden/>
          </w:rPr>
          <w:t>31</w:t>
        </w:r>
        <w:r>
          <w:rPr>
            <w:noProof/>
            <w:webHidden/>
          </w:rPr>
          <w:fldChar w:fldCharType="end"/>
        </w:r>
      </w:hyperlink>
    </w:p>
    <w:p w:rsidR="00A327E6" w:rsidRDefault="00A327E6">
      <w:pPr>
        <w:pStyle w:val="TOC2"/>
        <w:rPr>
          <w:rFonts w:ascii="Calibri" w:eastAsia="PMingLiU" w:hAnsi="Calibri" w:cs="Times New Roman"/>
          <w:smallCaps w:val="0"/>
          <w:noProof/>
          <w:sz w:val="22"/>
          <w:szCs w:val="22"/>
        </w:rPr>
      </w:pPr>
      <w:hyperlink w:anchor="_Toc388543101" w:history="1">
        <w:r w:rsidRPr="00A843DB">
          <w:rPr>
            <w:rStyle w:val="Hyperlink"/>
            <w:noProof/>
          </w:rPr>
          <w:t>4.3</w:t>
        </w:r>
        <w:r>
          <w:rPr>
            <w:rFonts w:ascii="Calibri" w:eastAsia="PMingLiU" w:hAnsi="Calibri" w:cs="Times New Roman"/>
            <w:smallCaps w:val="0"/>
            <w:noProof/>
            <w:sz w:val="22"/>
            <w:szCs w:val="22"/>
          </w:rPr>
          <w:tab/>
        </w:r>
        <w:r w:rsidRPr="00A843DB">
          <w:rPr>
            <w:rStyle w:val="Hyperlink"/>
            <w:noProof/>
          </w:rPr>
          <w:t>Air Pollution Exposure Categorization</w:t>
        </w:r>
        <w:r>
          <w:rPr>
            <w:noProof/>
            <w:webHidden/>
          </w:rPr>
          <w:tab/>
        </w:r>
        <w:r>
          <w:rPr>
            <w:noProof/>
            <w:webHidden/>
          </w:rPr>
          <w:fldChar w:fldCharType="begin"/>
        </w:r>
        <w:r>
          <w:rPr>
            <w:noProof/>
            <w:webHidden/>
          </w:rPr>
          <w:instrText xml:space="preserve"> PAGEREF _Toc388543101 \h </w:instrText>
        </w:r>
        <w:r>
          <w:rPr>
            <w:noProof/>
            <w:webHidden/>
          </w:rPr>
        </w:r>
        <w:r>
          <w:rPr>
            <w:noProof/>
            <w:webHidden/>
          </w:rPr>
          <w:fldChar w:fldCharType="separate"/>
        </w:r>
        <w:r>
          <w:rPr>
            <w:noProof/>
            <w:webHidden/>
          </w:rPr>
          <w:t>43</w:t>
        </w:r>
        <w:r>
          <w:rPr>
            <w:noProof/>
            <w:webHidden/>
          </w:rPr>
          <w:fldChar w:fldCharType="end"/>
        </w:r>
      </w:hyperlink>
    </w:p>
    <w:p w:rsidR="00A327E6" w:rsidRDefault="00A327E6">
      <w:pPr>
        <w:pStyle w:val="TOC2"/>
        <w:rPr>
          <w:rFonts w:ascii="Calibri" w:eastAsia="PMingLiU" w:hAnsi="Calibri" w:cs="Times New Roman"/>
          <w:smallCaps w:val="0"/>
          <w:noProof/>
          <w:sz w:val="22"/>
          <w:szCs w:val="22"/>
        </w:rPr>
      </w:pPr>
      <w:hyperlink w:anchor="_Toc388543102" w:history="1">
        <w:r w:rsidRPr="00A843DB">
          <w:rPr>
            <w:rStyle w:val="Hyperlink"/>
            <w:noProof/>
          </w:rPr>
          <w:t>4.4</w:t>
        </w:r>
        <w:r>
          <w:rPr>
            <w:rFonts w:ascii="Calibri" w:eastAsia="PMingLiU" w:hAnsi="Calibri" w:cs="Times New Roman"/>
            <w:smallCaps w:val="0"/>
            <w:noProof/>
            <w:sz w:val="22"/>
            <w:szCs w:val="22"/>
          </w:rPr>
          <w:tab/>
        </w:r>
        <w:r w:rsidRPr="00A843DB">
          <w:rPr>
            <w:rStyle w:val="Hyperlink"/>
            <w:noProof/>
          </w:rPr>
          <w:t>Consideration of Non-Airport Related Background Air Pollution</w:t>
        </w:r>
        <w:r>
          <w:rPr>
            <w:noProof/>
            <w:webHidden/>
          </w:rPr>
          <w:tab/>
        </w:r>
        <w:r>
          <w:rPr>
            <w:noProof/>
            <w:webHidden/>
          </w:rPr>
          <w:fldChar w:fldCharType="begin"/>
        </w:r>
        <w:r>
          <w:rPr>
            <w:noProof/>
            <w:webHidden/>
          </w:rPr>
          <w:instrText xml:space="preserve"> PAGEREF _Toc388543102 \h </w:instrText>
        </w:r>
        <w:r>
          <w:rPr>
            <w:noProof/>
            <w:webHidden/>
          </w:rPr>
        </w:r>
        <w:r>
          <w:rPr>
            <w:noProof/>
            <w:webHidden/>
          </w:rPr>
          <w:fldChar w:fldCharType="separate"/>
        </w:r>
        <w:r>
          <w:rPr>
            <w:noProof/>
            <w:webHidden/>
          </w:rPr>
          <w:t>47</w:t>
        </w:r>
        <w:r>
          <w:rPr>
            <w:noProof/>
            <w:webHidden/>
          </w:rPr>
          <w:fldChar w:fldCharType="end"/>
        </w:r>
      </w:hyperlink>
    </w:p>
    <w:p w:rsidR="00A327E6" w:rsidRDefault="00A327E6">
      <w:pPr>
        <w:pStyle w:val="TOC2"/>
        <w:rPr>
          <w:rFonts w:ascii="Calibri" w:eastAsia="PMingLiU" w:hAnsi="Calibri" w:cs="Times New Roman"/>
          <w:smallCaps w:val="0"/>
          <w:noProof/>
          <w:sz w:val="22"/>
          <w:szCs w:val="22"/>
        </w:rPr>
      </w:pPr>
      <w:hyperlink w:anchor="_Toc388543103" w:history="1">
        <w:r w:rsidRPr="00A843DB">
          <w:rPr>
            <w:rStyle w:val="Hyperlink"/>
            <w:noProof/>
          </w:rPr>
          <w:t>4.5</w:t>
        </w:r>
        <w:r>
          <w:rPr>
            <w:rFonts w:ascii="Calibri" w:eastAsia="PMingLiU" w:hAnsi="Calibri" w:cs="Times New Roman"/>
            <w:smallCaps w:val="0"/>
            <w:noProof/>
            <w:sz w:val="22"/>
            <w:szCs w:val="22"/>
          </w:rPr>
          <w:tab/>
        </w:r>
        <w:r w:rsidRPr="00A843DB">
          <w:rPr>
            <w:rStyle w:val="Hyperlink"/>
            <w:noProof/>
          </w:rPr>
          <w:t>Exposure to Noise Associated with Airport Operations</w:t>
        </w:r>
        <w:r>
          <w:rPr>
            <w:noProof/>
            <w:webHidden/>
          </w:rPr>
          <w:tab/>
        </w:r>
        <w:r>
          <w:rPr>
            <w:noProof/>
            <w:webHidden/>
          </w:rPr>
          <w:fldChar w:fldCharType="begin"/>
        </w:r>
        <w:r>
          <w:rPr>
            <w:noProof/>
            <w:webHidden/>
          </w:rPr>
          <w:instrText xml:space="preserve"> PAGEREF _Toc388543103 \h </w:instrText>
        </w:r>
        <w:r>
          <w:rPr>
            <w:noProof/>
            <w:webHidden/>
          </w:rPr>
        </w:r>
        <w:r>
          <w:rPr>
            <w:noProof/>
            <w:webHidden/>
          </w:rPr>
          <w:fldChar w:fldCharType="separate"/>
        </w:r>
        <w:r>
          <w:rPr>
            <w:noProof/>
            <w:webHidden/>
          </w:rPr>
          <w:t>49</w:t>
        </w:r>
        <w:r>
          <w:rPr>
            <w:noProof/>
            <w:webHidden/>
          </w:rPr>
          <w:fldChar w:fldCharType="end"/>
        </w:r>
      </w:hyperlink>
    </w:p>
    <w:p w:rsidR="00A327E6" w:rsidRDefault="00A327E6">
      <w:pPr>
        <w:pStyle w:val="TOC1"/>
        <w:rPr>
          <w:rFonts w:ascii="Calibri" w:eastAsia="PMingLiU" w:hAnsi="Calibri"/>
          <w:b w:val="0"/>
          <w:caps w:val="0"/>
          <w:noProof/>
          <w:sz w:val="22"/>
          <w:szCs w:val="22"/>
        </w:rPr>
      </w:pPr>
      <w:hyperlink w:anchor="_Toc388543104" w:history="1">
        <w:r w:rsidRPr="00A843DB">
          <w:rPr>
            <w:rStyle w:val="Hyperlink"/>
            <w:noProof/>
          </w:rPr>
          <w:t>5</w:t>
        </w:r>
        <w:r>
          <w:rPr>
            <w:rFonts w:ascii="Calibri" w:eastAsia="PMingLiU" w:hAnsi="Calibri"/>
            <w:b w:val="0"/>
            <w:caps w:val="0"/>
            <w:noProof/>
            <w:sz w:val="22"/>
            <w:szCs w:val="22"/>
          </w:rPr>
          <w:tab/>
        </w:r>
        <w:r w:rsidRPr="00A843DB">
          <w:rPr>
            <w:rStyle w:val="Hyperlink"/>
            <w:noProof/>
          </w:rPr>
          <w:t>DATA ANALYSIS</w:t>
        </w:r>
        <w:r>
          <w:rPr>
            <w:noProof/>
            <w:webHidden/>
          </w:rPr>
          <w:tab/>
        </w:r>
        <w:r>
          <w:rPr>
            <w:noProof/>
            <w:webHidden/>
          </w:rPr>
          <w:fldChar w:fldCharType="begin"/>
        </w:r>
        <w:r>
          <w:rPr>
            <w:noProof/>
            <w:webHidden/>
          </w:rPr>
          <w:instrText xml:space="preserve"> PAGEREF _Toc388543104 \h </w:instrText>
        </w:r>
        <w:r>
          <w:rPr>
            <w:noProof/>
            <w:webHidden/>
          </w:rPr>
        </w:r>
        <w:r>
          <w:rPr>
            <w:noProof/>
            <w:webHidden/>
          </w:rPr>
          <w:fldChar w:fldCharType="separate"/>
        </w:r>
        <w:r>
          <w:rPr>
            <w:noProof/>
            <w:webHidden/>
          </w:rPr>
          <w:t>53</w:t>
        </w:r>
        <w:r>
          <w:rPr>
            <w:noProof/>
            <w:webHidden/>
          </w:rPr>
          <w:fldChar w:fldCharType="end"/>
        </w:r>
      </w:hyperlink>
    </w:p>
    <w:p w:rsidR="00A327E6" w:rsidRDefault="00A327E6">
      <w:pPr>
        <w:pStyle w:val="TOC2"/>
        <w:rPr>
          <w:rFonts w:ascii="Calibri" w:eastAsia="PMingLiU" w:hAnsi="Calibri" w:cs="Times New Roman"/>
          <w:smallCaps w:val="0"/>
          <w:noProof/>
          <w:sz w:val="22"/>
          <w:szCs w:val="22"/>
        </w:rPr>
      </w:pPr>
      <w:hyperlink w:anchor="_Toc388543105" w:history="1">
        <w:r w:rsidRPr="00A843DB">
          <w:rPr>
            <w:rStyle w:val="Hyperlink"/>
            <w:noProof/>
          </w:rPr>
          <w:t>5.1</w:t>
        </w:r>
        <w:r>
          <w:rPr>
            <w:rFonts w:ascii="Calibri" w:eastAsia="PMingLiU" w:hAnsi="Calibri" w:cs="Times New Roman"/>
            <w:smallCaps w:val="0"/>
            <w:noProof/>
            <w:sz w:val="22"/>
            <w:szCs w:val="22"/>
          </w:rPr>
          <w:tab/>
        </w:r>
        <w:r w:rsidRPr="00A843DB">
          <w:rPr>
            <w:rStyle w:val="Hyperlink"/>
            <w:noProof/>
          </w:rPr>
          <w:t>Overview</w:t>
        </w:r>
        <w:r>
          <w:rPr>
            <w:noProof/>
            <w:webHidden/>
          </w:rPr>
          <w:tab/>
        </w:r>
        <w:r>
          <w:rPr>
            <w:noProof/>
            <w:webHidden/>
          </w:rPr>
          <w:fldChar w:fldCharType="begin"/>
        </w:r>
        <w:r>
          <w:rPr>
            <w:noProof/>
            <w:webHidden/>
          </w:rPr>
          <w:instrText xml:space="preserve"> PAGEREF _Toc388543105 \h </w:instrText>
        </w:r>
        <w:r>
          <w:rPr>
            <w:noProof/>
            <w:webHidden/>
          </w:rPr>
        </w:r>
        <w:r>
          <w:rPr>
            <w:noProof/>
            <w:webHidden/>
          </w:rPr>
          <w:fldChar w:fldCharType="separate"/>
        </w:r>
        <w:r>
          <w:rPr>
            <w:noProof/>
            <w:webHidden/>
          </w:rPr>
          <w:t>53</w:t>
        </w:r>
        <w:r>
          <w:rPr>
            <w:noProof/>
            <w:webHidden/>
          </w:rPr>
          <w:fldChar w:fldCharType="end"/>
        </w:r>
      </w:hyperlink>
    </w:p>
    <w:p w:rsidR="00A327E6" w:rsidRDefault="00A327E6">
      <w:pPr>
        <w:pStyle w:val="TOC2"/>
        <w:rPr>
          <w:rFonts w:ascii="Calibri" w:eastAsia="PMingLiU" w:hAnsi="Calibri" w:cs="Times New Roman"/>
          <w:smallCaps w:val="0"/>
          <w:noProof/>
          <w:sz w:val="22"/>
          <w:szCs w:val="22"/>
        </w:rPr>
      </w:pPr>
      <w:hyperlink w:anchor="_Toc388543106" w:history="1">
        <w:r w:rsidRPr="00A843DB">
          <w:rPr>
            <w:rStyle w:val="Hyperlink"/>
            <w:noProof/>
          </w:rPr>
          <w:t>5.2</w:t>
        </w:r>
        <w:r>
          <w:rPr>
            <w:rFonts w:ascii="Calibri" w:eastAsia="PMingLiU" w:hAnsi="Calibri" w:cs="Times New Roman"/>
            <w:smallCaps w:val="0"/>
            <w:noProof/>
            <w:sz w:val="22"/>
            <w:szCs w:val="22"/>
          </w:rPr>
          <w:tab/>
        </w:r>
        <w:r w:rsidRPr="00A843DB">
          <w:rPr>
            <w:rStyle w:val="Hyperlink"/>
            <w:noProof/>
          </w:rPr>
          <w:t>Survey Data Preparation</w:t>
        </w:r>
        <w:r>
          <w:rPr>
            <w:noProof/>
            <w:webHidden/>
          </w:rPr>
          <w:tab/>
        </w:r>
        <w:r>
          <w:rPr>
            <w:noProof/>
            <w:webHidden/>
          </w:rPr>
          <w:fldChar w:fldCharType="begin"/>
        </w:r>
        <w:r>
          <w:rPr>
            <w:noProof/>
            <w:webHidden/>
          </w:rPr>
          <w:instrText xml:space="preserve"> PAGEREF _Toc388543106 \h </w:instrText>
        </w:r>
        <w:r>
          <w:rPr>
            <w:noProof/>
            <w:webHidden/>
          </w:rPr>
        </w:r>
        <w:r>
          <w:rPr>
            <w:noProof/>
            <w:webHidden/>
          </w:rPr>
          <w:fldChar w:fldCharType="separate"/>
        </w:r>
        <w:r>
          <w:rPr>
            <w:noProof/>
            <w:webHidden/>
          </w:rPr>
          <w:t>53</w:t>
        </w:r>
        <w:r>
          <w:rPr>
            <w:noProof/>
            <w:webHidden/>
          </w:rPr>
          <w:fldChar w:fldCharType="end"/>
        </w:r>
      </w:hyperlink>
    </w:p>
    <w:p w:rsidR="00A327E6" w:rsidRDefault="00A327E6">
      <w:pPr>
        <w:pStyle w:val="TOC2"/>
        <w:rPr>
          <w:rFonts w:ascii="Calibri" w:eastAsia="PMingLiU" w:hAnsi="Calibri" w:cs="Times New Roman"/>
          <w:smallCaps w:val="0"/>
          <w:noProof/>
          <w:sz w:val="22"/>
          <w:szCs w:val="22"/>
        </w:rPr>
      </w:pPr>
      <w:hyperlink w:anchor="_Toc388543107" w:history="1">
        <w:r w:rsidRPr="00A843DB">
          <w:rPr>
            <w:rStyle w:val="Hyperlink"/>
            <w:noProof/>
          </w:rPr>
          <w:t>5.3</w:t>
        </w:r>
        <w:r>
          <w:rPr>
            <w:rFonts w:ascii="Calibri" w:eastAsia="PMingLiU" w:hAnsi="Calibri" w:cs="Times New Roman"/>
            <w:smallCaps w:val="0"/>
            <w:noProof/>
            <w:sz w:val="22"/>
            <w:szCs w:val="22"/>
          </w:rPr>
          <w:tab/>
        </w:r>
        <w:r w:rsidRPr="00A843DB">
          <w:rPr>
            <w:rStyle w:val="Hyperlink"/>
            <w:noProof/>
          </w:rPr>
          <w:t>Health Outcome Definitions</w:t>
        </w:r>
        <w:r>
          <w:rPr>
            <w:noProof/>
            <w:webHidden/>
          </w:rPr>
          <w:tab/>
        </w:r>
        <w:r>
          <w:rPr>
            <w:noProof/>
            <w:webHidden/>
          </w:rPr>
          <w:fldChar w:fldCharType="begin"/>
        </w:r>
        <w:r>
          <w:rPr>
            <w:noProof/>
            <w:webHidden/>
          </w:rPr>
          <w:instrText xml:space="preserve"> PAGEREF _Toc388543107 \h </w:instrText>
        </w:r>
        <w:r>
          <w:rPr>
            <w:noProof/>
            <w:webHidden/>
          </w:rPr>
        </w:r>
        <w:r>
          <w:rPr>
            <w:noProof/>
            <w:webHidden/>
          </w:rPr>
          <w:fldChar w:fldCharType="separate"/>
        </w:r>
        <w:r>
          <w:rPr>
            <w:noProof/>
            <w:webHidden/>
          </w:rPr>
          <w:t>56</w:t>
        </w:r>
        <w:r>
          <w:rPr>
            <w:noProof/>
            <w:webHidden/>
          </w:rPr>
          <w:fldChar w:fldCharType="end"/>
        </w:r>
      </w:hyperlink>
    </w:p>
    <w:p w:rsidR="00A327E6" w:rsidRDefault="00A327E6">
      <w:pPr>
        <w:pStyle w:val="TOC2"/>
        <w:rPr>
          <w:rFonts w:ascii="Calibri" w:eastAsia="PMingLiU" w:hAnsi="Calibri" w:cs="Times New Roman"/>
          <w:smallCaps w:val="0"/>
          <w:noProof/>
          <w:sz w:val="22"/>
          <w:szCs w:val="22"/>
        </w:rPr>
      </w:pPr>
      <w:hyperlink w:anchor="_Toc388543108" w:history="1">
        <w:r w:rsidRPr="00A843DB">
          <w:rPr>
            <w:rStyle w:val="Hyperlink"/>
            <w:noProof/>
          </w:rPr>
          <w:t>5.4</w:t>
        </w:r>
        <w:r>
          <w:rPr>
            <w:rFonts w:ascii="Calibri" w:eastAsia="PMingLiU" w:hAnsi="Calibri" w:cs="Times New Roman"/>
            <w:smallCaps w:val="0"/>
            <w:noProof/>
            <w:sz w:val="22"/>
            <w:szCs w:val="22"/>
          </w:rPr>
          <w:tab/>
        </w:r>
        <w:r w:rsidRPr="00A843DB">
          <w:rPr>
            <w:rStyle w:val="Hyperlink"/>
            <w:noProof/>
          </w:rPr>
          <w:t>Covariate Definitions and Classifications</w:t>
        </w:r>
        <w:r>
          <w:rPr>
            <w:noProof/>
            <w:webHidden/>
          </w:rPr>
          <w:tab/>
        </w:r>
        <w:r>
          <w:rPr>
            <w:noProof/>
            <w:webHidden/>
          </w:rPr>
          <w:fldChar w:fldCharType="begin"/>
        </w:r>
        <w:r>
          <w:rPr>
            <w:noProof/>
            <w:webHidden/>
          </w:rPr>
          <w:instrText xml:space="preserve"> PAGEREF _Toc388543108 \h </w:instrText>
        </w:r>
        <w:r>
          <w:rPr>
            <w:noProof/>
            <w:webHidden/>
          </w:rPr>
        </w:r>
        <w:r>
          <w:rPr>
            <w:noProof/>
            <w:webHidden/>
          </w:rPr>
          <w:fldChar w:fldCharType="separate"/>
        </w:r>
        <w:r>
          <w:rPr>
            <w:noProof/>
            <w:webHidden/>
          </w:rPr>
          <w:t>58</w:t>
        </w:r>
        <w:r>
          <w:rPr>
            <w:noProof/>
            <w:webHidden/>
          </w:rPr>
          <w:fldChar w:fldCharType="end"/>
        </w:r>
      </w:hyperlink>
    </w:p>
    <w:p w:rsidR="00A327E6" w:rsidRDefault="00A327E6">
      <w:pPr>
        <w:pStyle w:val="TOC2"/>
        <w:rPr>
          <w:rFonts w:ascii="Calibri" w:eastAsia="PMingLiU" w:hAnsi="Calibri" w:cs="Times New Roman"/>
          <w:smallCaps w:val="0"/>
          <w:noProof/>
          <w:sz w:val="22"/>
          <w:szCs w:val="22"/>
        </w:rPr>
      </w:pPr>
      <w:hyperlink w:anchor="_Toc388543109" w:history="1">
        <w:r w:rsidRPr="00A843DB">
          <w:rPr>
            <w:rStyle w:val="Hyperlink"/>
            <w:noProof/>
          </w:rPr>
          <w:t>5.5</w:t>
        </w:r>
        <w:r>
          <w:rPr>
            <w:rFonts w:ascii="Calibri" w:eastAsia="PMingLiU" w:hAnsi="Calibri" w:cs="Times New Roman"/>
            <w:smallCaps w:val="0"/>
            <w:noProof/>
            <w:sz w:val="22"/>
            <w:szCs w:val="22"/>
          </w:rPr>
          <w:tab/>
        </w:r>
        <w:r w:rsidRPr="00A843DB">
          <w:rPr>
            <w:rStyle w:val="Hyperlink"/>
            <w:noProof/>
          </w:rPr>
          <w:t>Statistical Analyses</w:t>
        </w:r>
        <w:r>
          <w:rPr>
            <w:noProof/>
            <w:webHidden/>
          </w:rPr>
          <w:tab/>
        </w:r>
        <w:r>
          <w:rPr>
            <w:noProof/>
            <w:webHidden/>
          </w:rPr>
          <w:fldChar w:fldCharType="begin"/>
        </w:r>
        <w:r>
          <w:rPr>
            <w:noProof/>
            <w:webHidden/>
          </w:rPr>
          <w:instrText xml:space="preserve"> PAGEREF _Toc388543109 \h </w:instrText>
        </w:r>
        <w:r>
          <w:rPr>
            <w:noProof/>
            <w:webHidden/>
          </w:rPr>
        </w:r>
        <w:r>
          <w:rPr>
            <w:noProof/>
            <w:webHidden/>
          </w:rPr>
          <w:fldChar w:fldCharType="separate"/>
        </w:r>
        <w:r>
          <w:rPr>
            <w:noProof/>
            <w:webHidden/>
          </w:rPr>
          <w:t>59</w:t>
        </w:r>
        <w:r>
          <w:rPr>
            <w:noProof/>
            <w:webHidden/>
          </w:rPr>
          <w:fldChar w:fldCharType="end"/>
        </w:r>
      </w:hyperlink>
    </w:p>
    <w:p w:rsidR="00A327E6" w:rsidRDefault="00A327E6">
      <w:pPr>
        <w:pStyle w:val="TOC1"/>
        <w:rPr>
          <w:rFonts w:ascii="Calibri" w:eastAsia="PMingLiU" w:hAnsi="Calibri"/>
          <w:b w:val="0"/>
          <w:caps w:val="0"/>
          <w:noProof/>
          <w:sz w:val="22"/>
          <w:szCs w:val="22"/>
        </w:rPr>
      </w:pPr>
      <w:hyperlink w:anchor="_Toc388543110" w:history="1">
        <w:r w:rsidRPr="00A843DB">
          <w:rPr>
            <w:rStyle w:val="Hyperlink"/>
            <w:noProof/>
          </w:rPr>
          <w:t>6</w:t>
        </w:r>
        <w:r>
          <w:rPr>
            <w:rFonts w:ascii="Calibri" w:eastAsia="PMingLiU" w:hAnsi="Calibri"/>
            <w:b w:val="0"/>
            <w:caps w:val="0"/>
            <w:noProof/>
            <w:sz w:val="22"/>
            <w:szCs w:val="22"/>
          </w:rPr>
          <w:tab/>
        </w:r>
        <w:r w:rsidRPr="00A843DB">
          <w:rPr>
            <w:rStyle w:val="Hyperlink"/>
            <w:noProof/>
          </w:rPr>
          <w:t>RESULTS</w:t>
        </w:r>
        <w:r>
          <w:rPr>
            <w:noProof/>
            <w:webHidden/>
          </w:rPr>
          <w:tab/>
        </w:r>
        <w:r>
          <w:rPr>
            <w:noProof/>
            <w:webHidden/>
          </w:rPr>
          <w:fldChar w:fldCharType="begin"/>
        </w:r>
        <w:r>
          <w:rPr>
            <w:noProof/>
            <w:webHidden/>
          </w:rPr>
          <w:instrText xml:space="preserve"> PAGEREF _Toc388543110 \h </w:instrText>
        </w:r>
        <w:r>
          <w:rPr>
            <w:noProof/>
            <w:webHidden/>
          </w:rPr>
        </w:r>
        <w:r>
          <w:rPr>
            <w:noProof/>
            <w:webHidden/>
          </w:rPr>
          <w:fldChar w:fldCharType="separate"/>
        </w:r>
        <w:r>
          <w:rPr>
            <w:noProof/>
            <w:webHidden/>
          </w:rPr>
          <w:t>63</w:t>
        </w:r>
        <w:r>
          <w:rPr>
            <w:noProof/>
            <w:webHidden/>
          </w:rPr>
          <w:fldChar w:fldCharType="end"/>
        </w:r>
      </w:hyperlink>
    </w:p>
    <w:p w:rsidR="00A327E6" w:rsidRDefault="00A327E6">
      <w:pPr>
        <w:pStyle w:val="TOC2"/>
        <w:rPr>
          <w:rFonts w:ascii="Calibri" w:eastAsia="PMingLiU" w:hAnsi="Calibri" w:cs="Times New Roman"/>
          <w:smallCaps w:val="0"/>
          <w:noProof/>
          <w:sz w:val="22"/>
          <w:szCs w:val="22"/>
        </w:rPr>
      </w:pPr>
      <w:hyperlink w:anchor="_Toc388543111" w:history="1">
        <w:r w:rsidRPr="00A843DB">
          <w:rPr>
            <w:rStyle w:val="Hyperlink"/>
            <w:noProof/>
          </w:rPr>
          <w:t>6.1</w:t>
        </w:r>
        <w:r>
          <w:rPr>
            <w:rFonts w:ascii="Calibri" w:eastAsia="PMingLiU" w:hAnsi="Calibri" w:cs="Times New Roman"/>
            <w:smallCaps w:val="0"/>
            <w:noProof/>
            <w:sz w:val="22"/>
            <w:szCs w:val="22"/>
          </w:rPr>
          <w:tab/>
        </w:r>
        <w:r w:rsidRPr="00A843DB">
          <w:rPr>
            <w:rStyle w:val="Hyperlink"/>
            <w:noProof/>
          </w:rPr>
          <w:t>Survey Response Rates</w:t>
        </w:r>
        <w:r>
          <w:rPr>
            <w:noProof/>
            <w:webHidden/>
          </w:rPr>
          <w:tab/>
        </w:r>
        <w:r>
          <w:rPr>
            <w:noProof/>
            <w:webHidden/>
          </w:rPr>
          <w:fldChar w:fldCharType="begin"/>
        </w:r>
        <w:r>
          <w:rPr>
            <w:noProof/>
            <w:webHidden/>
          </w:rPr>
          <w:instrText xml:space="preserve"> PAGEREF _Toc388543111 \h </w:instrText>
        </w:r>
        <w:r>
          <w:rPr>
            <w:noProof/>
            <w:webHidden/>
          </w:rPr>
        </w:r>
        <w:r>
          <w:rPr>
            <w:noProof/>
            <w:webHidden/>
          </w:rPr>
          <w:fldChar w:fldCharType="separate"/>
        </w:r>
        <w:r>
          <w:rPr>
            <w:noProof/>
            <w:webHidden/>
          </w:rPr>
          <w:t>63</w:t>
        </w:r>
        <w:r>
          <w:rPr>
            <w:noProof/>
            <w:webHidden/>
          </w:rPr>
          <w:fldChar w:fldCharType="end"/>
        </w:r>
      </w:hyperlink>
    </w:p>
    <w:p w:rsidR="00A327E6" w:rsidRDefault="00A327E6">
      <w:pPr>
        <w:pStyle w:val="TOC2"/>
        <w:rPr>
          <w:rFonts w:ascii="Calibri" w:eastAsia="PMingLiU" w:hAnsi="Calibri" w:cs="Times New Roman"/>
          <w:smallCaps w:val="0"/>
          <w:noProof/>
          <w:sz w:val="22"/>
          <w:szCs w:val="22"/>
        </w:rPr>
      </w:pPr>
      <w:hyperlink w:anchor="_Toc388543112" w:history="1">
        <w:r w:rsidRPr="00A843DB">
          <w:rPr>
            <w:rStyle w:val="Hyperlink"/>
            <w:noProof/>
          </w:rPr>
          <w:t>6.2</w:t>
        </w:r>
        <w:r>
          <w:rPr>
            <w:rFonts w:ascii="Calibri" w:eastAsia="PMingLiU" w:hAnsi="Calibri" w:cs="Times New Roman"/>
            <w:smallCaps w:val="0"/>
            <w:noProof/>
            <w:sz w:val="22"/>
            <w:szCs w:val="22"/>
          </w:rPr>
          <w:tab/>
        </w:r>
        <w:r w:rsidRPr="00A843DB">
          <w:rPr>
            <w:rStyle w:val="Hyperlink"/>
            <w:noProof/>
          </w:rPr>
          <w:t>Population Characteristics</w:t>
        </w:r>
        <w:r>
          <w:rPr>
            <w:noProof/>
            <w:webHidden/>
          </w:rPr>
          <w:tab/>
        </w:r>
        <w:r>
          <w:rPr>
            <w:noProof/>
            <w:webHidden/>
          </w:rPr>
          <w:fldChar w:fldCharType="begin"/>
        </w:r>
        <w:r>
          <w:rPr>
            <w:noProof/>
            <w:webHidden/>
          </w:rPr>
          <w:instrText xml:space="preserve"> PAGEREF _Toc388543112 \h </w:instrText>
        </w:r>
        <w:r>
          <w:rPr>
            <w:noProof/>
            <w:webHidden/>
          </w:rPr>
        </w:r>
        <w:r>
          <w:rPr>
            <w:noProof/>
            <w:webHidden/>
          </w:rPr>
          <w:fldChar w:fldCharType="separate"/>
        </w:r>
        <w:r>
          <w:rPr>
            <w:noProof/>
            <w:webHidden/>
          </w:rPr>
          <w:t>64</w:t>
        </w:r>
        <w:r>
          <w:rPr>
            <w:noProof/>
            <w:webHidden/>
          </w:rPr>
          <w:fldChar w:fldCharType="end"/>
        </w:r>
      </w:hyperlink>
    </w:p>
    <w:p w:rsidR="00A327E6" w:rsidRDefault="00A327E6">
      <w:pPr>
        <w:pStyle w:val="TOC2"/>
        <w:rPr>
          <w:rFonts w:ascii="Calibri" w:eastAsia="PMingLiU" w:hAnsi="Calibri" w:cs="Times New Roman"/>
          <w:smallCaps w:val="0"/>
          <w:noProof/>
          <w:sz w:val="22"/>
          <w:szCs w:val="22"/>
        </w:rPr>
      </w:pPr>
      <w:hyperlink w:anchor="_Toc388543113" w:history="1">
        <w:r w:rsidRPr="00A843DB">
          <w:rPr>
            <w:rStyle w:val="Hyperlink"/>
            <w:noProof/>
          </w:rPr>
          <w:t>6.3</w:t>
        </w:r>
        <w:r>
          <w:rPr>
            <w:rFonts w:ascii="Calibri" w:eastAsia="PMingLiU" w:hAnsi="Calibri" w:cs="Times New Roman"/>
            <w:smallCaps w:val="0"/>
            <w:noProof/>
            <w:sz w:val="22"/>
            <w:szCs w:val="22"/>
          </w:rPr>
          <w:tab/>
        </w:r>
        <w:r w:rsidRPr="00A843DB">
          <w:rPr>
            <w:rStyle w:val="Hyperlink"/>
            <w:noProof/>
          </w:rPr>
          <w:t>Disease Burden in the Total Study Area</w:t>
        </w:r>
        <w:r>
          <w:rPr>
            <w:noProof/>
            <w:webHidden/>
          </w:rPr>
          <w:tab/>
        </w:r>
        <w:r>
          <w:rPr>
            <w:noProof/>
            <w:webHidden/>
          </w:rPr>
          <w:fldChar w:fldCharType="begin"/>
        </w:r>
        <w:r>
          <w:rPr>
            <w:noProof/>
            <w:webHidden/>
          </w:rPr>
          <w:instrText xml:space="preserve"> PAGEREF _Toc388543113 \h </w:instrText>
        </w:r>
        <w:r>
          <w:rPr>
            <w:noProof/>
            <w:webHidden/>
          </w:rPr>
        </w:r>
        <w:r>
          <w:rPr>
            <w:noProof/>
            <w:webHidden/>
          </w:rPr>
          <w:fldChar w:fldCharType="separate"/>
        </w:r>
        <w:r>
          <w:rPr>
            <w:noProof/>
            <w:webHidden/>
          </w:rPr>
          <w:t>68</w:t>
        </w:r>
        <w:r>
          <w:rPr>
            <w:noProof/>
            <w:webHidden/>
          </w:rPr>
          <w:fldChar w:fldCharType="end"/>
        </w:r>
      </w:hyperlink>
    </w:p>
    <w:p w:rsidR="00A327E6" w:rsidRDefault="00A327E6">
      <w:pPr>
        <w:pStyle w:val="TOC2"/>
        <w:rPr>
          <w:rFonts w:ascii="Calibri" w:eastAsia="PMingLiU" w:hAnsi="Calibri" w:cs="Times New Roman"/>
          <w:smallCaps w:val="0"/>
          <w:noProof/>
          <w:sz w:val="22"/>
          <w:szCs w:val="22"/>
        </w:rPr>
      </w:pPr>
      <w:hyperlink w:anchor="_Toc388543114" w:history="1">
        <w:r w:rsidRPr="00A843DB">
          <w:rPr>
            <w:rStyle w:val="Hyperlink"/>
            <w:noProof/>
          </w:rPr>
          <w:t>6.4</w:t>
        </w:r>
        <w:r>
          <w:rPr>
            <w:rFonts w:ascii="Calibri" w:eastAsia="PMingLiU" w:hAnsi="Calibri" w:cs="Times New Roman"/>
            <w:smallCaps w:val="0"/>
            <w:noProof/>
            <w:sz w:val="22"/>
            <w:szCs w:val="22"/>
          </w:rPr>
          <w:tab/>
        </w:r>
        <w:r w:rsidRPr="00A843DB">
          <w:rPr>
            <w:rStyle w:val="Hyperlink"/>
            <w:noProof/>
          </w:rPr>
          <w:t>Crude Univariate Results: Prevalence of Health Outcomes by Airport-Related Air Pollution Exposure Areas</w:t>
        </w:r>
        <w:r>
          <w:rPr>
            <w:noProof/>
            <w:webHidden/>
          </w:rPr>
          <w:tab/>
        </w:r>
        <w:r>
          <w:rPr>
            <w:noProof/>
            <w:webHidden/>
          </w:rPr>
          <w:fldChar w:fldCharType="begin"/>
        </w:r>
        <w:r>
          <w:rPr>
            <w:noProof/>
            <w:webHidden/>
          </w:rPr>
          <w:instrText xml:space="preserve"> PAGEREF _Toc388543114 \h </w:instrText>
        </w:r>
        <w:r>
          <w:rPr>
            <w:noProof/>
            <w:webHidden/>
          </w:rPr>
        </w:r>
        <w:r>
          <w:rPr>
            <w:noProof/>
            <w:webHidden/>
          </w:rPr>
          <w:fldChar w:fldCharType="separate"/>
        </w:r>
        <w:r>
          <w:rPr>
            <w:noProof/>
            <w:webHidden/>
          </w:rPr>
          <w:t>71</w:t>
        </w:r>
        <w:r>
          <w:rPr>
            <w:noProof/>
            <w:webHidden/>
          </w:rPr>
          <w:fldChar w:fldCharType="end"/>
        </w:r>
      </w:hyperlink>
    </w:p>
    <w:p w:rsidR="00A327E6" w:rsidRDefault="00A327E6">
      <w:pPr>
        <w:pStyle w:val="TOC2"/>
        <w:rPr>
          <w:rFonts w:ascii="Calibri" w:eastAsia="PMingLiU" w:hAnsi="Calibri" w:cs="Times New Roman"/>
          <w:smallCaps w:val="0"/>
          <w:noProof/>
          <w:sz w:val="22"/>
          <w:szCs w:val="22"/>
        </w:rPr>
      </w:pPr>
      <w:hyperlink w:anchor="_Toc388543115" w:history="1">
        <w:r w:rsidRPr="00A843DB">
          <w:rPr>
            <w:rStyle w:val="Hyperlink"/>
            <w:noProof/>
          </w:rPr>
          <w:t>6.5</w:t>
        </w:r>
        <w:r>
          <w:rPr>
            <w:rFonts w:ascii="Calibri" w:eastAsia="PMingLiU" w:hAnsi="Calibri" w:cs="Times New Roman"/>
            <w:smallCaps w:val="0"/>
            <w:noProof/>
            <w:sz w:val="22"/>
            <w:szCs w:val="22"/>
          </w:rPr>
          <w:tab/>
        </w:r>
        <w:r w:rsidRPr="00A843DB">
          <w:rPr>
            <w:rStyle w:val="Hyperlink"/>
            <w:noProof/>
          </w:rPr>
          <w:t>Adjusted Multivariate Regression Models: Associations between Adverse Health Effects and Air Pollution Exposure Areas</w:t>
        </w:r>
        <w:r>
          <w:rPr>
            <w:noProof/>
            <w:webHidden/>
          </w:rPr>
          <w:tab/>
        </w:r>
        <w:r>
          <w:rPr>
            <w:noProof/>
            <w:webHidden/>
          </w:rPr>
          <w:fldChar w:fldCharType="begin"/>
        </w:r>
        <w:r>
          <w:rPr>
            <w:noProof/>
            <w:webHidden/>
          </w:rPr>
          <w:instrText xml:space="preserve"> PAGEREF _Toc388543115 \h </w:instrText>
        </w:r>
        <w:r>
          <w:rPr>
            <w:noProof/>
            <w:webHidden/>
          </w:rPr>
        </w:r>
        <w:r>
          <w:rPr>
            <w:noProof/>
            <w:webHidden/>
          </w:rPr>
          <w:fldChar w:fldCharType="separate"/>
        </w:r>
        <w:r>
          <w:rPr>
            <w:noProof/>
            <w:webHidden/>
          </w:rPr>
          <w:t>75</w:t>
        </w:r>
        <w:r>
          <w:rPr>
            <w:noProof/>
            <w:webHidden/>
          </w:rPr>
          <w:fldChar w:fldCharType="end"/>
        </w:r>
      </w:hyperlink>
    </w:p>
    <w:p w:rsidR="00A327E6" w:rsidRDefault="00A327E6">
      <w:pPr>
        <w:pStyle w:val="TOC2"/>
        <w:rPr>
          <w:rFonts w:ascii="Calibri" w:eastAsia="PMingLiU" w:hAnsi="Calibri" w:cs="Times New Roman"/>
          <w:smallCaps w:val="0"/>
          <w:noProof/>
          <w:sz w:val="22"/>
          <w:szCs w:val="22"/>
        </w:rPr>
      </w:pPr>
      <w:hyperlink w:anchor="_Toc388543116" w:history="1">
        <w:r w:rsidRPr="00A843DB">
          <w:rPr>
            <w:rStyle w:val="Hyperlink"/>
            <w:noProof/>
          </w:rPr>
          <w:t>6.6</w:t>
        </w:r>
        <w:r>
          <w:rPr>
            <w:rFonts w:ascii="Calibri" w:eastAsia="PMingLiU" w:hAnsi="Calibri" w:cs="Times New Roman"/>
            <w:smallCaps w:val="0"/>
            <w:noProof/>
            <w:sz w:val="22"/>
            <w:szCs w:val="22"/>
          </w:rPr>
          <w:tab/>
        </w:r>
        <w:r w:rsidRPr="00A843DB">
          <w:rPr>
            <w:rStyle w:val="Hyperlink"/>
            <w:noProof/>
          </w:rPr>
          <w:t>Adjusted Multivariate Regression Models: Associations between Auditory Health Effects and Noise Exposure Areas</w:t>
        </w:r>
        <w:r>
          <w:rPr>
            <w:noProof/>
            <w:webHidden/>
          </w:rPr>
          <w:tab/>
        </w:r>
        <w:r>
          <w:rPr>
            <w:noProof/>
            <w:webHidden/>
          </w:rPr>
          <w:fldChar w:fldCharType="begin"/>
        </w:r>
        <w:r>
          <w:rPr>
            <w:noProof/>
            <w:webHidden/>
          </w:rPr>
          <w:instrText xml:space="preserve"> PAGEREF _Toc388543116 \h </w:instrText>
        </w:r>
        <w:r>
          <w:rPr>
            <w:noProof/>
            <w:webHidden/>
          </w:rPr>
        </w:r>
        <w:r>
          <w:rPr>
            <w:noProof/>
            <w:webHidden/>
          </w:rPr>
          <w:fldChar w:fldCharType="separate"/>
        </w:r>
        <w:r>
          <w:rPr>
            <w:noProof/>
            <w:webHidden/>
          </w:rPr>
          <w:t>82</w:t>
        </w:r>
        <w:r>
          <w:rPr>
            <w:noProof/>
            <w:webHidden/>
          </w:rPr>
          <w:fldChar w:fldCharType="end"/>
        </w:r>
      </w:hyperlink>
    </w:p>
    <w:p w:rsidR="00A327E6" w:rsidRDefault="00A327E6">
      <w:pPr>
        <w:pStyle w:val="TOC1"/>
        <w:rPr>
          <w:rFonts w:ascii="Calibri" w:eastAsia="PMingLiU" w:hAnsi="Calibri"/>
          <w:b w:val="0"/>
          <w:caps w:val="0"/>
          <w:noProof/>
          <w:sz w:val="22"/>
          <w:szCs w:val="22"/>
        </w:rPr>
      </w:pPr>
      <w:hyperlink w:anchor="_Toc388543117" w:history="1">
        <w:r w:rsidRPr="00A843DB">
          <w:rPr>
            <w:rStyle w:val="Hyperlink"/>
            <w:noProof/>
          </w:rPr>
          <w:t>7</w:t>
        </w:r>
        <w:r>
          <w:rPr>
            <w:rFonts w:ascii="Calibri" w:eastAsia="PMingLiU" w:hAnsi="Calibri"/>
            <w:b w:val="0"/>
            <w:caps w:val="0"/>
            <w:noProof/>
            <w:sz w:val="22"/>
            <w:szCs w:val="22"/>
          </w:rPr>
          <w:tab/>
        </w:r>
        <w:r w:rsidRPr="00A843DB">
          <w:rPr>
            <w:rStyle w:val="Hyperlink"/>
            <w:noProof/>
          </w:rPr>
          <w:t>DISCUSSION</w:t>
        </w:r>
        <w:r>
          <w:rPr>
            <w:noProof/>
            <w:webHidden/>
          </w:rPr>
          <w:tab/>
        </w:r>
        <w:r>
          <w:rPr>
            <w:noProof/>
            <w:webHidden/>
          </w:rPr>
          <w:fldChar w:fldCharType="begin"/>
        </w:r>
        <w:r>
          <w:rPr>
            <w:noProof/>
            <w:webHidden/>
          </w:rPr>
          <w:instrText xml:space="preserve"> PAGEREF _Toc388543117 \h </w:instrText>
        </w:r>
        <w:r>
          <w:rPr>
            <w:noProof/>
            <w:webHidden/>
          </w:rPr>
        </w:r>
        <w:r>
          <w:rPr>
            <w:noProof/>
            <w:webHidden/>
          </w:rPr>
          <w:fldChar w:fldCharType="separate"/>
        </w:r>
        <w:r>
          <w:rPr>
            <w:noProof/>
            <w:webHidden/>
          </w:rPr>
          <w:t>85</w:t>
        </w:r>
        <w:r>
          <w:rPr>
            <w:noProof/>
            <w:webHidden/>
          </w:rPr>
          <w:fldChar w:fldCharType="end"/>
        </w:r>
      </w:hyperlink>
    </w:p>
    <w:p w:rsidR="00A327E6" w:rsidRDefault="00A327E6">
      <w:pPr>
        <w:pStyle w:val="TOC1"/>
        <w:rPr>
          <w:rFonts w:ascii="Calibri" w:eastAsia="PMingLiU" w:hAnsi="Calibri"/>
          <w:b w:val="0"/>
          <w:caps w:val="0"/>
          <w:noProof/>
          <w:sz w:val="22"/>
          <w:szCs w:val="22"/>
        </w:rPr>
      </w:pPr>
      <w:hyperlink w:anchor="_Toc388543118" w:history="1">
        <w:r w:rsidRPr="00A843DB">
          <w:rPr>
            <w:rStyle w:val="Hyperlink"/>
            <w:noProof/>
          </w:rPr>
          <w:t>8</w:t>
        </w:r>
        <w:r>
          <w:rPr>
            <w:rFonts w:ascii="Calibri" w:eastAsia="PMingLiU" w:hAnsi="Calibri"/>
            <w:b w:val="0"/>
            <w:caps w:val="0"/>
            <w:noProof/>
            <w:sz w:val="22"/>
            <w:szCs w:val="22"/>
          </w:rPr>
          <w:tab/>
        </w:r>
        <w:r w:rsidRPr="00A843DB">
          <w:rPr>
            <w:rStyle w:val="Hyperlink"/>
            <w:noProof/>
          </w:rPr>
          <w:t>CONCLUSIONS AND RECOMMENDATIONS</w:t>
        </w:r>
        <w:r>
          <w:rPr>
            <w:noProof/>
            <w:webHidden/>
          </w:rPr>
          <w:tab/>
        </w:r>
        <w:r>
          <w:rPr>
            <w:noProof/>
            <w:webHidden/>
          </w:rPr>
          <w:fldChar w:fldCharType="begin"/>
        </w:r>
        <w:r>
          <w:rPr>
            <w:noProof/>
            <w:webHidden/>
          </w:rPr>
          <w:instrText xml:space="preserve"> PAGEREF _Toc388543118 \h </w:instrText>
        </w:r>
        <w:r>
          <w:rPr>
            <w:noProof/>
            <w:webHidden/>
          </w:rPr>
        </w:r>
        <w:r>
          <w:rPr>
            <w:noProof/>
            <w:webHidden/>
          </w:rPr>
          <w:fldChar w:fldCharType="separate"/>
        </w:r>
        <w:r>
          <w:rPr>
            <w:noProof/>
            <w:webHidden/>
          </w:rPr>
          <w:t>103</w:t>
        </w:r>
        <w:r>
          <w:rPr>
            <w:noProof/>
            <w:webHidden/>
          </w:rPr>
          <w:fldChar w:fldCharType="end"/>
        </w:r>
      </w:hyperlink>
    </w:p>
    <w:p w:rsidR="00A327E6" w:rsidRDefault="00A327E6">
      <w:pPr>
        <w:pStyle w:val="TOC1"/>
        <w:rPr>
          <w:rFonts w:ascii="Calibri" w:eastAsia="PMingLiU" w:hAnsi="Calibri"/>
          <w:b w:val="0"/>
          <w:caps w:val="0"/>
          <w:noProof/>
          <w:sz w:val="22"/>
          <w:szCs w:val="22"/>
        </w:rPr>
      </w:pPr>
      <w:hyperlink w:anchor="_Toc388543119" w:history="1">
        <w:r w:rsidRPr="00A843DB">
          <w:rPr>
            <w:rStyle w:val="Hyperlink"/>
            <w:noProof/>
          </w:rPr>
          <w:t>9</w:t>
        </w:r>
        <w:r>
          <w:rPr>
            <w:rFonts w:ascii="Calibri" w:eastAsia="PMingLiU" w:hAnsi="Calibri"/>
            <w:b w:val="0"/>
            <w:caps w:val="0"/>
            <w:noProof/>
            <w:sz w:val="22"/>
            <w:szCs w:val="22"/>
          </w:rPr>
          <w:tab/>
        </w:r>
        <w:r w:rsidRPr="00A843DB">
          <w:rPr>
            <w:rStyle w:val="Hyperlink"/>
            <w:noProof/>
          </w:rPr>
          <w:t>REFERENCES</w:t>
        </w:r>
        <w:r>
          <w:rPr>
            <w:noProof/>
            <w:webHidden/>
          </w:rPr>
          <w:tab/>
        </w:r>
        <w:r>
          <w:rPr>
            <w:noProof/>
            <w:webHidden/>
          </w:rPr>
          <w:fldChar w:fldCharType="begin"/>
        </w:r>
        <w:r>
          <w:rPr>
            <w:noProof/>
            <w:webHidden/>
          </w:rPr>
          <w:instrText xml:space="preserve"> PAGEREF _Toc388543119 \h </w:instrText>
        </w:r>
        <w:r>
          <w:rPr>
            <w:noProof/>
            <w:webHidden/>
          </w:rPr>
        </w:r>
        <w:r>
          <w:rPr>
            <w:noProof/>
            <w:webHidden/>
          </w:rPr>
          <w:fldChar w:fldCharType="separate"/>
        </w:r>
        <w:r>
          <w:rPr>
            <w:noProof/>
            <w:webHidden/>
          </w:rPr>
          <w:t>105</w:t>
        </w:r>
        <w:r>
          <w:rPr>
            <w:noProof/>
            <w:webHidden/>
          </w:rPr>
          <w:fldChar w:fldCharType="end"/>
        </w:r>
      </w:hyperlink>
    </w:p>
    <w:p w:rsidR="00A327E6" w:rsidRDefault="00A327E6">
      <w:pPr>
        <w:pStyle w:val="TOC1"/>
        <w:rPr>
          <w:rFonts w:ascii="Calibri" w:eastAsia="PMingLiU" w:hAnsi="Calibri"/>
          <w:b w:val="0"/>
          <w:caps w:val="0"/>
          <w:noProof/>
          <w:sz w:val="22"/>
          <w:szCs w:val="22"/>
        </w:rPr>
      </w:pPr>
      <w:hyperlink w:anchor="_Toc388543120" w:history="1">
        <w:r w:rsidRPr="00A843DB">
          <w:rPr>
            <w:rStyle w:val="Hyperlink"/>
            <w:noProof/>
          </w:rPr>
          <w:t>10</w:t>
        </w:r>
        <w:r>
          <w:rPr>
            <w:rFonts w:ascii="Calibri" w:eastAsia="PMingLiU" w:hAnsi="Calibri"/>
            <w:b w:val="0"/>
            <w:caps w:val="0"/>
            <w:noProof/>
            <w:sz w:val="22"/>
            <w:szCs w:val="22"/>
          </w:rPr>
          <w:tab/>
        </w:r>
        <w:r w:rsidRPr="00A843DB">
          <w:rPr>
            <w:rStyle w:val="Hyperlink"/>
            <w:noProof/>
          </w:rPr>
          <w:t>Appendices for Logan Airport Health Study</w:t>
        </w:r>
        <w:r>
          <w:rPr>
            <w:noProof/>
            <w:webHidden/>
          </w:rPr>
          <w:tab/>
        </w:r>
        <w:r>
          <w:rPr>
            <w:noProof/>
            <w:webHidden/>
          </w:rPr>
          <w:fldChar w:fldCharType="begin"/>
        </w:r>
        <w:r>
          <w:rPr>
            <w:noProof/>
            <w:webHidden/>
          </w:rPr>
          <w:instrText xml:space="preserve"> PAGEREF _Toc388543120 \h </w:instrText>
        </w:r>
        <w:r>
          <w:rPr>
            <w:noProof/>
            <w:webHidden/>
          </w:rPr>
        </w:r>
        <w:r>
          <w:rPr>
            <w:noProof/>
            <w:webHidden/>
          </w:rPr>
          <w:fldChar w:fldCharType="separate"/>
        </w:r>
        <w:r>
          <w:rPr>
            <w:noProof/>
            <w:webHidden/>
          </w:rPr>
          <w:t>121</w:t>
        </w:r>
        <w:r>
          <w:rPr>
            <w:noProof/>
            <w:webHidden/>
          </w:rPr>
          <w:fldChar w:fldCharType="end"/>
        </w:r>
      </w:hyperlink>
    </w:p>
    <w:p w:rsidR="00A327E6" w:rsidRDefault="00A327E6">
      <w:r w:rsidRPr="00D328B6">
        <w:fldChar w:fldCharType="end"/>
      </w:r>
    </w:p>
    <w:p w:rsidR="00A327E6" w:rsidRPr="00D328B6" w:rsidRDefault="00A327E6" w:rsidP="00D65CB4">
      <w:pPr>
        <w:pStyle w:val="TableofFigures"/>
        <w:tabs>
          <w:tab w:val="right" w:leader="dot" w:pos="9350"/>
        </w:tabs>
        <w:jc w:val="center"/>
        <w:rPr>
          <w:b/>
          <w:szCs w:val="24"/>
        </w:rPr>
      </w:pPr>
      <w:r w:rsidRPr="00D328B6">
        <w:rPr>
          <w:b/>
          <w:szCs w:val="24"/>
        </w:rPr>
        <w:t>LIST OF TABLES</w:t>
      </w:r>
    </w:p>
    <w:p w:rsidR="00A327E6" w:rsidRPr="00D01AE2" w:rsidRDefault="00A327E6" w:rsidP="009047B1">
      <w:pPr>
        <w:pStyle w:val="TableofFigures"/>
        <w:tabs>
          <w:tab w:val="right" w:leader="dot" w:pos="9350"/>
        </w:tabs>
        <w:spacing w:before="0" w:after="0" w:line="240" w:lineRule="auto"/>
        <w:rPr>
          <w:rFonts w:eastAsia="PMingLiU"/>
          <w:noProof/>
          <w:szCs w:val="24"/>
        </w:rPr>
      </w:pPr>
      <w:r w:rsidRPr="00D01AE2">
        <w:rPr>
          <w:szCs w:val="24"/>
        </w:rPr>
        <w:fldChar w:fldCharType="begin"/>
      </w:r>
      <w:r w:rsidRPr="00D01AE2">
        <w:rPr>
          <w:szCs w:val="24"/>
        </w:rPr>
        <w:instrText xml:space="preserve"> TOC \f Z \h \z \c "Table" </w:instrText>
      </w:r>
      <w:r w:rsidRPr="00D01AE2">
        <w:rPr>
          <w:szCs w:val="24"/>
        </w:rPr>
        <w:fldChar w:fldCharType="separate"/>
      </w:r>
      <w:hyperlink w:anchor="_Toc386796289" w:history="1">
        <w:r w:rsidRPr="00D01AE2">
          <w:rPr>
            <w:rStyle w:val="Hyperlink"/>
            <w:noProof/>
            <w:szCs w:val="24"/>
          </w:rPr>
          <w:t>Table 4</w:t>
        </w:r>
        <w:r w:rsidRPr="00D01AE2">
          <w:rPr>
            <w:rStyle w:val="Hyperlink"/>
            <w:noProof/>
            <w:szCs w:val="24"/>
          </w:rPr>
          <w:noBreakHyphen/>
          <w:t>1.  Emissions Inventory for Logan Airport, 2005 (kg/year)</w:t>
        </w:r>
        <w:r w:rsidRPr="00D01AE2">
          <w:rPr>
            <w:noProof/>
            <w:webHidden/>
            <w:szCs w:val="24"/>
          </w:rPr>
          <w:tab/>
        </w:r>
        <w:r w:rsidRPr="00D01AE2">
          <w:rPr>
            <w:noProof/>
            <w:webHidden/>
            <w:szCs w:val="24"/>
          </w:rPr>
          <w:fldChar w:fldCharType="begin"/>
        </w:r>
        <w:r w:rsidRPr="00D01AE2">
          <w:rPr>
            <w:noProof/>
            <w:webHidden/>
            <w:szCs w:val="24"/>
          </w:rPr>
          <w:instrText xml:space="preserve"> PAGEREF _Toc386796289 \h </w:instrText>
        </w:r>
        <w:r w:rsidRPr="00D01AE2">
          <w:rPr>
            <w:noProof/>
            <w:webHidden/>
            <w:szCs w:val="24"/>
          </w:rPr>
        </w:r>
        <w:r w:rsidRPr="00D01AE2">
          <w:rPr>
            <w:noProof/>
            <w:webHidden/>
            <w:szCs w:val="24"/>
          </w:rPr>
          <w:fldChar w:fldCharType="separate"/>
        </w:r>
        <w:r>
          <w:rPr>
            <w:noProof/>
            <w:webHidden/>
            <w:szCs w:val="24"/>
          </w:rPr>
          <w:t>34</w:t>
        </w:r>
        <w:r w:rsidRPr="00D01AE2">
          <w:rPr>
            <w:noProof/>
            <w:webHidden/>
            <w:szCs w:val="24"/>
          </w:rPr>
          <w:fldChar w:fldCharType="end"/>
        </w:r>
      </w:hyperlink>
    </w:p>
    <w:p w:rsidR="00A327E6" w:rsidRDefault="00A327E6" w:rsidP="009047B1">
      <w:pPr>
        <w:pStyle w:val="TableofFigures"/>
        <w:tabs>
          <w:tab w:val="right" w:leader="dot" w:pos="9350"/>
        </w:tabs>
        <w:spacing w:before="0" w:after="0" w:line="240" w:lineRule="auto"/>
        <w:rPr>
          <w:noProof/>
        </w:rPr>
      </w:pPr>
    </w:p>
    <w:p w:rsidR="00A327E6" w:rsidRPr="00D01AE2" w:rsidRDefault="00A327E6" w:rsidP="009047B1">
      <w:pPr>
        <w:pStyle w:val="TableofFigures"/>
        <w:tabs>
          <w:tab w:val="right" w:leader="dot" w:pos="9350"/>
        </w:tabs>
        <w:spacing w:before="0" w:after="0" w:line="240" w:lineRule="auto"/>
        <w:rPr>
          <w:rFonts w:eastAsia="PMingLiU"/>
          <w:noProof/>
          <w:szCs w:val="24"/>
        </w:rPr>
      </w:pPr>
      <w:hyperlink w:anchor="_Toc386796290" w:history="1">
        <w:r w:rsidRPr="00D01AE2">
          <w:rPr>
            <w:rStyle w:val="Hyperlink"/>
            <w:noProof/>
            <w:szCs w:val="24"/>
          </w:rPr>
          <w:t>Table 4</w:t>
        </w:r>
        <w:r w:rsidRPr="00D01AE2">
          <w:rPr>
            <w:rStyle w:val="Hyperlink"/>
            <w:noProof/>
            <w:szCs w:val="24"/>
          </w:rPr>
          <w:noBreakHyphen/>
          <w:t>2.  Summary of Annual Average Air Pollutant Concentrations (μg/m</w:t>
        </w:r>
        <w:r w:rsidRPr="00D01AE2">
          <w:rPr>
            <w:rStyle w:val="Hyperlink"/>
            <w:noProof/>
            <w:szCs w:val="24"/>
            <w:vertAlign w:val="superscript"/>
          </w:rPr>
          <w:t>3</w:t>
        </w:r>
        <w:r w:rsidRPr="00D01AE2">
          <w:rPr>
            <w:rStyle w:val="Hyperlink"/>
            <w:noProof/>
            <w:szCs w:val="24"/>
          </w:rPr>
          <w:t>) from Air Dispersion Modeling of 2005 Airport Operations</w:t>
        </w:r>
        <w:r w:rsidRPr="00D01AE2">
          <w:rPr>
            <w:noProof/>
            <w:webHidden/>
            <w:szCs w:val="24"/>
          </w:rPr>
          <w:tab/>
        </w:r>
        <w:r w:rsidRPr="00D01AE2">
          <w:rPr>
            <w:noProof/>
            <w:webHidden/>
            <w:szCs w:val="24"/>
          </w:rPr>
          <w:fldChar w:fldCharType="begin"/>
        </w:r>
        <w:r w:rsidRPr="00D01AE2">
          <w:rPr>
            <w:noProof/>
            <w:webHidden/>
            <w:szCs w:val="24"/>
          </w:rPr>
          <w:instrText xml:space="preserve"> PAGEREF _Toc386796290 \h </w:instrText>
        </w:r>
        <w:r w:rsidRPr="00D01AE2">
          <w:rPr>
            <w:noProof/>
            <w:webHidden/>
            <w:szCs w:val="24"/>
          </w:rPr>
        </w:r>
        <w:r w:rsidRPr="00D01AE2">
          <w:rPr>
            <w:noProof/>
            <w:webHidden/>
            <w:szCs w:val="24"/>
          </w:rPr>
          <w:fldChar w:fldCharType="separate"/>
        </w:r>
        <w:r>
          <w:rPr>
            <w:noProof/>
            <w:webHidden/>
            <w:szCs w:val="24"/>
          </w:rPr>
          <w:t>38</w:t>
        </w:r>
        <w:r w:rsidRPr="00D01AE2">
          <w:rPr>
            <w:noProof/>
            <w:webHidden/>
            <w:szCs w:val="24"/>
          </w:rPr>
          <w:fldChar w:fldCharType="end"/>
        </w:r>
      </w:hyperlink>
    </w:p>
    <w:p w:rsidR="00A327E6" w:rsidRDefault="00A327E6" w:rsidP="009047B1">
      <w:pPr>
        <w:pStyle w:val="TableofFigures"/>
        <w:tabs>
          <w:tab w:val="right" w:leader="dot" w:pos="9350"/>
        </w:tabs>
        <w:spacing w:before="0" w:after="0" w:line="240" w:lineRule="auto"/>
        <w:rPr>
          <w:noProof/>
        </w:rPr>
      </w:pPr>
    </w:p>
    <w:p w:rsidR="00A327E6" w:rsidRPr="00D01AE2" w:rsidRDefault="00A327E6" w:rsidP="009047B1">
      <w:pPr>
        <w:pStyle w:val="TableofFigures"/>
        <w:tabs>
          <w:tab w:val="right" w:leader="dot" w:pos="9350"/>
        </w:tabs>
        <w:spacing w:before="0" w:after="0" w:line="240" w:lineRule="auto"/>
        <w:rPr>
          <w:rFonts w:eastAsia="PMingLiU"/>
          <w:noProof/>
          <w:szCs w:val="24"/>
        </w:rPr>
      </w:pPr>
      <w:hyperlink w:anchor="_Toc386796291" w:history="1">
        <w:r w:rsidRPr="00D01AE2">
          <w:rPr>
            <w:rStyle w:val="Hyperlink"/>
            <w:noProof/>
            <w:szCs w:val="24"/>
          </w:rPr>
          <w:t>Table 4</w:t>
        </w:r>
        <w:r w:rsidRPr="00D01AE2">
          <w:rPr>
            <w:rStyle w:val="Hyperlink"/>
            <w:noProof/>
            <w:szCs w:val="24"/>
          </w:rPr>
          <w:noBreakHyphen/>
          <w:t>3.  Annual Average Concentrations for NOx and PM</w:t>
        </w:r>
        <w:r w:rsidRPr="00D01AE2">
          <w:rPr>
            <w:rStyle w:val="Hyperlink"/>
            <w:noProof/>
            <w:szCs w:val="24"/>
            <w:vertAlign w:val="subscript"/>
          </w:rPr>
          <w:t>2.5</w:t>
        </w:r>
        <w:r w:rsidRPr="00D01AE2">
          <w:rPr>
            <w:rStyle w:val="Hyperlink"/>
            <w:noProof/>
            <w:szCs w:val="24"/>
          </w:rPr>
          <w:t xml:space="preserve"> Across the Study Area for the Major Source Categories at Logan Airport</w:t>
        </w:r>
        <w:r w:rsidRPr="00D01AE2">
          <w:rPr>
            <w:noProof/>
            <w:webHidden/>
            <w:szCs w:val="24"/>
          </w:rPr>
          <w:tab/>
        </w:r>
        <w:r w:rsidRPr="00D01AE2">
          <w:rPr>
            <w:noProof/>
            <w:webHidden/>
            <w:szCs w:val="24"/>
          </w:rPr>
          <w:fldChar w:fldCharType="begin"/>
        </w:r>
        <w:r w:rsidRPr="00D01AE2">
          <w:rPr>
            <w:noProof/>
            <w:webHidden/>
            <w:szCs w:val="24"/>
          </w:rPr>
          <w:instrText xml:space="preserve"> PAGEREF _Toc386796291 \h </w:instrText>
        </w:r>
        <w:r w:rsidRPr="00D01AE2">
          <w:rPr>
            <w:noProof/>
            <w:webHidden/>
            <w:szCs w:val="24"/>
          </w:rPr>
        </w:r>
        <w:r w:rsidRPr="00D01AE2">
          <w:rPr>
            <w:noProof/>
            <w:webHidden/>
            <w:szCs w:val="24"/>
          </w:rPr>
          <w:fldChar w:fldCharType="separate"/>
        </w:r>
        <w:r>
          <w:rPr>
            <w:noProof/>
            <w:webHidden/>
            <w:szCs w:val="24"/>
          </w:rPr>
          <w:t>41</w:t>
        </w:r>
        <w:r w:rsidRPr="00D01AE2">
          <w:rPr>
            <w:noProof/>
            <w:webHidden/>
            <w:szCs w:val="24"/>
          </w:rPr>
          <w:fldChar w:fldCharType="end"/>
        </w:r>
      </w:hyperlink>
    </w:p>
    <w:p w:rsidR="00A327E6" w:rsidRDefault="00A327E6" w:rsidP="009047B1">
      <w:pPr>
        <w:pStyle w:val="TableofFigures"/>
        <w:tabs>
          <w:tab w:val="right" w:leader="dot" w:pos="9350"/>
        </w:tabs>
        <w:spacing w:before="0" w:after="0" w:line="240" w:lineRule="auto"/>
        <w:rPr>
          <w:noProof/>
        </w:rPr>
      </w:pPr>
    </w:p>
    <w:p w:rsidR="00A327E6" w:rsidRPr="00D01AE2" w:rsidRDefault="00A327E6" w:rsidP="009047B1">
      <w:pPr>
        <w:pStyle w:val="TableofFigures"/>
        <w:tabs>
          <w:tab w:val="right" w:leader="dot" w:pos="9350"/>
        </w:tabs>
        <w:spacing w:before="0" w:after="0" w:line="240" w:lineRule="auto"/>
        <w:rPr>
          <w:rFonts w:eastAsia="PMingLiU"/>
          <w:noProof/>
          <w:szCs w:val="24"/>
        </w:rPr>
      </w:pPr>
      <w:hyperlink w:anchor="_Toc386796292" w:history="1">
        <w:r w:rsidRPr="00D01AE2">
          <w:rPr>
            <w:rStyle w:val="Hyperlink"/>
            <w:noProof/>
            <w:szCs w:val="24"/>
          </w:rPr>
          <w:t>Table 4</w:t>
        </w:r>
        <w:r w:rsidRPr="00D01AE2">
          <w:rPr>
            <w:rStyle w:val="Hyperlink"/>
            <w:noProof/>
            <w:szCs w:val="24"/>
          </w:rPr>
          <w:noBreakHyphen/>
          <w:t>4.  Spearman Correlations</w:t>
        </w:r>
        <w:r w:rsidRPr="00D01AE2">
          <w:rPr>
            <w:rStyle w:val="Hyperlink"/>
            <w:noProof/>
            <w:szCs w:val="24"/>
            <w:vertAlign w:val="superscript"/>
          </w:rPr>
          <w:t xml:space="preserve"> </w:t>
        </w:r>
        <w:r w:rsidRPr="00D01AE2">
          <w:rPr>
            <w:rStyle w:val="Hyperlink"/>
            <w:noProof/>
            <w:szCs w:val="24"/>
          </w:rPr>
          <w:t>of LAHS Annual Average Pollutant Concentrations from Air Dispersion Modeling</w:t>
        </w:r>
        <w:r w:rsidRPr="00D01AE2">
          <w:rPr>
            <w:noProof/>
            <w:webHidden/>
            <w:szCs w:val="24"/>
          </w:rPr>
          <w:tab/>
        </w:r>
        <w:r w:rsidRPr="00D01AE2">
          <w:rPr>
            <w:noProof/>
            <w:webHidden/>
            <w:szCs w:val="24"/>
          </w:rPr>
          <w:fldChar w:fldCharType="begin"/>
        </w:r>
        <w:r w:rsidRPr="00D01AE2">
          <w:rPr>
            <w:noProof/>
            <w:webHidden/>
            <w:szCs w:val="24"/>
          </w:rPr>
          <w:instrText xml:space="preserve"> PAGEREF _Toc386796292 \h </w:instrText>
        </w:r>
        <w:r w:rsidRPr="00D01AE2">
          <w:rPr>
            <w:noProof/>
            <w:webHidden/>
            <w:szCs w:val="24"/>
          </w:rPr>
        </w:r>
        <w:r w:rsidRPr="00D01AE2">
          <w:rPr>
            <w:noProof/>
            <w:webHidden/>
            <w:szCs w:val="24"/>
          </w:rPr>
          <w:fldChar w:fldCharType="separate"/>
        </w:r>
        <w:r>
          <w:rPr>
            <w:noProof/>
            <w:webHidden/>
            <w:szCs w:val="24"/>
          </w:rPr>
          <w:t>44</w:t>
        </w:r>
        <w:r w:rsidRPr="00D01AE2">
          <w:rPr>
            <w:noProof/>
            <w:webHidden/>
            <w:szCs w:val="24"/>
          </w:rPr>
          <w:fldChar w:fldCharType="end"/>
        </w:r>
      </w:hyperlink>
    </w:p>
    <w:p w:rsidR="00A327E6" w:rsidRDefault="00A327E6" w:rsidP="009047B1">
      <w:pPr>
        <w:pStyle w:val="TableofFigures"/>
        <w:tabs>
          <w:tab w:val="right" w:leader="dot" w:pos="9350"/>
        </w:tabs>
        <w:spacing w:before="0" w:after="0" w:line="240" w:lineRule="auto"/>
        <w:rPr>
          <w:noProof/>
        </w:rPr>
      </w:pPr>
    </w:p>
    <w:p w:rsidR="00A327E6" w:rsidRPr="00D01AE2" w:rsidRDefault="00A327E6" w:rsidP="009047B1">
      <w:pPr>
        <w:pStyle w:val="TableofFigures"/>
        <w:tabs>
          <w:tab w:val="right" w:leader="dot" w:pos="9350"/>
        </w:tabs>
        <w:spacing w:before="0" w:after="0" w:line="240" w:lineRule="auto"/>
        <w:rPr>
          <w:rFonts w:eastAsia="PMingLiU"/>
          <w:noProof/>
          <w:szCs w:val="24"/>
        </w:rPr>
      </w:pPr>
      <w:hyperlink w:anchor="_Toc386796293" w:history="1">
        <w:r w:rsidRPr="00D01AE2">
          <w:rPr>
            <w:rStyle w:val="Hyperlink"/>
            <w:noProof/>
            <w:szCs w:val="24"/>
          </w:rPr>
          <w:t>Table 4</w:t>
        </w:r>
        <w:r w:rsidRPr="00D01AE2">
          <w:rPr>
            <w:rStyle w:val="Hyperlink"/>
            <w:noProof/>
            <w:szCs w:val="24"/>
          </w:rPr>
          <w:noBreakHyphen/>
          <w:t>5.  Range of Modeled Air Pollutant Concentrations Associated with the High, Medium, and Low Exposure Categories for Each Pollutant</w:t>
        </w:r>
        <w:r w:rsidRPr="00D01AE2">
          <w:rPr>
            <w:noProof/>
            <w:webHidden/>
            <w:szCs w:val="24"/>
          </w:rPr>
          <w:tab/>
        </w:r>
        <w:r w:rsidRPr="00D01AE2">
          <w:rPr>
            <w:noProof/>
            <w:webHidden/>
            <w:szCs w:val="24"/>
          </w:rPr>
          <w:fldChar w:fldCharType="begin"/>
        </w:r>
        <w:r w:rsidRPr="00D01AE2">
          <w:rPr>
            <w:noProof/>
            <w:webHidden/>
            <w:szCs w:val="24"/>
          </w:rPr>
          <w:instrText xml:space="preserve"> PAGEREF _Toc386796293 \h </w:instrText>
        </w:r>
        <w:r w:rsidRPr="00D01AE2">
          <w:rPr>
            <w:noProof/>
            <w:webHidden/>
            <w:szCs w:val="24"/>
          </w:rPr>
        </w:r>
        <w:r w:rsidRPr="00D01AE2">
          <w:rPr>
            <w:noProof/>
            <w:webHidden/>
            <w:szCs w:val="24"/>
          </w:rPr>
          <w:fldChar w:fldCharType="separate"/>
        </w:r>
        <w:r>
          <w:rPr>
            <w:noProof/>
            <w:webHidden/>
            <w:szCs w:val="24"/>
          </w:rPr>
          <w:t>45</w:t>
        </w:r>
        <w:r w:rsidRPr="00D01AE2">
          <w:rPr>
            <w:noProof/>
            <w:webHidden/>
            <w:szCs w:val="24"/>
          </w:rPr>
          <w:fldChar w:fldCharType="end"/>
        </w:r>
      </w:hyperlink>
    </w:p>
    <w:p w:rsidR="00A327E6" w:rsidRDefault="00A327E6" w:rsidP="009047B1">
      <w:pPr>
        <w:pStyle w:val="TableofFigures"/>
        <w:tabs>
          <w:tab w:val="right" w:leader="dot" w:pos="9350"/>
        </w:tabs>
        <w:spacing w:before="0" w:after="0" w:line="240" w:lineRule="auto"/>
        <w:rPr>
          <w:noProof/>
        </w:rPr>
      </w:pPr>
    </w:p>
    <w:p w:rsidR="00A327E6" w:rsidRPr="00D01AE2" w:rsidRDefault="00A327E6" w:rsidP="009047B1">
      <w:pPr>
        <w:pStyle w:val="TableofFigures"/>
        <w:tabs>
          <w:tab w:val="right" w:leader="dot" w:pos="9350"/>
        </w:tabs>
        <w:spacing w:before="0" w:after="0" w:line="240" w:lineRule="auto"/>
        <w:rPr>
          <w:rFonts w:eastAsia="PMingLiU"/>
          <w:noProof/>
          <w:szCs w:val="24"/>
        </w:rPr>
      </w:pPr>
      <w:hyperlink w:anchor="_Toc386796294" w:history="1">
        <w:r w:rsidRPr="00D01AE2">
          <w:rPr>
            <w:rStyle w:val="Hyperlink"/>
            <w:noProof/>
            <w:szCs w:val="24"/>
          </w:rPr>
          <w:t>Table 6</w:t>
        </w:r>
        <w:r w:rsidRPr="00D01AE2">
          <w:rPr>
            <w:rStyle w:val="Hyperlink"/>
            <w:noProof/>
            <w:szCs w:val="24"/>
          </w:rPr>
          <w:noBreakHyphen/>
          <w:t>1.  Basic Demographic Characteristics for the 6072 Adult Participants of the Logan Airport Health Study (LAHS) Survey, Study Area Population, and Statewide</w:t>
        </w:r>
        <w:r w:rsidRPr="00D01AE2">
          <w:rPr>
            <w:noProof/>
            <w:webHidden/>
            <w:szCs w:val="24"/>
          </w:rPr>
          <w:tab/>
        </w:r>
        <w:r w:rsidRPr="00D01AE2">
          <w:rPr>
            <w:noProof/>
            <w:webHidden/>
            <w:szCs w:val="24"/>
          </w:rPr>
          <w:fldChar w:fldCharType="begin"/>
        </w:r>
        <w:r w:rsidRPr="00D01AE2">
          <w:rPr>
            <w:noProof/>
            <w:webHidden/>
            <w:szCs w:val="24"/>
          </w:rPr>
          <w:instrText xml:space="preserve"> PAGEREF _Toc386796294 \h </w:instrText>
        </w:r>
        <w:r w:rsidRPr="00D01AE2">
          <w:rPr>
            <w:noProof/>
            <w:webHidden/>
            <w:szCs w:val="24"/>
          </w:rPr>
        </w:r>
        <w:r w:rsidRPr="00D01AE2">
          <w:rPr>
            <w:noProof/>
            <w:webHidden/>
            <w:szCs w:val="24"/>
          </w:rPr>
          <w:fldChar w:fldCharType="separate"/>
        </w:r>
        <w:r>
          <w:rPr>
            <w:noProof/>
            <w:webHidden/>
            <w:szCs w:val="24"/>
          </w:rPr>
          <w:t>65</w:t>
        </w:r>
        <w:r w:rsidRPr="00D01AE2">
          <w:rPr>
            <w:noProof/>
            <w:webHidden/>
            <w:szCs w:val="24"/>
          </w:rPr>
          <w:fldChar w:fldCharType="end"/>
        </w:r>
      </w:hyperlink>
    </w:p>
    <w:p w:rsidR="00A327E6" w:rsidRDefault="00A327E6" w:rsidP="009047B1">
      <w:pPr>
        <w:pStyle w:val="TableofFigures"/>
        <w:tabs>
          <w:tab w:val="right" w:leader="dot" w:pos="9350"/>
        </w:tabs>
        <w:spacing w:before="0" w:after="0" w:line="240" w:lineRule="auto"/>
        <w:rPr>
          <w:noProof/>
        </w:rPr>
      </w:pPr>
    </w:p>
    <w:p w:rsidR="00A327E6" w:rsidRDefault="00A327E6" w:rsidP="009047B1">
      <w:pPr>
        <w:pStyle w:val="TableofFigures"/>
        <w:tabs>
          <w:tab w:val="right" w:leader="dot" w:pos="9350"/>
        </w:tabs>
        <w:spacing w:before="0" w:after="0" w:line="240" w:lineRule="auto"/>
        <w:rPr>
          <w:noProof/>
          <w:szCs w:val="24"/>
        </w:rPr>
      </w:pPr>
      <w:hyperlink w:anchor="_Toc386796295" w:history="1">
        <w:r w:rsidRPr="00D01AE2">
          <w:rPr>
            <w:rStyle w:val="Hyperlink"/>
            <w:noProof/>
            <w:szCs w:val="24"/>
          </w:rPr>
          <w:t>Table 6</w:t>
        </w:r>
        <w:r w:rsidRPr="00D01AE2">
          <w:rPr>
            <w:rStyle w:val="Hyperlink"/>
            <w:noProof/>
            <w:szCs w:val="24"/>
          </w:rPr>
          <w:noBreakHyphen/>
          <w:t>2.  Basic Demographic Characteristics of the 2215 Child Participants of the Logan Airport Health Study (LAHS) Survey, for the LAHS study Area, and for the State Population</w:t>
        </w:r>
        <w:r w:rsidRPr="00D01AE2">
          <w:rPr>
            <w:noProof/>
            <w:webHidden/>
            <w:szCs w:val="24"/>
          </w:rPr>
          <w:tab/>
        </w:r>
        <w:r w:rsidRPr="00D01AE2">
          <w:rPr>
            <w:noProof/>
            <w:webHidden/>
            <w:szCs w:val="24"/>
          </w:rPr>
          <w:fldChar w:fldCharType="begin"/>
        </w:r>
        <w:r w:rsidRPr="00D01AE2">
          <w:rPr>
            <w:noProof/>
            <w:webHidden/>
            <w:szCs w:val="24"/>
          </w:rPr>
          <w:instrText xml:space="preserve"> PAGEREF _Toc386796295 \h </w:instrText>
        </w:r>
        <w:r w:rsidRPr="00D01AE2">
          <w:rPr>
            <w:noProof/>
            <w:webHidden/>
            <w:szCs w:val="24"/>
          </w:rPr>
        </w:r>
        <w:r w:rsidRPr="00D01AE2">
          <w:rPr>
            <w:noProof/>
            <w:webHidden/>
            <w:szCs w:val="24"/>
          </w:rPr>
          <w:fldChar w:fldCharType="separate"/>
        </w:r>
        <w:r>
          <w:rPr>
            <w:noProof/>
            <w:webHidden/>
            <w:szCs w:val="24"/>
          </w:rPr>
          <w:t>67</w:t>
        </w:r>
        <w:r w:rsidRPr="00D01AE2">
          <w:rPr>
            <w:noProof/>
            <w:webHidden/>
            <w:szCs w:val="24"/>
          </w:rPr>
          <w:fldChar w:fldCharType="end"/>
        </w:r>
      </w:hyperlink>
    </w:p>
    <w:p w:rsidR="00A327E6" w:rsidRDefault="00A327E6" w:rsidP="009047B1">
      <w:pPr>
        <w:pStyle w:val="TableofFigures"/>
        <w:tabs>
          <w:tab w:val="right" w:leader="dot" w:pos="9350"/>
        </w:tabs>
        <w:spacing w:before="0" w:after="0" w:line="240" w:lineRule="auto"/>
        <w:rPr>
          <w:noProof/>
        </w:rPr>
      </w:pPr>
    </w:p>
    <w:p w:rsidR="00A327E6" w:rsidRPr="00D01AE2" w:rsidRDefault="00A327E6" w:rsidP="009047B1">
      <w:pPr>
        <w:pStyle w:val="TableofFigures"/>
        <w:tabs>
          <w:tab w:val="right" w:leader="dot" w:pos="9350"/>
        </w:tabs>
        <w:spacing w:before="0" w:after="0" w:line="240" w:lineRule="auto"/>
        <w:rPr>
          <w:rFonts w:eastAsia="PMingLiU"/>
          <w:noProof/>
          <w:szCs w:val="24"/>
        </w:rPr>
      </w:pPr>
      <w:hyperlink w:anchor="_Toc386796296" w:history="1">
        <w:r w:rsidRPr="00D01AE2">
          <w:rPr>
            <w:rStyle w:val="Hyperlink"/>
            <w:noProof/>
            <w:szCs w:val="24"/>
          </w:rPr>
          <w:t>Table 6</w:t>
        </w:r>
        <w:r w:rsidRPr="00D01AE2">
          <w:rPr>
            <w:rStyle w:val="Hyperlink"/>
            <w:noProof/>
            <w:szCs w:val="24"/>
          </w:rPr>
          <w:noBreakHyphen/>
          <w:t>3.  Prevalence Estimates of Respiratory and Cardiovascular Diseases Among Adults in the Logan Airport Health Study Area (2005)</w:t>
        </w:r>
        <w:r w:rsidRPr="00D01AE2">
          <w:rPr>
            <w:noProof/>
            <w:webHidden/>
            <w:szCs w:val="24"/>
          </w:rPr>
          <w:tab/>
        </w:r>
        <w:r w:rsidRPr="00D01AE2">
          <w:rPr>
            <w:noProof/>
            <w:webHidden/>
            <w:szCs w:val="24"/>
          </w:rPr>
          <w:fldChar w:fldCharType="begin"/>
        </w:r>
        <w:r w:rsidRPr="00D01AE2">
          <w:rPr>
            <w:noProof/>
            <w:webHidden/>
            <w:szCs w:val="24"/>
          </w:rPr>
          <w:instrText xml:space="preserve"> PAGEREF _Toc386796296 \h </w:instrText>
        </w:r>
        <w:r w:rsidRPr="00D01AE2">
          <w:rPr>
            <w:noProof/>
            <w:webHidden/>
            <w:szCs w:val="24"/>
          </w:rPr>
        </w:r>
        <w:r w:rsidRPr="00D01AE2">
          <w:rPr>
            <w:noProof/>
            <w:webHidden/>
            <w:szCs w:val="24"/>
          </w:rPr>
          <w:fldChar w:fldCharType="separate"/>
        </w:r>
        <w:r>
          <w:rPr>
            <w:noProof/>
            <w:webHidden/>
            <w:szCs w:val="24"/>
          </w:rPr>
          <w:t>69</w:t>
        </w:r>
        <w:r w:rsidRPr="00D01AE2">
          <w:rPr>
            <w:noProof/>
            <w:webHidden/>
            <w:szCs w:val="24"/>
          </w:rPr>
          <w:fldChar w:fldCharType="end"/>
        </w:r>
      </w:hyperlink>
    </w:p>
    <w:p w:rsidR="00A327E6" w:rsidRDefault="00A327E6" w:rsidP="009047B1">
      <w:pPr>
        <w:pStyle w:val="TableofFigures"/>
        <w:tabs>
          <w:tab w:val="right" w:leader="dot" w:pos="9350"/>
        </w:tabs>
        <w:spacing w:before="0" w:after="0" w:line="240" w:lineRule="auto"/>
        <w:rPr>
          <w:noProof/>
        </w:rPr>
      </w:pPr>
    </w:p>
    <w:p w:rsidR="00A327E6" w:rsidRPr="00D01AE2" w:rsidRDefault="00A327E6" w:rsidP="009047B1">
      <w:pPr>
        <w:pStyle w:val="TableofFigures"/>
        <w:tabs>
          <w:tab w:val="right" w:leader="dot" w:pos="9350"/>
        </w:tabs>
        <w:spacing w:before="0" w:after="0" w:line="240" w:lineRule="auto"/>
        <w:rPr>
          <w:rFonts w:eastAsia="PMingLiU"/>
          <w:noProof/>
          <w:szCs w:val="24"/>
        </w:rPr>
      </w:pPr>
      <w:hyperlink w:anchor="_Toc386796297" w:history="1">
        <w:r w:rsidRPr="00D01AE2">
          <w:rPr>
            <w:rStyle w:val="Hyperlink"/>
            <w:noProof/>
            <w:szCs w:val="24"/>
          </w:rPr>
          <w:t>Table 6</w:t>
        </w:r>
        <w:r w:rsidRPr="00D01AE2">
          <w:rPr>
            <w:rStyle w:val="Hyperlink"/>
            <w:noProof/>
            <w:szCs w:val="24"/>
          </w:rPr>
          <w:noBreakHyphen/>
          <w:t>4.  Prevalence Estimates of Respiratory Disease Among Children in the Logan Airport Health Study Area (2005)</w:t>
        </w:r>
        <w:r w:rsidRPr="00D01AE2">
          <w:rPr>
            <w:noProof/>
            <w:webHidden/>
            <w:szCs w:val="24"/>
          </w:rPr>
          <w:tab/>
        </w:r>
        <w:r w:rsidRPr="00D01AE2">
          <w:rPr>
            <w:noProof/>
            <w:webHidden/>
            <w:szCs w:val="24"/>
          </w:rPr>
          <w:fldChar w:fldCharType="begin"/>
        </w:r>
        <w:r w:rsidRPr="00D01AE2">
          <w:rPr>
            <w:noProof/>
            <w:webHidden/>
            <w:szCs w:val="24"/>
          </w:rPr>
          <w:instrText xml:space="preserve"> PAGEREF _Toc386796297 \h </w:instrText>
        </w:r>
        <w:r w:rsidRPr="00D01AE2">
          <w:rPr>
            <w:noProof/>
            <w:webHidden/>
            <w:szCs w:val="24"/>
          </w:rPr>
        </w:r>
        <w:r w:rsidRPr="00D01AE2">
          <w:rPr>
            <w:noProof/>
            <w:webHidden/>
            <w:szCs w:val="24"/>
          </w:rPr>
          <w:fldChar w:fldCharType="separate"/>
        </w:r>
        <w:r>
          <w:rPr>
            <w:noProof/>
            <w:webHidden/>
            <w:szCs w:val="24"/>
          </w:rPr>
          <w:t>71</w:t>
        </w:r>
        <w:r w:rsidRPr="00D01AE2">
          <w:rPr>
            <w:noProof/>
            <w:webHidden/>
            <w:szCs w:val="24"/>
          </w:rPr>
          <w:fldChar w:fldCharType="end"/>
        </w:r>
      </w:hyperlink>
    </w:p>
    <w:p w:rsidR="00A327E6" w:rsidRDefault="00A327E6" w:rsidP="009047B1">
      <w:pPr>
        <w:pStyle w:val="TableofFigures"/>
        <w:tabs>
          <w:tab w:val="right" w:leader="dot" w:pos="9350"/>
        </w:tabs>
        <w:spacing w:before="0" w:after="0" w:line="240" w:lineRule="auto"/>
        <w:rPr>
          <w:noProof/>
        </w:rPr>
      </w:pPr>
    </w:p>
    <w:p w:rsidR="00A327E6" w:rsidRPr="00D01AE2" w:rsidRDefault="00A327E6" w:rsidP="009047B1">
      <w:pPr>
        <w:pStyle w:val="TableofFigures"/>
        <w:tabs>
          <w:tab w:val="right" w:leader="dot" w:pos="9350"/>
        </w:tabs>
        <w:spacing w:before="0" w:after="0" w:line="240" w:lineRule="auto"/>
        <w:rPr>
          <w:rFonts w:eastAsia="PMingLiU"/>
          <w:noProof/>
          <w:szCs w:val="24"/>
        </w:rPr>
      </w:pPr>
      <w:hyperlink w:anchor="_Toc386796298" w:history="1">
        <w:r w:rsidRPr="00D01AE2">
          <w:rPr>
            <w:rStyle w:val="Hyperlink"/>
            <w:noProof/>
            <w:szCs w:val="24"/>
          </w:rPr>
          <w:t>Table 6</w:t>
        </w:r>
        <w:r w:rsidRPr="00D01AE2">
          <w:rPr>
            <w:rStyle w:val="Hyperlink"/>
            <w:noProof/>
            <w:szCs w:val="24"/>
          </w:rPr>
          <w:noBreakHyphen/>
          <w:t>5.  Prevalence Estimates of Respiratory and Cardiovascular Diseases Among Adults by Category of Modeled Airport-related Air Pollution Exposure in the Logan Airport Health Study Area (2005)</w:t>
        </w:r>
        <w:r w:rsidRPr="00D01AE2">
          <w:rPr>
            <w:noProof/>
            <w:webHidden/>
            <w:szCs w:val="24"/>
          </w:rPr>
          <w:tab/>
        </w:r>
        <w:r w:rsidRPr="00D01AE2">
          <w:rPr>
            <w:noProof/>
            <w:webHidden/>
            <w:szCs w:val="24"/>
          </w:rPr>
          <w:fldChar w:fldCharType="begin"/>
        </w:r>
        <w:r w:rsidRPr="00D01AE2">
          <w:rPr>
            <w:noProof/>
            <w:webHidden/>
            <w:szCs w:val="24"/>
          </w:rPr>
          <w:instrText xml:space="preserve"> PAGEREF _Toc386796298 \h </w:instrText>
        </w:r>
        <w:r w:rsidRPr="00D01AE2">
          <w:rPr>
            <w:noProof/>
            <w:webHidden/>
            <w:szCs w:val="24"/>
          </w:rPr>
        </w:r>
        <w:r w:rsidRPr="00D01AE2">
          <w:rPr>
            <w:noProof/>
            <w:webHidden/>
            <w:szCs w:val="24"/>
          </w:rPr>
          <w:fldChar w:fldCharType="separate"/>
        </w:r>
        <w:r>
          <w:rPr>
            <w:noProof/>
            <w:webHidden/>
            <w:szCs w:val="24"/>
          </w:rPr>
          <w:t>73</w:t>
        </w:r>
        <w:r w:rsidRPr="00D01AE2">
          <w:rPr>
            <w:noProof/>
            <w:webHidden/>
            <w:szCs w:val="24"/>
          </w:rPr>
          <w:fldChar w:fldCharType="end"/>
        </w:r>
      </w:hyperlink>
    </w:p>
    <w:p w:rsidR="00A327E6" w:rsidRDefault="00A327E6" w:rsidP="009047B1">
      <w:pPr>
        <w:pStyle w:val="TableofFigures"/>
        <w:tabs>
          <w:tab w:val="right" w:leader="dot" w:pos="9350"/>
        </w:tabs>
        <w:spacing w:before="0" w:after="0" w:line="240" w:lineRule="auto"/>
        <w:rPr>
          <w:noProof/>
        </w:rPr>
      </w:pPr>
    </w:p>
    <w:p w:rsidR="00A327E6" w:rsidRPr="00D01AE2" w:rsidRDefault="00A327E6" w:rsidP="009047B1">
      <w:pPr>
        <w:pStyle w:val="TableofFigures"/>
        <w:tabs>
          <w:tab w:val="right" w:leader="dot" w:pos="9350"/>
        </w:tabs>
        <w:spacing w:before="0" w:after="0" w:line="240" w:lineRule="auto"/>
        <w:rPr>
          <w:rFonts w:eastAsia="PMingLiU"/>
          <w:noProof/>
          <w:szCs w:val="24"/>
        </w:rPr>
      </w:pPr>
      <w:hyperlink w:anchor="_Toc386796299" w:history="1">
        <w:r w:rsidRPr="00D01AE2">
          <w:rPr>
            <w:rStyle w:val="Hyperlink"/>
            <w:noProof/>
            <w:szCs w:val="24"/>
          </w:rPr>
          <w:t>Table 6</w:t>
        </w:r>
        <w:r w:rsidRPr="00D01AE2">
          <w:rPr>
            <w:rStyle w:val="Hyperlink"/>
            <w:noProof/>
            <w:szCs w:val="24"/>
          </w:rPr>
          <w:noBreakHyphen/>
          <w:t>6.  Prevalence Estimates of Respiratory Disease Among Children by Category of Modeled Airport-related Air Pollution Exposure in the Logan Airport Health Study Area (2005)</w:t>
        </w:r>
        <w:r w:rsidRPr="00D01AE2">
          <w:rPr>
            <w:noProof/>
            <w:webHidden/>
            <w:szCs w:val="24"/>
          </w:rPr>
          <w:tab/>
        </w:r>
        <w:r w:rsidRPr="00D01AE2">
          <w:rPr>
            <w:noProof/>
            <w:webHidden/>
            <w:szCs w:val="24"/>
          </w:rPr>
          <w:fldChar w:fldCharType="begin"/>
        </w:r>
        <w:r w:rsidRPr="00D01AE2">
          <w:rPr>
            <w:noProof/>
            <w:webHidden/>
            <w:szCs w:val="24"/>
          </w:rPr>
          <w:instrText xml:space="preserve"> PAGEREF _Toc386796299 \h </w:instrText>
        </w:r>
        <w:r w:rsidRPr="00D01AE2">
          <w:rPr>
            <w:noProof/>
            <w:webHidden/>
            <w:szCs w:val="24"/>
          </w:rPr>
        </w:r>
        <w:r w:rsidRPr="00D01AE2">
          <w:rPr>
            <w:noProof/>
            <w:webHidden/>
            <w:szCs w:val="24"/>
          </w:rPr>
          <w:fldChar w:fldCharType="separate"/>
        </w:r>
        <w:r>
          <w:rPr>
            <w:noProof/>
            <w:webHidden/>
            <w:szCs w:val="24"/>
          </w:rPr>
          <w:t>74</w:t>
        </w:r>
        <w:r w:rsidRPr="00D01AE2">
          <w:rPr>
            <w:noProof/>
            <w:webHidden/>
            <w:szCs w:val="24"/>
          </w:rPr>
          <w:fldChar w:fldCharType="end"/>
        </w:r>
      </w:hyperlink>
    </w:p>
    <w:p w:rsidR="00A327E6" w:rsidRDefault="00A327E6" w:rsidP="009047B1">
      <w:pPr>
        <w:pStyle w:val="TableofFigures"/>
        <w:tabs>
          <w:tab w:val="right" w:leader="dot" w:pos="9350"/>
        </w:tabs>
        <w:spacing w:before="0" w:after="0" w:line="240" w:lineRule="auto"/>
        <w:rPr>
          <w:noProof/>
        </w:rPr>
      </w:pPr>
    </w:p>
    <w:p w:rsidR="00A327E6" w:rsidRPr="00D01AE2" w:rsidRDefault="00A327E6" w:rsidP="009047B1">
      <w:pPr>
        <w:pStyle w:val="TableofFigures"/>
        <w:tabs>
          <w:tab w:val="right" w:leader="dot" w:pos="9350"/>
        </w:tabs>
        <w:spacing w:before="0" w:after="0" w:line="240" w:lineRule="auto"/>
        <w:rPr>
          <w:rFonts w:eastAsia="PMingLiU"/>
          <w:noProof/>
          <w:szCs w:val="24"/>
        </w:rPr>
      </w:pPr>
      <w:hyperlink w:anchor="_Toc386796300" w:history="1">
        <w:r w:rsidRPr="00D01AE2">
          <w:rPr>
            <w:rStyle w:val="Hyperlink"/>
            <w:noProof/>
            <w:szCs w:val="24"/>
          </w:rPr>
          <w:t>Table 6</w:t>
        </w:r>
        <w:r w:rsidRPr="00D01AE2">
          <w:rPr>
            <w:rStyle w:val="Hyperlink"/>
            <w:noProof/>
            <w:szCs w:val="24"/>
          </w:rPr>
          <w:noBreakHyphen/>
          <w:t>7.  Estimated Exposure to Airport-related Air Pollution and Adjusted Odds of Respiratory and Cardiovascular Disease Among Adults Living in the Logan Airport Health Study Area (2005)</w:t>
        </w:r>
        <w:r w:rsidRPr="00D01AE2">
          <w:rPr>
            <w:noProof/>
            <w:webHidden/>
            <w:szCs w:val="24"/>
          </w:rPr>
          <w:tab/>
        </w:r>
        <w:r w:rsidRPr="00D01AE2">
          <w:rPr>
            <w:noProof/>
            <w:webHidden/>
            <w:szCs w:val="24"/>
          </w:rPr>
          <w:fldChar w:fldCharType="begin"/>
        </w:r>
        <w:r w:rsidRPr="00D01AE2">
          <w:rPr>
            <w:noProof/>
            <w:webHidden/>
            <w:szCs w:val="24"/>
          </w:rPr>
          <w:instrText xml:space="preserve"> PAGEREF _Toc386796300 \h </w:instrText>
        </w:r>
        <w:r w:rsidRPr="00D01AE2">
          <w:rPr>
            <w:noProof/>
            <w:webHidden/>
            <w:szCs w:val="24"/>
          </w:rPr>
        </w:r>
        <w:r w:rsidRPr="00D01AE2">
          <w:rPr>
            <w:noProof/>
            <w:webHidden/>
            <w:szCs w:val="24"/>
          </w:rPr>
          <w:fldChar w:fldCharType="separate"/>
        </w:r>
        <w:r>
          <w:rPr>
            <w:noProof/>
            <w:webHidden/>
            <w:szCs w:val="24"/>
          </w:rPr>
          <w:t>76</w:t>
        </w:r>
        <w:r w:rsidRPr="00D01AE2">
          <w:rPr>
            <w:noProof/>
            <w:webHidden/>
            <w:szCs w:val="24"/>
          </w:rPr>
          <w:fldChar w:fldCharType="end"/>
        </w:r>
      </w:hyperlink>
    </w:p>
    <w:p w:rsidR="00A327E6" w:rsidRDefault="00A327E6" w:rsidP="009047B1">
      <w:pPr>
        <w:pStyle w:val="TableofFigures"/>
        <w:tabs>
          <w:tab w:val="right" w:leader="dot" w:pos="9350"/>
        </w:tabs>
        <w:spacing w:before="0" w:after="0" w:line="240" w:lineRule="auto"/>
        <w:rPr>
          <w:noProof/>
        </w:rPr>
      </w:pPr>
    </w:p>
    <w:p w:rsidR="00A327E6" w:rsidRPr="00D01AE2" w:rsidRDefault="00A327E6" w:rsidP="009047B1">
      <w:pPr>
        <w:pStyle w:val="TableofFigures"/>
        <w:tabs>
          <w:tab w:val="right" w:leader="dot" w:pos="9350"/>
        </w:tabs>
        <w:spacing w:before="0" w:after="0" w:line="240" w:lineRule="auto"/>
        <w:rPr>
          <w:rFonts w:eastAsia="PMingLiU"/>
          <w:noProof/>
          <w:szCs w:val="24"/>
        </w:rPr>
      </w:pPr>
      <w:hyperlink w:anchor="_Toc386796301" w:history="1">
        <w:r w:rsidRPr="00D01AE2">
          <w:rPr>
            <w:rStyle w:val="Hyperlink"/>
            <w:noProof/>
            <w:szCs w:val="24"/>
          </w:rPr>
          <w:t>Table 6</w:t>
        </w:r>
        <w:r w:rsidRPr="00D01AE2">
          <w:rPr>
            <w:rStyle w:val="Hyperlink"/>
            <w:noProof/>
            <w:szCs w:val="24"/>
          </w:rPr>
          <w:noBreakHyphen/>
          <w:t>8.  Estimated Exposure to Airport-related Air Pollution and Odds of Respiratory and Cardiovascular Disease Among Adults Living in the Logan Airport Health Study Area Who Have Resided in their Respective Exposure Area for at least 1, 3, 5, or 10 years</w:t>
        </w:r>
        <w:r w:rsidRPr="00D01AE2">
          <w:rPr>
            <w:noProof/>
            <w:webHidden/>
            <w:szCs w:val="24"/>
          </w:rPr>
          <w:tab/>
        </w:r>
        <w:r w:rsidRPr="00D01AE2">
          <w:rPr>
            <w:noProof/>
            <w:webHidden/>
            <w:szCs w:val="24"/>
          </w:rPr>
          <w:fldChar w:fldCharType="begin"/>
        </w:r>
        <w:r w:rsidRPr="00D01AE2">
          <w:rPr>
            <w:noProof/>
            <w:webHidden/>
            <w:szCs w:val="24"/>
          </w:rPr>
          <w:instrText xml:space="preserve"> PAGEREF _Toc386796301 \h </w:instrText>
        </w:r>
        <w:r w:rsidRPr="00D01AE2">
          <w:rPr>
            <w:noProof/>
            <w:webHidden/>
            <w:szCs w:val="24"/>
          </w:rPr>
        </w:r>
        <w:r w:rsidRPr="00D01AE2">
          <w:rPr>
            <w:noProof/>
            <w:webHidden/>
            <w:szCs w:val="24"/>
          </w:rPr>
          <w:fldChar w:fldCharType="separate"/>
        </w:r>
        <w:r>
          <w:rPr>
            <w:noProof/>
            <w:webHidden/>
            <w:szCs w:val="24"/>
          </w:rPr>
          <w:t>79</w:t>
        </w:r>
        <w:r w:rsidRPr="00D01AE2">
          <w:rPr>
            <w:noProof/>
            <w:webHidden/>
            <w:szCs w:val="24"/>
          </w:rPr>
          <w:fldChar w:fldCharType="end"/>
        </w:r>
      </w:hyperlink>
    </w:p>
    <w:p w:rsidR="00A327E6" w:rsidRPr="00147F1A" w:rsidRDefault="00A327E6">
      <w:pPr>
        <w:pStyle w:val="TableofFigures"/>
        <w:tabs>
          <w:tab w:val="right" w:leader="dot" w:pos="9350"/>
        </w:tabs>
        <w:rPr>
          <w:rFonts w:eastAsia="PMingLiU"/>
          <w:noProof/>
          <w:szCs w:val="24"/>
        </w:rPr>
      </w:pPr>
      <w:hyperlink w:anchor="_Toc386796302" w:history="1">
        <w:r w:rsidRPr="00147F1A">
          <w:rPr>
            <w:rStyle w:val="Hyperlink"/>
            <w:noProof/>
            <w:szCs w:val="24"/>
            <w:u w:val="none"/>
          </w:rPr>
          <w:t>Table 6</w:t>
        </w:r>
        <w:r w:rsidRPr="00147F1A">
          <w:rPr>
            <w:rStyle w:val="Hyperlink"/>
            <w:noProof/>
            <w:szCs w:val="24"/>
            <w:u w:val="none"/>
          </w:rPr>
          <w:noBreakHyphen/>
          <w:t>9.  Estimated Exposure to Airport-related Air Pollution and Adjusted Odds of Respiratory Disease Among Children in the Logan Airport Health Study Area (2005)</w:t>
        </w:r>
        <w:r w:rsidRPr="00147F1A">
          <w:rPr>
            <w:noProof/>
            <w:webHidden/>
            <w:szCs w:val="24"/>
          </w:rPr>
          <w:tab/>
        </w:r>
        <w:r w:rsidRPr="00147F1A">
          <w:rPr>
            <w:noProof/>
            <w:webHidden/>
            <w:szCs w:val="24"/>
          </w:rPr>
          <w:fldChar w:fldCharType="begin"/>
        </w:r>
        <w:r w:rsidRPr="00147F1A">
          <w:rPr>
            <w:noProof/>
            <w:webHidden/>
            <w:szCs w:val="24"/>
          </w:rPr>
          <w:instrText xml:space="preserve"> PAGEREF _Toc386796302 \h </w:instrText>
        </w:r>
        <w:r w:rsidRPr="00147F1A">
          <w:rPr>
            <w:noProof/>
            <w:webHidden/>
            <w:szCs w:val="24"/>
          </w:rPr>
        </w:r>
        <w:r w:rsidRPr="00147F1A">
          <w:rPr>
            <w:noProof/>
            <w:webHidden/>
            <w:szCs w:val="24"/>
          </w:rPr>
          <w:fldChar w:fldCharType="separate"/>
        </w:r>
        <w:r>
          <w:rPr>
            <w:noProof/>
            <w:webHidden/>
            <w:szCs w:val="24"/>
          </w:rPr>
          <w:t>81</w:t>
        </w:r>
        <w:r w:rsidRPr="00147F1A">
          <w:rPr>
            <w:noProof/>
            <w:webHidden/>
            <w:szCs w:val="24"/>
          </w:rPr>
          <w:fldChar w:fldCharType="end"/>
        </w:r>
      </w:hyperlink>
    </w:p>
    <w:p w:rsidR="00A327E6" w:rsidRPr="00D01AE2" w:rsidRDefault="00A327E6" w:rsidP="009047B1">
      <w:pPr>
        <w:pStyle w:val="TableofFigures"/>
        <w:tabs>
          <w:tab w:val="right" w:leader="dot" w:pos="9350"/>
        </w:tabs>
        <w:spacing w:before="0" w:after="0" w:line="240" w:lineRule="auto"/>
        <w:rPr>
          <w:rFonts w:eastAsia="PMingLiU"/>
          <w:noProof/>
          <w:szCs w:val="24"/>
        </w:rPr>
      </w:pPr>
      <w:hyperlink w:anchor="_Toc386796303" w:history="1">
        <w:r w:rsidRPr="00D01AE2">
          <w:rPr>
            <w:rStyle w:val="Hyperlink"/>
            <w:noProof/>
            <w:szCs w:val="24"/>
          </w:rPr>
          <w:t>Table 6</w:t>
        </w:r>
        <w:r w:rsidRPr="00D01AE2">
          <w:rPr>
            <w:rStyle w:val="Hyperlink"/>
            <w:noProof/>
            <w:szCs w:val="24"/>
          </w:rPr>
          <w:noBreakHyphen/>
          <w:t>10.  Estimated Exposure to Airport-related Noise and Adjusted Odds of Auditory Impairment Among Adults and Children Living in the Logan Airport Health Study Area (2005)</w:t>
        </w:r>
        <w:r w:rsidRPr="00D01AE2">
          <w:rPr>
            <w:noProof/>
            <w:webHidden/>
            <w:szCs w:val="24"/>
          </w:rPr>
          <w:tab/>
        </w:r>
        <w:r w:rsidRPr="00D01AE2">
          <w:rPr>
            <w:noProof/>
            <w:webHidden/>
            <w:szCs w:val="24"/>
          </w:rPr>
          <w:fldChar w:fldCharType="begin"/>
        </w:r>
        <w:r w:rsidRPr="00D01AE2">
          <w:rPr>
            <w:noProof/>
            <w:webHidden/>
            <w:szCs w:val="24"/>
          </w:rPr>
          <w:instrText xml:space="preserve"> PAGEREF _Toc386796303 \h </w:instrText>
        </w:r>
        <w:r w:rsidRPr="00D01AE2">
          <w:rPr>
            <w:noProof/>
            <w:webHidden/>
            <w:szCs w:val="24"/>
          </w:rPr>
        </w:r>
        <w:r w:rsidRPr="00D01AE2">
          <w:rPr>
            <w:noProof/>
            <w:webHidden/>
            <w:szCs w:val="24"/>
          </w:rPr>
          <w:fldChar w:fldCharType="separate"/>
        </w:r>
        <w:r>
          <w:rPr>
            <w:noProof/>
            <w:webHidden/>
            <w:szCs w:val="24"/>
          </w:rPr>
          <w:t>83</w:t>
        </w:r>
        <w:r w:rsidRPr="00D01AE2">
          <w:rPr>
            <w:noProof/>
            <w:webHidden/>
            <w:szCs w:val="24"/>
          </w:rPr>
          <w:fldChar w:fldCharType="end"/>
        </w:r>
      </w:hyperlink>
    </w:p>
    <w:p w:rsidR="00A327E6" w:rsidRPr="00D328B6" w:rsidRDefault="00A327E6" w:rsidP="00D01AE2">
      <w:pPr>
        <w:pStyle w:val="TableofFigures"/>
        <w:tabs>
          <w:tab w:val="right" w:leader="dot" w:pos="9350"/>
        </w:tabs>
        <w:spacing w:line="240" w:lineRule="auto"/>
        <w:jc w:val="center"/>
        <w:rPr>
          <w:szCs w:val="24"/>
        </w:rPr>
      </w:pPr>
      <w:r w:rsidRPr="00D01AE2">
        <w:rPr>
          <w:szCs w:val="24"/>
        </w:rPr>
        <w:fldChar w:fldCharType="end"/>
      </w:r>
      <w:r w:rsidRPr="00D328B6">
        <w:rPr>
          <w:b/>
          <w:szCs w:val="24"/>
        </w:rPr>
        <w:t>LIST OF FIGURES</w:t>
      </w:r>
    </w:p>
    <w:p w:rsidR="00A327E6" w:rsidRPr="00D328B6" w:rsidRDefault="00A327E6">
      <w:pPr>
        <w:pStyle w:val="TableofFigures"/>
        <w:tabs>
          <w:tab w:val="right" w:leader="dot" w:pos="9350"/>
        </w:tabs>
        <w:rPr>
          <w:rFonts w:eastAsia="PMingLiU"/>
          <w:noProof/>
          <w:szCs w:val="24"/>
        </w:rPr>
      </w:pPr>
      <w:r w:rsidRPr="00D328B6">
        <w:rPr>
          <w:szCs w:val="24"/>
        </w:rPr>
        <w:fldChar w:fldCharType="begin"/>
      </w:r>
      <w:r w:rsidRPr="00D328B6">
        <w:rPr>
          <w:szCs w:val="24"/>
        </w:rPr>
        <w:instrText xml:space="preserve"> TOC \h \z \c "Figure" </w:instrText>
      </w:r>
      <w:r w:rsidRPr="00D328B6">
        <w:rPr>
          <w:szCs w:val="24"/>
        </w:rPr>
        <w:fldChar w:fldCharType="separate"/>
      </w:r>
      <w:hyperlink w:anchor="_Toc386796329" w:history="1">
        <w:r w:rsidRPr="00D328B6">
          <w:rPr>
            <w:rStyle w:val="Hyperlink"/>
            <w:noProof/>
            <w:szCs w:val="24"/>
          </w:rPr>
          <w:t>Figure 3</w:t>
        </w:r>
        <w:r w:rsidRPr="00D328B6">
          <w:rPr>
            <w:rStyle w:val="Hyperlink"/>
            <w:noProof/>
            <w:szCs w:val="24"/>
          </w:rPr>
          <w:noBreakHyphen/>
          <w:t>1.  The Logan Airport Health Study Area</w:t>
        </w:r>
        <w:r w:rsidRPr="00D328B6">
          <w:rPr>
            <w:noProof/>
            <w:webHidden/>
            <w:szCs w:val="24"/>
          </w:rPr>
          <w:tab/>
        </w:r>
        <w:r w:rsidRPr="00D328B6">
          <w:rPr>
            <w:noProof/>
            <w:webHidden/>
            <w:szCs w:val="24"/>
          </w:rPr>
          <w:fldChar w:fldCharType="begin"/>
        </w:r>
        <w:r w:rsidRPr="00D328B6">
          <w:rPr>
            <w:noProof/>
            <w:webHidden/>
            <w:szCs w:val="24"/>
          </w:rPr>
          <w:instrText xml:space="preserve"> PAGEREF _Toc386796329 \h </w:instrText>
        </w:r>
        <w:r w:rsidRPr="00D328B6">
          <w:rPr>
            <w:noProof/>
            <w:webHidden/>
            <w:szCs w:val="24"/>
          </w:rPr>
        </w:r>
        <w:r w:rsidRPr="00D328B6">
          <w:rPr>
            <w:noProof/>
            <w:webHidden/>
            <w:szCs w:val="24"/>
          </w:rPr>
          <w:fldChar w:fldCharType="separate"/>
        </w:r>
        <w:r>
          <w:rPr>
            <w:noProof/>
            <w:webHidden/>
            <w:szCs w:val="24"/>
          </w:rPr>
          <w:t>24</w:t>
        </w:r>
        <w:r w:rsidRPr="00D328B6">
          <w:rPr>
            <w:noProof/>
            <w:webHidden/>
            <w:szCs w:val="24"/>
          </w:rPr>
          <w:fldChar w:fldCharType="end"/>
        </w:r>
      </w:hyperlink>
    </w:p>
    <w:p w:rsidR="00A327E6" w:rsidRPr="00D328B6" w:rsidRDefault="00A327E6">
      <w:pPr>
        <w:pStyle w:val="TableofFigures"/>
        <w:tabs>
          <w:tab w:val="right" w:leader="dot" w:pos="9350"/>
        </w:tabs>
        <w:rPr>
          <w:rFonts w:eastAsia="PMingLiU"/>
          <w:noProof/>
          <w:szCs w:val="24"/>
        </w:rPr>
      </w:pPr>
      <w:hyperlink w:anchor="_Toc386796330" w:history="1">
        <w:r w:rsidRPr="00D328B6">
          <w:rPr>
            <w:rStyle w:val="Hyperlink"/>
            <w:noProof/>
            <w:szCs w:val="24"/>
          </w:rPr>
          <w:t>Figure 4</w:t>
        </w:r>
        <w:r w:rsidRPr="00D328B6">
          <w:rPr>
            <w:rStyle w:val="Hyperlink"/>
            <w:noProof/>
            <w:szCs w:val="24"/>
          </w:rPr>
          <w:noBreakHyphen/>
          <w:t>1.  Wind rose from weather station at Logan Airport – 2005</w:t>
        </w:r>
        <w:r w:rsidRPr="00D328B6">
          <w:rPr>
            <w:noProof/>
            <w:webHidden/>
            <w:szCs w:val="24"/>
          </w:rPr>
          <w:tab/>
        </w:r>
        <w:r w:rsidRPr="00D328B6">
          <w:rPr>
            <w:noProof/>
            <w:webHidden/>
            <w:szCs w:val="24"/>
          </w:rPr>
          <w:fldChar w:fldCharType="begin"/>
        </w:r>
        <w:r w:rsidRPr="00D328B6">
          <w:rPr>
            <w:noProof/>
            <w:webHidden/>
            <w:szCs w:val="24"/>
          </w:rPr>
          <w:instrText xml:space="preserve"> PAGEREF _Toc386796330 \h </w:instrText>
        </w:r>
        <w:r w:rsidRPr="00D328B6">
          <w:rPr>
            <w:noProof/>
            <w:webHidden/>
            <w:szCs w:val="24"/>
          </w:rPr>
        </w:r>
        <w:r w:rsidRPr="00D328B6">
          <w:rPr>
            <w:noProof/>
            <w:webHidden/>
            <w:szCs w:val="24"/>
          </w:rPr>
          <w:fldChar w:fldCharType="separate"/>
        </w:r>
        <w:r>
          <w:rPr>
            <w:noProof/>
            <w:webHidden/>
            <w:szCs w:val="24"/>
          </w:rPr>
          <w:t>36</w:t>
        </w:r>
        <w:r w:rsidRPr="00D328B6">
          <w:rPr>
            <w:noProof/>
            <w:webHidden/>
            <w:szCs w:val="24"/>
          </w:rPr>
          <w:fldChar w:fldCharType="end"/>
        </w:r>
      </w:hyperlink>
    </w:p>
    <w:p w:rsidR="00A327E6" w:rsidRPr="00D328B6" w:rsidRDefault="00A327E6">
      <w:pPr>
        <w:pStyle w:val="TableofFigures"/>
        <w:tabs>
          <w:tab w:val="right" w:leader="dot" w:pos="9350"/>
        </w:tabs>
        <w:rPr>
          <w:rFonts w:eastAsia="PMingLiU"/>
          <w:noProof/>
          <w:szCs w:val="24"/>
        </w:rPr>
      </w:pPr>
      <w:hyperlink w:anchor="_Toc386796331" w:history="1">
        <w:r w:rsidRPr="00D328B6">
          <w:rPr>
            <w:rStyle w:val="Hyperlink"/>
            <w:noProof/>
            <w:szCs w:val="24"/>
          </w:rPr>
          <w:t>Figure 4</w:t>
        </w:r>
        <w:r w:rsidRPr="00D328B6">
          <w:rPr>
            <w:rStyle w:val="Hyperlink"/>
            <w:noProof/>
            <w:szCs w:val="24"/>
          </w:rPr>
          <w:noBreakHyphen/>
          <w:t>2.  Modeling Domain for the LAHS</w:t>
        </w:r>
        <w:r w:rsidRPr="00D328B6">
          <w:rPr>
            <w:noProof/>
            <w:webHidden/>
            <w:szCs w:val="24"/>
          </w:rPr>
          <w:tab/>
        </w:r>
        <w:r w:rsidRPr="00D328B6">
          <w:rPr>
            <w:noProof/>
            <w:webHidden/>
            <w:szCs w:val="24"/>
          </w:rPr>
          <w:fldChar w:fldCharType="begin"/>
        </w:r>
        <w:r w:rsidRPr="00D328B6">
          <w:rPr>
            <w:noProof/>
            <w:webHidden/>
            <w:szCs w:val="24"/>
          </w:rPr>
          <w:instrText xml:space="preserve"> PAGEREF _Toc386796331 \h </w:instrText>
        </w:r>
        <w:r w:rsidRPr="00D328B6">
          <w:rPr>
            <w:noProof/>
            <w:webHidden/>
            <w:szCs w:val="24"/>
          </w:rPr>
        </w:r>
        <w:r w:rsidRPr="00D328B6">
          <w:rPr>
            <w:noProof/>
            <w:webHidden/>
            <w:szCs w:val="24"/>
          </w:rPr>
          <w:fldChar w:fldCharType="separate"/>
        </w:r>
        <w:r>
          <w:rPr>
            <w:noProof/>
            <w:webHidden/>
            <w:szCs w:val="24"/>
          </w:rPr>
          <w:t>39</w:t>
        </w:r>
        <w:r w:rsidRPr="00D328B6">
          <w:rPr>
            <w:noProof/>
            <w:webHidden/>
            <w:szCs w:val="24"/>
          </w:rPr>
          <w:fldChar w:fldCharType="end"/>
        </w:r>
      </w:hyperlink>
    </w:p>
    <w:p w:rsidR="00A327E6" w:rsidRPr="00D328B6" w:rsidRDefault="00A327E6">
      <w:pPr>
        <w:pStyle w:val="TableofFigures"/>
        <w:tabs>
          <w:tab w:val="right" w:leader="dot" w:pos="9350"/>
        </w:tabs>
        <w:rPr>
          <w:rFonts w:eastAsia="PMingLiU"/>
          <w:noProof/>
          <w:szCs w:val="24"/>
        </w:rPr>
      </w:pPr>
      <w:hyperlink w:anchor="_Toc386796332" w:history="1">
        <w:r w:rsidRPr="00D328B6">
          <w:rPr>
            <w:rStyle w:val="Hyperlink"/>
            <w:noProof/>
            <w:szCs w:val="24"/>
          </w:rPr>
          <w:t>Figure 4</w:t>
        </w:r>
        <w:r w:rsidRPr="00D328B6">
          <w:rPr>
            <w:rStyle w:val="Hyperlink"/>
            <w:noProof/>
            <w:szCs w:val="24"/>
          </w:rPr>
          <w:noBreakHyphen/>
          <w:t>3.  Normalized Annual Average Concentrations for NOx and PM</w:t>
        </w:r>
        <w:r w:rsidRPr="00D328B6">
          <w:rPr>
            <w:rStyle w:val="Hyperlink"/>
            <w:noProof/>
            <w:szCs w:val="24"/>
            <w:vertAlign w:val="subscript"/>
          </w:rPr>
          <w:t>2.5</w:t>
        </w:r>
        <w:r w:rsidRPr="00D328B6">
          <w:rPr>
            <w:noProof/>
            <w:webHidden/>
            <w:szCs w:val="24"/>
          </w:rPr>
          <w:tab/>
        </w:r>
        <w:r w:rsidRPr="00D328B6">
          <w:rPr>
            <w:noProof/>
            <w:webHidden/>
            <w:szCs w:val="24"/>
          </w:rPr>
          <w:fldChar w:fldCharType="begin"/>
        </w:r>
        <w:r w:rsidRPr="00D328B6">
          <w:rPr>
            <w:noProof/>
            <w:webHidden/>
            <w:szCs w:val="24"/>
          </w:rPr>
          <w:instrText xml:space="preserve"> PAGEREF _Toc386796332 \h </w:instrText>
        </w:r>
        <w:r w:rsidRPr="00D328B6">
          <w:rPr>
            <w:noProof/>
            <w:webHidden/>
            <w:szCs w:val="24"/>
          </w:rPr>
        </w:r>
        <w:r w:rsidRPr="00D328B6">
          <w:rPr>
            <w:noProof/>
            <w:webHidden/>
            <w:szCs w:val="24"/>
          </w:rPr>
          <w:fldChar w:fldCharType="separate"/>
        </w:r>
        <w:r>
          <w:rPr>
            <w:noProof/>
            <w:webHidden/>
            <w:szCs w:val="24"/>
          </w:rPr>
          <w:t>40</w:t>
        </w:r>
        <w:r w:rsidRPr="00D328B6">
          <w:rPr>
            <w:noProof/>
            <w:webHidden/>
            <w:szCs w:val="24"/>
          </w:rPr>
          <w:fldChar w:fldCharType="end"/>
        </w:r>
      </w:hyperlink>
    </w:p>
    <w:p w:rsidR="00A327E6" w:rsidRPr="00D328B6" w:rsidRDefault="00A327E6" w:rsidP="00AC6196">
      <w:pPr>
        <w:pStyle w:val="TableofFigures"/>
        <w:tabs>
          <w:tab w:val="right" w:leader="dot" w:pos="9350"/>
        </w:tabs>
        <w:spacing w:before="0" w:after="0" w:line="240" w:lineRule="auto"/>
        <w:rPr>
          <w:rFonts w:eastAsia="PMingLiU"/>
          <w:noProof/>
          <w:szCs w:val="24"/>
        </w:rPr>
      </w:pPr>
      <w:hyperlink w:anchor="_Toc386796333" w:history="1">
        <w:r w:rsidRPr="00D328B6">
          <w:rPr>
            <w:rStyle w:val="Hyperlink"/>
            <w:noProof/>
            <w:szCs w:val="24"/>
          </w:rPr>
          <w:t>Figure 4</w:t>
        </w:r>
        <w:r w:rsidRPr="00D328B6">
          <w:rPr>
            <w:rStyle w:val="Hyperlink"/>
            <w:noProof/>
            <w:szCs w:val="24"/>
          </w:rPr>
          <w:noBreakHyphen/>
          <w:t>4.  Relative Contribution of Predicted NOx and PM</w:t>
        </w:r>
        <w:r w:rsidRPr="00D328B6">
          <w:rPr>
            <w:rStyle w:val="Hyperlink"/>
            <w:noProof/>
            <w:szCs w:val="24"/>
            <w:vertAlign w:val="subscript"/>
          </w:rPr>
          <w:t xml:space="preserve">2.5 </w:t>
        </w:r>
        <w:r w:rsidRPr="00D328B6">
          <w:rPr>
            <w:rStyle w:val="Hyperlink"/>
            <w:noProof/>
            <w:szCs w:val="24"/>
          </w:rPr>
          <w:t>Air Pollutant Concentrations Associated with Logan Airport</w:t>
        </w:r>
        <w:r w:rsidRPr="00D328B6">
          <w:rPr>
            <w:noProof/>
            <w:webHidden/>
            <w:szCs w:val="24"/>
          </w:rPr>
          <w:tab/>
        </w:r>
        <w:r w:rsidRPr="00D328B6">
          <w:rPr>
            <w:noProof/>
            <w:webHidden/>
            <w:szCs w:val="24"/>
          </w:rPr>
          <w:fldChar w:fldCharType="begin"/>
        </w:r>
        <w:r w:rsidRPr="00D328B6">
          <w:rPr>
            <w:noProof/>
            <w:webHidden/>
            <w:szCs w:val="24"/>
          </w:rPr>
          <w:instrText xml:space="preserve"> PAGEREF _Toc386796333 \h </w:instrText>
        </w:r>
        <w:r w:rsidRPr="00D328B6">
          <w:rPr>
            <w:noProof/>
            <w:webHidden/>
            <w:szCs w:val="24"/>
          </w:rPr>
        </w:r>
        <w:r w:rsidRPr="00D328B6">
          <w:rPr>
            <w:noProof/>
            <w:webHidden/>
            <w:szCs w:val="24"/>
          </w:rPr>
          <w:fldChar w:fldCharType="separate"/>
        </w:r>
        <w:r>
          <w:rPr>
            <w:noProof/>
            <w:webHidden/>
            <w:szCs w:val="24"/>
          </w:rPr>
          <w:t>42</w:t>
        </w:r>
        <w:r w:rsidRPr="00D328B6">
          <w:rPr>
            <w:noProof/>
            <w:webHidden/>
            <w:szCs w:val="24"/>
          </w:rPr>
          <w:fldChar w:fldCharType="end"/>
        </w:r>
      </w:hyperlink>
    </w:p>
    <w:p w:rsidR="00A327E6" w:rsidRDefault="00A327E6" w:rsidP="00B63B0C">
      <w:pPr>
        <w:pStyle w:val="TableofFigures"/>
        <w:tabs>
          <w:tab w:val="right" w:leader="dot" w:pos="9350"/>
        </w:tabs>
        <w:spacing w:before="0" w:after="0" w:line="240" w:lineRule="auto"/>
        <w:rPr>
          <w:noProof/>
        </w:rPr>
      </w:pPr>
    </w:p>
    <w:p w:rsidR="00A327E6" w:rsidRPr="00D328B6" w:rsidRDefault="00A327E6" w:rsidP="00B63B0C">
      <w:pPr>
        <w:pStyle w:val="TableofFigures"/>
        <w:tabs>
          <w:tab w:val="right" w:leader="dot" w:pos="9350"/>
        </w:tabs>
        <w:spacing w:before="0" w:after="0" w:line="240" w:lineRule="auto"/>
        <w:rPr>
          <w:rFonts w:eastAsia="PMingLiU"/>
          <w:noProof/>
          <w:szCs w:val="24"/>
        </w:rPr>
      </w:pPr>
      <w:hyperlink w:anchor="_Toc386796334" w:history="1">
        <w:r w:rsidRPr="00D328B6">
          <w:rPr>
            <w:rStyle w:val="Hyperlink"/>
            <w:noProof/>
            <w:szCs w:val="24"/>
          </w:rPr>
          <w:t>Figure 4</w:t>
        </w:r>
        <w:r w:rsidRPr="00D328B6">
          <w:rPr>
            <w:rStyle w:val="Hyperlink"/>
            <w:noProof/>
            <w:szCs w:val="24"/>
          </w:rPr>
          <w:noBreakHyphen/>
          <w:t>5.  Estimated Exposure Areas Based on Assigning High, Medium, and Low Exposure Areas to Respondents</w:t>
        </w:r>
        <w:r w:rsidRPr="00D328B6">
          <w:rPr>
            <w:noProof/>
            <w:webHidden/>
            <w:szCs w:val="24"/>
          </w:rPr>
          <w:tab/>
        </w:r>
        <w:r w:rsidRPr="00D328B6">
          <w:rPr>
            <w:noProof/>
            <w:webHidden/>
            <w:szCs w:val="24"/>
          </w:rPr>
          <w:fldChar w:fldCharType="begin"/>
        </w:r>
        <w:r w:rsidRPr="00D328B6">
          <w:rPr>
            <w:noProof/>
            <w:webHidden/>
            <w:szCs w:val="24"/>
          </w:rPr>
          <w:instrText xml:space="preserve"> PAGEREF _Toc386796334 \h </w:instrText>
        </w:r>
        <w:r w:rsidRPr="00D328B6">
          <w:rPr>
            <w:noProof/>
            <w:webHidden/>
            <w:szCs w:val="24"/>
          </w:rPr>
        </w:r>
        <w:r w:rsidRPr="00D328B6">
          <w:rPr>
            <w:noProof/>
            <w:webHidden/>
            <w:szCs w:val="24"/>
          </w:rPr>
          <w:fldChar w:fldCharType="separate"/>
        </w:r>
        <w:r>
          <w:rPr>
            <w:noProof/>
            <w:webHidden/>
            <w:szCs w:val="24"/>
          </w:rPr>
          <w:t>46</w:t>
        </w:r>
        <w:r w:rsidRPr="00D328B6">
          <w:rPr>
            <w:noProof/>
            <w:webHidden/>
            <w:szCs w:val="24"/>
          </w:rPr>
          <w:fldChar w:fldCharType="end"/>
        </w:r>
      </w:hyperlink>
    </w:p>
    <w:p w:rsidR="00A327E6" w:rsidRDefault="00A327E6" w:rsidP="00B63B0C">
      <w:pPr>
        <w:pStyle w:val="TableofFigures"/>
        <w:tabs>
          <w:tab w:val="right" w:leader="dot" w:pos="9350"/>
        </w:tabs>
        <w:spacing w:before="0" w:after="0" w:line="240" w:lineRule="auto"/>
        <w:rPr>
          <w:noProof/>
        </w:rPr>
      </w:pPr>
    </w:p>
    <w:p w:rsidR="00A327E6" w:rsidRPr="00D328B6" w:rsidRDefault="00A327E6" w:rsidP="00B63B0C">
      <w:pPr>
        <w:pStyle w:val="TableofFigures"/>
        <w:tabs>
          <w:tab w:val="right" w:leader="dot" w:pos="9350"/>
        </w:tabs>
        <w:spacing w:before="0" w:after="0" w:line="240" w:lineRule="auto"/>
        <w:rPr>
          <w:rFonts w:eastAsia="PMingLiU"/>
          <w:noProof/>
          <w:szCs w:val="24"/>
        </w:rPr>
      </w:pPr>
      <w:hyperlink w:anchor="_Toc386796335" w:history="1">
        <w:r w:rsidRPr="00D328B6">
          <w:rPr>
            <w:rStyle w:val="Hyperlink"/>
            <w:noProof/>
            <w:szCs w:val="24"/>
          </w:rPr>
          <w:t>Figure 4</w:t>
        </w:r>
        <w:r w:rsidRPr="00D328B6">
          <w:rPr>
            <w:rStyle w:val="Hyperlink"/>
            <w:noProof/>
            <w:szCs w:val="24"/>
          </w:rPr>
          <w:noBreakHyphen/>
          <w:t>6.  Two hundred (200) Meter Buffer of Roads with Average Daily Traffic of 20,000 Vehicles or More</w:t>
        </w:r>
        <w:r w:rsidRPr="00D328B6">
          <w:rPr>
            <w:noProof/>
            <w:webHidden/>
            <w:szCs w:val="24"/>
          </w:rPr>
          <w:tab/>
        </w:r>
        <w:r w:rsidRPr="00D328B6">
          <w:rPr>
            <w:noProof/>
            <w:webHidden/>
            <w:szCs w:val="24"/>
          </w:rPr>
          <w:fldChar w:fldCharType="begin"/>
        </w:r>
        <w:r w:rsidRPr="00D328B6">
          <w:rPr>
            <w:noProof/>
            <w:webHidden/>
            <w:szCs w:val="24"/>
          </w:rPr>
          <w:instrText xml:space="preserve"> PAGEREF _Toc386796335 \h </w:instrText>
        </w:r>
        <w:r w:rsidRPr="00D328B6">
          <w:rPr>
            <w:noProof/>
            <w:webHidden/>
            <w:szCs w:val="24"/>
          </w:rPr>
        </w:r>
        <w:r w:rsidRPr="00D328B6">
          <w:rPr>
            <w:noProof/>
            <w:webHidden/>
            <w:szCs w:val="24"/>
          </w:rPr>
          <w:fldChar w:fldCharType="separate"/>
        </w:r>
        <w:r>
          <w:rPr>
            <w:noProof/>
            <w:webHidden/>
            <w:szCs w:val="24"/>
          </w:rPr>
          <w:t>49</w:t>
        </w:r>
        <w:r w:rsidRPr="00D328B6">
          <w:rPr>
            <w:noProof/>
            <w:webHidden/>
            <w:szCs w:val="24"/>
          </w:rPr>
          <w:fldChar w:fldCharType="end"/>
        </w:r>
      </w:hyperlink>
    </w:p>
    <w:p w:rsidR="00A327E6" w:rsidRPr="00D328B6" w:rsidRDefault="00A327E6">
      <w:pPr>
        <w:pStyle w:val="TableofFigures"/>
        <w:tabs>
          <w:tab w:val="right" w:leader="dot" w:pos="9350"/>
        </w:tabs>
        <w:rPr>
          <w:rFonts w:eastAsia="PMingLiU"/>
          <w:noProof/>
          <w:szCs w:val="24"/>
        </w:rPr>
      </w:pPr>
      <w:hyperlink w:anchor="_Toc386796336" w:history="1">
        <w:r w:rsidRPr="00D328B6">
          <w:rPr>
            <w:rStyle w:val="Hyperlink"/>
            <w:noProof/>
            <w:szCs w:val="24"/>
          </w:rPr>
          <w:t>Figure 4</w:t>
        </w:r>
        <w:r w:rsidRPr="00D328B6">
          <w:rPr>
            <w:rStyle w:val="Hyperlink"/>
            <w:noProof/>
            <w:szCs w:val="24"/>
          </w:rPr>
          <w:noBreakHyphen/>
          <w:t>7.  Massport DNL Contours for 2005 Operations at Logan Airport</w:t>
        </w:r>
        <w:r w:rsidRPr="00D328B6">
          <w:rPr>
            <w:noProof/>
            <w:webHidden/>
            <w:szCs w:val="24"/>
          </w:rPr>
          <w:tab/>
        </w:r>
        <w:r w:rsidRPr="00D328B6">
          <w:rPr>
            <w:noProof/>
            <w:webHidden/>
            <w:szCs w:val="24"/>
          </w:rPr>
          <w:fldChar w:fldCharType="begin"/>
        </w:r>
        <w:r w:rsidRPr="00D328B6">
          <w:rPr>
            <w:noProof/>
            <w:webHidden/>
            <w:szCs w:val="24"/>
          </w:rPr>
          <w:instrText xml:space="preserve"> PAGEREF _Toc386796336 \h </w:instrText>
        </w:r>
        <w:r w:rsidRPr="00D328B6">
          <w:rPr>
            <w:noProof/>
            <w:webHidden/>
            <w:szCs w:val="24"/>
          </w:rPr>
        </w:r>
        <w:r w:rsidRPr="00D328B6">
          <w:rPr>
            <w:noProof/>
            <w:webHidden/>
            <w:szCs w:val="24"/>
          </w:rPr>
          <w:fldChar w:fldCharType="separate"/>
        </w:r>
        <w:r>
          <w:rPr>
            <w:noProof/>
            <w:webHidden/>
            <w:szCs w:val="24"/>
          </w:rPr>
          <w:t>52</w:t>
        </w:r>
        <w:r w:rsidRPr="00D328B6">
          <w:rPr>
            <w:noProof/>
            <w:webHidden/>
            <w:szCs w:val="24"/>
          </w:rPr>
          <w:fldChar w:fldCharType="end"/>
        </w:r>
      </w:hyperlink>
    </w:p>
    <w:p w:rsidR="00A327E6" w:rsidRDefault="00A327E6">
      <w:r w:rsidRPr="00D328B6">
        <w:rPr>
          <w:szCs w:val="24"/>
        </w:rPr>
        <w:fldChar w:fldCharType="end"/>
      </w:r>
    </w:p>
    <w:p w:rsidR="00A327E6" w:rsidRDefault="00A327E6" w:rsidP="00A03CCE"/>
    <w:p w:rsidR="00A327E6" w:rsidRDefault="00A327E6" w:rsidP="00A03CCE"/>
    <w:p w:rsidR="00A327E6" w:rsidRDefault="00A327E6" w:rsidP="00A03CCE"/>
    <w:p w:rsidR="00A327E6" w:rsidRDefault="00A327E6" w:rsidP="00A03CCE"/>
    <w:p w:rsidR="00A327E6" w:rsidRDefault="00A327E6" w:rsidP="00A03CCE"/>
    <w:p w:rsidR="00A327E6" w:rsidRDefault="00A327E6" w:rsidP="00A03CCE"/>
    <w:p w:rsidR="00A327E6" w:rsidRDefault="00A327E6" w:rsidP="00A03CCE"/>
    <w:p w:rsidR="00A327E6" w:rsidRDefault="00A327E6" w:rsidP="00A03CCE"/>
    <w:p w:rsidR="00A327E6" w:rsidRDefault="00A327E6" w:rsidP="00A03CCE"/>
    <w:p w:rsidR="00A327E6" w:rsidRDefault="00A327E6" w:rsidP="00A03CCE"/>
    <w:p w:rsidR="00A327E6" w:rsidRPr="00A03CCE" w:rsidRDefault="00A327E6" w:rsidP="00A03CCE">
      <w:pPr>
        <w:sectPr w:rsidR="00A327E6" w:rsidRPr="00A03CCE" w:rsidSect="006871AA">
          <w:footerReference w:type="default" r:id="rId9"/>
          <w:pgSz w:w="12240" w:h="15840"/>
          <w:pgMar w:top="1440" w:right="1440" w:bottom="1440" w:left="1440" w:header="720" w:footer="720" w:gutter="0"/>
          <w:cols w:space="720"/>
          <w:docGrid w:linePitch="360"/>
        </w:sectPr>
      </w:pPr>
    </w:p>
    <w:p w:rsidR="00A327E6" w:rsidRPr="009279BF" w:rsidRDefault="00A327E6" w:rsidP="0079795D">
      <w:pPr>
        <w:pStyle w:val="Heading1"/>
        <w:numPr>
          <w:ilvl w:val="0"/>
          <w:numId w:val="0"/>
        </w:numPr>
      </w:pPr>
      <w:bookmarkStart w:id="4" w:name="_Toc388543086"/>
      <w:r>
        <w:t>Executive Summary</w:t>
      </w:r>
      <w:bookmarkEnd w:id="4"/>
    </w:p>
    <w:p w:rsidR="00A327E6" w:rsidRPr="00485833" w:rsidRDefault="00A327E6" w:rsidP="006871AA">
      <w:pPr>
        <w:rPr>
          <w:b/>
          <w:u w:val="single"/>
        </w:rPr>
      </w:pPr>
      <w:r w:rsidRPr="00485833">
        <w:rPr>
          <w:b/>
          <w:u w:val="single"/>
        </w:rPr>
        <w:t>Background</w:t>
      </w:r>
    </w:p>
    <w:p w:rsidR="00A327E6" w:rsidRPr="003F2703" w:rsidRDefault="00A327E6" w:rsidP="00485833">
      <w:pPr>
        <w:spacing w:line="360" w:lineRule="auto"/>
        <w:ind w:firstLine="720"/>
      </w:pPr>
      <w:r>
        <w:t>Chapter 159 of the Acts of 2000</w:t>
      </w:r>
      <w:r w:rsidRPr="003F2703">
        <w:t xml:space="preserve"> included a line item directive that stated “</w:t>
      </w:r>
      <w:r w:rsidRPr="003F2703">
        <w:rPr>
          <w:i/>
        </w:rPr>
        <w:t>the Director of the Bureau of Environmental Health</w:t>
      </w:r>
      <w:r w:rsidRPr="003F2703">
        <w:t xml:space="preserve"> </w:t>
      </w:r>
      <w:r w:rsidRPr="003F2703">
        <w:rPr>
          <w:i/>
        </w:rPr>
        <w:t xml:space="preserve">Assessment </w:t>
      </w:r>
      <w:r w:rsidRPr="003F2703">
        <w:t xml:space="preserve">[presently named the Bureau of Environmental Health] </w:t>
      </w:r>
      <w:r w:rsidRPr="003F2703">
        <w:rPr>
          <w:i/>
        </w:rPr>
        <w:t>of the department shall</w:t>
      </w:r>
      <w:r w:rsidRPr="003F2703">
        <w:t xml:space="preserve"> </w:t>
      </w:r>
      <w:r w:rsidRPr="003F2703">
        <w:rPr>
          <w:i/>
        </w:rPr>
        <w:t>conduct an environmental risk assessment of the health impacts of the General Lawrence Logan Airport in the East Boston section of the city of Boston on any community that is located within a 5 mile radius of the airport and is potentially impacted by the airport.</w:t>
      </w:r>
      <w:r w:rsidRPr="003F2703">
        <w:t xml:space="preserve">” </w:t>
      </w:r>
      <w:r>
        <w:t xml:space="preserve"> </w:t>
      </w:r>
      <w:r w:rsidRPr="003F2703">
        <w:t xml:space="preserve">The </w:t>
      </w:r>
      <w:r>
        <w:t>17</w:t>
      </w:r>
      <w:r w:rsidRPr="003F2703">
        <w:t xml:space="preserve"> communities located either fully or partially within the </w:t>
      </w:r>
      <w:r>
        <w:t>five</w:t>
      </w:r>
      <w:r w:rsidRPr="003F2703">
        <w:t>-mile</w:t>
      </w:r>
      <w:r>
        <w:t xml:space="preserve"> radius of the airport include </w:t>
      </w:r>
      <w:r w:rsidRPr="003F2703">
        <w:t>Boston, Brookline, Cambridge, Chelsea, Everett, Hull, Lynn, Malden, Medford, Melrose, Milton, Nahant, Quincy, Revere, Saugus, Somerville, and Winthrop.</w:t>
      </w:r>
      <w:r>
        <w:t xml:space="preserve">  Based upon this directive the Massachusetts Department of Public Health, Bureau of Environmental Health (MDPH/BEH) designed and conducted the Logan Airport Health Study (LAHS). </w:t>
      </w:r>
    </w:p>
    <w:p w:rsidR="00A327E6" w:rsidRDefault="00A327E6" w:rsidP="00485833">
      <w:pPr>
        <w:spacing w:line="360" w:lineRule="auto"/>
        <w:ind w:firstLine="720"/>
      </w:pPr>
      <w:r w:rsidRPr="003F2703">
        <w:t xml:space="preserve">In the early stages of design of the LAHS, the </w:t>
      </w:r>
      <w:r>
        <w:t>M</w:t>
      </w:r>
      <w:r w:rsidRPr="003F2703">
        <w:t>DPH/BEH formed a Community Advisory Committee (CAC) composed of</w:t>
      </w:r>
      <w:r>
        <w:t xml:space="preserve"> area</w:t>
      </w:r>
      <w:r w:rsidRPr="003F2703">
        <w:t xml:space="preserve"> residents, local health</w:t>
      </w:r>
      <w:r>
        <w:t xml:space="preserve"> officials</w:t>
      </w:r>
      <w:r w:rsidRPr="003F2703">
        <w:t xml:space="preserve"> and technical experts in the areas of epidemiology, biostatistics, survey design and administration, and air modeling. </w:t>
      </w:r>
      <w:r>
        <w:t xml:space="preserve"> </w:t>
      </w:r>
      <w:r w:rsidRPr="003F2703">
        <w:t>With input from the CAC</w:t>
      </w:r>
      <w:r w:rsidRPr="0077375B">
        <w:t xml:space="preserve">, the </w:t>
      </w:r>
      <w:r>
        <w:t>M</w:t>
      </w:r>
      <w:r w:rsidRPr="0077375B">
        <w:t xml:space="preserve">DPH/BEH designed and implemented a cross-sectional disease and symptom prevalence study that investigated the associations between </w:t>
      </w:r>
      <w:r>
        <w:t>opportunities for</w:t>
      </w:r>
      <w:r w:rsidRPr="0077375B">
        <w:t xml:space="preserve"> exposure to airport emissions and adverse health outcomes. </w:t>
      </w:r>
      <w:r w:rsidRPr="00C131DC">
        <w:t>Environmental exposure data included noise and air emissions.  Air pollution emissions are primarily from aircraft operations, ground service equipment, transportation vehicles on airport property, and the airport power plant.</w:t>
      </w:r>
      <w:r w:rsidRPr="0077375B">
        <w:t xml:space="preserve"> </w:t>
      </w:r>
      <w:r>
        <w:t xml:space="preserve"> The primary source of noise from the airport is that of aircraft takeoff and landing operations.  </w:t>
      </w:r>
      <w:r w:rsidRPr="0077375B">
        <w:t xml:space="preserve">Three categories of health </w:t>
      </w:r>
      <w:r>
        <w:t xml:space="preserve">outcomes </w:t>
      </w:r>
      <w:r w:rsidRPr="0077375B">
        <w:t>were evaluated: respiratory, cardiovascular, and auditory</w:t>
      </w:r>
      <w:r>
        <w:t xml:space="preserve"> effects. </w:t>
      </w:r>
    </w:p>
    <w:p w:rsidR="00A327E6" w:rsidRDefault="00A327E6" w:rsidP="006871AA">
      <w:pPr>
        <w:spacing w:line="360" w:lineRule="auto"/>
      </w:pPr>
    </w:p>
    <w:p w:rsidR="00A327E6" w:rsidRDefault="00A327E6" w:rsidP="006871AA">
      <w:pPr>
        <w:spacing w:line="360" w:lineRule="auto"/>
      </w:pPr>
    </w:p>
    <w:p w:rsidR="00A327E6" w:rsidRPr="00516880" w:rsidRDefault="00A327E6" w:rsidP="006871AA">
      <w:pPr>
        <w:spacing w:line="360" w:lineRule="auto"/>
      </w:pPr>
    </w:p>
    <w:p w:rsidR="00A327E6" w:rsidRPr="00485833" w:rsidRDefault="00A327E6" w:rsidP="006871AA">
      <w:pPr>
        <w:rPr>
          <w:b/>
          <w:u w:val="single"/>
        </w:rPr>
      </w:pPr>
      <w:r w:rsidRPr="00485833">
        <w:rPr>
          <w:b/>
          <w:u w:val="single"/>
        </w:rPr>
        <w:t>Surveyed population and health questionnaire</w:t>
      </w:r>
    </w:p>
    <w:p w:rsidR="00A327E6" w:rsidRPr="0077375B" w:rsidRDefault="00A327E6" w:rsidP="00485833">
      <w:pPr>
        <w:spacing w:line="360" w:lineRule="auto"/>
        <w:ind w:firstLine="720"/>
      </w:pPr>
      <w:r>
        <w:t>Following a pilot study aimed to test survey methods initiated in 2002, interviews for the LAHS commenced in 2005.  A</w:t>
      </w:r>
      <w:r w:rsidRPr="0077375B">
        <w:t xml:space="preserve"> total of 6,072 eligible residents</w:t>
      </w:r>
      <w:r>
        <w:t xml:space="preserve"> representing </w:t>
      </w:r>
      <w:r w:rsidRPr="0077375B">
        <w:t xml:space="preserve">households </w:t>
      </w:r>
      <w:r>
        <w:t>from the</w:t>
      </w:r>
      <w:r w:rsidRPr="0077375B">
        <w:t xml:space="preserve"> 17 communitie</w:t>
      </w:r>
      <w:r>
        <w:t>s that make up the study area</w:t>
      </w:r>
      <w:r w:rsidRPr="0077375B">
        <w:t xml:space="preserve"> were interviewed</w:t>
      </w:r>
      <w:r>
        <w:t>.  These adult respondents also provided information for</w:t>
      </w:r>
      <w:r w:rsidRPr="0077375B">
        <w:t xml:space="preserve"> 2,215 children living in those respective households</w:t>
      </w:r>
      <w:r>
        <w:t xml:space="preserve">.  Therefore, the results of the LAHS represent information for 8,287 individuals living within five miles of Logan Airport.  </w:t>
      </w:r>
      <w:r w:rsidRPr="0077375B">
        <w:t>The telephone interviews, conducted</w:t>
      </w:r>
      <w:r>
        <w:t xml:space="preserve"> in</w:t>
      </w:r>
      <w:r w:rsidRPr="0077375B">
        <w:t xml:space="preserve"> English and Spanish, collected information on the prevalence of targeted health outcomes as well as relevant demographic and risk factor information</w:t>
      </w:r>
      <w:r>
        <w:t xml:space="preserve">.  </w:t>
      </w:r>
      <w:r w:rsidRPr="0077375B">
        <w:t>Information was collected for one adult in each of the interviewed households and for any children aged 3-17 years.</w:t>
      </w:r>
    </w:p>
    <w:p w:rsidR="00A327E6" w:rsidRPr="0077375B" w:rsidRDefault="00A327E6" w:rsidP="00485833">
      <w:pPr>
        <w:spacing w:line="360" w:lineRule="auto"/>
        <w:ind w:firstLine="720"/>
      </w:pPr>
      <w:r>
        <w:t>Study participants</w:t>
      </w:r>
      <w:r w:rsidRPr="0077375B">
        <w:t xml:space="preserve"> were selected randomly so that the survey results could be considered representative of the study area</w:t>
      </w:r>
      <w:r>
        <w:t xml:space="preserve">.  </w:t>
      </w:r>
      <w:r w:rsidRPr="0077375B">
        <w:t>A strategy was also employed to oversample residents living closest to the airport to ensure an adequate sample size representing those with the highest potential exposure</w:t>
      </w:r>
      <w:r>
        <w:t xml:space="preserve">.  </w:t>
      </w:r>
      <w:r w:rsidRPr="0077375B">
        <w:t>Statistical weighting methods were then employed to account for the oversampling.</w:t>
      </w:r>
    </w:p>
    <w:p w:rsidR="00A327E6" w:rsidRPr="0013787D" w:rsidRDefault="00A327E6" w:rsidP="00485833">
      <w:pPr>
        <w:spacing w:line="360" w:lineRule="auto"/>
        <w:ind w:firstLine="720"/>
      </w:pPr>
      <w:r w:rsidRPr="0077375B">
        <w:t>Modeled after national</w:t>
      </w:r>
      <w:r>
        <w:t>ly</w:t>
      </w:r>
      <w:r w:rsidRPr="0077375B">
        <w:t xml:space="preserve"> and internationally recognized health surveys, including the </w:t>
      </w:r>
      <w:r>
        <w:t xml:space="preserve">Behavioral Risk Factor Surveillance System (BRFSS) and </w:t>
      </w:r>
      <w:r w:rsidRPr="0077375B">
        <w:t xml:space="preserve">the International Study of Asthma and Allergies in Childhood (ISAAC), the LAHS survey contained questions designed to assess the following categories of asthma and respiratory disease: </w:t>
      </w:r>
      <w:r w:rsidRPr="00C131DC">
        <w:t>lifetime asthma, current asthma, current asthma with medication use, probable asthma, asthma hospitalizations, and chronic obstructive pulmonary disease (COPD)</w:t>
      </w:r>
      <w:r>
        <w:t xml:space="preserve">.  </w:t>
      </w:r>
      <w:r w:rsidRPr="0077375B">
        <w:t>Cardiovascular outcomes included non-fatal heart attack, angina, and coronary heart disease</w:t>
      </w:r>
      <w:r>
        <w:t xml:space="preserve">.  </w:t>
      </w:r>
      <w:r w:rsidRPr="0077375B">
        <w:t>Auditory effects included adult-onset hearing impairment and tinnitus</w:t>
      </w:r>
      <w:r>
        <w:t xml:space="preserve">.  </w:t>
      </w:r>
      <w:r w:rsidRPr="0077375B">
        <w:t>In addition to assessing the presence of health outcomes, the survey also included questions on risk factors associated with the targeted health outcomes, on potential exposures inside the home and at work, and questions reflecting demographic and socio-economic status</w:t>
      </w:r>
      <w:r>
        <w:t xml:space="preserve">.  </w:t>
      </w:r>
      <w:r w:rsidRPr="003F2703">
        <w:t xml:space="preserve">A </w:t>
      </w:r>
      <w:r>
        <w:t>ten</w:t>
      </w:r>
      <w:r w:rsidRPr="003F2703">
        <w:t xml:space="preserve">-year residential history was </w:t>
      </w:r>
      <w:r>
        <w:t xml:space="preserve">also </w:t>
      </w:r>
      <w:r w:rsidRPr="003F2703">
        <w:t>taken in order to provide some measure of each respondent’s length of residency in the area.</w:t>
      </w:r>
    </w:p>
    <w:p w:rsidR="00A327E6" w:rsidRPr="00485833" w:rsidRDefault="00A327E6" w:rsidP="00485833">
      <w:pPr>
        <w:rPr>
          <w:b/>
          <w:u w:val="single"/>
        </w:rPr>
      </w:pPr>
      <w:r w:rsidRPr="00485833">
        <w:rPr>
          <w:b/>
          <w:u w:val="single"/>
        </w:rPr>
        <w:t>Expo</w:t>
      </w:r>
      <w:r>
        <w:rPr>
          <w:b/>
          <w:u w:val="single"/>
        </w:rPr>
        <w:t>sure assessment: Air pollutants</w:t>
      </w:r>
    </w:p>
    <w:p w:rsidR="00A327E6" w:rsidRPr="0077375B" w:rsidRDefault="00A327E6" w:rsidP="00485833">
      <w:pPr>
        <w:spacing w:line="360" w:lineRule="auto"/>
        <w:ind w:firstLine="720"/>
      </w:pPr>
      <w:r w:rsidRPr="0077375B">
        <w:t>Air pollutant emissions typically associated with airport operations are largely due to incomplete combustion of fuel</w:t>
      </w:r>
      <w:r>
        <w:t xml:space="preserve"> from aircraft, ground service equipment, and passenger automobiles on airport property.  </w:t>
      </w:r>
      <w:r w:rsidRPr="0077375B">
        <w:t>T</w:t>
      </w:r>
      <w:r>
        <w:t>o estimate potential air pollution exposure specifically from airport-related operations (and thereby exclude possible exposure from non-airport related sources)</w:t>
      </w:r>
      <w:r w:rsidRPr="0077375B">
        <w:t>, advanced high-resolution air dispersion modeling</w:t>
      </w:r>
      <w:r>
        <w:t xml:space="preserve"> (US FAA EDMS model version 5.1.3)</w:t>
      </w:r>
      <w:r w:rsidRPr="0077375B">
        <w:t xml:space="preserve"> was applied to predict ambient concentrations</w:t>
      </w:r>
      <w:r>
        <w:t xml:space="preserve"> across the study area</w:t>
      </w:r>
      <w:r w:rsidRPr="0077375B">
        <w:t xml:space="preserve"> of five primary air pollutants (CO, NOx, PM</w:t>
      </w:r>
      <w:r w:rsidRPr="0077375B">
        <w:rPr>
          <w:vertAlign w:val="subscript"/>
        </w:rPr>
        <w:t>2.5</w:t>
      </w:r>
      <w:r w:rsidRPr="0077375B">
        <w:t>, SOx, VOCs)</w:t>
      </w:r>
      <w:r>
        <w:t xml:space="preserve">.  The air dispersion modeling was </w:t>
      </w:r>
      <w:r w:rsidRPr="0077375B">
        <w:t>based on 2005 emissions data, meteorological inputs, and aircraft takeoff and landing information for over 3</w:t>
      </w:r>
      <w:r>
        <w:t>5</w:t>
      </w:r>
      <w:r w:rsidRPr="0077375B">
        <w:t>0,000 aircraft operations (94% of total 2005 operations)</w:t>
      </w:r>
      <w:r>
        <w:t>.  The modeling analysis also estimated e</w:t>
      </w:r>
      <w:r w:rsidRPr="0077375B">
        <w:t>missions along flight paths up to an altitude of 3000 feet for takeoffs and landings</w:t>
      </w:r>
      <w:r>
        <w:t xml:space="preserve">.  Data on emissions and airport operations were provided by Massport. </w:t>
      </w:r>
    </w:p>
    <w:p w:rsidR="00A327E6" w:rsidRDefault="00A327E6" w:rsidP="00485833">
      <w:pPr>
        <w:spacing w:line="360" w:lineRule="auto"/>
        <w:ind w:firstLine="720"/>
      </w:pPr>
      <w:r w:rsidRPr="0077375B">
        <w:t>Using ArcGIS to map the 6,072 households included in the study, air pollutant concentrations were assigned to each respondent based on inverse-distan</w:t>
      </w:r>
      <w:r>
        <w:t>ce</w:t>
      </w:r>
      <w:r w:rsidRPr="0077375B">
        <w:t xml:space="preserve"> weighting of concentrations </w:t>
      </w:r>
      <w:r>
        <w:t>predicted f</w:t>
      </w:r>
      <w:r w:rsidRPr="0077375B">
        <w:t xml:space="preserve">rom the </w:t>
      </w:r>
      <w:r>
        <w:t>air dispersion</w:t>
      </w:r>
      <w:r w:rsidRPr="0077375B">
        <w:t xml:space="preserve"> model</w:t>
      </w:r>
      <w:r>
        <w:t xml:space="preserve">ing.  </w:t>
      </w:r>
      <w:r w:rsidRPr="0077375B">
        <w:t xml:space="preserve">Given the </w:t>
      </w:r>
      <w:r>
        <w:t xml:space="preserve">very </w:t>
      </w:r>
      <w:r w:rsidRPr="0077375B">
        <w:t>high correlation of estimated concentrations of the five pollutants across the study area, a combined exposure variable was developed that encompassed all pollutants</w:t>
      </w:r>
      <w:r>
        <w:t>.  A</w:t>
      </w:r>
      <w:r w:rsidRPr="0077375B">
        <w:t>nnual average pollutant concentrations were selected for developing cut-points for the creation of three</w:t>
      </w:r>
      <w:r>
        <w:t xml:space="preserve"> exposure areas estimating low, medium, and high</w:t>
      </w:r>
      <w:r w:rsidRPr="0077375B">
        <w:t xml:space="preserve"> potentials for exposure to</w:t>
      </w:r>
      <w:r>
        <w:t xml:space="preserve"> airport-related air pollution.</w:t>
      </w:r>
    </w:p>
    <w:p w:rsidR="00A327E6" w:rsidRPr="00485833" w:rsidRDefault="00A327E6" w:rsidP="00485833">
      <w:pPr>
        <w:rPr>
          <w:b/>
          <w:u w:val="single"/>
        </w:rPr>
      </w:pPr>
      <w:r>
        <w:rPr>
          <w:b/>
          <w:u w:val="single"/>
        </w:rPr>
        <w:t>Exposure assessment: Noise</w:t>
      </w:r>
    </w:p>
    <w:p w:rsidR="00A327E6" w:rsidRPr="00516880" w:rsidRDefault="00A327E6" w:rsidP="00485833">
      <w:pPr>
        <w:spacing w:line="360" w:lineRule="auto"/>
        <w:ind w:firstLine="720"/>
      </w:pPr>
      <w:r>
        <w:t>M</w:t>
      </w:r>
      <w:r w:rsidRPr="0077375B">
        <w:t>DPH/BEH also evaluated noise exposure across the study area using noise contours from aircraft operations provided by Massport</w:t>
      </w:r>
      <w:r>
        <w:t xml:space="preserve">.  </w:t>
      </w:r>
      <w:r w:rsidRPr="0077375B">
        <w:t>Using US FAA’s Integrated Noise Model (INM), Massport models noise by considering the number of operations, types of aircraft operating during the day and night, use of runway configurations, and location and frequency of flight paths to and from the runways</w:t>
      </w:r>
      <w:r>
        <w:t xml:space="preserve">.  </w:t>
      </w:r>
      <w:r w:rsidRPr="0077375B">
        <w:t>Massport produces annual</w:t>
      </w:r>
      <w:r>
        <w:t xml:space="preserve"> Day-Night Sound Level</w:t>
      </w:r>
      <w:r w:rsidRPr="0077375B">
        <w:t xml:space="preserve"> </w:t>
      </w:r>
      <w:r>
        <w:t>(</w:t>
      </w:r>
      <w:r w:rsidRPr="0077375B">
        <w:t>DNL</w:t>
      </w:r>
      <w:r>
        <w:t>)</w:t>
      </w:r>
      <w:r w:rsidRPr="0077375B">
        <w:t xml:space="preserve"> contours that range from 60-75 dBA at </w:t>
      </w:r>
      <w:r>
        <w:t>five</w:t>
      </w:r>
      <w:r w:rsidRPr="0077375B">
        <w:t xml:space="preserve"> dB increments</w:t>
      </w:r>
      <w:r>
        <w:t xml:space="preserve">.  </w:t>
      </w:r>
      <w:r w:rsidRPr="0077375B">
        <w:t>The WHO health-based</w:t>
      </w:r>
      <w:r w:rsidRPr="0077375B">
        <w:rPr>
          <w:color w:val="000000"/>
        </w:rPr>
        <w:t xml:space="preserve"> guideline to protect against hearing impairment is 70 dBA</w:t>
      </w:r>
      <w:r>
        <w:rPr>
          <w:color w:val="000000"/>
        </w:rPr>
        <w:t xml:space="preserve">.  </w:t>
      </w:r>
      <w:r w:rsidRPr="0077375B">
        <w:rPr>
          <w:color w:val="000000"/>
        </w:rPr>
        <w:t>This guideline value indicates that the risk for hearing impairment would be negligible for a cumulative noise exposure below 70 dBA on a daily basis over a lifetime</w:t>
      </w:r>
      <w:r>
        <w:rPr>
          <w:color w:val="000000"/>
        </w:rPr>
        <w:t xml:space="preserve">.  </w:t>
      </w:r>
      <w:r w:rsidRPr="0077375B">
        <w:t xml:space="preserve">Review of the 2005 INM noise contours indicated that the 70 dBA contour did not include a sufficient number of respondents to assign as the high noise exposure category.  As a result, the 65 dBA contour was selected as the high </w:t>
      </w:r>
      <w:r>
        <w:t xml:space="preserve">noise </w:t>
      </w:r>
      <w:r w:rsidRPr="0077375B">
        <w:t>exposure area</w:t>
      </w:r>
      <w:r>
        <w:t xml:space="preserve">.  </w:t>
      </w:r>
      <w:r w:rsidRPr="0077375B">
        <w:t xml:space="preserve">The medium </w:t>
      </w:r>
      <w:r>
        <w:t xml:space="preserve">noise </w:t>
      </w:r>
      <w:r w:rsidRPr="0077375B">
        <w:t xml:space="preserve">exposure area was defined by households located in the 60-64 dBA noise contour and the low </w:t>
      </w:r>
      <w:r>
        <w:t xml:space="preserve">noise </w:t>
      </w:r>
      <w:r w:rsidRPr="0077375B">
        <w:t xml:space="preserve">exposure area was defined by households located outside the 60dBA noise contour.  </w:t>
      </w:r>
    </w:p>
    <w:p w:rsidR="00A327E6" w:rsidRPr="00485833" w:rsidRDefault="00A327E6" w:rsidP="00485833">
      <w:pPr>
        <w:rPr>
          <w:b/>
          <w:u w:val="single"/>
        </w:rPr>
      </w:pPr>
      <w:r>
        <w:rPr>
          <w:b/>
          <w:u w:val="single"/>
        </w:rPr>
        <w:t>Statistical analysis</w:t>
      </w:r>
    </w:p>
    <w:p w:rsidR="00A327E6" w:rsidRDefault="00A327E6" w:rsidP="00485833">
      <w:pPr>
        <w:spacing w:line="360" w:lineRule="auto"/>
        <w:ind w:firstLine="720"/>
      </w:pPr>
      <w:r w:rsidRPr="0077375B">
        <w:t xml:space="preserve">All analyses were conducted using SUDAAN, a statistical package designed for </w:t>
      </w:r>
      <w:r w:rsidRPr="0005043F">
        <w:t>use with complex sampling methodologies, which incorporates weighting and variance calculations associated with the complex random digit dialing (RDD) sample design</w:t>
      </w:r>
      <w:r>
        <w:t xml:space="preserve">.  </w:t>
      </w:r>
      <w:r w:rsidRPr="00FF4357">
        <w:t>Descriptive analyses were conducted separately for adults and children to assess the frequencies (percent of the population) with various socio-demographic characteristics.  The prevalence of other potential factors (covariates) that may be associated with each specific outcome among adults and children were also estimated</w:t>
      </w:r>
      <w:r>
        <w:t xml:space="preserve">.  </w:t>
      </w:r>
      <w:r w:rsidRPr="00FF4357">
        <w:t xml:space="preserve">The prevalence of each </w:t>
      </w:r>
      <w:r>
        <w:t xml:space="preserve">health </w:t>
      </w:r>
      <w:r w:rsidRPr="00FF4357">
        <w:t>outcome of interest was examined in the total population and among those living in each category of estimated airport-related a</w:t>
      </w:r>
      <w:r>
        <w:t>ir pollution or noise exposure.</w:t>
      </w:r>
    </w:p>
    <w:p w:rsidR="00A327E6" w:rsidRDefault="00A327E6" w:rsidP="00485833">
      <w:pPr>
        <w:spacing w:before="0" w:after="0" w:line="360" w:lineRule="auto"/>
        <w:ind w:firstLine="720"/>
      </w:pPr>
      <w:r w:rsidRPr="0077375B">
        <w:t>Multivariate analys</w:t>
      </w:r>
      <w:r>
        <w:t>is (multiple logistic regression</w:t>
      </w:r>
      <w:r w:rsidRPr="0077375B">
        <w:t xml:space="preserve">) was used </w:t>
      </w:r>
      <w:r>
        <w:t xml:space="preserve">to assess the association between </w:t>
      </w:r>
      <w:r w:rsidRPr="0077375B">
        <w:t xml:space="preserve">the prevalence </w:t>
      </w:r>
      <w:r>
        <w:t xml:space="preserve">of targeted health outcomes and </w:t>
      </w:r>
      <w:r w:rsidRPr="0077375B">
        <w:t>residence in low, medium, or high exposure areas</w:t>
      </w:r>
      <w:r>
        <w:t xml:space="preserve"> </w:t>
      </w:r>
      <w:r w:rsidRPr="0077375B">
        <w:t>while a</w:t>
      </w:r>
      <w:r>
        <w:t>ccounting for the impact of other</w:t>
      </w:r>
      <w:r w:rsidRPr="0077375B">
        <w:t xml:space="preserve"> potentially </w:t>
      </w:r>
      <w:r>
        <w:t xml:space="preserve">influential </w:t>
      </w:r>
      <w:r w:rsidRPr="0077375B">
        <w:t>factors</w:t>
      </w:r>
      <w:r>
        <w:t xml:space="preserve"> (confounders).  Controlling for other factors</w:t>
      </w:r>
      <w:r w:rsidRPr="0005043F">
        <w:t xml:space="preserve"> known to be strong predictors of the health outcome being investigated </w:t>
      </w:r>
      <w:r>
        <w:t>is a statistical method to evaluate the association of interest, while adjusting for differences across exposure areas for other risk factors such as age, race, smoking status, family history of heart disease, or residential proximity to major roadways.</w:t>
      </w:r>
    </w:p>
    <w:p w:rsidR="00A327E6" w:rsidRDefault="00A327E6" w:rsidP="006871AA">
      <w:pPr>
        <w:spacing w:before="0" w:after="0" w:line="360" w:lineRule="auto"/>
      </w:pPr>
    </w:p>
    <w:p w:rsidR="00A327E6" w:rsidRDefault="00A327E6" w:rsidP="006871AA">
      <w:pPr>
        <w:spacing w:before="0" w:after="0" w:line="360" w:lineRule="auto"/>
      </w:pPr>
    </w:p>
    <w:p w:rsidR="00A327E6" w:rsidRPr="00485833" w:rsidRDefault="00A327E6" w:rsidP="00485833">
      <w:pPr>
        <w:rPr>
          <w:b/>
          <w:u w:val="single"/>
        </w:rPr>
      </w:pPr>
      <w:r w:rsidRPr="00485833">
        <w:rPr>
          <w:b/>
          <w:u w:val="single"/>
        </w:rPr>
        <w:t>Results / Conclusions</w:t>
      </w:r>
    </w:p>
    <w:p w:rsidR="00A327E6" w:rsidRPr="003F2703" w:rsidRDefault="00A327E6" w:rsidP="006871AA">
      <w:pPr>
        <w:spacing w:line="360" w:lineRule="auto"/>
      </w:pPr>
      <w:r w:rsidRPr="003F2703">
        <w:t>The major conclusions of the Logan Airport Health Study are as follows:</w:t>
      </w:r>
    </w:p>
    <w:p w:rsidR="00A327E6" w:rsidRDefault="00A327E6" w:rsidP="006871AA">
      <w:pPr>
        <w:pStyle w:val="ListParagraph0"/>
        <w:numPr>
          <w:ilvl w:val="0"/>
          <w:numId w:val="13"/>
        </w:numPr>
        <w:spacing w:before="0" w:after="0" w:line="320" w:lineRule="atLeast"/>
      </w:pPr>
      <w:r w:rsidRPr="0077375B">
        <w:t xml:space="preserve">Air dispersion modeling of airport related emissions using a state-of-the-art model indicates that the highest predicted pollutant concentrations associated with airport-related operations are near the perimeter of Logan Airport and fall off rapidly with increased distance.  This is a characteristic of the impact of sources </w:t>
      </w:r>
      <w:r>
        <w:t>that</w:t>
      </w:r>
      <w:r w:rsidRPr="0077375B">
        <w:t xml:space="preserve"> are primarily located near the ground surface.  </w:t>
      </w:r>
    </w:p>
    <w:p w:rsidR="00A327E6" w:rsidRDefault="00A327E6" w:rsidP="006871AA">
      <w:pPr>
        <w:pStyle w:val="ListParagraph0"/>
        <w:spacing w:before="0" w:after="0" w:line="320" w:lineRule="atLeast"/>
      </w:pPr>
    </w:p>
    <w:p w:rsidR="00A327E6" w:rsidRDefault="00A327E6" w:rsidP="006871AA">
      <w:pPr>
        <w:pStyle w:val="ListParagraph0"/>
        <w:numPr>
          <w:ilvl w:val="0"/>
          <w:numId w:val="13"/>
        </w:numPr>
        <w:spacing w:before="0" w:after="0" w:line="320" w:lineRule="atLeast"/>
      </w:pPr>
      <w:r w:rsidRPr="0077375B">
        <w:t xml:space="preserve">Consistent with findings of other airport studies, modeled concentrations of air pollutants are low relative to measured background air pollution concentrations.  </w:t>
      </w:r>
    </w:p>
    <w:p w:rsidR="00A327E6" w:rsidRDefault="00A327E6" w:rsidP="006871AA">
      <w:pPr>
        <w:pStyle w:val="ListParagraph0"/>
        <w:spacing w:before="0" w:after="0" w:line="320" w:lineRule="atLeast"/>
      </w:pPr>
    </w:p>
    <w:p w:rsidR="00A327E6" w:rsidRDefault="00A327E6" w:rsidP="006871AA">
      <w:pPr>
        <w:pStyle w:val="ListParagraph0"/>
        <w:numPr>
          <w:ilvl w:val="0"/>
          <w:numId w:val="13"/>
        </w:numPr>
        <w:spacing w:before="0" w:after="0" w:line="320" w:lineRule="atLeast"/>
      </w:pPr>
      <w:r w:rsidRPr="0077375B">
        <w:t>Evaluation of associations between airport-related pollutant concentrations and targeted health outcomes among the study area population detected some elevations in respirato</w:t>
      </w:r>
      <w:r>
        <w:t>ry health outcomes in the high</w:t>
      </w:r>
      <w:r w:rsidRPr="0077375B">
        <w:t xml:space="preserve"> exposure area.  </w:t>
      </w:r>
    </w:p>
    <w:p w:rsidR="00A327E6" w:rsidRDefault="00A327E6" w:rsidP="006871AA">
      <w:pPr>
        <w:pStyle w:val="ListParagraph0"/>
        <w:spacing w:before="0" w:after="0" w:line="320" w:lineRule="atLeast"/>
      </w:pPr>
    </w:p>
    <w:p w:rsidR="00A327E6" w:rsidRDefault="00A327E6" w:rsidP="00A3049B">
      <w:pPr>
        <w:spacing w:before="0" w:after="0" w:line="320" w:lineRule="atLeast"/>
        <w:ind w:firstLine="720"/>
      </w:pPr>
      <w:r w:rsidRPr="0077375B">
        <w:t>Specifically:</w:t>
      </w:r>
    </w:p>
    <w:p w:rsidR="00A327E6" w:rsidRDefault="00A327E6" w:rsidP="006871AA">
      <w:pPr>
        <w:spacing w:before="0" w:after="0" w:line="320" w:lineRule="atLeast"/>
      </w:pPr>
    </w:p>
    <w:p w:rsidR="00A327E6" w:rsidRPr="0077375B" w:rsidRDefault="00A327E6" w:rsidP="002F56A8">
      <w:pPr>
        <w:pStyle w:val="ListParagraph0"/>
        <w:numPr>
          <w:ilvl w:val="0"/>
          <w:numId w:val="43"/>
        </w:numPr>
        <w:spacing w:before="0" w:after="0" w:line="320" w:lineRule="atLeast"/>
        <w:ind w:left="720"/>
      </w:pPr>
      <w:r w:rsidRPr="0077375B">
        <w:t xml:space="preserve">Among children, study results </w:t>
      </w:r>
      <w:r>
        <w:t>identified</w:t>
      </w:r>
      <w:r w:rsidRPr="0077375B">
        <w:t xml:space="preserve"> some respiratory effects indicative of undiagnosed asthma (i.e., probable asthma); children in the high exposure area were estimated to have </w:t>
      </w:r>
      <w:r>
        <w:t>three to four</w:t>
      </w:r>
      <w:r w:rsidRPr="0077375B">
        <w:t xml:space="preserve"> times the likelihood of this respiratory outcome compared with children in the low exposure area.    </w:t>
      </w:r>
    </w:p>
    <w:p w:rsidR="00A327E6" w:rsidRDefault="00A327E6" w:rsidP="002F56A8">
      <w:pPr>
        <w:pStyle w:val="ListParagraph0"/>
        <w:spacing w:before="0" w:after="0" w:line="320" w:lineRule="atLeast"/>
      </w:pPr>
    </w:p>
    <w:p w:rsidR="00A327E6" w:rsidRDefault="00A327E6" w:rsidP="002F56A8">
      <w:pPr>
        <w:pStyle w:val="ListParagraph0"/>
        <w:numPr>
          <w:ilvl w:val="0"/>
          <w:numId w:val="43"/>
        </w:numPr>
        <w:spacing w:before="0" w:after="0" w:line="320" w:lineRule="atLeast"/>
        <w:ind w:left="720"/>
      </w:pPr>
      <w:r w:rsidRPr="007703FC">
        <w:t xml:space="preserve">Among adult residents, individuals diagnosed with chronic obstructive pulmonary disease (COPD) were statistically significantly more likely to </w:t>
      </w:r>
      <w:r>
        <w:t xml:space="preserve">have </w:t>
      </w:r>
      <w:r w:rsidRPr="007703FC">
        <w:t>live</w:t>
      </w:r>
      <w:r>
        <w:t>d</w:t>
      </w:r>
      <w:r w:rsidRPr="007703FC">
        <w:t xml:space="preserve"> in the high exposure area</w:t>
      </w:r>
      <w:r>
        <w:t xml:space="preserve"> for three or more years.</w:t>
      </w:r>
    </w:p>
    <w:p w:rsidR="00A327E6" w:rsidRDefault="00A327E6" w:rsidP="006871AA">
      <w:pPr>
        <w:pStyle w:val="ListParagraph0"/>
        <w:spacing w:before="0" w:after="0" w:line="320" w:lineRule="atLeast"/>
      </w:pPr>
    </w:p>
    <w:p w:rsidR="00A327E6" w:rsidRPr="0077375B" w:rsidRDefault="00A327E6" w:rsidP="006871AA">
      <w:pPr>
        <w:pStyle w:val="ListParagraph0"/>
        <w:numPr>
          <w:ilvl w:val="0"/>
          <w:numId w:val="13"/>
        </w:numPr>
        <w:spacing w:before="0" w:after="0" w:line="320" w:lineRule="atLeast"/>
      </w:pPr>
      <w:r>
        <w:t>There were no</w:t>
      </w:r>
      <w:r w:rsidRPr="0077375B">
        <w:t xml:space="preserve"> </w:t>
      </w:r>
      <w:r>
        <w:t xml:space="preserve">statistically significant </w:t>
      </w:r>
      <w:r w:rsidRPr="0077375B">
        <w:t xml:space="preserve">differences in cardiovascular outcomes in the study population across the high, medium, and low exposure areas.   </w:t>
      </w:r>
    </w:p>
    <w:p w:rsidR="00A327E6" w:rsidRDefault="00A327E6" w:rsidP="006871AA">
      <w:pPr>
        <w:spacing w:before="0" w:after="0" w:line="320" w:lineRule="atLeast"/>
        <w:ind w:left="360"/>
        <w:contextualSpacing/>
      </w:pPr>
    </w:p>
    <w:p w:rsidR="00A327E6" w:rsidRDefault="00A327E6" w:rsidP="006871AA">
      <w:pPr>
        <w:pStyle w:val="ListParagraph0"/>
        <w:numPr>
          <w:ilvl w:val="0"/>
          <w:numId w:val="14"/>
        </w:numPr>
        <w:spacing w:before="0" w:after="0" w:line="320" w:lineRule="atLeast"/>
      </w:pPr>
      <w:r>
        <w:t>There were no statistically significant differences with respect to h</w:t>
      </w:r>
      <w:r w:rsidRPr="0077375B">
        <w:t xml:space="preserve">earing loss in </w:t>
      </w:r>
      <w:r>
        <w:t xml:space="preserve">either </w:t>
      </w:r>
      <w:r w:rsidRPr="0077375B">
        <w:t xml:space="preserve">adults </w:t>
      </w:r>
      <w:r>
        <w:t>or</w:t>
      </w:r>
      <w:r w:rsidRPr="0077375B">
        <w:t xml:space="preserve"> children </w:t>
      </w:r>
      <w:r>
        <w:t>for those living in the high</w:t>
      </w:r>
      <w:r w:rsidRPr="0077375B">
        <w:t xml:space="preserve"> exposure area</w:t>
      </w:r>
      <w:r>
        <w:t xml:space="preserve"> compared to the lowest exposure area</w:t>
      </w:r>
      <w:r w:rsidRPr="0077375B">
        <w:t xml:space="preserve">.  </w:t>
      </w:r>
    </w:p>
    <w:p w:rsidR="00A327E6" w:rsidRDefault="00A327E6" w:rsidP="005E1912">
      <w:pPr>
        <w:spacing w:before="0" w:after="0" w:line="320" w:lineRule="atLeast"/>
      </w:pPr>
    </w:p>
    <w:p w:rsidR="00A327E6" w:rsidRPr="009279BF" w:rsidRDefault="00A327E6" w:rsidP="009279BF">
      <w:pPr>
        <w:rPr>
          <w:b/>
          <w:u w:val="single"/>
        </w:rPr>
      </w:pPr>
      <w:r>
        <w:rPr>
          <w:b/>
          <w:u w:val="single"/>
        </w:rPr>
        <w:t>Recommendations</w:t>
      </w:r>
    </w:p>
    <w:p w:rsidR="00A327E6" w:rsidRPr="00367898" w:rsidRDefault="00A327E6" w:rsidP="006871AA">
      <w:pPr>
        <w:numPr>
          <w:ilvl w:val="0"/>
          <w:numId w:val="14"/>
        </w:numPr>
        <w:spacing w:before="0" w:after="240" w:line="320" w:lineRule="atLeast"/>
      </w:pPr>
      <w:r w:rsidRPr="000E2D3E">
        <w:t>The results of this study should be reviewed by Massport and others to determine mitigating steps that can be taken across the study area.</w:t>
      </w:r>
    </w:p>
    <w:p w:rsidR="00A327E6" w:rsidRPr="00367898" w:rsidRDefault="00A327E6" w:rsidP="006871AA">
      <w:pPr>
        <w:numPr>
          <w:ilvl w:val="0"/>
          <w:numId w:val="14"/>
        </w:numPr>
        <w:spacing w:before="0" w:after="240" w:line="320" w:lineRule="atLeast"/>
      </w:pPr>
      <w:r w:rsidRPr="000E2D3E">
        <w:t>Massport has undertaken initiatives to reduce air pollution impacts within their control (e.g., providing infrastructure for</w:t>
      </w:r>
      <w:r>
        <w:t xml:space="preserve"> compressed natural gas</w:t>
      </w:r>
      <w:r w:rsidRPr="000E2D3E">
        <w:t xml:space="preserve"> </w:t>
      </w:r>
      <w:r>
        <w:t>(</w:t>
      </w:r>
      <w:r w:rsidRPr="000E2D3E">
        <w:t>CNG</w:t>
      </w:r>
      <w:r>
        <w:t>)</w:t>
      </w:r>
      <w:r w:rsidRPr="000E2D3E">
        <w:t xml:space="preserve"> fuels and electricity charging stations, Alternative Fuel Vehicle Program).  Similar initiatives could be considered in consultation with local communities that would serve to further reduce the burden of </w:t>
      </w:r>
      <w:r>
        <w:t xml:space="preserve">indoor and outdoor sources of </w:t>
      </w:r>
      <w:r w:rsidRPr="000E2D3E">
        <w:t xml:space="preserve">air pollution on residents in closest proximity to the airport. </w:t>
      </w:r>
    </w:p>
    <w:p w:rsidR="00A327E6" w:rsidRPr="00367898" w:rsidRDefault="00A327E6" w:rsidP="006871AA">
      <w:pPr>
        <w:numPr>
          <w:ilvl w:val="0"/>
          <w:numId w:val="14"/>
        </w:numPr>
        <w:spacing w:before="0" w:after="240" w:line="320" w:lineRule="atLeast"/>
      </w:pPr>
      <w:r w:rsidRPr="00B83CD6">
        <w:rPr>
          <w:rFonts w:eastAsia="PMingLiU"/>
        </w:rPr>
        <w:t>Massport has also been working with the East Boston Neighborhood Health Center (EBNHC) to address workforce issues among Massport employees.  Massport could expand these eff</w:t>
      </w:r>
      <w:r>
        <w:rPr>
          <w:rFonts w:eastAsia="PMingLiU"/>
        </w:rPr>
        <w:t xml:space="preserve">orts with the EBNHC as well as </w:t>
      </w:r>
      <w:r w:rsidRPr="00B83CD6">
        <w:rPr>
          <w:rFonts w:eastAsia="PMingLiU"/>
        </w:rPr>
        <w:t>other community health centers to better address respiratory health notably among children in closest proximity to the airport</w:t>
      </w:r>
      <w:r w:rsidRPr="000E2D3E">
        <w:t>.</w:t>
      </w:r>
      <w:r>
        <w:t xml:space="preserve"> </w:t>
      </w:r>
    </w:p>
    <w:p w:rsidR="00A327E6" w:rsidRPr="00367898" w:rsidRDefault="00A327E6" w:rsidP="006871AA">
      <w:pPr>
        <w:numPr>
          <w:ilvl w:val="0"/>
          <w:numId w:val="14"/>
        </w:numPr>
        <w:spacing w:before="0" w:after="240" w:line="320" w:lineRule="atLeast"/>
      </w:pPr>
      <w:r>
        <w:t xml:space="preserve">While </w:t>
      </w:r>
      <w:r w:rsidRPr="000E2D3E">
        <w:t>air dispersion modeling indicates that the contribution from Logan Airport operations across the study area is relatively small</w:t>
      </w:r>
      <w:r>
        <w:t>,</w:t>
      </w:r>
      <w:r w:rsidRPr="000E2D3E">
        <w:t xml:space="preserve"> air pollution levels are higher in </w:t>
      </w:r>
      <w:r>
        <w:t>urban areas.  P</w:t>
      </w:r>
      <w:r w:rsidRPr="000E2D3E">
        <w:t>redicted pollutant concentrations were higher near the perimeter of the airport</w:t>
      </w:r>
      <w:r>
        <w:t xml:space="preserve">; thus, </w:t>
      </w:r>
      <w:r w:rsidRPr="000E2D3E">
        <w:t xml:space="preserve">any methods that can be implemented to </w:t>
      </w:r>
      <w:r>
        <w:t xml:space="preserve">continue to </w:t>
      </w:r>
      <w:r w:rsidRPr="000E2D3E">
        <w:t xml:space="preserve">reduce airport-related air pollution should be explored.  </w:t>
      </w:r>
    </w:p>
    <w:p w:rsidR="00A327E6" w:rsidRPr="00367898" w:rsidRDefault="00A327E6" w:rsidP="006871AA">
      <w:pPr>
        <w:numPr>
          <w:ilvl w:val="0"/>
          <w:numId w:val="14"/>
        </w:numPr>
        <w:spacing w:before="0" w:after="240" w:line="320" w:lineRule="atLeast"/>
      </w:pPr>
      <w:r>
        <w:t>MDPH/BEH should work with c</w:t>
      </w:r>
      <w:r w:rsidRPr="000E2D3E">
        <w:t xml:space="preserve">ommunities within the high exposure area (in whole or in part) on initiatives that would serve to further reduce exacerbation of pre-existing respiratory diseases (e.g., asthma and COPD) among residents.  </w:t>
      </w:r>
    </w:p>
    <w:p w:rsidR="00A327E6" w:rsidRPr="00367898" w:rsidRDefault="00A327E6" w:rsidP="006871AA">
      <w:pPr>
        <w:spacing w:before="0" w:after="240" w:line="320" w:lineRule="atLeast"/>
        <w:ind w:firstLine="720"/>
      </w:pPr>
      <w:r w:rsidRPr="000E2D3E">
        <w:t xml:space="preserve">Specifically: </w:t>
      </w:r>
    </w:p>
    <w:p w:rsidR="00A327E6" w:rsidRPr="00367898" w:rsidRDefault="00A327E6" w:rsidP="00C1380B">
      <w:pPr>
        <w:numPr>
          <w:ilvl w:val="0"/>
          <w:numId w:val="18"/>
        </w:numPr>
        <w:spacing w:before="0" w:line="280" w:lineRule="atLeast"/>
      </w:pPr>
      <w:r>
        <w:t>M</w:t>
      </w:r>
      <w:r w:rsidRPr="000E2D3E">
        <w:t>DPH/BEH will continue to support MassDEP’s efforts to reduce motor vehicle emissions including implementation of the Low Emissions Vehicle program and diesel engine retrofit initiativ</w:t>
      </w:r>
      <w:r>
        <w:t>es;</w:t>
      </w:r>
    </w:p>
    <w:p w:rsidR="00A327E6" w:rsidRPr="00367898" w:rsidRDefault="00A327E6" w:rsidP="00C1380B">
      <w:pPr>
        <w:numPr>
          <w:ilvl w:val="0"/>
          <w:numId w:val="18"/>
        </w:numPr>
        <w:spacing w:before="0" w:line="280" w:lineRule="atLeast"/>
      </w:pPr>
      <w:r>
        <w:t>Upon request M</w:t>
      </w:r>
      <w:r w:rsidRPr="000E2D3E">
        <w:t>DPH/BEH</w:t>
      </w:r>
      <w:r>
        <w:t>’s</w:t>
      </w:r>
      <w:r w:rsidRPr="000E2D3E">
        <w:t xml:space="preserve"> Indoor Air Quality (IAQ) Program staff will work with local municipalities to conduct IAQ assessments in schools and public buildings; </w:t>
      </w:r>
    </w:p>
    <w:p w:rsidR="00A327E6" w:rsidRDefault="00A327E6" w:rsidP="00C1380B">
      <w:pPr>
        <w:numPr>
          <w:ilvl w:val="0"/>
          <w:numId w:val="18"/>
        </w:numPr>
        <w:spacing w:before="0" w:line="280" w:lineRule="atLeast"/>
      </w:pPr>
      <w:r>
        <w:t>Upon request MDPH will work with local officials to address concerns that may be associated with local development initiatives;</w:t>
      </w:r>
    </w:p>
    <w:p w:rsidR="00A327E6" w:rsidRPr="00B14F58" w:rsidRDefault="00A327E6" w:rsidP="00C1380B">
      <w:pPr>
        <w:numPr>
          <w:ilvl w:val="0"/>
          <w:numId w:val="18"/>
        </w:numPr>
        <w:spacing w:before="0" w:line="280" w:lineRule="atLeast"/>
        <w:rPr>
          <w:rFonts w:ascii="Verdana" w:hAnsi="Verdana"/>
          <w:color w:val="000000"/>
          <w:sz w:val="20"/>
          <w:shd w:val="clear" w:color="auto" w:fill="FFFFFF"/>
        </w:rPr>
      </w:pPr>
      <w:r>
        <w:t>M</w:t>
      </w:r>
      <w:r w:rsidRPr="000E2D3E">
        <w:t>DPH/BEH will collaborate with the</w:t>
      </w:r>
      <w:r>
        <w:t xml:space="preserve"> MDPH Bureau of Community Health and Prevention’s</w:t>
      </w:r>
      <w:r w:rsidRPr="000E2D3E">
        <w:t xml:space="preserve"> Tobacco Cessation and Prevention Program</w:t>
      </w:r>
      <w:r>
        <w:t xml:space="preserve"> on their</w:t>
      </w:r>
      <w:r w:rsidRPr="000E2D3E">
        <w:t xml:space="preserve"> efforts to work with local boards of health and tobacco-free</w:t>
      </w:r>
      <w:r>
        <w:t xml:space="preserve"> community partnerships.  These efforts enforce youth access and secondhand smoking laws and provide educational/outreach resources to support smoke-free workplace and housing programs.  </w:t>
      </w:r>
    </w:p>
    <w:p w:rsidR="00A327E6" w:rsidRPr="004700D6" w:rsidRDefault="00A327E6">
      <w:pPr>
        <w:spacing w:before="0" w:after="0" w:line="240" w:lineRule="auto"/>
        <w:rPr>
          <w:b/>
          <w:sz w:val="28"/>
        </w:rPr>
        <w:sectPr w:rsidR="00A327E6" w:rsidRPr="004700D6" w:rsidSect="009279BF">
          <w:footerReference w:type="default" r:id="rId10"/>
          <w:pgSz w:w="12240" w:h="15840"/>
          <w:pgMar w:top="1440" w:right="1440" w:bottom="1440" w:left="1440" w:header="720" w:footer="720" w:gutter="0"/>
          <w:pgNumType w:start="1"/>
          <w:cols w:space="720"/>
          <w:rtlGutter/>
          <w:docGrid w:linePitch="360"/>
        </w:sectPr>
      </w:pPr>
    </w:p>
    <w:p w:rsidR="00A327E6" w:rsidRPr="0021796A" w:rsidRDefault="00A327E6" w:rsidP="00E44AAF">
      <w:pPr>
        <w:pStyle w:val="Heading1"/>
        <w:numPr>
          <w:ilvl w:val="0"/>
          <w:numId w:val="6"/>
        </w:numPr>
        <w:spacing w:before="100" w:beforeAutospacing="1" w:after="100" w:afterAutospacing="1" w:line="240" w:lineRule="auto"/>
        <w:rPr>
          <w:sz w:val="24"/>
          <w:szCs w:val="24"/>
        </w:rPr>
      </w:pPr>
      <w:bookmarkStart w:id="5" w:name="_Toc336343111"/>
      <w:bookmarkStart w:id="6" w:name="_Toc344362970"/>
      <w:bookmarkStart w:id="7" w:name="_Toc345574281"/>
      <w:bookmarkStart w:id="8" w:name="_Toc346872960"/>
      <w:bookmarkStart w:id="9" w:name="_Toc350413056"/>
      <w:bookmarkStart w:id="10" w:name="_Toc388543087"/>
      <w:bookmarkStart w:id="11" w:name="ProjectOverview"/>
      <w:r w:rsidRPr="0021796A">
        <w:rPr>
          <w:sz w:val="24"/>
          <w:szCs w:val="24"/>
        </w:rPr>
        <w:t>PROJECT OVERVIEW</w:t>
      </w:r>
      <w:bookmarkEnd w:id="5"/>
      <w:bookmarkEnd w:id="6"/>
      <w:bookmarkEnd w:id="7"/>
      <w:bookmarkEnd w:id="8"/>
      <w:bookmarkEnd w:id="9"/>
      <w:bookmarkEnd w:id="10"/>
    </w:p>
    <w:p w:rsidR="00A327E6" w:rsidRPr="0021796A" w:rsidRDefault="00A327E6" w:rsidP="009104B4">
      <w:pPr>
        <w:pStyle w:val="Heading2"/>
      </w:pPr>
      <w:bookmarkStart w:id="12" w:name="_Toc344362971"/>
      <w:bookmarkStart w:id="13" w:name="_Toc345574282"/>
      <w:bookmarkStart w:id="14" w:name="_Toc346872961"/>
      <w:bookmarkStart w:id="15" w:name="_Toc350413057"/>
      <w:bookmarkStart w:id="16" w:name="_Toc388543088"/>
      <w:bookmarkEnd w:id="11"/>
      <w:r w:rsidRPr="0021796A">
        <w:t>Background</w:t>
      </w:r>
      <w:bookmarkEnd w:id="12"/>
      <w:bookmarkEnd w:id="13"/>
      <w:bookmarkEnd w:id="14"/>
      <w:bookmarkEnd w:id="15"/>
      <w:bookmarkEnd w:id="16"/>
    </w:p>
    <w:p w:rsidR="00A327E6" w:rsidRPr="008F509F" w:rsidRDefault="00A327E6" w:rsidP="00E44AAF">
      <w:pPr>
        <w:pStyle w:val="NormalIndent"/>
        <w:spacing w:before="100" w:beforeAutospacing="1" w:after="100" w:afterAutospacing="1" w:line="400" w:lineRule="atLeast"/>
        <w:rPr>
          <w:szCs w:val="24"/>
        </w:rPr>
      </w:pPr>
      <w:r w:rsidRPr="008F509F">
        <w:rPr>
          <w:szCs w:val="24"/>
        </w:rPr>
        <w:t>The Acts of 2000 of the Massachusetts General Court included a line item directive that stated “</w:t>
      </w:r>
      <w:r w:rsidRPr="008F509F">
        <w:rPr>
          <w:i/>
          <w:szCs w:val="24"/>
        </w:rPr>
        <w:t>the Director of the Bureau of Environmental Health</w:t>
      </w:r>
      <w:r w:rsidRPr="008F509F">
        <w:rPr>
          <w:szCs w:val="24"/>
        </w:rPr>
        <w:t xml:space="preserve"> </w:t>
      </w:r>
      <w:r w:rsidRPr="008F509F">
        <w:rPr>
          <w:i/>
          <w:szCs w:val="24"/>
        </w:rPr>
        <w:t xml:space="preserve">Assessment </w:t>
      </w:r>
      <w:r w:rsidRPr="008F509F">
        <w:rPr>
          <w:szCs w:val="24"/>
        </w:rPr>
        <w:t xml:space="preserve">[presently named the Bureau of Environmental Health] </w:t>
      </w:r>
      <w:r w:rsidRPr="008F509F">
        <w:rPr>
          <w:i/>
          <w:szCs w:val="24"/>
        </w:rPr>
        <w:t>of the department shall</w:t>
      </w:r>
      <w:r w:rsidRPr="008F509F">
        <w:rPr>
          <w:szCs w:val="24"/>
        </w:rPr>
        <w:t xml:space="preserve"> </w:t>
      </w:r>
      <w:r w:rsidRPr="008F509F">
        <w:rPr>
          <w:i/>
          <w:szCs w:val="24"/>
        </w:rPr>
        <w:t>conduct an environmental risk assessment of the health impacts of the General Lawrence Logan Airport in the East Boston section of the city of Boston on any community that is located within a 5 mile radius of the airport and is potentially impacted by the airport.</w:t>
      </w:r>
      <w:r w:rsidRPr="008F509F">
        <w:rPr>
          <w:szCs w:val="24"/>
        </w:rPr>
        <w:t>”  Given the economic instability, the study has had varying levels of resources over the past decade</w:t>
      </w:r>
      <w:r>
        <w:rPr>
          <w:szCs w:val="24"/>
        </w:rPr>
        <w:t xml:space="preserve">.  </w:t>
      </w:r>
      <w:r w:rsidRPr="008F509F">
        <w:rPr>
          <w:szCs w:val="24"/>
        </w:rPr>
        <w:t>Despite irregular funding, the Massachusetts Department of Public Health, Bureau of Environmental Health (MDPH/BEH) conducted the Logan Airport Health Study (LAHS) to respond to that directive.</w:t>
      </w:r>
    </w:p>
    <w:p w:rsidR="00A327E6" w:rsidRPr="008F509F" w:rsidRDefault="00A327E6" w:rsidP="00E44AAF">
      <w:pPr>
        <w:pStyle w:val="NormalIndent"/>
        <w:spacing w:before="100" w:beforeAutospacing="1" w:after="100" w:afterAutospacing="1" w:line="400" w:lineRule="atLeast"/>
        <w:rPr>
          <w:szCs w:val="24"/>
        </w:rPr>
      </w:pPr>
      <w:r w:rsidRPr="008F509F">
        <w:rPr>
          <w:szCs w:val="24"/>
        </w:rPr>
        <w:t xml:space="preserve">In the early stages of design of the LAHS, the MDPH/BEH formed a Community Advisory Committee (CAC) composed of residents, local health departments in the study area, and technical experts in the areas of epidemiology, biostatistics, survey design and administration, and air modeling.  With input and assistance from the CAC, the MDPH/BEH designed and implemented a cross-sectional disease and symptom prevalence study investigating associations between potential exposure to airport emissions and adverse health outcomes among residents living in cities and towns located within a 5-mile radius of Logan Airport.  </w:t>
      </w:r>
    </w:p>
    <w:p w:rsidR="00A327E6" w:rsidRPr="008F509F" w:rsidRDefault="00A327E6" w:rsidP="00E44AAF">
      <w:pPr>
        <w:pStyle w:val="NormalIndent"/>
        <w:spacing w:before="100" w:beforeAutospacing="1" w:after="100" w:afterAutospacing="1" w:line="400" w:lineRule="atLeast"/>
        <w:rPr>
          <w:szCs w:val="24"/>
        </w:rPr>
      </w:pPr>
      <w:r w:rsidRPr="008F509F">
        <w:rPr>
          <w:rFonts w:cs="Calibri"/>
          <w:szCs w:val="24"/>
        </w:rPr>
        <w:t>In order to address some of the</w:t>
      </w:r>
      <w:r w:rsidRPr="008F509F">
        <w:rPr>
          <w:szCs w:val="24"/>
        </w:rPr>
        <w:t xml:space="preserve"> challenges associated with conducting such a large prevalence study and to ensure the survey design would be sophisticated enough to detect an effect, if present, MDPH/BEH conducted a pilot study </w:t>
      </w:r>
      <w:r w:rsidRPr="008F509F">
        <w:rPr>
          <w:rFonts w:cs="Calibri"/>
          <w:szCs w:val="24"/>
        </w:rPr>
        <w:t xml:space="preserve">beginning </w:t>
      </w:r>
      <w:r w:rsidRPr="008F509F">
        <w:rPr>
          <w:szCs w:val="24"/>
        </w:rPr>
        <w:t xml:space="preserve">in 2002.  </w:t>
      </w:r>
      <w:r w:rsidRPr="008F509F">
        <w:rPr>
          <w:rFonts w:cs="Calibri"/>
          <w:szCs w:val="24"/>
        </w:rPr>
        <w:t>The</w:t>
      </w:r>
      <w:r w:rsidRPr="008F509F">
        <w:rPr>
          <w:szCs w:val="24"/>
        </w:rPr>
        <w:t xml:space="preserve"> draft survey instrument was pilot tested with a population living near an airport in Portland, Maine to improve the survey instrument.  </w:t>
      </w:r>
      <w:r w:rsidRPr="008F509F">
        <w:rPr>
          <w:rFonts w:cs="Calibri"/>
          <w:szCs w:val="24"/>
        </w:rPr>
        <w:t>The</w:t>
      </w:r>
      <w:r w:rsidRPr="008F509F">
        <w:rPr>
          <w:szCs w:val="24"/>
        </w:rPr>
        <w:t xml:space="preserve"> refined survey instrument was </w:t>
      </w:r>
      <w:r w:rsidRPr="008F509F">
        <w:rPr>
          <w:rFonts w:cs="Calibri"/>
          <w:szCs w:val="24"/>
        </w:rPr>
        <w:t xml:space="preserve">again </w:t>
      </w:r>
      <w:r w:rsidRPr="008F509F">
        <w:rPr>
          <w:szCs w:val="24"/>
        </w:rPr>
        <w:t>pilot tested</w:t>
      </w:r>
      <w:r w:rsidRPr="008F509F">
        <w:rPr>
          <w:rFonts w:cs="Calibri"/>
          <w:szCs w:val="24"/>
        </w:rPr>
        <w:t xml:space="preserve"> in 2005</w:t>
      </w:r>
      <w:r w:rsidRPr="008F509F">
        <w:rPr>
          <w:szCs w:val="24"/>
        </w:rPr>
        <w:t xml:space="preserve"> with 25 randomly selected individuals located in the LAHS area to ensure questions were clear and valid for the study area itself.  </w:t>
      </w:r>
    </w:p>
    <w:p w:rsidR="00A327E6" w:rsidRPr="008F509F" w:rsidRDefault="00A327E6" w:rsidP="00E44AAF">
      <w:pPr>
        <w:pStyle w:val="NormalIndent"/>
        <w:spacing w:before="100" w:beforeAutospacing="1" w:after="100" w:afterAutospacing="1" w:line="400" w:lineRule="atLeast"/>
        <w:rPr>
          <w:szCs w:val="24"/>
        </w:rPr>
      </w:pPr>
      <w:r w:rsidRPr="008F509F">
        <w:rPr>
          <w:szCs w:val="24"/>
        </w:rPr>
        <w:t>MDPH/BEH considered the potential health impacts on local communities of both noise and air emissions from Logan Airport.  Air pollution sources at the airport include aircraft (takeoff, landing, taxiing, and use of auxiliary power units), ground service equipment, passenger and commercial motor vehicle fleets operating and parking on airport property, and the airport power plant.  The primary source of noise from the airport is that of aircraft takeoff and landing operations.  After review of the scientific literature on the health effects most frequently associated with exposure to the types of emissions typical of airports, MDPH/BEH identified respiratory, cardiovascular, and auditory effects as those of greatest potential public health significance.  These outcomes also appeared to be of greatest interest to residents within the five mile study area.</w:t>
      </w:r>
    </w:p>
    <w:p w:rsidR="00A327E6" w:rsidRPr="008F509F" w:rsidRDefault="00A327E6" w:rsidP="00E44AAF">
      <w:pPr>
        <w:pStyle w:val="NormalIndent"/>
        <w:spacing w:before="100" w:beforeAutospacing="1" w:after="100" w:afterAutospacing="1" w:line="400" w:lineRule="atLeast"/>
        <w:rPr>
          <w:szCs w:val="24"/>
        </w:rPr>
      </w:pPr>
      <w:r w:rsidRPr="008F509F">
        <w:rPr>
          <w:szCs w:val="24"/>
        </w:rPr>
        <w:t>MDPH/BEH gathered available environmental data in the study area related to airport operations.  These included available ambient air quality monitoring data within the 5-mile radius of the airport (e.g., the Massachusetts Department of Environmental Protection–mandated monitoring stations for criteria air pollutants).  Additionally, MDPH/BEH acquired an abundance of data provided by Massport that is not mandated to be reported such as complete flight path and scheduling information and detailed airport maps.</w:t>
      </w:r>
    </w:p>
    <w:p w:rsidR="00A327E6" w:rsidRDefault="00A327E6" w:rsidP="00E44AAF">
      <w:pPr>
        <w:pStyle w:val="NormalIndent"/>
        <w:spacing w:before="100" w:beforeAutospacing="1" w:after="100" w:afterAutospacing="1" w:line="400" w:lineRule="atLeast"/>
        <w:rPr>
          <w:szCs w:val="24"/>
        </w:rPr>
      </w:pPr>
      <w:r w:rsidRPr="008F509F">
        <w:rPr>
          <w:szCs w:val="24"/>
        </w:rPr>
        <w:t>To address both the complexity in assessing environmental impacts of airport operations and any existing data gaps, MDPH/BEH designed a cross-sectional study to collect information on the prevalence of targeted health outcomes and various demographic and risk factor characteristics among residents living in the designated 5-mile radius study area.  In addition, MDPH/BEH utilized available environmental and airport operations data to develop estimates of airport-related air pollution and noise exposure across the study area, thus allowing for an evaluation of the possible relationships between targeted health outcomes and these exposure opportunities.</w:t>
      </w:r>
    </w:p>
    <w:p w:rsidR="00A327E6" w:rsidRDefault="00A327E6" w:rsidP="00E44AAF">
      <w:pPr>
        <w:pStyle w:val="NormalIndent"/>
        <w:spacing w:before="100" w:beforeAutospacing="1" w:after="100" w:afterAutospacing="1" w:line="400" w:lineRule="atLeast"/>
        <w:rPr>
          <w:szCs w:val="24"/>
        </w:rPr>
      </w:pPr>
    </w:p>
    <w:p w:rsidR="00A327E6" w:rsidRPr="008F509F" w:rsidRDefault="00A327E6" w:rsidP="00E44AAF">
      <w:pPr>
        <w:pStyle w:val="NormalIndent"/>
        <w:spacing w:before="100" w:beforeAutospacing="1" w:after="100" w:afterAutospacing="1" w:line="400" w:lineRule="atLeast"/>
        <w:rPr>
          <w:szCs w:val="24"/>
        </w:rPr>
      </w:pPr>
    </w:p>
    <w:p w:rsidR="00A327E6" w:rsidRPr="0021796A" w:rsidRDefault="00A327E6" w:rsidP="00E44AAF">
      <w:pPr>
        <w:pStyle w:val="Heading2"/>
        <w:spacing w:line="400" w:lineRule="atLeast"/>
      </w:pPr>
      <w:bookmarkStart w:id="17" w:name="_Toc336343113"/>
      <w:bookmarkStart w:id="18" w:name="_Toc344362972"/>
      <w:bookmarkStart w:id="19" w:name="_Toc345574283"/>
      <w:bookmarkStart w:id="20" w:name="_Toc346872962"/>
      <w:bookmarkStart w:id="21" w:name="_Toc350413058"/>
      <w:bookmarkStart w:id="22" w:name="_Toc388543089"/>
      <w:r w:rsidRPr="0021796A">
        <w:t>Goals and Objectives</w:t>
      </w:r>
      <w:bookmarkEnd w:id="17"/>
      <w:bookmarkEnd w:id="18"/>
      <w:bookmarkEnd w:id="19"/>
      <w:bookmarkEnd w:id="20"/>
      <w:bookmarkEnd w:id="21"/>
      <w:bookmarkEnd w:id="22"/>
    </w:p>
    <w:p w:rsidR="00A327E6" w:rsidRPr="008F509F" w:rsidRDefault="00A327E6" w:rsidP="00E44AAF">
      <w:pPr>
        <w:pStyle w:val="NormalIndent"/>
        <w:spacing w:before="100" w:beforeAutospacing="1" w:after="100" w:afterAutospacing="1" w:line="400" w:lineRule="atLeast"/>
        <w:rPr>
          <w:b/>
          <w:szCs w:val="24"/>
        </w:rPr>
      </w:pPr>
      <w:r w:rsidRPr="008F509F">
        <w:rPr>
          <w:szCs w:val="24"/>
        </w:rPr>
        <w:t>The overall goal of the Logan Airport Health Study was to determine whether residents living in areas with greater potential for airport-related exposures were more likely to experience respiratory, cardiovascular, or auditory effects compared to those residents living in areas with lesser potential for airport-related exposures.</w:t>
      </w:r>
    </w:p>
    <w:p w:rsidR="00A327E6" w:rsidRPr="008F509F" w:rsidRDefault="00A327E6" w:rsidP="00E44AAF">
      <w:pPr>
        <w:pStyle w:val="NormalIndent"/>
        <w:spacing w:before="100" w:beforeAutospacing="1" w:after="100" w:afterAutospacing="1" w:line="400" w:lineRule="atLeast"/>
        <w:rPr>
          <w:szCs w:val="24"/>
        </w:rPr>
      </w:pPr>
      <w:r w:rsidRPr="008F509F">
        <w:rPr>
          <w:szCs w:val="24"/>
        </w:rPr>
        <w:t>The primary objectives were:</w:t>
      </w:r>
    </w:p>
    <w:p w:rsidR="00A327E6" w:rsidRPr="008F509F" w:rsidRDefault="00A327E6" w:rsidP="00A3049B">
      <w:pPr>
        <w:pStyle w:val="NormalIndent"/>
        <w:numPr>
          <w:ilvl w:val="0"/>
          <w:numId w:val="4"/>
        </w:numPr>
        <w:spacing w:before="100" w:beforeAutospacing="1" w:after="120" w:line="400" w:lineRule="atLeast"/>
        <w:rPr>
          <w:szCs w:val="24"/>
        </w:rPr>
      </w:pPr>
      <w:r w:rsidRPr="008F509F">
        <w:rPr>
          <w:szCs w:val="24"/>
        </w:rPr>
        <w:t xml:space="preserve">To geographically stratify the study area into distinct exposure areas based on the best available data for predicting ambient concentrations of air pollution and noise associated with operations at Logan Airport.  </w:t>
      </w:r>
    </w:p>
    <w:p w:rsidR="00A327E6" w:rsidRPr="008F509F" w:rsidRDefault="00A327E6" w:rsidP="00A3049B">
      <w:pPr>
        <w:pStyle w:val="NormalIndent"/>
        <w:numPr>
          <w:ilvl w:val="0"/>
          <w:numId w:val="4"/>
        </w:numPr>
        <w:spacing w:before="100" w:beforeAutospacing="1" w:after="120" w:line="400" w:lineRule="atLeast"/>
        <w:rPr>
          <w:szCs w:val="24"/>
        </w:rPr>
      </w:pPr>
      <w:r w:rsidRPr="008F509F">
        <w:rPr>
          <w:szCs w:val="24"/>
        </w:rPr>
        <w:t xml:space="preserve">To collect information on specific health outcomes (i.e., respiratory, cardiovascular, and auditory endpoints) and other relevant information from a statistically representative sample of residents in the study area population.  </w:t>
      </w:r>
    </w:p>
    <w:p w:rsidR="00A327E6" w:rsidRPr="008F509F" w:rsidRDefault="00A327E6" w:rsidP="00A3049B">
      <w:pPr>
        <w:pStyle w:val="NormalIndent"/>
        <w:numPr>
          <w:ilvl w:val="0"/>
          <w:numId w:val="4"/>
        </w:numPr>
        <w:spacing w:before="100" w:beforeAutospacing="1" w:after="120" w:line="400" w:lineRule="atLeast"/>
        <w:rPr>
          <w:b/>
          <w:szCs w:val="24"/>
        </w:rPr>
      </w:pPr>
      <w:r w:rsidRPr="008F509F">
        <w:rPr>
          <w:szCs w:val="24"/>
        </w:rPr>
        <w:t>To evaluate associations between environmental exposures arising from airport operations and targeted health outcomes among the study population.</w:t>
      </w:r>
    </w:p>
    <w:p w:rsidR="00A327E6" w:rsidRPr="008F509F" w:rsidRDefault="00A327E6" w:rsidP="00E44AAF">
      <w:pPr>
        <w:pStyle w:val="NormalIndent"/>
        <w:spacing w:before="100" w:beforeAutospacing="1" w:after="100" w:afterAutospacing="1" w:line="400" w:lineRule="atLeast"/>
        <w:rPr>
          <w:szCs w:val="24"/>
        </w:rPr>
      </w:pPr>
      <w:r w:rsidRPr="008F509F">
        <w:rPr>
          <w:szCs w:val="24"/>
        </w:rPr>
        <w:t xml:space="preserve">To meet these objectives, four major activities were carried out:  </w:t>
      </w:r>
    </w:p>
    <w:p w:rsidR="00A327E6" w:rsidRPr="008F509F" w:rsidRDefault="00A327E6" w:rsidP="00A3049B">
      <w:pPr>
        <w:pStyle w:val="NormalIndent"/>
        <w:numPr>
          <w:ilvl w:val="0"/>
          <w:numId w:val="5"/>
        </w:numPr>
        <w:spacing w:before="100" w:beforeAutospacing="1" w:after="120" w:line="400" w:lineRule="atLeast"/>
        <w:rPr>
          <w:szCs w:val="24"/>
        </w:rPr>
      </w:pPr>
      <w:r w:rsidRPr="008F509F">
        <w:rPr>
          <w:szCs w:val="24"/>
        </w:rPr>
        <w:t>A draft health survey was pilot-tested with a population living near an airport in Portland, Maine in April 2002 – April 2005.</w:t>
      </w:r>
    </w:p>
    <w:p w:rsidR="00A327E6" w:rsidRPr="008F509F" w:rsidRDefault="00A327E6" w:rsidP="00A3049B">
      <w:pPr>
        <w:pStyle w:val="NormalIndent"/>
        <w:numPr>
          <w:ilvl w:val="0"/>
          <w:numId w:val="5"/>
        </w:numPr>
        <w:spacing w:before="100" w:beforeAutospacing="1" w:after="120" w:line="400" w:lineRule="atLeast"/>
        <w:rPr>
          <w:szCs w:val="24"/>
        </w:rPr>
      </w:pPr>
      <w:r w:rsidRPr="008F509F">
        <w:rPr>
          <w:szCs w:val="24"/>
        </w:rPr>
        <w:t>Based on the findings of the survey pilot study, a refined survey instrument was administered to residents within a 5-mile radius of Logan Airport to collect health outcome and relevant demographic and lifestyle data.</w:t>
      </w:r>
    </w:p>
    <w:p w:rsidR="00A327E6" w:rsidRPr="008F509F" w:rsidRDefault="00A327E6" w:rsidP="00A3049B">
      <w:pPr>
        <w:pStyle w:val="NormalIndent"/>
        <w:numPr>
          <w:ilvl w:val="0"/>
          <w:numId w:val="5"/>
        </w:numPr>
        <w:spacing w:before="100" w:beforeAutospacing="1" w:after="120" w:line="400" w:lineRule="atLeast"/>
        <w:rPr>
          <w:szCs w:val="24"/>
        </w:rPr>
      </w:pPr>
      <w:r w:rsidRPr="008F509F">
        <w:rPr>
          <w:szCs w:val="24"/>
        </w:rPr>
        <w:t>Available air quality data related to airport operations were compiled and air dispersion modeling was conducted in order to estimate exposure areas impacted by air pollution associated with Logan Airport operations.</w:t>
      </w:r>
    </w:p>
    <w:p w:rsidR="00A327E6" w:rsidRPr="008F509F" w:rsidRDefault="00A327E6" w:rsidP="00E44AAF">
      <w:pPr>
        <w:pStyle w:val="NormalIndent"/>
        <w:numPr>
          <w:ilvl w:val="0"/>
          <w:numId w:val="5"/>
        </w:numPr>
        <w:spacing w:before="100" w:beforeAutospacing="1" w:after="100" w:afterAutospacing="1" w:line="400" w:lineRule="atLeast"/>
        <w:rPr>
          <w:szCs w:val="24"/>
        </w:rPr>
      </w:pPr>
      <w:r w:rsidRPr="008F509F">
        <w:rPr>
          <w:szCs w:val="24"/>
        </w:rPr>
        <w:t>Available noise modeling data were compiled and used to estimate exposure areas impacted by noise associated with Logan Airport operations.</w:t>
      </w:r>
    </w:p>
    <w:p w:rsidR="00A327E6" w:rsidRPr="0021796A" w:rsidRDefault="00A327E6" w:rsidP="00E44AAF">
      <w:pPr>
        <w:pStyle w:val="NormalIndent"/>
        <w:spacing w:before="100" w:beforeAutospacing="1" w:after="100" w:afterAutospacing="1" w:line="400" w:lineRule="atLeast"/>
        <w:rPr>
          <w:szCs w:val="24"/>
        </w:rPr>
        <w:sectPr w:rsidR="00A327E6" w:rsidRPr="0021796A" w:rsidSect="00551127">
          <w:footerReference w:type="default" r:id="rId11"/>
          <w:pgSz w:w="12240" w:h="15840"/>
          <w:pgMar w:top="1440" w:right="1440" w:bottom="1440" w:left="1440" w:header="720" w:footer="720" w:gutter="0"/>
          <w:pgNumType w:start="1"/>
          <w:cols w:space="720"/>
          <w:rtlGutter/>
          <w:docGrid w:linePitch="360"/>
        </w:sectPr>
      </w:pPr>
      <w:r w:rsidRPr="008F509F">
        <w:rPr>
          <w:szCs w:val="24"/>
        </w:rPr>
        <w:t>Logan Airport is located within metropolitan Boston with various sources of ambient air pollution not related to the airport.  Air pollutant emissions typically associated with airport operations are largely due to incomplete combustion of fuel and are the same as those emitted from other urban mobile sources (e.g., passenger automobiles, airport equipment).  Available environmental monitoring data do not allow for precise apportioning of the contribution from airport sources and from other sources of air pollution in the study area.  Thus, high-resolution air dispersion modeling was applied to predict ambient concentrations in the study area based solely on emission estimates associated with airport operations.  For exposure to noise associated with airport operations, noise modeling of aircraft activities provided airport-related noise contours in the study area.</w:t>
      </w:r>
      <w:bookmarkStart w:id="23" w:name="_Toc345574284"/>
      <w:r w:rsidRPr="008F509F">
        <w:rPr>
          <w:szCs w:val="24"/>
        </w:rPr>
        <w:t xml:space="preserve">  Development of air and noise exposure modeling was made possible in part by Massport, who provided MDPH with access to a variety of data not mandated to be reported by MA regulations.</w:t>
      </w:r>
    </w:p>
    <w:p w:rsidR="00A327E6" w:rsidRPr="00E44AAF" w:rsidRDefault="00A327E6" w:rsidP="00E44AAF">
      <w:pPr>
        <w:pStyle w:val="Heading1"/>
        <w:spacing w:before="0" w:line="240" w:lineRule="auto"/>
        <w:rPr>
          <w:sz w:val="24"/>
          <w:szCs w:val="24"/>
        </w:rPr>
      </w:pPr>
      <w:bookmarkStart w:id="24" w:name="_Toc346872963"/>
      <w:bookmarkStart w:id="25" w:name="_Toc350413059"/>
      <w:bookmarkStart w:id="26" w:name="_Toc388543090"/>
      <w:r>
        <w:rPr>
          <w:sz w:val="24"/>
          <w:szCs w:val="24"/>
        </w:rPr>
        <w:t>SUMMARY</w:t>
      </w:r>
      <w:r w:rsidRPr="0021796A">
        <w:rPr>
          <w:sz w:val="24"/>
          <w:szCs w:val="24"/>
        </w:rPr>
        <w:t xml:space="preserve"> </w:t>
      </w:r>
      <w:r>
        <w:rPr>
          <w:sz w:val="24"/>
          <w:szCs w:val="24"/>
        </w:rPr>
        <w:t>OF</w:t>
      </w:r>
      <w:r w:rsidRPr="0021796A">
        <w:rPr>
          <w:sz w:val="24"/>
          <w:szCs w:val="24"/>
        </w:rPr>
        <w:t xml:space="preserve"> HEALTH EFFECTS ASSOCIATED WITH EXPOSURE TO </w:t>
      </w:r>
      <w:r>
        <w:rPr>
          <w:sz w:val="24"/>
          <w:szCs w:val="24"/>
        </w:rPr>
        <w:t>AIRPORT-RELATED</w:t>
      </w:r>
      <w:r w:rsidRPr="0021796A">
        <w:rPr>
          <w:sz w:val="24"/>
          <w:szCs w:val="24"/>
        </w:rPr>
        <w:t xml:space="preserve"> AIR POLLUTANTS AND NOISE</w:t>
      </w:r>
      <w:bookmarkEnd w:id="23"/>
      <w:bookmarkEnd w:id="24"/>
      <w:bookmarkEnd w:id="25"/>
      <w:bookmarkEnd w:id="26"/>
      <w:r w:rsidRPr="0021796A">
        <w:rPr>
          <w:sz w:val="24"/>
          <w:szCs w:val="24"/>
        </w:rPr>
        <w:t xml:space="preserve"> </w:t>
      </w:r>
      <w:r>
        <w:rPr>
          <w:sz w:val="24"/>
          <w:szCs w:val="24"/>
        </w:rPr>
        <w:t xml:space="preserve">  </w:t>
      </w:r>
    </w:p>
    <w:p w:rsidR="00A327E6" w:rsidRPr="0021796A" w:rsidRDefault="00A327E6" w:rsidP="00E44AAF">
      <w:pPr>
        <w:pStyle w:val="Heading2"/>
        <w:spacing w:line="400" w:lineRule="atLeast"/>
      </w:pPr>
      <w:bookmarkStart w:id="27" w:name="_Toc336343118"/>
      <w:bookmarkStart w:id="28" w:name="_Toc344362976"/>
      <w:bookmarkStart w:id="29" w:name="_Toc345574285"/>
      <w:bookmarkStart w:id="30" w:name="_Toc346872964"/>
      <w:bookmarkStart w:id="31" w:name="_Toc350413060"/>
      <w:bookmarkStart w:id="32" w:name="_Toc388543091"/>
      <w:r w:rsidRPr="0021796A">
        <w:t>Introduction</w:t>
      </w:r>
      <w:bookmarkEnd w:id="27"/>
      <w:bookmarkEnd w:id="28"/>
      <w:bookmarkEnd w:id="29"/>
      <w:bookmarkEnd w:id="30"/>
      <w:bookmarkEnd w:id="31"/>
      <w:bookmarkEnd w:id="32"/>
    </w:p>
    <w:p w:rsidR="00A327E6" w:rsidRPr="008F509F" w:rsidRDefault="00A327E6" w:rsidP="00E44AAF">
      <w:pPr>
        <w:pStyle w:val="NormalIndent"/>
        <w:spacing w:before="100" w:beforeAutospacing="1" w:after="100" w:afterAutospacing="1" w:line="400" w:lineRule="atLeast"/>
        <w:rPr>
          <w:szCs w:val="24"/>
        </w:rPr>
      </w:pPr>
      <w:r w:rsidRPr="008F509F">
        <w:rPr>
          <w:szCs w:val="24"/>
        </w:rPr>
        <w:t>Logan Airport’s expansive aviation infrastructure contains a complex mix of transportation-related sources of air pollution and noise.  Air pollution from airport-related activities is generated from aircraft engine emissions from passenger and cargo planes, ground service equipment (GSE), auxiliary power units (APU), aircraft refueling, and the airport’s power plant.  Passenger, commercial, and airport fleet vehicles traveling within the airport boundaries are also sources of air pollution at all airports.  Noise is generated primarily from aircraft landing and takeoff phases and along flight paths in the study area.  Emissions from airport operations are primarily from combustion of aviation fuel from aircraft and combustion of diesel fuel or gasoline from mobile source emissions (e.g., motor vehicle fleets, ground service equipment, and auxiliary power units, APUs, power plant).  Fossil-fuel combustion contains a complex mixture of oxides of nitrogen (NOx), sulfur dioxide (SO</w:t>
      </w:r>
      <w:r w:rsidRPr="008F509F">
        <w:rPr>
          <w:szCs w:val="24"/>
          <w:vertAlign w:val="subscript"/>
        </w:rPr>
        <w:t>2</w:t>
      </w:r>
      <w:r w:rsidRPr="008F509F">
        <w:rPr>
          <w:szCs w:val="24"/>
        </w:rPr>
        <w:t>), volatile organic compounds (VOCs), carbon monoxide (CO), carbon dioxide (CO</w:t>
      </w:r>
      <w:r w:rsidRPr="008F509F">
        <w:rPr>
          <w:szCs w:val="24"/>
          <w:vertAlign w:val="subscript"/>
        </w:rPr>
        <w:t>2</w:t>
      </w:r>
      <w:r w:rsidRPr="008F509F">
        <w:rPr>
          <w:szCs w:val="24"/>
        </w:rPr>
        <w:t>), and particulate matter (PM</w:t>
      </w:r>
      <w:r w:rsidRPr="000006CA">
        <w:rPr>
          <w:szCs w:val="24"/>
          <w:vertAlign w:val="subscript"/>
        </w:rPr>
        <w:t>10</w:t>
      </w:r>
      <w:r w:rsidRPr="008F509F">
        <w:rPr>
          <w:szCs w:val="24"/>
        </w:rPr>
        <w:t>, PM</w:t>
      </w:r>
      <w:r w:rsidRPr="000006CA">
        <w:rPr>
          <w:szCs w:val="24"/>
          <w:vertAlign w:val="subscript"/>
        </w:rPr>
        <w:t>2.5</w:t>
      </w:r>
      <w:r w:rsidRPr="008F509F">
        <w:rPr>
          <w:szCs w:val="24"/>
        </w:rPr>
        <w:t>, ultrafine particles – collectively referred to as PM).  In addition, numerous speciated VOCs, including hazardous air pollutants (e.g., benzene), ar</w:t>
      </w:r>
      <w:r>
        <w:rPr>
          <w:szCs w:val="24"/>
        </w:rPr>
        <w:t xml:space="preserve">e emitted from these sources.  </w:t>
      </w:r>
      <w:r w:rsidRPr="008F509F">
        <w:rPr>
          <w:szCs w:val="24"/>
        </w:rPr>
        <w:t>Fuel vapors and aerosols are also emitted during aircraft refueling, mobile source refueling, and from fuel storage tanks located on the grounds of the airport.</w:t>
      </w:r>
    </w:p>
    <w:p w:rsidR="00A327E6" w:rsidRPr="008F509F" w:rsidRDefault="00A327E6" w:rsidP="00E44AAF">
      <w:pPr>
        <w:spacing w:before="100" w:beforeAutospacing="1" w:after="100" w:afterAutospacing="1" w:line="400" w:lineRule="atLeast"/>
        <w:ind w:firstLine="720"/>
        <w:rPr>
          <w:szCs w:val="24"/>
        </w:rPr>
      </w:pPr>
      <w:r w:rsidRPr="008F509F">
        <w:rPr>
          <w:szCs w:val="24"/>
        </w:rPr>
        <w:t xml:space="preserve">A review of the scientific literature was conducted to inform the development of the survey instrument.  Based on this review, it was determined that cardiovascular, respiratory, and auditory health effects are the primary outcomes associated with exposure to combustion-related pollutants and noise.  Thus, the primary health outcomes of interest in the LAHS survey were cardiovascular outcomes (heart attack, angina/coronary heart disease), respiratory outcomes (asthma, respiratory symptoms, COPD, bronchitis), and auditory outcomes (hearing impairment, tinnitus).  </w:t>
      </w:r>
    </w:p>
    <w:p w:rsidR="00A327E6" w:rsidRPr="008F509F" w:rsidRDefault="00A327E6" w:rsidP="00E44AAF">
      <w:pPr>
        <w:spacing w:before="100" w:beforeAutospacing="1" w:after="100" w:afterAutospacing="1" w:line="400" w:lineRule="atLeast"/>
        <w:ind w:firstLine="720"/>
        <w:rPr>
          <w:szCs w:val="24"/>
        </w:rPr>
      </w:pPr>
      <w:r w:rsidRPr="008F509F">
        <w:rPr>
          <w:szCs w:val="24"/>
        </w:rPr>
        <w:t xml:space="preserve">Given the voluminous nature of the scientific literature associated with air pollutants, the LAHS literature review focused on major scientific studies </w:t>
      </w:r>
      <w:r>
        <w:rPr>
          <w:szCs w:val="24"/>
        </w:rPr>
        <w:t>and</w:t>
      </w:r>
      <w:r w:rsidRPr="008F509F">
        <w:rPr>
          <w:szCs w:val="24"/>
        </w:rPr>
        <w:t xml:space="preserve"> compendiums by the US Environmental Protection Agency (US EPA) and the World Health Organization (WHO)</w:t>
      </w:r>
      <w:r>
        <w:rPr>
          <w:szCs w:val="24"/>
        </w:rPr>
        <w:t xml:space="preserve"> </w:t>
      </w:r>
      <w:r w:rsidRPr="008F509F">
        <w:rPr>
          <w:szCs w:val="24"/>
        </w:rPr>
        <w:t xml:space="preserve">on the health effects of air pollution </w:t>
      </w:r>
      <w:r>
        <w:rPr>
          <w:szCs w:val="24"/>
        </w:rPr>
        <w:t xml:space="preserve">(primarily criteria air pollutants) </w:t>
      </w:r>
      <w:r w:rsidRPr="008F509F">
        <w:rPr>
          <w:szCs w:val="24"/>
        </w:rPr>
        <w:t>and noise.  References are provided at the end of this report for additional information.</w:t>
      </w:r>
    </w:p>
    <w:p w:rsidR="00A327E6" w:rsidRPr="00E44AAF" w:rsidRDefault="00A327E6" w:rsidP="00E44AAF">
      <w:pPr>
        <w:pStyle w:val="Heading2"/>
        <w:spacing w:line="400" w:lineRule="atLeast"/>
        <w:rPr>
          <w:rStyle w:val="Emphasis"/>
          <w:caps/>
          <w:color w:val="auto"/>
          <w:spacing w:val="15"/>
        </w:rPr>
      </w:pPr>
      <w:bookmarkStart w:id="33" w:name="_Toc345574286"/>
      <w:bookmarkStart w:id="34" w:name="_Toc346872965"/>
      <w:bookmarkStart w:id="35" w:name="_Toc350413061"/>
      <w:bookmarkStart w:id="36" w:name="_Toc388543092"/>
      <w:r w:rsidRPr="0021796A">
        <w:t xml:space="preserve">Summary of </w:t>
      </w:r>
      <w:r>
        <w:t>H</w:t>
      </w:r>
      <w:r w:rsidRPr="0021796A">
        <w:t xml:space="preserve">ealth </w:t>
      </w:r>
      <w:r>
        <w:t>S</w:t>
      </w:r>
      <w:r w:rsidRPr="0021796A">
        <w:t xml:space="preserve">tudies </w:t>
      </w:r>
      <w:bookmarkEnd w:id="33"/>
      <w:bookmarkEnd w:id="34"/>
      <w:bookmarkEnd w:id="35"/>
      <w:r w:rsidRPr="0021796A">
        <w:t xml:space="preserve">of </w:t>
      </w:r>
      <w:r>
        <w:t>A</w:t>
      </w:r>
      <w:r w:rsidRPr="0021796A">
        <w:t xml:space="preserve">ir </w:t>
      </w:r>
      <w:r>
        <w:t>P</w:t>
      </w:r>
      <w:r w:rsidRPr="0021796A">
        <w:t>ollution</w:t>
      </w:r>
      <w:bookmarkEnd w:id="36"/>
    </w:p>
    <w:p w:rsidR="00A327E6" w:rsidRPr="008F509F" w:rsidRDefault="00A327E6" w:rsidP="00CC770E">
      <w:pPr>
        <w:pStyle w:val="NormalIndent"/>
        <w:spacing w:before="100" w:beforeAutospacing="1" w:after="100" w:afterAutospacing="1" w:line="400" w:lineRule="atLeast"/>
        <w:rPr>
          <w:szCs w:val="24"/>
        </w:rPr>
      </w:pPr>
      <w:r w:rsidRPr="008F509F">
        <w:rPr>
          <w:szCs w:val="24"/>
        </w:rPr>
        <w:t xml:space="preserve">Few studies have been conducted to evaluate the potential health effects of exposure to airport-related emissions, specifically, but a significant body of evidence exists in the scientific literature that links certain health outcomes with exposure to specific pollutants contained within the complex mixtures of air pollution sources in general.  </w:t>
      </w:r>
      <w:r w:rsidRPr="008F509F">
        <w:rPr>
          <w:color w:val="000000"/>
          <w:szCs w:val="24"/>
        </w:rPr>
        <w:t>For many of these studies, ambient concentrations of PM (PM</w:t>
      </w:r>
      <w:r w:rsidRPr="008F509F">
        <w:rPr>
          <w:color w:val="000000"/>
          <w:szCs w:val="24"/>
          <w:vertAlign w:val="subscript"/>
        </w:rPr>
        <w:t>2.5</w:t>
      </w:r>
      <w:r w:rsidRPr="008F509F">
        <w:rPr>
          <w:color w:val="000000"/>
          <w:szCs w:val="24"/>
        </w:rPr>
        <w:t>, PM</w:t>
      </w:r>
      <w:r w:rsidRPr="008F509F">
        <w:rPr>
          <w:color w:val="000000"/>
          <w:szCs w:val="24"/>
          <w:vertAlign w:val="subscript"/>
        </w:rPr>
        <w:t>10</w:t>
      </w:r>
      <w:r w:rsidRPr="008F509F">
        <w:rPr>
          <w:color w:val="000000"/>
          <w:szCs w:val="24"/>
        </w:rPr>
        <w:t>, ultrafine particles) and the gaseous co-pollutants (i.e., CO, sulfur dioxide (</w:t>
      </w:r>
      <w:r w:rsidRPr="008F509F">
        <w:rPr>
          <w:szCs w:val="24"/>
        </w:rPr>
        <w:t>S</w:t>
      </w:r>
      <w:r w:rsidRPr="008F509F">
        <w:rPr>
          <w:color w:val="000000"/>
          <w:szCs w:val="24"/>
        </w:rPr>
        <w:t>O</w:t>
      </w:r>
      <w:r w:rsidRPr="008F509F">
        <w:rPr>
          <w:color w:val="000000"/>
          <w:szCs w:val="24"/>
          <w:vertAlign w:val="subscript"/>
        </w:rPr>
        <w:t>2</w:t>
      </w:r>
      <w:r w:rsidRPr="008F509F">
        <w:rPr>
          <w:color w:val="000000"/>
          <w:szCs w:val="24"/>
        </w:rPr>
        <w:t>), NO</w:t>
      </w:r>
      <w:r w:rsidRPr="00CC770E">
        <w:rPr>
          <w:color w:val="000000"/>
          <w:szCs w:val="24"/>
          <w:vertAlign w:val="subscript"/>
        </w:rPr>
        <w:t>2</w:t>
      </w:r>
      <w:r w:rsidRPr="008F509F">
        <w:rPr>
          <w:color w:val="000000"/>
          <w:szCs w:val="24"/>
        </w:rPr>
        <w:t xml:space="preserve"> and ozone) are highly correlated with certain health outcomes.  Although t</w:t>
      </w:r>
      <w:r w:rsidRPr="008F509F">
        <w:rPr>
          <w:szCs w:val="24"/>
        </w:rPr>
        <w:t>he studies do not provide clear evidence to distinguish impacts associated with individual pollutants or a combination of pollutants within the complex ambient mixture as the putative agent(s), research efforts over the past decade have focused on particulate matter as the primary pollutant of concern (US EPA, 2009).  "Particulate matter," also known as PM or particle pollution, is a complex mixture of extremely small particles and liquid droplets.  Particle pollution is made up of a number of components, including acids (such as nitrates and sulfates), organic chemicals, metals, and soil or dust particles.  The size of particles is directly related to possible health effects associated with exposure to air pollution because small particles can pass through the throat and nose and enter the lungs.  Once inhaled, these particles can affect the heart and lungs and cause serious health effects.  Particulate matter is characterized by the aerodynamic size of the particles.  The inhalable course fraction has an aerodynamic diameter ranging from 10 to 2.5 micrometers.  The fine particle fraction has an aerodynamic diameter of 2.5 micrometers and smaller.  Ultrafine particles are those particles below 0.1 micrometers.</w:t>
      </w:r>
    </w:p>
    <w:p w:rsidR="00A327E6" w:rsidRPr="008F509F" w:rsidRDefault="00A327E6" w:rsidP="00E44AAF">
      <w:pPr>
        <w:pStyle w:val="NormalIndent"/>
        <w:spacing w:before="100" w:beforeAutospacing="1" w:after="100" w:afterAutospacing="1" w:line="400" w:lineRule="atLeast"/>
        <w:rPr>
          <w:szCs w:val="24"/>
        </w:rPr>
      </w:pPr>
      <w:r w:rsidRPr="008F509F">
        <w:rPr>
          <w:szCs w:val="24"/>
        </w:rPr>
        <w:t>Ultrafine particles (UFPs) are also important to consider because they are the major particulate fraction emitted from aircraft engines.  In addition, UFPs are capable of efficiently carrying and transporting large amounts of absorbed or condensed toxic air pollutants into the respiratory tract (Sioutas et al., 2005).  Current epidemiological evidence supports associations between inhalation of fine (≤2.5 µm) and ultrafine (≤0.1 µm) ambient particulate matter and increases in cardiovascular and respiratory morbidity and mortality (Delfino et al., 2005; Penn et al., 2005).  Recently promulgated ambient air standards by the US EPA for nitrogen dioxide (NO</w:t>
      </w:r>
      <w:r w:rsidRPr="008F509F">
        <w:rPr>
          <w:szCs w:val="24"/>
          <w:vertAlign w:val="subscript"/>
        </w:rPr>
        <w:t>2</w:t>
      </w:r>
      <w:r w:rsidRPr="008F509F">
        <w:rPr>
          <w:szCs w:val="24"/>
        </w:rPr>
        <w:t>) (US EPA, 2008) and SO</w:t>
      </w:r>
      <w:r w:rsidRPr="008F509F">
        <w:rPr>
          <w:szCs w:val="24"/>
          <w:vertAlign w:val="subscript"/>
        </w:rPr>
        <w:t>2</w:t>
      </w:r>
      <w:r w:rsidRPr="008F509F">
        <w:rPr>
          <w:szCs w:val="24"/>
        </w:rPr>
        <w:t xml:space="preserve"> (US EPA, 2008a) are based on studies that have demonstrated respiratory health effects from short-term exposure to NO</w:t>
      </w:r>
      <w:r w:rsidRPr="008F509F">
        <w:rPr>
          <w:szCs w:val="24"/>
          <w:vertAlign w:val="subscript"/>
        </w:rPr>
        <w:t>2</w:t>
      </w:r>
      <w:r w:rsidRPr="008F509F">
        <w:rPr>
          <w:szCs w:val="24"/>
        </w:rPr>
        <w:t xml:space="preserve"> and SO</w:t>
      </w:r>
      <w:r w:rsidRPr="008F509F">
        <w:rPr>
          <w:szCs w:val="24"/>
          <w:vertAlign w:val="subscript"/>
        </w:rPr>
        <w:t>2</w:t>
      </w:r>
      <w:r w:rsidRPr="008F509F">
        <w:rPr>
          <w:szCs w:val="24"/>
        </w:rPr>
        <w:t>, including airway inflammation in healthy people; increased respiratory symptoms in people with asthma, and increased visits to emergency departments and hospital admissio</w:t>
      </w:r>
      <w:r>
        <w:rPr>
          <w:szCs w:val="24"/>
        </w:rPr>
        <w:t xml:space="preserve">ns for respiratory illnesses.  </w:t>
      </w:r>
      <w:r w:rsidRPr="008F509F">
        <w:rPr>
          <w:szCs w:val="24"/>
        </w:rPr>
        <w:t>Thus, people with heart or lung diseases, children and older adults are the considered at-risk populations for these health impacts.</w:t>
      </w:r>
    </w:p>
    <w:p w:rsidR="00A327E6" w:rsidRPr="0021796A" w:rsidRDefault="00A327E6" w:rsidP="00E44AAF">
      <w:pPr>
        <w:spacing w:before="100" w:beforeAutospacing="1" w:after="100" w:afterAutospacing="1" w:line="400" w:lineRule="atLeast"/>
        <w:ind w:firstLine="720"/>
        <w:rPr>
          <w:szCs w:val="24"/>
        </w:rPr>
      </w:pPr>
      <w:r w:rsidRPr="008F509F">
        <w:rPr>
          <w:szCs w:val="24"/>
        </w:rPr>
        <w:t>Numerous scientific studies over the past 20 years have linked PM exposure to cardiovascular and respiratory health effects, including: premature death in people with heart or lung disease, nonfatal heart attacks, irregular heartbeat, aggravated asthma, decreased lung function, and increased respiratory symptoms, such as irritation of the airways, coughing or difficulty breathing</w:t>
      </w:r>
      <w:r w:rsidRPr="0021796A">
        <w:rPr>
          <w:szCs w:val="24"/>
        </w:rPr>
        <w:t xml:space="preserve">.  </w:t>
      </w:r>
    </w:p>
    <w:p w:rsidR="00A327E6" w:rsidRPr="0021796A" w:rsidRDefault="00A327E6" w:rsidP="00E44AAF">
      <w:pPr>
        <w:pStyle w:val="Caption"/>
        <w:spacing w:before="100" w:beforeAutospacing="1" w:after="100" w:afterAutospacing="1" w:line="400" w:lineRule="atLeast"/>
        <w:rPr>
          <w:rStyle w:val="Emphasis"/>
          <w:b w:val="0"/>
          <w:bCs w:val="0"/>
          <w:szCs w:val="24"/>
        </w:rPr>
      </w:pPr>
      <w:bookmarkStart w:id="37" w:name="_Toc345574289"/>
      <w:r w:rsidRPr="0021796A">
        <w:rPr>
          <w:rStyle w:val="Emphasis"/>
          <w:szCs w:val="24"/>
        </w:rPr>
        <w:t>Cardiovascular health outcomes</w:t>
      </w:r>
      <w:bookmarkEnd w:id="37"/>
    </w:p>
    <w:p w:rsidR="00A327E6" w:rsidRPr="008F509F" w:rsidRDefault="00A327E6" w:rsidP="00E44AAF">
      <w:pPr>
        <w:pStyle w:val="NormalIndent"/>
        <w:spacing w:before="100" w:beforeAutospacing="1" w:after="100" w:afterAutospacing="1" w:line="400" w:lineRule="atLeast"/>
        <w:rPr>
          <w:color w:val="000000"/>
          <w:szCs w:val="24"/>
        </w:rPr>
      </w:pPr>
      <w:r w:rsidRPr="008F509F">
        <w:rPr>
          <w:szCs w:val="24"/>
        </w:rPr>
        <w:t>According to Wilson and Culleton (2005) cardiovascular disease (CVD) is common in the general population, affecting most adults in the US over the age of 60 years.  As a diagnostic category, CVD includes five major areas: coronary heart disease (CHD) (manifested by myocardial infarction</w:t>
      </w:r>
      <w:r>
        <w:rPr>
          <w:szCs w:val="24"/>
        </w:rPr>
        <w:t xml:space="preserve"> (MI)</w:t>
      </w:r>
      <w:r w:rsidRPr="008F509F">
        <w:rPr>
          <w:szCs w:val="24"/>
        </w:rPr>
        <w:t>, angina pectoris, heart failure and coronary death); cerebrovascular disease (stroke and transient ischemic attack); and peripheral vascular disease (</w:t>
      </w:r>
      <w:r w:rsidRPr="008F509F">
        <w:rPr>
          <w:color w:val="000000"/>
          <w:szCs w:val="24"/>
        </w:rPr>
        <w:t xml:space="preserve">PVD).  Coronary heart disease (CHD) contributes approximately one-third to one-half of the total CVD.  The Framingham Heart Study reported a lifetime risk of coronary heart disease at age 40 years was 48.6% (95% CI 45.8–51.3) for men and 31.7% (29.2–34.2) for women.  At age 70 years, lifetime risk was 34.9% (31.2–38.7) for men and 24.2% (21.4–27.0) for women (Lloyd-Jones et al., 1999).  Most individuals with coronary heart disease show no evidence of disease as the disease progresses before the </w:t>
      </w:r>
      <w:r w:rsidRPr="008F509F">
        <w:rPr>
          <w:szCs w:val="24"/>
        </w:rPr>
        <w:t xml:space="preserve">first onset of symptoms, which may present as angina or a </w:t>
      </w:r>
      <w:r>
        <w:rPr>
          <w:szCs w:val="24"/>
        </w:rPr>
        <w:t>MI</w:t>
      </w:r>
      <w:r w:rsidRPr="008F509F">
        <w:rPr>
          <w:szCs w:val="24"/>
        </w:rPr>
        <w:t xml:space="preserve">.  Angina is a symptom of CHD and defined as </w:t>
      </w:r>
      <w:r w:rsidRPr="008F509F">
        <w:rPr>
          <w:color w:val="000000"/>
          <w:szCs w:val="24"/>
        </w:rPr>
        <w:t>chest pain or discomfort that occurs due to an inadequate supply of oxygen to the heart muscle.</w:t>
      </w:r>
    </w:p>
    <w:p w:rsidR="00A327E6" w:rsidRPr="008F509F" w:rsidRDefault="00A327E6" w:rsidP="00E44AAF">
      <w:pPr>
        <w:pStyle w:val="NormalIndent"/>
        <w:spacing w:before="100" w:beforeAutospacing="1" w:after="100" w:afterAutospacing="1" w:line="400" w:lineRule="atLeast"/>
        <w:rPr>
          <w:szCs w:val="24"/>
        </w:rPr>
      </w:pPr>
      <w:r w:rsidRPr="008F509F">
        <w:rPr>
          <w:szCs w:val="24"/>
        </w:rPr>
        <w:t xml:space="preserve">The biological mechanisms linking air pollution to heart disease involve direct effects of air pollutants on the cardiovascular system, blood, lungs and/or indirect effects mediated through pulmonary oxidative stress and inflammatory responses (Peters et al., 2001).  Studies on the latter topic seem to point to initiation of pulmonary and systemic oxidative stress and inflammation with a subsequent cascade of physiological responses that are capable of instigating cardiovascular effects (Brook et al., 2004).  These effects include, but are not limited to, myocardial infarction and angina (Brook et al., 2004).  Elderly patients, those with pre-existing cardiac or respiratory conditions, and diabetics have been identified as the primary individuals who may be at increased risk (Katsouyanni, 2003).  </w:t>
      </w:r>
    </w:p>
    <w:p w:rsidR="00A327E6" w:rsidRPr="008F509F" w:rsidRDefault="00A327E6" w:rsidP="00E44AAF">
      <w:pPr>
        <w:pStyle w:val="NormalIndent"/>
        <w:spacing w:before="100" w:beforeAutospacing="1" w:after="100" w:afterAutospacing="1" w:line="400" w:lineRule="atLeast"/>
        <w:rPr>
          <w:szCs w:val="24"/>
        </w:rPr>
      </w:pPr>
      <w:r w:rsidRPr="008F509F">
        <w:rPr>
          <w:szCs w:val="24"/>
        </w:rPr>
        <w:t>Historically, the primary health outcome observed in relation to particulate matter exposures has been mortality.  In one of the first studies identifying the health impacts of particulate matter exposure, Dockery et al. reported in the Harvard Six Cities Study that long-term exposure to air pollutants is independently associated with cardiovascular mortality, with PM</w:t>
      </w:r>
      <w:r w:rsidRPr="008F509F">
        <w:rPr>
          <w:szCs w:val="24"/>
          <w:vertAlign w:val="subscript"/>
        </w:rPr>
        <w:t xml:space="preserve">2.5 </w:t>
      </w:r>
      <w:r w:rsidRPr="008F509F">
        <w:rPr>
          <w:szCs w:val="24"/>
        </w:rPr>
        <w:t>and sulfates showing the strongest relationship to cardiovascular disease (Dockery et al., 1993).  Similar results were found in a seminal study of American Cancer Society (ACS) data (Pope, 1995) in which long-term exposure to increases in mean PM</w:t>
      </w:r>
      <w:r w:rsidRPr="008F509F">
        <w:rPr>
          <w:szCs w:val="24"/>
          <w:vertAlign w:val="subscript"/>
        </w:rPr>
        <w:t xml:space="preserve">2.5 </w:t>
      </w:r>
      <w:r w:rsidRPr="008F509F">
        <w:rPr>
          <w:szCs w:val="24"/>
        </w:rPr>
        <w:t>concentrations were associated with increases in cardiopulmonary mortality.  A follow-up study by Pope et al. in 2002 found that f</w:t>
      </w:r>
      <w:r w:rsidRPr="008F509F">
        <w:rPr>
          <w:rStyle w:val="abstract"/>
          <w:szCs w:val="24"/>
        </w:rPr>
        <w:t xml:space="preserve">ine particulate and sulfur oxide–related pollution were associated with all-cause mortality, lung cancer, and cardiopulmonary mortality.  </w:t>
      </w:r>
      <w:r w:rsidRPr="008F509F">
        <w:rPr>
          <w:szCs w:val="24"/>
        </w:rPr>
        <w:t>Follow-up studies of the Six Cities Study cohort (Laden et al., 2006) and ACS Study (Krewski et al., 2009) have also shown a decrease in mortality risk with decreases in PM</w:t>
      </w:r>
      <w:r w:rsidRPr="008F509F">
        <w:rPr>
          <w:szCs w:val="24"/>
          <w:vertAlign w:val="subscript"/>
        </w:rPr>
        <w:t xml:space="preserve">2.5 </w:t>
      </w:r>
      <w:r w:rsidRPr="008F509F">
        <w:rPr>
          <w:szCs w:val="24"/>
        </w:rPr>
        <w:t xml:space="preserve">that have occurred in these study areas over the past few decades </w:t>
      </w:r>
    </w:p>
    <w:p w:rsidR="00A327E6" w:rsidRPr="0021796A" w:rsidRDefault="00A327E6" w:rsidP="00E44AAF">
      <w:pPr>
        <w:pStyle w:val="Caption"/>
        <w:spacing w:before="100" w:beforeAutospacing="1" w:after="100" w:afterAutospacing="1" w:line="400" w:lineRule="atLeast"/>
        <w:rPr>
          <w:rStyle w:val="Emphasis"/>
          <w:i/>
          <w:caps w:val="0"/>
          <w:color w:val="auto"/>
          <w:spacing w:val="0"/>
          <w:szCs w:val="24"/>
        </w:rPr>
      </w:pPr>
      <w:r w:rsidRPr="0021796A">
        <w:rPr>
          <w:rStyle w:val="Emphasis"/>
          <w:i/>
          <w:caps w:val="0"/>
          <w:color w:val="auto"/>
          <w:spacing w:val="0"/>
          <w:szCs w:val="24"/>
        </w:rPr>
        <w:t>Hospitalizations and emergency department (ED) visits for cardiovascular outcomes</w:t>
      </w:r>
    </w:p>
    <w:p w:rsidR="00A327E6" w:rsidRPr="008F509F" w:rsidRDefault="00A327E6" w:rsidP="00E44AAF">
      <w:pPr>
        <w:pStyle w:val="Default"/>
        <w:spacing w:before="100" w:beforeAutospacing="1" w:after="100" w:afterAutospacing="1" w:line="400" w:lineRule="atLeast"/>
        <w:ind w:firstLine="720"/>
        <w:rPr>
          <w:rFonts w:ascii="Cambria" w:hAnsi="Cambria" w:cs="Calibri"/>
        </w:rPr>
      </w:pPr>
      <w:r w:rsidRPr="008F509F">
        <w:rPr>
          <w:rFonts w:ascii="Cambria" w:hAnsi="Cambria" w:cs="Calibri"/>
        </w:rPr>
        <w:t>Short-term exposure to PM</w:t>
      </w:r>
      <w:r w:rsidRPr="008F509F">
        <w:rPr>
          <w:rFonts w:ascii="Cambria" w:hAnsi="Cambria" w:cs="Calibri"/>
          <w:vertAlign w:val="subscript"/>
        </w:rPr>
        <w:t>2.5</w:t>
      </w:r>
      <w:r w:rsidRPr="008F509F">
        <w:rPr>
          <w:rFonts w:ascii="Cambria" w:hAnsi="Cambria" w:cs="Calibri"/>
        </w:rPr>
        <w:t xml:space="preserve">, particularly in patients with underlying coronary artery diseases, has also been linked to acute coronary events, including </w:t>
      </w:r>
      <w:r>
        <w:rPr>
          <w:rFonts w:ascii="Cambria" w:hAnsi="Cambria" w:cs="Calibri"/>
        </w:rPr>
        <w:t>MI</w:t>
      </w:r>
      <w:r w:rsidRPr="008F509F">
        <w:rPr>
          <w:rFonts w:ascii="Cambria" w:hAnsi="Cambria" w:cs="Calibri"/>
        </w:rPr>
        <w:t xml:space="preserve"> (Peters et al., 2004; Miller at al., 2007; von Klot et al., 2005), angina/other ischemic heart disease </w:t>
      </w:r>
      <w:r>
        <w:rPr>
          <w:rFonts w:ascii="Cambria" w:hAnsi="Cambria" w:cs="Calibri"/>
        </w:rPr>
        <w:t>(IHD)</w:t>
      </w:r>
      <w:r w:rsidRPr="008F509F">
        <w:rPr>
          <w:rFonts w:ascii="Cambria" w:hAnsi="Cambria" w:cs="Calibri"/>
        </w:rPr>
        <w:t xml:space="preserve">(Schwartz et al., 1995; Miller at al., 2007; von Klot et al., 2005; Pope et al., 2006b), dysrhythmias (Schwartz et al., 1995; Rosenlund et al., 2008), and heart failure (Schwartz et al., 1995).  </w:t>
      </w:r>
    </w:p>
    <w:p w:rsidR="00A327E6" w:rsidRPr="008F509F" w:rsidRDefault="00A327E6" w:rsidP="00E44AAF">
      <w:pPr>
        <w:pStyle w:val="Default"/>
        <w:spacing w:before="100" w:beforeAutospacing="1" w:after="100" w:afterAutospacing="1" w:line="400" w:lineRule="atLeast"/>
        <w:ind w:firstLine="720"/>
        <w:rPr>
          <w:rFonts w:ascii="Cambria" w:hAnsi="Cambria" w:cs="Calibri"/>
        </w:rPr>
      </w:pPr>
      <w:r w:rsidRPr="008F509F">
        <w:rPr>
          <w:rFonts w:ascii="Cambria" w:hAnsi="Cambria" w:cs="Calibri"/>
        </w:rPr>
        <w:t>US EPA reviewed several large multicity hospital admission and emergency department (ED) visit studies (MCAPS, Dominici et al., 2006; SOPHIA, Metzger et al., 2004; Peel et al., 2005; Tolbert et al., 2000;  APHEA and APHEA-2, Le Tertre et al., 2002; HEAPSS, Von Klot et al, 2005; Multicity Studies in Australia and New Zealand, Barnett et al., 2006).   They concluded that large studies from the US, Europe and Australia/New Zealand provide support for an association between short-term increases in ambient levels of PM</w:t>
      </w:r>
      <w:r w:rsidRPr="008F509F">
        <w:rPr>
          <w:rFonts w:ascii="Cambria" w:hAnsi="Cambria" w:cs="Calibri"/>
          <w:vertAlign w:val="subscript"/>
        </w:rPr>
        <w:t>2.5</w:t>
      </w:r>
      <w:r w:rsidRPr="008F509F">
        <w:rPr>
          <w:rFonts w:ascii="Cambria" w:hAnsi="Cambria" w:cs="Calibri"/>
        </w:rPr>
        <w:t xml:space="preserve"> and PM</w:t>
      </w:r>
      <w:r w:rsidRPr="008F509F">
        <w:rPr>
          <w:rFonts w:ascii="Cambria" w:hAnsi="Cambria" w:cs="Calibri"/>
          <w:vertAlign w:val="subscript"/>
        </w:rPr>
        <w:t>10</w:t>
      </w:r>
      <w:r w:rsidRPr="008F509F">
        <w:rPr>
          <w:rFonts w:ascii="Cambria" w:hAnsi="Cambria" w:cs="Calibri"/>
        </w:rPr>
        <w:t xml:space="preserve"> and increased risk of hospitalization for total cardiovascular disease.  US EPA cited studies showing associations between short-term increases in PM</w:t>
      </w:r>
      <w:r w:rsidRPr="008F509F">
        <w:rPr>
          <w:rFonts w:ascii="Cambria" w:hAnsi="Cambria" w:cs="Calibri"/>
          <w:vertAlign w:val="subscript"/>
        </w:rPr>
        <w:t>2.5</w:t>
      </w:r>
      <w:r w:rsidRPr="008F509F">
        <w:rPr>
          <w:rFonts w:ascii="Cambria" w:hAnsi="Cambria" w:cs="Calibri"/>
        </w:rPr>
        <w:t xml:space="preserve"> and </w:t>
      </w:r>
      <w:r>
        <w:rPr>
          <w:rFonts w:ascii="Cambria" w:hAnsi="Cambria" w:cs="Calibri"/>
        </w:rPr>
        <w:t>IHD</w:t>
      </w:r>
      <w:r w:rsidRPr="008F509F">
        <w:rPr>
          <w:rFonts w:ascii="Cambria" w:hAnsi="Cambria" w:cs="Calibri"/>
        </w:rPr>
        <w:t xml:space="preserve">, which represents a subset of all cardiac disease hospitalizations and is sometimes, termed “coronary heart disease,” although the extent of the association varies considerably between studies.  This category typically includes acute myocardial infarction (MI), acute and sub-acute forms of IHD, angina pectoris and other forms of chronic IHD.  For example, the positive associations ranged from early studies showing a 0.6% excess risk of hospitalization for IHD per 10 </w:t>
      </w:r>
      <w:r w:rsidRPr="008F509F">
        <w:rPr>
          <w:rStyle w:val="abstract"/>
          <w:rFonts w:ascii="Cambria" w:hAnsi="Cambria" w:cs="Calibri"/>
        </w:rPr>
        <w:t>µg/m</w:t>
      </w:r>
      <w:r w:rsidRPr="008F509F">
        <w:rPr>
          <w:rStyle w:val="abstract"/>
          <w:rFonts w:ascii="Cambria" w:hAnsi="Cambria" w:cs="Calibri"/>
          <w:vertAlign w:val="superscript"/>
        </w:rPr>
        <w:t>3</w:t>
      </w:r>
      <w:r w:rsidRPr="008F509F">
        <w:rPr>
          <w:rStyle w:val="abstract"/>
          <w:rFonts w:ascii="Cambria" w:hAnsi="Cambria" w:cs="Calibri"/>
        </w:rPr>
        <w:t xml:space="preserve"> </w:t>
      </w:r>
      <w:r w:rsidRPr="008F509F">
        <w:rPr>
          <w:rFonts w:ascii="Cambria" w:hAnsi="Cambria" w:cs="Calibri"/>
        </w:rPr>
        <w:t>increase in mean PM</w:t>
      </w:r>
      <w:r w:rsidRPr="008F509F">
        <w:rPr>
          <w:rFonts w:ascii="Cambria" w:hAnsi="Cambria" w:cs="Calibri"/>
          <w:vertAlign w:val="subscript"/>
        </w:rPr>
        <w:t>10</w:t>
      </w:r>
      <w:r w:rsidRPr="008F509F">
        <w:rPr>
          <w:rFonts w:ascii="Cambria" w:hAnsi="Cambria" w:cs="Calibri"/>
        </w:rPr>
        <w:t xml:space="preserve"> (Schwartz et al., 1995) to a study in Salt Lake City, Utah (Pope et al, 1996) that found a 4.8% excess risk of acute MI or unstable angina per 10 </w:t>
      </w:r>
      <w:r w:rsidRPr="008F509F">
        <w:rPr>
          <w:rStyle w:val="abstract"/>
          <w:rFonts w:ascii="Cambria" w:hAnsi="Cambria" w:cs="Calibri"/>
        </w:rPr>
        <w:t>µg/m</w:t>
      </w:r>
      <w:r w:rsidRPr="008F509F">
        <w:rPr>
          <w:rStyle w:val="abstract"/>
          <w:rFonts w:ascii="Cambria" w:hAnsi="Cambria" w:cs="Calibri"/>
          <w:vertAlign w:val="superscript"/>
        </w:rPr>
        <w:t>3</w:t>
      </w:r>
      <w:r w:rsidRPr="008F509F">
        <w:rPr>
          <w:rStyle w:val="abstract"/>
          <w:rFonts w:ascii="Cambria" w:hAnsi="Cambria" w:cs="Calibri"/>
        </w:rPr>
        <w:t xml:space="preserve"> </w:t>
      </w:r>
      <w:r w:rsidRPr="008F509F">
        <w:rPr>
          <w:rFonts w:ascii="Cambria" w:hAnsi="Cambria" w:cs="Calibri"/>
        </w:rPr>
        <w:t>increase in PM</w:t>
      </w:r>
      <w:r w:rsidRPr="008F509F">
        <w:rPr>
          <w:rFonts w:ascii="Cambria" w:hAnsi="Cambria" w:cs="Calibri"/>
          <w:vertAlign w:val="subscript"/>
        </w:rPr>
        <w:t>2.5</w:t>
      </w:r>
      <w:r w:rsidRPr="008F509F">
        <w:rPr>
          <w:rFonts w:ascii="Cambria" w:hAnsi="Cambria" w:cs="Calibri"/>
        </w:rPr>
        <w:t xml:space="preserve">.  A 2001 study in Boston by Peters et al. found that a 10 </w:t>
      </w:r>
      <w:r w:rsidRPr="008F509F">
        <w:rPr>
          <w:rStyle w:val="abstract"/>
          <w:rFonts w:ascii="Cambria" w:hAnsi="Cambria" w:cs="Calibri"/>
        </w:rPr>
        <w:t>µg/m</w:t>
      </w:r>
      <w:r w:rsidRPr="008F509F">
        <w:rPr>
          <w:rStyle w:val="abstract"/>
          <w:rFonts w:ascii="Cambria" w:hAnsi="Cambria" w:cs="Calibri"/>
          <w:vertAlign w:val="superscript"/>
        </w:rPr>
        <w:t xml:space="preserve">3 </w:t>
      </w:r>
      <w:r w:rsidRPr="008F509F">
        <w:rPr>
          <w:rStyle w:val="abstract"/>
          <w:rFonts w:ascii="Cambria" w:hAnsi="Cambria" w:cs="Calibri"/>
        </w:rPr>
        <w:t>increase</w:t>
      </w:r>
      <w:r w:rsidRPr="008F509F">
        <w:rPr>
          <w:rFonts w:ascii="Cambria" w:hAnsi="Cambria" w:cs="Calibri"/>
        </w:rPr>
        <w:t xml:space="preserve"> in the 2-hour average PM</w:t>
      </w:r>
      <w:r w:rsidRPr="008F509F">
        <w:rPr>
          <w:rFonts w:ascii="Cambria" w:hAnsi="Cambria" w:cs="Calibri"/>
          <w:vertAlign w:val="subscript"/>
        </w:rPr>
        <w:t xml:space="preserve">2.5 </w:t>
      </w:r>
      <w:r w:rsidRPr="008F509F">
        <w:rPr>
          <w:rFonts w:ascii="Cambria" w:hAnsi="Cambria" w:cs="Calibri"/>
        </w:rPr>
        <w:t xml:space="preserve">levels was associated with a 17% excess risk of MI and a 10 </w:t>
      </w:r>
      <w:r w:rsidRPr="008F509F">
        <w:rPr>
          <w:rStyle w:val="abstract"/>
          <w:rFonts w:ascii="Cambria" w:hAnsi="Cambria" w:cs="Calibri"/>
        </w:rPr>
        <w:t>µg/m</w:t>
      </w:r>
      <w:r w:rsidRPr="008F509F">
        <w:rPr>
          <w:rStyle w:val="abstract"/>
          <w:rFonts w:ascii="Cambria" w:hAnsi="Cambria" w:cs="Calibri"/>
          <w:vertAlign w:val="superscript"/>
        </w:rPr>
        <w:t xml:space="preserve">3 </w:t>
      </w:r>
      <w:r w:rsidRPr="008F509F">
        <w:rPr>
          <w:rFonts w:ascii="Cambria" w:hAnsi="Cambria" w:cs="Calibri"/>
        </w:rPr>
        <w:t>increase in the 24-hour average levels was associated with a 27% excess MI risk.  In contrast, a study using the same methodology in Washington State (Sullivan et al., 2005) found no association, although US EPA cites other studies suggesting that substantial heterogeneity of effects are to be expected across different locations.</w:t>
      </w:r>
    </w:p>
    <w:p w:rsidR="00A327E6" w:rsidRPr="0021796A" w:rsidRDefault="00A327E6" w:rsidP="00E44AAF">
      <w:pPr>
        <w:pStyle w:val="Caption"/>
        <w:spacing w:before="100" w:beforeAutospacing="1" w:after="100" w:afterAutospacing="1" w:line="400" w:lineRule="atLeast"/>
        <w:rPr>
          <w:rStyle w:val="Emphasis"/>
          <w:b w:val="0"/>
          <w:bCs w:val="0"/>
          <w:szCs w:val="24"/>
        </w:rPr>
      </w:pPr>
      <w:bookmarkStart w:id="38" w:name="_Toc345574290"/>
      <w:r w:rsidRPr="0021796A">
        <w:rPr>
          <w:rStyle w:val="Emphasis"/>
          <w:szCs w:val="24"/>
        </w:rPr>
        <w:t>Respiratory effects associated with exposure to air pollutants</w:t>
      </w:r>
      <w:bookmarkEnd w:id="38"/>
    </w:p>
    <w:p w:rsidR="00A327E6" w:rsidRPr="0021796A" w:rsidRDefault="00A327E6" w:rsidP="00E44AAF">
      <w:pPr>
        <w:pStyle w:val="NormalIndent"/>
        <w:spacing w:before="100" w:beforeAutospacing="1" w:after="100" w:afterAutospacing="1" w:line="400" w:lineRule="atLeast"/>
        <w:rPr>
          <w:szCs w:val="24"/>
        </w:rPr>
      </w:pPr>
      <w:r w:rsidRPr="0021796A">
        <w:rPr>
          <w:szCs w:val="24"/>
        </w:rPr>
        <w:t>Asthma is a physician-diagnosed chronic inflammatory disorder of the airways and is one of the most common chronic diseases of childhood, affecting 4 million children nationwide (NHLBI, 2007).  Asthma is a complex disorder characterized by variable and recurring symptoms, airflow obstruction, bronchial hyper-responsiveness, and an underlying inflammation.  In susceptible individuals, this inflammation causes recurrent episodes of wheezing, breathlessness, chest tightness, and coughing, particularly at night or in the early morning.  These episodes are usually associated with widespread but variable airflow obstruction that is often reversible, either spontaneously or</w:t>
      </w:r>
      <w:r>
        <w:rPr>
          <w:szCs w:val="24"/>
        </w:rPr>
        <w:t xml:space="preserve"> with treatment (NHLBI, 2010).</w:t>
      </w:r>
    </w:p>
    <w:p w:rsidR="00A327E6" w:rsidRPr="0021796A" w:rsidRDefault="00A327E6" w:rsidP="00E44AAF">
      <w:pPr>
        <w:autoSpaceDE w:val="0"/>
        <w:autoSpaceDN w:val="0"/>
        <w:adjustRightInd w:val="0"/>
        <w:spacing w:before="100" w:beforeAutospacing="1" w:after="100" w:afterAutospacing="1" w:line="400" w:lineRule="atLeast"/>
        <w:ind w:firstLine="720"/>
        <w:rPr>
          <w:szCs w:val="24"/>
        </w:rPr>
      </w:pPr>
      <w:r w:rsidRPr="0021796A">
        <w:rPr>
          <w:szCs w:val="24"/>
        </w:rPr>
        <w:t>According to the National Asthma Education and Prevention Program Expert Panel (2007), the development of asthma appears to involve the interplay between host factors (particularly genetics) and environmental exposures that occur at a crucial time in the development of the immune system.  Two major factors are the most important in the development, persistence, and possibly the severity of asthma: exposure to airborne allergens (particularly sensitization and exposure to house-dust mite and plant pathogens [Alternaria]) and history of viral respiratory infections (including respiratory syncytial virus [RSV] and rhinovirus).  Other environmental factors under study</w:t>
      </w:r>
      <w:r>
        <w:rPr>
          <w:szCs w:val="24"/>
        </w:rPr>
        <w:t xml:space="preserve"> include</w:t>
      </w:r>
      <w:r w:rsidRPr="0021796A">
        <w:rPr>
          <w:szCs w:val="24"/>
        </w:rPr>
        <w:t>: tobacco smoke (</w:t>
      </w:r>
      <w:r>
        <w:rPr>
          <w:szCs w:val="24"/>
        </w:rPr>
        <w:t xml:space="preserve">i.e., </w:t>
      </w:r>
      <w:r w:rsidRPr="0021796A">
        <w:rPr>
          <w:szCs w:val="24"/>
        </w:rPr>
        <w:t>exposure in utero is associated with an increased risk of wheezing, but a link to subsequent development of asthma has not been established), air pollution (</w:t>
      </w:r>
      <w:r>
        <w:rPr>
          <w:szCs w:val="24"/>
        </w:rPr>
        <w:t xml:space="preserve">e.g., </w:t>
      </w:r>
      <w:r w:rsidRPr="0021796A">
        <w:rPr>
          <w:szCs w:val="24"/>
        </w:rPr>
        <w:t>ozone and particular matter) and diet (</w:t>
      </w:r>
      <w:r>
        <w:rPr>
          <w:szCs w:val="24"/>
        </w:rPr>
        <w:t xml:space="preserve">e.g., </w:t>
      </w:r>
      <w:r w:rsidRPr="0021796A">
        <w:rPr>
          <w:szCs w:val="24"/>
        </w:rPr>
        <w:t>obesity or lower intake of antioxidants and omega-3 fatty acids).  The specific association of these factors with the onset of asthma has not been clearly defined.</w:t>
      </w:r>
    </w:p>
    <w:p w:rsidR="00A327E6" w:rsidRPr="0021796A" w:rsidRDefault="00A327E6" w:rsidP="00E44AAF">
      <w:pPr>
        <w:pStyle w:val="Caption"/>
        <w:spacing w:before="100" w:beforeAutospacing="1" w:after="100" w:afterAutospacing="1" w:line="400" w:lineRule="atLeast"/>
        <w:rPr>
          <w:i/>
          <w:szCs w:val="24"/>
        </w:rPr>
      </w:pPr>
      <w:r w:rsidRPr="0021796A">
        <w:rPr>
          <w:i/>
          <w:szCs w:val="24"/>
        </w:rPr>
        <w:t>Hospital admissions and emergency department (ED) visits for respiratory outcomes</w:t>
      </w:r>
    </w:p>
    <w:p w:rsidR="00A327E6" w:rsidRPr="0021796A" w:rsidRDefault="00A327E6" w:rsidP="00E44AAF">
      <w:pPr>
        <w:spacing w:before="100" w:beforeAutospacing="1" w:after="100" w:afterAutospacing="1" w:line="400" w:lineRule="atLeast"/>
        <w:ind w:firstLine="720"/>
        <w:rPr>
          <w:szCs w:val="24"/>
        </w:rPr>
      </w:pPr>
      <w:r w:rsidRPr="0021796A">
        <w:rPr>
          <w:szCs w:val="24"/>
        </w:rPr>
        <w:t>Epidemiological studies have reported significant positive associations between measured ambient air pollutants, notably particulate matter, and increased respiratory-related hospital admissions, emergency department and physician visits.  As noted previously, US EPA recently promulgated 1-hour ambient air standards for NO</w:t>
      </w:r>
      <w:r w:rsidRPr="0021796A">
        <w:rPr>
          <w:szCs w:val="24"/>
          <w:vertAlign w:val="subscript"/>
        </w:rPr>
        <w:t>2</w:t>
      </w:r>
      <w:r w:rsidRPr="0021796A">
        <w:rPr>
          <w:szCs w:val="24"/>
        </w:rPr>
        <w:t xml:space="preserve"> and SO</w:t>
      </w:r>
      <w:r w:rsidRPr="0021796A">
        <w:rPr>
          <w:szCs w:val="24"/>
          <w:vertAlign w:val="subscript"/>
        </w:rPr>
        <w:t xml:space="preserve">2 </w:t>
      </w:r>
      <w:r w:rsidRPr="0021796A">
        <w:rPr>
          <w:szCs w:val="24"/>
        </w:rPr>
        <w:t xml:space="preserve">based primarily on studies that found respiratory health effects.  These effects include airway inflammation in healthy people, increased respiratory symptoms in people with asthma, and increased visits to emergency departments and hospital admissions for respiratory illnesses.  </w:t>
      </w:r>
    </w:p>
    <w:p w:rsidR="00A327E6" w:rsidRPr="0021796A" w:rsidRDefault="00A327E6" w:rsidP="00E44AAF">
      <w:pPr>
        <w:spacing w:before="100" w:beforeAutospacing="1" w:after="100" w:afterAutospacing="1" w:line="400" w:lineRule="atLeast"/>
        <w:ind w:firstLine="720"/>
        <w:rPr>
          <w:rStyle w:val="abstract"/>
          <w:szCs w:val="24"/>
        </w:rPr>
      </w:pPr>
      <w:r w:rsidRPr="0021796A">
        <w:rPr>
          <w:szCs w:val="24"/>
        </w:rPr>
        <w:t>Numerous epidemiologic studies have found excess risk for hospitalizations and ED visits associated with exposure to PM</w:t>
      </w:r>
      <w:r w:rsidRPr="0021796A">
        <w:rPr>
          <w:szCs w:val="24"/>
          <w:vertAlign w:val="subscript"/>
        </w:rPr>
        <w:t>2.5</w:t>
      </w:r>
      <w:r w:rsidRPr="0021796A">
        <w:rPr>
          <w:szCs w:val="24"/>
        </w:rPr>
        <w:t xml:space="preserve"> and PM</w:t>
      </w:r>
      <w:r w:rsidRPr="0021796A">
        <w:rPr>
          <w:szCs w:val="24"/>
          <w:vertAlign w:val="subscript"/>
        </w:rPr>
        <w:t>10</w:t>
      </w:r>
      <w:r w:rsidRPr="0021796A">
        <w:rPr>
          <w:szCs w:val="24"/>
        </w:rPr>
        <w:t xml:space="preserve"> for all respiratory diseases combined, COPD admissions</w:t>
      </w:r>
      <w:r>
        <w:rPr>
          <w:szCs w:val="24"/>
        </w:rPr>
        <w:t>,</w:t>
      </w:r>
      <w:r w:rsidRPr="0021796A">
        <w:rPr>
          <w:szCs w:val="24"/>
        </w:rPr>
        <w:t xml:space="preserve"> and larger excess risks for asthma as well as increased physician visits.  US EPA reviewed over 90 studies published since 2002 of the potential association between PM and hospital admissions and ED visits.  In studies of children, the greatest risks observed by Barnett et al. (2005) using a 0-1 day lag, were increases in respiratory hospital admissions of 6.4% among infants (&lt;1 year of age) and 4.5 % among children 1-4 years of age per </w:t>
      </w:r>
      <w:r w:rsidRPr="0021796A">
        <w:rPr>
          <w:rStyle w:val="abstract"/>
          <w:szCs w:val="24"/>
        </w:rPr>
        <w:t>10 µg/m</w:t>
      </w:r>
      <w:r w:rsidRPr="0021796A">
        <w:rPr>
          <w:rStyle w:val="abstract"/>
          <w:szCs w:val="24"/>
          <w:vertAlign w:val="superscript"/>
        </w:rPr>
        <w:t xml:space="preserve">3 </w:t>
      </w:r>
      <w:r w:rsidRPr="0021796A">
        <w:rPr>
          <w:rStyle w:val="abstract"/>
          <w:szCs w:val="24"/>
        </w:rPr>
        <w:t>increase in PM</w:t>
      </w:r>
      <w:r w:rsidRPr="0021796A">
        <w:rPr>
          <w:rStyle w:val="abstract"/>
          <w:szCs w:val="24"/>
          <w:vertAlign w:val="subscript"/>
        </w:rPr>
        <w:t>2.5</w:t>
      </w:r>
      <w:r w:rsidRPr="0021796A">
        <w:rPr>
          <w:rStyle w:val="abstract"/>
          <w:szCs w:val="24"/>
        </w:rPr>
        <w:t>.  Other studies of respiratory hospitalizations and ED visits have reported increased risk to children in association with PM</w:t>
      </w:r>
      <w:r w:rsidRPr="0021796A">
        <w:rPr>
          <w:rStyle w:val="abstract"/>
          <w:szCs w:val="24"/>
          <w:vertAlign w:val="subscript"/>
        </w:rPr>
        <w:t>2.5</w:t>
      </w:r>
      <w:r w:rsidRPr="0021796A">
        <w:rPr>
          <w:rStyle w:val="abstract"/>
          <w:szCs w:val="24"/>
        </w:rPr>
        <w:t>, PM</w:t>
      </w:r>
      <w:r w:rsidRPr="0021796A">
        <w:rPr>
          <w:rStyle w:val="abstract"/>
          <w:szCs w:val="24"/>
          <w:vertAlign w:val="subscript"/>
        </w:rPr>
        <w:t>10-2.5</w:t>
      </w:r>
      <w:r w:rsidRPr="0021796A">
        <w:rPr>
          <w:rStyle w:val="abstract"/>
          <w:szCs w:val="24"/>
        </w:rPr>
        <w:t>, and PM</w:t>
      </w:r>
      <w:r w:rsidRPr="0021796A">
        <w:rPr>
          <w:rStyle w:val="abstract"/>
          <w:szCs w:val="24"/>
          <w:vertAlign w:val="subscript"/>
        </w:rPr>
        <w:t>10</w:t>
      </w:r>
      <w:r w:rsidRPr="0021796A">
        <w:rPr>
          <w:rStyle w:val="abstract"/>
          <w:szCs w:val="24"/>
        </w:rPr>
        <w:t xml:space="preserve"> (US EPA, 2009).  In adults, a study in Atlanta (Study of Particles and Health in Atlanta, SOPHIA) reported an excess risk of 1.3% per 10 µg/m</w:t>
      </w:r>
      <w:r w:rsidRPr="0021796A">
        <w:rPr>
          <w:rStyle w:val="abstract"/>
          <w:szCs w:val="24"/>
          <w:vertAlign w:val="superscript"/>
        </w:rPr>
        <w:t xml:space="preserve">3 </w:t>
      </w:r>
      <w:r w:rsidRPr="0021796A">
        <w:rPr>
          <w:rStyle w:val="abstract"/>
          <w:szCs w:val="24"/>
        </w:rPr>
        <w:t>increase in 24-hour average PM</w:t>
      </w:r>
      <w:r w:rsidRPr="0021796A">
        <w:rPr>
          <w:rStyle w:val="abstract"/>
          <w:szCs w:val="24"/>
          <w:vertAlign w:val="subscript"/>
        </w:rPr>
        <w:t>10</w:t>
      </w:r>
      <w:r w:rsidRPr="0021796A">
        <w:rPr>
          <w:rStyle w:val="abstract"/>
          <w:szCs w:val="24"/>
        </w:rPr>
        <w:t xml:space="preserve"> levels for ED visits for combined respiratory causes among all ages (Peel et al., 2005).  Similar findings were reported for additional years of data from the SOPHIA Study and in a study in Idaho (</w:t>
      </w:r>
      <w:r w:rsidRPr="0021796A">
        <w:rPr>
          <w:color w:val="000000"/>
          <w:szCs w:val="24"/>
        </w:rPr>
        <w:t>Ulirsch et al., 2007</w:t>
      </w:r>
      <w:r w:rsidRPr="0021796A">
        <w:rPr>
          <w:rStyle w:val="abstract"/>
          <w:szCs w:val="24"/>
        </w:rPr>
        <w:t xml:space="preserve">).  However, a study of respiratory admissions and ED visits in Spokane, Washington found no association with any size fraction of PM (Slaughter et al., 2005).  </w:t>
      </w:r>
      <w:r w:rsidRPr="0021796A">
        <w:rPr>
          <w:szCs w:val="24"/>
        </w:rPr>
        <w:t>This is consistent with the finding that air pollution is associated with hospital admissions for respiratory diseases throughout the world but the magnitude of the effect differs across locations (US EPA, 2009).</w:t>
      </w:r>
    </w:p>
    <w:p w:rsidR="00A327E6" w:rsidRPr="0021796A" w:rsidRDefault="00A327E6" w:rsidP="00E44AAF">
      <w:pPr>
        <w:pStyle w:val="Caption"/>
        <w:spacing w:before="100" w:beforeAutospacing="1" w:after="100" w:afterAutospacing="1" w:line="400" w:lineRule="atLeast"/>
        <w:rPr>
          <w:i/>
          <w:szCs w:val="24"/>
        </w:rPr>
      </w:pPr>
      <w:r w:rsidRPr="0021796A">
        <w:rPr>
          <w:i/>
          <w:szCs w:val="24"/>
        </w:rPr>
        <w:t>Hospital admissions and emergency department (ED) visits for asthma</w:t>
      </w:r>
    </w:p>
    <w:p w:rsidR="00A327E6" w:rsidRPr="0021796A" w:rsidRDefault="00A327E6" w:rsidP="00E44AAF">
      <w:pPr>
        <w:spacing w:before="100" w:beforeAutospacing="1" w:after="100" w:afterAutospacing="1" w:line="400" w:lineRule="atLeast"/>
        <w:ind w:firstLine="720"/>
        <w:rPr>
          <w:szCs w:val="24"/>
        </w:rPr>
      </w:pPr>
      <w:r>
        <w:rPr>
          <w:szCs w:val="24"/>
        </w:rPr>
        <w:t xml:space="preserve">Many studies of PM exposure and hospitalizations for asthma have found a positive effect, but results often vary by age and PM size fraction studied. </w:t>
      </w:r>
      <w:r w:rsidRPr="0021796A">
        <w:rPr>
          <w:szCs w:val="24"/>
        </w:rPr>
        <w:t xml:space="preserve">US EPA concluded that the effect estimates from studies of </w:t>
      </w:r>
      <w:r>
        <w:rPr>
          <w:szCs w:val="24"/>
        </w:rPr>
        <w:t>PM</w:t>
      </w:r>
      <w:r>
        <w:rPr>
          <w:szCs w:val="24"/>
          <w:vertAlign w:val="subscript"/>
        </w:rPr>
        <w:t>2.5</w:t>
      </w:r>
      <w:r>
        <w:rPr>
          <w:szCs w:val="24"/>
        </w:rPr>
        <w:t xml:space="preserve"> and </w:t>
      </w:r>
      <w:r w:rsidRPr="0021796A">
        <w:rPr>
          <w:szCs w:val="24"/>
        </w:rPr>
        <w:t>hospital admissions and ED visits for asthma for 10 pediatric studies are imprecise and not consistently positive across different age groups</w:t>
      </w:r>
      <w:r>
        <w:rPr>
          <w:szCs w:val="24"/>
        </w:rPr>
        <w:t xml:space="preserve"> and lag times (US EPA, 2009).  However, for studies of adults or adults and children combined, a</w:t>
      </w:r>
      <w:r w:rsidRPr="0021796A">
        <w:rPr>
          <w:szCs w:val="24"/>
        </w:rPr>
        <w:t>ssociations of asthma hospital admissions and ED visits with PM</w:t>
      </w:r>
      <w:r w:rsidRPr="00E9728F">
        <w:rPr>
          <w:szCs w:val="24"/>
          <w:vertAlign w:val="subscript"/>
        </w:rPr>
        <w:t xml:space="preserve">2.5 </w:t>
      </w:r>
      <w:r w:rsidRPr="0021796A">
        <w:rPr>
          <w:szCs w:val="24"/>
        </w:rPr>
        <w:t>were observed in most studies</w:t>
      </w:r>
      <w:r>
        <w:rPr>
          <w:szCs w:val="24"/>
        </w:rPr>
        <w:t xml:space="preserve">.  For both adults and children, </w:t>
      </w:r>
      <w:r w:rsidRPr="0021796A">
        <w:rPr>
          <w:szCs w:val="24"/>
        </w:rPr>
        <w:t>studies of associations with PM</w:t>
      </w:r>
      <w:r w:rsidRPr="00E9728F">
        <w:rPr>
          <w:szCs w:val="24"/>
          <w:vertAlign w:val="subscript"/>
        </w:rPr>
        <w:t>10</w:t>
      </w:r>
      <w:r w:rsidRPr="0021796A">
        <w:rPr>
          <w:szCs w:val="24"/>
        </w:rPr>
        <w:t xml:space="preserve"> are more consistently positive.  Overall, US EPA has concluded that recent studies on PM</w:t>
      </w:r>
      <w:r w:rsidRPr="00E9728F">
        <w:rPr>
          <w:szCs w:val="24"/>
          <w:vertAlign w:val="subscript"/>
        </w:rPr>
        <w:t>2.5</w:t>
      </w:r>
      <w:r w:rsidRPr="0021796A">
        <w:rPr>
          <w:szCs w:val="24"/>
        </w:rPr>
        <w:t xml:space="preserve"> and respiratory hospitalizations and ED visits have been consistently observed.  Most effect estimates were in the rang</w:t>
      </w:r>
      <w:r>
        <w:rPr>
          <w:szCs w:val="24"/>
        </w:rPr>
        <w:t xml:space="preserve">e of about 1-4% increased risk of hospitalization in areas with </w:t>
      </w:r>
      <w:r w:rsidRPr="0021796A">
        <w:rPr>
          <w:szCs w:val="24"/>
        </w:rPr>
        <w:t>mean 24-hour PM</w:t>
      </w:r>
      <w:r w:rsidRPr="00E9728F">
        <w:rPr>
          <w:szCs w:val="24"/>
          <w:vertAlign w:val="subscript"/>
        </w:rPr>
        <w:t>2.5</w:t>
      </w:r>
      <w:r>
        <w:rPr>
          <w:szCs w:val="24"/>
          <w:vertAlign w:val="subscript"/>
        </w:rPr>
        <w:t xml:space="preserve"> </w:t>
      </w:r>
      <w:r w:rsidRPr="0021796A">
        <w:rPr>
          <w:szCs w:val="24"/>
        </w:rPr>
        <w:t>concentrations between 6.1 and 22 µg/m</w:t>
      </w:r>
      <w:r w:rsidRPr="0021796A">
        <w:rPr>
          <w:szCs w:val="24"/>
          <w:vertAlign w:val="superscript"/>
        </w:rPr>
        <w:t>3</w:t>
      </w:r>
      <w:r w:rsidRPr="0021796A">
        <w:rPr>
          <w:szCs w:val="24"/>
        </w:rPr>
        <w:t>.</w:t>
      </w:r>
    </w:p>
    <w:p w:rsidR="00A327E6" w:rsidRPr="0021796A" w:rsidRDefault="00A327E6" w:rsidP="00E44AAF">
      <w:pPr>
        <w:pStyle w:val="Caption"/>
        <w:spacing w:before="100" w:beforeAutospacing="1" w:after="100" w:afterAutospacing="1" w:line="400" w:lineRule="atLeast"/>
        <w:rPr>
          <w:i/>
          <w:szCs w:val="24"/>
        </w:rPr>
      </w:pPr>
      <w:r w:rsidRPr="0021796A">
        <w:rPr>
          <w:i/>
          <w:szCs w:val="24"/>
        </w:rPr>
        <w:t>Respiratory symptoms</w:t>
      </w:r>
    </w:p>
    <w:p w:rsidR="00A327E6" w:rsidRPr="0021796A" w:rsidRDefault="00A327E6" w:rsidP="00E44AAF">
      <w:pPr>
        <w:pStyle w:val="NormalIndent"/>
        <w:spacing w:before="100" w:beforeAutospacing="1" w:after="100" w:afterAutospacing="1" w:line="400" w:lineRule="atLeast"/>
        <w:rPr>
          <w:szCs w:val="24"/>
        </w:rPr>
      </w:pPr>
      <w:r w:rsidRPr="0021796A">
        <w:rPr>
          <w:szCs w:val="24"/>
        </w:rPr>
        <w:t>Multiple studies conducted throughout the world (North America, Europe</w:t>
      </w:r>
      <w:r>
        <w:rPr>
          <w:szCs w:val="24"/>
        </w:rPr>
        <w:t>,</w:t>
      </w:r>
      <w:r w:rsidRPr="0021796A">
        <w:rPr>
          <w:szCs w:val="24"/>
        </w:rPr>
        <w:t xml:space="preserve"> and Germany) have established significant associations of respiratory symptoms (increase in cough, wheeze</w:t>
      </w:r>
      <w:r>
        <w:rPr>
          <w:szCs w:val="24"/>
        </w:rPr>
        <w:t>,</w:t>
      </w:r>
      <w:r w:rsidRPr="0021796A">
        <w:rPr>
          <w:szCs w:val="24"/>
        </w:rPr>
        <w:t xml:space="preserve"> and bronchitis), and impairment of lung function among individuals exposed to PM (c</w:t>
      </w:r>
      <w:r>
        <w:rPr>
          <w:szCs w:val="24"/>
        </w:rPr>
        <w:t xml:space="preserve">ited in Kappos et al., 2004).  </w:t>
      </w:r>
      <w:r w:rsidRPr="0021796A">
        <w:rPr>
          <w:szCs w:val="24"/>
        </w:rPr>
        <w:t>A growing body of evidence indicates that a substantial number of children and adults experienc</w:t>
      </w:r>
      <w:r>
        <w:rPr>
          <w:szCs w:val="24"/>
        </w:rPr>
        <w:t>ing</w:t>
      </w:r>
      <w:r w:rsidRPr="0021796A">
        <w:rPr>
          <w:szCs w:val="24"/>
        </w:rPr>
        <w:t xml:space="preserve"> asthma-like symptoms are no</w:t>
      </w:r>
      <w:r>
        <w:rPr>
          <w:szCs w:val="24"/>
        </w:rPr>
        <w:t>t diagnosed with asthma (Yeatts</w:t>
      </w:r>
      <w:r w:rsidRPr="0021796A">
        <w:rPr>
          <w:szCs w:val="24"/>
        </w:rPr>
        <w:t xml:space="preserve"> et al</w:t>
      </w:r>
      <w:r>
        <w:rPr>
          <w:szCs w:val="24"/>
        </w:rPr>
        <w:t>.</w:t>
      </w:r>
      <w:r w:rsidRPr="0021796A">
        <w:rPr>
          <w:szCs w:val="24"/>
        </w:rPr>
        <w:t xml:space="preserve">, 2003, Lee </w:t>
      </w:r>
      <w:r>
        <w:rPr>
          <w:szCs w:val="24"/>
        </w:rPr>
        <w:t>e</w:t>
      </w:r>
      <w:r w:rsidRPr="0021796A">
        <w:rPr>
          <w:szCs w:val="24"/>
        </w:rPr>
        <w:t>t al., 2007; US EPA, 2009)</w:t>
      </w:r>
      <w:r>
        <w:rPr>
          <w:szCs w:val="24"/>
        </w:rPr>
        <w:t xml:space="preserve">.  </w:t>
      </w:r>
      <w:r w:rsidRPr="0021796A">
        <w:rPr>
          <w:szCs w:val="24"/>
        </w:rPr>
        <w:t xml:space="preserve"> </w:t>
      </w:r>
    </w:p>
    <w:p w:rsidR="00A327E6" w:rsidRPr="0021796A" w:rsidRDefault="00A327E6" w:rsidP="00E44AAF">
      <w:pPr>
        <w:pStyle w:val="Caption"/>
        <w:spacing w:before="100" w:beforeAutospacing="1" w:after="100" w:afterAutospacing="1" w:line="400" w:lineRule="atLeast"/>
        <w:rPr>
          <w:i/>
          <w:szCs w:val="24"/>
        </w:rPr>
      </w:pPr>
      <w:r w:rsidRPr="0021796A">
        <w:rPr>
          <w:i/>
          <w:szCs w:val="24"/>
        </w:rPr>
        <w:t>Respiratory symptoms and medication use</w:t>
      </w:r>
    </w:p>
    <w:p w:rsidR="00A327E6" w:rsidRPr="008F509F" w:rsidRDefault="00A327E6" w:rsidP="00E44AAF">
      <w:pPr>
        <w:pStyle w:val="NormalIndent"/>
        <w:spacing w:before="100" w:beforeAutospacing="1" w:after="100" w:afterAutospacing="1" w:line="400" w:lineRule="atLeast"/>
        <w:rPr>
          <w:szCs w:val="24"/>
        </w:rPr>
      </w:pPr>
      <w:r w:rsidRPr="008F509F">
        <w:rPr>
          <w:szCs w:val="24"/>
        </w:rPr>
        <w:t>Epidemiologic studies of asthmatic children have observed increased respiratory symptoms and asthma medication use in those exposed to higher concentrations of PM</w:t>
      </w:r>
      <w:r w:rsidRPr="00E9728F">
        <w:rPr>
          <w:szCs w:val="24"/>
          <w:vertAlign w:val="subscript"/>
        </w:rPr>
        <w:t xml:space="preserve">2.5 </w:t>
      </w:r>
      <w:r w:rsidRPr="008F509F">
        <w:rPr>
          <w:szCs w:val="24"/>
        </w:rPr>
        <w:t>and PM</w:t>
      </w:r>
      <w:r w:rsidRPr="00E9728F">
        <w:rPr>
          <w:szCs w:val="24"/>
          <w:vertAlign w:val="subscript"/>
        </w:rPr>
        <w:t>10</w:t>
      </w:r>
      <w:r w:rsidRPr="008F509F">
        <w:rPr>
          <w:szCs w:val="24"/>
        </w:rPr>
        <w:t xml:space="preserve"> (US EPA, 2009) and ozone (Millstein et al., 2004)</w:t>
      </w:r>
      <w:r>
        <w:rPr>
          <w:szCs w:val="24"/>
        </w:rPr>
        <w:t xml:space="preserve">.  </w:t>
      </w:r>
      <w:r w:rsidRPr="008F509F">
        <w:rPr>
          <w:szCs w:val="24"/>
        </w:rPr>
        <w:t xml:space="preserve">Similar studies among asthmatic adults are less consistent and these associations have not been demonstrated for healthy individuals.  </w:t>
      </w:r>
    </w:p>
    <w:p w:rsidR="00A327E6" w:rsidRPr="0021796A" w:rsidRDefault="00A327E6" w:rsidP="00E44AAF">
      <w:pPr>
        <w:pStyle w:val="Caption"/>
        <w:spacing w:before="100" w:beforeAutospacing="1" w:after="100" w:afterAutospacing="1" w:line="400" w:lineRule="atLeast"/>
        <w:rPr>
          <w:i/>
          <w:szCs w:val="24"/>
        </w:rPr>
      </w:pPr>
      <w:r w:rsidRPr="0021796A">
        <w:rPr>
          <w:i/>
          <w:szCs w:val="24"/>
        </w:rPr>
        <w:t>Respiratory health effects from other criteria pollutants</w:t>
      </w:r>
    </w:p>
    <w:p w:rsidR="00A327E6" w:rsidRPr="008F509F" w:rsidRDefault="00A327E6" w:rsidP="00E44AAF">
      <w:pPr>
        <w:pStyle w:val="NormalIndent"/>
        <w:spacing w:before="100" w:beforeAutospacing="1" w:after="100" w:afterAutospacing="1" w:line="400" w:lineRule="atLeast"/>
        <w:rPr>
          <w:szCs w:val="24"/>
        </w:rPr>
      </w:pPr>
      <w:r w:rsidRPr="008F509F">
        <w:rPr>
          <w:szCs w:val="24"/>
        </w:rPr>
        <w:t>Oxides of nitrogen (NO</w:t>
      </w:r>
      <w:r w:rsidRPr="0021796A">
        <w:rPr>
          <w:szCs w:val="24"/>
          <w:vertAlign w:val="subscript"/>
        </w:rPr>
        <w:t>x</w:t>
      </w:r>
      <w:r w:rsidRPr="008F509F">
        <w:rPr>
          <w:szCs w:val="24"/>
        </w:rPr>
        <w:t>) is the general term that describes a mixture of highly reactive gases that contain nitrogen and oxygen in varying amounts (e.g.,  nitric oxide [NO] and nitrogen dioxide [NO</w:t>
      </w:r>
      <w:r w:rsidRPr="0021796A">
        <w:rPr>
          <w:szCs w:val="24"/>
          <w:vertAlign w:val="subscript"/>
        </w:rPr>
        <w:t>2</w:t>
      </w:r>
      <w:r w:rsidRPr="008F509F">
        <w:rPr>
          <w:szCs w:val="24"/>
        </w:rPr>
        <w:t>]) that affect the respiratory system.  Symptoms include wheezing, cough, reduced lung function, and increased airway responsiveness in normal and asthmatic individuals.  NO</w:t>
      </w:r>
      <w:r w:rsidRPr="00090C5E">
        <w:rPr>
          <w:szCs w:val="24"/>
          <w:vertAlign w:val="subscript"/>
        </w:rPr>
        <w:t>x</w:t>
      </w:r>
      <w:r w:rsidRPr="008F509F">
        <w:rPr>
          <w:szCs w:val="24"/>
        </w:rPr>
        <w:t xml:space="preserve"> may also be a co-factor in the tissue damage associated with exposure to ambient levels of ozone.  High indoor NO</w:t>
      </w:r>
      <w:r w:rsidRPr="00090C5E">
        <w:rPr>
          <w:szCs w:val="24"/>
          <w:vertAlign w:val="subscript"/>
        </w:rPr>
        <w:t>x</w:t>
      </w:r>
      <w:r w:rsidRPr="008F509F">
        <w:rPr>
          <w:szCs w:val="24"/>
        </w:rPr>
        <w:t xml:space="preserve"> exposure in children has been linked to a reduced resistance to respiratory infections and an increased likelihood of respiratory illness including wheezing and persistent cough (van Strien et al., 2004).  NO</w:t>
      </w:r>
      <w:r w:rsidRPr="00090C5E">
        <w:rPr>
          <w:szCs w:val="24"/>
          <w:vertAlign w:val="subscript"/>
        </w:rPr>
        <w:t>x</w:t>
      </w:r>
      <w:r w:rsidRPr="008F509F">
        <w:rPr>
          <w:szCs w:val="24"/>
        </w:rPr>
        <w:t xml:space="preserve"> emissions have also been associated with increased severity of virus-induced asthma exacerbation (Chauhan et al., 2003) and respiratory illness in children and proximity to roadways (Brunekreef et al., 1997).</w:t>
      </w:r>
    </w:p>
    <w:p w:rsidR="00A327E6" w:rsidRPr="008F509F" w:rsidRDefault="00A327E6" w:rsidP="00E44AAF">
      <w:pPr>
        <w:pStyle w:val="NormalIndent"/>
        <w:spacing w:before="100" w:beforeAutospacing="1" w:after="100" w:afterAutospacing="1" w:line="400" w:lineRule="atLeast"/>
        <w:rPr>
          <w:szCs w:val="24"/>
        </w:rPr>
      </w:pPr>
      <w:r w:rsidRPr="008F509F">
        <w:rPr>
          <w:szCs w:val="24"/>
        </w:rPr>
        <w:t>Sulfur dioxide (SO</w:t>
      </w:r>
      <w:r w:rsidRPr="0021796A">
        <w:rPr>
          <w:szCs w:val="24"/>
          <w:vertAlign w:val="subscript"/>
        </w:rPr>
        <w:t>2</w:t>
      </w:r>
      <w:r w:rsidRPr="008F509F">
        <w:rPr>
          <w:szCs w:val="24"/>
        </w:rPr>
        <w:t>) is a direct respiratory irritant and contributes to the formation of sulfate and sulfuric acid adsorbed onto particulate matter.  Compared to children from less polluted areas, children residing in industrial communities with high concentrations of SO</w:t>
      </w:r>
      <w:r w:rsidRPr="0021796A">
        <w:rPr>
          <w:szCs w:val="24"/>
          <w:vertAlign w:val="subscript"/>
        </w:rPr>
        <w:t xml:space="preserve">2 </w:t>
      </w:r>
      <w:r w:rsidRPr="008F509F">
        <w:rPr>
          <w:szCs w:val="24"/>
        </w:rPr>
        <w:t>and total</w:t>
      </w:r>
      <w:r w:rsidRPr="0021796A">
        <w:rPr>
          <w:szCs w:val="24"/>
          <w:vertAlign w:val="subscript"/>
        </w:rPr>
        <w:t xml:space="preserve"> </w:t>
      </w:r>
      <w:r w:rsidRPr="008F509F">
        <w:rPr>
          <w:szCs w:val="24"/>
        </w:rPr>
        <w:t>suspended particulates had higher lifetime prevalence of allergies, eczema, bronchitis, wheeze, shortness of breath, and cough without cold (Heinrich, 2003).</w:t>
      </w:r>
    </w:p>
    <w:p w:rsidR="00A327E6" w:rsidRPr="0021796A" w:rsidRDefault="00A327E6" w:rsidP="00E44AAF">
      <w:pPr>
        <w:pStyle w:val="NormalIndent"/>
        <w:spacing w:before="100" w:beforeAutospacing="1" w:after="100" w:afterAutospacing="1" w:line="400" w:lineRule="atLeast"/>
        <w:rPr>
          <w:szCs w:val="24"/>
        </w:rPr>
      </w:pPr>
      <w:r w:rsidRPr="0021796A">
        <w:rPr>
          <w:szCs w:val="24"/>
        </w:rPr>
        <w:t>Volatile organic compounds (VOCs) are also linked to respiratory morbidity</w:t>
      </w:r>
      <w:r>
        <w:rPr>
          <w:szCs w:val="24"/>
        </w:rPr>
        <w:t xml:space="preserve">.  In </w:t>
      </w:r>
      <w:r w:rsidRPr="0021796A">
        <w:rPr>
          <w:szCs w:val="24"/>
        </w:rPr>
        <w:t>particular</w:t>
      </w:r>
      <w:r>
        <w:rPr>
          <w:szCs w:val="24"/>
        </w:rPr>
        <w:t>, the respir</w:t>
      </w:r>
      <w:r w:rsidRPr="0021796A">
        <w:rPr>
          <w:szCs w:val="24"/>
        </w:rPr>
        <w:t xml:space="preserve">atory irritant acrolein and several aldehyde compounds </w:t>
      </w:r>
      <w:r>
        <w:rPr>
          <w:szCs w:val="24"/>
        </w:rPr>
        <w:t>are thought to</w:t>
      </w:r>
      <w:r w:rsidRPr="0021796A">
        <w:rPr>
          <w:szCs w:val="24"/>
        </w:rPr>
        <w:t xml:space="preserve"> interact within the complex mixture of ambient pollutants to exacerbate asthma and asthma-related symptoms</w:t>
      </w:r>
      <w:r>
        <w:rPr>
          <w:szCs w:val="24"/>
        </w:rPr>
        <w:t xml:space="preserve"> (Leikauf, 2002).  </w:t>
      </w:r>
      <w:r w:rsidRPr="0021796A">
        <w:rPr>
          <w:szCs w:val="24"/>
        </w:rPr>
        <w:t>VOCs contribute to the formation of ozone and airborne secondary particles.  Ozone is formed in the atmosphere from the reaction of combustion by-products - NOx, VOCs</w:t>
      </w:r>
      <w:r>
        <w:rPr>
          <w:szCs w:val="24"/>
        </w:rPr>
        <w:t>,</w:t>
      </w:r>
      <w:r w:rsidRPr="0021796A">
        <w:rPr>
          <w:szCs w:val="24"/>
        </w:rPr>
        <w:t xml:space="preserve"> and ultraviolet light.  </w:t>
      </w:r>
    </w:p>
    <w:p w:rsidR="00A327E6" w:rsidRPr="0021796A" w:rsidRDefault="00A327E6" w:rsidP="00E44AAF">
      <w:pPr>
        <w:pStyle w:val="Caption"/>
        <w:spacing w:before="100" w:beforeAutospacing="1" w:after="100" w:afterAutospacing="1" w:line="400" w:lineRule="atLeast"/>
        <w:rPr>
          <w:i/>
          <w:szCs w:val="24"/>
        </w:rPr>
      </w:pPr>
      <w:r w:rsidRPr="0021796A">
        <w:rPr>
          <w:i/>
          <w:szCs w:val="24"/>
        </w:rPr>
        <w:t>Chronic obstructive pulmonary disease (COPD)</w:t>
      </w:r>
    </w:p>
    <w:p w:rsidR="00A327E6" w:rsidRPr="0021796A" w:rsidRDefault="00A327E6" w:rsidP="00E44AAF">
      <w:pPr>
        <w:pStyle w:val="NormalIndent"/>
        <w:spacing w:before="100" w:beforeAutospacing="1" w:after="100" w:afterAutospacing="1" w:line="400" w:lineRule="atLeast"/>
        <w:rPr>
          <w:szCs w:val="24"/>
        </w:rPr>
      </w:pPr>
      <w:r w:rsidRPr="0021796A">
        <w:rPr>
          <w:szCs w:val="24"/>
        </w:rPr>
        <w:t>Although precise definitions vary, the American Thoracic Society (ATS) has defined COPD as “a disease state characterized by the presence of airflow limitation due to chronic bronchitis or emphysema; the airflow obstruction is generally progressive, may be accompanied by airway hyperreactivity, and may be partially reversible.”  COPD is a nonspecific term that refers to a large group of lung diseases characterized by airflow obstruction with related symptoms (e.g., chronic cough, exertion dyspnea, expectoration, wheeze) (Mannino, 2002).  Estimates of COPD prevalence primarily refer to patients with a diagnosis of either chronic bronchitis or emphysema (Sunyer, 2001).</w:t>
      </w:r>
    </w:p>
    <w:p w:rsidR="00A327E6" w:rsidRPr="0021796A" w:rsidRDefault="00A327E6" w:rsidP="00E44AAF">
      <w:pPr>
        <w:pStyle w:val="NormalIndent"/>
        <w:spacing w:before="100" w:beforeAutospacing="1" w:after="100" w:afterAutospacing="1" w:line="400" w:lineRule="atLeast"/>
        <w:rPr>
          <w:szCs w:val="24"/>
        </w:rPr>
      </w:pPr>
      <w:r w:rsidRPr="0021796A">
        <w:rPr>
          <w:szCs w:val="24"/>
        </w:rPr>
        <w:t xml:space="preserve">COPD is a leading cause of death and disability/morbidity in the United States (Mannino, 2002).  The burden of disease associated with COPD is largely underestimated because a diagnosis of COPD is associated with increased risk for hospitalization and in-hospital mortality from other common diagnoses.  For example, hospital discharges with primary or secondary COPD are more frequently diagnosed with other co-morbid conditions, including cardiac and pulmonary vascular disease, pneumonia and thoracic malignancies.  Even in patients with severe COPD, a large number are admitted to the hospital for other co-morbidities, with COPD labeled as a secondary diagnosis (Holguin et al., 2005; Peel at al., 2007).  </w:t>
      </w:r>
    </w:p>
    <w:p w:rsidR="00A327E6" w:rsidRDefault="00A327E6" w:rsidP="00E44AAF">
      <w:pPr>
        <w:pStyle w:val="NormalIndent"/>
        <w:spacing w:before="100" w:beforeAutospacing="1" w:after="100" w:afterAutospacing="1" w:line="400" w:lineRule="atLeast"/>
        <w:rPr>
          <w:szCs w:val="24"/>
        </w:rPr>
      </w:pPr>
      <w:r w:rsidRPr="0021796A">
        <w:rPr>
          <w:szCs w:val="24"/>
        </w:rPr>
        <w:t xml:space="preserve">While cigarette smoking is the primary risk factor for an estimated 80-90% of COPD cases, occupational exposures and exposure to indoor and outdoor air pollutants are also risk factors for COPD.  Other risk factors for COPD include second-hand smoke, history of childhood respiratory infections, and heredity.  COPD has been associated with smoke from biomass fuel, history of pulmonary tuberculosis, chronic asthma, and respiratory tract infections during childhood (Salvi et al., 2009).  </w:t>
      </w:r>
    </w:p>
    <w:p w:rsidR="00A327E6" w:rsidRPr="008F509F" w:rsidRDefault="00A327E6" w:rsidP="00E44AAF">
      <w:pPr>
        <w:pStyle w:val="NormalIndent"/>
        <w:spacing w:before="100" w:beforeAutospacing="1" w:after="100" w:afterAutospacing="1" w:line="400" w:lineRule="atLeast"/>
        <w:rPr>
          <w:szCs w:val="24"/>
        </w:rPr>
      </w:pPr>
      <w:r w:rsidRPr="008F509F">
        <w:rPr>
          <w:szCs w:val="24"/>
        </w:rPr>
        <w:t xml:space="preserve">Decline in lung function/airway obstruction is a hallmark of COPD and studies suggest that ambient air pollution may play an important role in new onset and exacerbation of COPD (MacNee et al., 2000; MacNee et al., 2003).  </w:t>
      </w:r>
      <w:r w:rsidRPr="0021796A">
        <w:rPr>
          <w:szCs w:val="24"/>
        </w:rPr>
        <w:t xml:space="preserve">In a review of studies assessing the association between air pollution and COPD, Sunyer (2001) concluded that air pollution is related to the following: the increase of self-reported diagnosis of chronic bronchitis or emphysema as reported in two studies (NHANES and Adventist Health Air Pollution Study); an increased prevalence of breathlessness and mucous hypersecretion as reported in the Swiss Cohort Study on Air Pollution and Lung and Heart Diseases in Adults (SAPALDIA) study; and lower lung function levels in adults as reported in cross-sectional studies. </w:t>
      </w:r>
      <w:r>
        <w:rPr>
          <w:szCs w:val="24"/>
        </w:rPr>
        <w:t xml:space="preserve"> </w:t>
      </w:r>
      <w:r w:rsidRPr="008F509F">
        <w:rPr>
          <w:szCs w:val="24"/>
        </w:rPr>
        <w:t xml:space="preserve">A number of studies have looked at the effect of air pollution on reduced or impaired lung function, or accelerated decline in lung function, and the majority have found that exposure to ambient air pollutants is associated with decreased lung function (as measured either by </w:t>
      </w:r>
      <w:r w:rsidRPr="0021796A">
        <w:rPr>
          <w:rStyle w:val="ft"/>
          <w:color w:val="222222"/>
          <w:szCs w:val="24"/>
        </w:rPr>
        <w:t xml:space="preserve">Forced expiratory volume in 1 second </w:t>
      </w:r>
      <w:r w:rsidRPr="008F509F">
        <w:rPr>
          <w:szCs w:val="24"/>
        </w:rPr>
        <w:t xml:space="preserve"> (FEV</w:t>
      </w:r>
      <w:r>
        <w:rPr>
          <w:szCs w:val="24"/>
          <w:vertAlign w:val="subscript"/>
        </w:rPr>
        <w:t>1</w:t>
      </w:r>
      <w:r w:rsidRPr="008F509F">
        <w:rPr>
          <w:szCs w:val="24"/>
        </w:rPr>
        <w:t xml:space="preserve">) or </w:t>
      </w:r>
      <w:r w:rsidRPr="0021796A">
        <w:rPr>
          <w:rStyle w:val="ft"/>
          <w:color w:val="222222"/>
          <w:szCs w:val="24"/>
        </w:rPr>
        <w:t>Forced vital capacity (</w:t>
      </w:r>
      <w:r w:rsidRPr="008F509F">
        <w:rPr>
          <w:szCs w:val="24"/>
        </w:rPr>
        <w:t>FVC)) (Sunyer, 2001).  Thus, individuals with COPD are more susceptible to the effects of air pollution (Anzueto et al., 2007).  Ambient air pollution (PM</w:t>
      </w:r>
      <w:r w:rsidRPr="0021796A">
        <w:rPr>
          <w:szCs w:val="24"/>
          <w:vertAlign w:val="subscript"/>
        </w:rPr>
        <w:t>10</w:t>
      </w:r>
      <w:r w:rsidRPr="008F509F">
        <w:rPr>
          <w:szCs w:val="24"/>
        </w:rPr>
        <w:t xml:space="preserve"> and PM</w:t>
      </w:r>
      <w:r w:rsidRPr="0021796A">
        <w:rPr>
          <w:szCs w:val="24"/>
          <w:vertAlign w:val="subscript"/>
        </w:rPr>
        <w:t>2.5</w:t>
      </w:r>
      <w:r w:rsidRPr="008F509F">
        <w:rPr>
          <w:szCs w:val="24"/>
        </w:rPr>
        <w:t>, ozone, NO</w:t>
      </w:r>
      <w:r w:rsidRPr="0021796A">
        <w:rPr>
          <w:szCs w:val="24"/>
          <w:vertAlign w:val="subscript"/>
        </w:rPr>
        <w:t>2,</w:t>
      </w:r>
      <w:r w:rsidRPr="008F509F">
        <w:rPr>
          <w:szCs w:val="24"/>
        </w:rPr>
        <w:t xml:space="preserve"> and SO</w:t>
      </w:r>
      <w:r w:rsidRPr="0021796A">
        <w:rPr>
          <w:szCs w:val="24"/>
          <w:vertAlign w:val="subscript"/>
        </w:rPr>
        <w:t>2</w:t>
      </w:r>
      <w:r w:rsidRPr="008F509F">
        <w:rPr>
          <w:szCs w:val="24"/>
        </w:rPr>
        <w:t>) has been implicated in the exacerbation of COPD symptoms and increased hospital admissions primarily in the elderly (Peel et al., 2007; Ko et al., 2007; Chuang et al., 2007; Lagorio et al., 2006; Schwela, 2000).  Associations with COPD have been consistently observed in areas with high concentrations of PM</w:t>
      </w:r>
      <w:r w:rsidRPr="0021796A">
        <w:rPr>
          <w:szCs w:val="24"/>
          <w:vertAlign w:val="subscript"/>
        </w:rPr>
        <w:t xml:space="preserve">2.5 </w:t>
      </w:r>
      <w:r w:rsidRPr="008F509F">
        <w:rPr>
          <w:szCs w:val="24"/>
        </w:rPr>
        <w:t>and PM</w:t>
      </w:r>
      <w:r w:rsidRPr="0021796A">
        <w:rPr>
          <w:szCs w:val="24"/>
          <w:vertAlign w:val="subscript"/>
        </w:rPr>
        <w:t>10</w:t>
      </w:r>
      <w:r w:rsidRPr="008F509F">
        <w:rPr>
          <w:szCs w:val="24"/>
        </w:rPr>
        <w:t xml:space="preserve"> in multicity and single city studies in the US and Canada (US EPA, 2009).  </w:t>
      </w:r>
    </w:p>
    <w:p w:rsidR="00A327E6" w:rsidRPr="0021796A" w:rsidRDefault="00A327E6" w:rsidP="000006CA">
      <w:pPr>
        <w:pStyle w:val="NormalIndent"/>
        <w:spacing w:before="100" w:beforeAutospacing="1" w:after="100" w:afterAutospacing="1" w:line="400" w:lineRule="atLeast"/>
        <w:rPr>
          <w:szCs w:val="24"/>
        </w:rPr>
      </w:pPr>
      <w:bookmarkStart w:id="39" w:name="_Toc345574291"/>
      <w:r w:rsidRPr="0021796A">
        <w:rPr>
          <w:szCs w:val="24"/>
        </w:rPr>
        <w:t xml:space="preserve">While most of the literature related to air pollution and COPD report significant associations between outdoor air pollution and COPD exacerbation including increased COPD hospital admissions (NMMAPS study) and mortality (Harvard six-cities study), only a small number of studies have evaluated the role of air pollution in the prevalence of COPD.  COPD is a complex chronic disease with an evolving definition in epidemiological studies.  The Global Initiative for Obstructive Lung Disease (GOLD) established guidelines in 2002 to address the need to streamline the definition for epidemiological studies.  The definition recommended the use of a respiratory questionnaire and a post-bronchiodilator </w:t>
      </w:r>
      <w:r w:rsidRPr="008F509F">
        <w:rPr>
          <w:szCs w:val="24"/>
        </w:rPr>
        <w:t>FEV</w:t>
      </w:r>
      <w:r>
        <w:rPr>
          <w:szCs w:val="24"/>
          <w:vertAlign w:val="subscript"/>
        </w:rPr>
        <w:t>1</w:t>
      </w:r>
      <w:r w:rsidRPr="0021796A">
        <w:rPr>
          <w:szCs w:val="24"/>
        </w:rPr>
        <w:t xml:space="preserve">/FVC ratio of &lt;0.7 to diagnose COPD (Salvi et al, 2012).  </w:t>
      </w:r>
    </w:p>
    <w:p w:rsidR="00A327E6" w:rsidRPr="008F509F" w:rsidRDefault="00A327E6" w:rsidP="00E44AAF">
      <w:pPr>
        <w:pStyle w:val="NormalIndent"/>
        <w:spacing w:before="100" w:beforeAutospacing="1" w:after="100" w:afterAutospacing="1" w:line="400" w:lineRule="atLeast"/>
        <w:rPr>
          <w:szCs w:val="24"/>
        </w:rPr>
      </w:pPr>
      <w:r w:rsidRPr="008F509F">
        <w:rPr>
          <w:szCs w:val="24"/>
        </w:rPr>
        <w:t>Although smoking is a primary risk factor for COPD, findings from NHANES III study using post-bronchodilator spirometry (ratio of (FEV</w:t>
      </w:r>
      <w:r>
        <w:rPr>
          <w:szCs w:val="24"/>
          <w:vertAlign w:val="subscript"/>
        </w:rPr>
        <w:t>1</w:t>
      </w:r>
      <w:r>
        <w:rPr>
          <w:szCs w:val="24"/>
        </w:rPr>
        <w:t>)/</w:t>
      </w:r>
      <w:r w:rsidRPr="008F509F">
        <w:rPr>
          <w:szCs w:val="24"/>
        </w:rPr>
        <w:t xml:space="preserve">[FVC] &lt;0.70) suggested that 25% of the COPD cases in the US are in never-smokers.  Similar findings were reported in the UK and Spain (Salvi et al., 2009).  </w:t>
      </w:r>
    </w:p>
    <w:p w:rsidR="00A327E6" w:rsidRPr="008F509F" w:rsidRDefault="00A327E6" w:rsidP="00E44AAF">
      <w:pPr>
        <w:pStyle w:val="NormalIndent"/>
        <w:spacing w:before="100" w:beforeAutospacing="1" w:after="100" w:afterAutospacing="1" w:line="400" w:lineRule="atLeast"/>
        <w:rPr>
          <w:szCs w:val="24"/>
        </w:rPr>
      </w:pPr>
      <w:r w:rsidRPr="008F509F">
        <w:rPr>
          <w:szCs w:val="24"/>
        </w:rPr>
        <w:t xml:space="preserve">In the last decade as the concern of the burden of non-smoking COPD has increased from such factors as worldwide use of biomass fuel (Salvi, et al., 2009), studies have found an association between long-term exposure to air pollutants associated with traffic and COPD diagnosis.  A study of 4757 women 55 years of age living in Germany that used a questionnaire to asses symptoms and risk factors (and the GOLD criteria to define COPD) found that a 7 </w:t>
      </w:r>
      <w:r w:rsidRPr="008F509F">
        <w:rPr>
          <w:rFonts w:cs="Arial"/>
          <w:szCs w:val="24"/>
        </w:rPr>
        <w:t>µ</w:t>
      </w:r>
      <w:r w:rsidRPr="008F509F">
        <w:rPr>
          <w:szCs w:val="24"/>
        </w:rPr>
        <w:t>g/m</w:t>
      </w:r>
      <w:r w:rsidRPr="00403F88">
        <w:rPr>
          <w:szCs w:val="24"/>
          <w:vertAlign w:val="superscript"/>
        </w:rPr>
        <w:t>3</w:t>
      </w:r>
      <w:r w:rsidRPr="008F509F">
        <w:rPr>
          <w:szCs w:val="24"/>
        </w:rPr>
        <w:t xml:space="preserve"> increase in five year mean PM</w:t>
      </w:r>
      <w:r w:rsidRPr="0021796A">
        <w:rPr>
          <w:szCs w:val="24"/>
          <w:vertAlign w:val="subscript"/>
        </w:rPr>
        <w:t>10</w:t>
      </w:r>
      <w:r w:rsidRPr="008F509F">
        <w:rPr>
          <w:szCs w:val="24"/>
        </w:rPr>
        <w:t xml:space="preserve"> concentrations was associated with a 5.1% decrease in FEV</w:t>
      </w:r>
      <w:r>
        <w:rPr>
          <w:szCs w:val="24"/>
          <w:vertAlign w:val="subscript"/>
        </w:rPr>
        <w:t>1</w:t>
      </w:r>
      <w:r w:rsidRPr="008F509F">
        <w:rPr>
          <w:szCs w:val="24"/>
        </w:rPr>
        <w:t>, a 3.7% decrease in FVC, and a 33% increase in prevalence of COPD.  Women living less than 100 meters from a busy roadway (&gt;10000 vehicles per day) also had significantly decreased lung function and COPD was 1.79 times more likely (95% CI 1.06-3.02) than those living farther away.  Levels of PM</w:t>
      </w:r>
      <w:r w:rsidRPr="0021796A">
        <w:rPr>
          <w:szCs w:val="24"/>
          <w:vertAlign w:val="subscript"/>
        </w:rPr>
        <w:t>10</w:t>
      </w:r>
      <w:r w:rsidRPr="008F509F">
        <w:rPr>
          <w:szCs w:val="24"/>
        </w:rPr>
        <w:t xml:space="preserve"> and NO</w:t>
      </w:r>
      <w:r w:rsidRPr="0021796A">
        <w:rPr>
          <w:szCs w:val="24"/>
          <w:vertAlign w:val="subscript"/>
        </w:rPr>
        <w:t>2</w:t>
      </w:r>
      <w:r w:rsidRPr="008F509F">
        <w:rPr>
          <w:szCs w:val="24"/>
        </w:rPr>
        <w:t xml:space="preserve"> were significantly associated with COPD.  The results were consistent with the Swiss SAPALDIA except that they appear stronger, which was attributed to women being more susceptible </w:t>
      </w:r>
      <w:r>
        <w:rPr>
          <w:szCs w:val="24"/>
        </w:rPr>
        <w:t xml:space="preserve">to </w:t>
      </w:r>
      <w:r w:rsidRPr="008F509F">
        <w:rPr>
          <w:szCs w:val="24"/>
        </w:rPr>
        <w:t xml:space="preserve">COPD and respiratory symptoms caused by environmental factors than men.  Another study in Sweden also found that living closest to traffic was associated with prevalence of COPD (Lindgren et al, 2009).  </w:t>
      </w:r>
    </w:p>
    <w:p w:rsidR="00A327E6" w:rsidRDefault="00A327E6" w:rsidP="000006CA">
      <w:pPr>
        <w:pStyle w:val="NormalIndent"/>
        <w:spacing w:before="100" w:beforeAutospacing="1" w:after="100" w:afterAutospacing="1" w:line="400" w:lineRule="atLeast"/>
        <w:rPr>
          <w:szCs w:val="24"/>
        </w:rPr>
      </w:pPr>
      <w:r w:rsidRPr="008F509F">
        <w:rPr>
          <w:szCs w:val="24"/>
        </w:rPr>
        <w:t>In the largest study conducted in Denmark of over 50,000 eligible subjects, of which 1786 participants had a first hospital admission for COPD, COPD incidence was associated with the 35-year mean NO</w:t>
      </w:r>
      <w:r w:rsidRPr="0021796A">
        <w:rPr>
          <w:szCs w:val="24"/>
          <w:vertAlign w:val="subscript"/>
        </w:rPr>
        <w:t>2</w:t>
      </w:r>
      <w:r w:rsidRPr="008F509F">
        <w:rPr>
          <w:szCs w:val="24"/>
        </w:rPr>
        <w:t xml:space="preserve"> levels (hazard ratio, 1.08; 95% confidence interval 1.02–1.14, per interquartile range of 5.8 </w:t>
      </w:r>
      <w:r w:rsidRPr="008F509F">
        <w:rPr>
          <w:rFonts w:cs="Arial"/>
          <w:szCs w:val="24"/>
        </w:rPr>
        <w:t>μ</w:t>
      </w:r>
      <w:r w:rsidRPr="008F509F">
        <w:rPr>
          <w:szCs w:val="24"/>
        </w:rPr>
        <w:t>g/m</w:t>
      </w:r>
      <w:r w:rsidRPr="00403F88">
        <w:rPr>
          <w:szCs w:val="24"/>
          <w:vertAlign w:val="superscript"/>
        </w:rPr>
        <w:t>3</w:t>
      </w:r>
      <w:r w:rsidRPr="008F509F">
        <w:rPr>
          <w:szCs w:val="24"/>
        </w:rPr>
        <w:t xml:space="preserve">), with stronger associations in subjects with diabetes (1.29; 1.05–1.50) and asthma (1.19; 1.03–1.38) (Andersen et al., 2011).  The investigators discussed the plausible biological mechanism of repeated inhalation injury to the lungs from long-term exposure to air pollutants and the chronic and progressive nature of COPD.  </w:t>
      </w:r>
    </w:p>
    <w:p w:rsidR="00A327E6" w:rsidRPr="0032029C" w:rsidRDefault="00A327E6" w:rsidP="0032029C">
      <w:pPr>
        <w:spacing w:before="100" w:beforeAutospacing="1" w:after="100" w:afterAutospacing="1" w:line="400" w:lineRule="atLeast"/>
        <w:ind w:firstLine="720"/>
        <w:rPr>
          <w:rStyle w:val="Emphasis"/>
          <w:caps w:val="0"/>
          <w:color w:val="auto"/>
          <w:spacing w:val="0"/>
        </w:rPr>
      </w:pPr>
      <w:r w:rsidRPr="0032029C">
        <w:t xml:space="preserve">Although epidemiological evidence demonstrates an association between air pollution exposure and exacerbation of both asthma and COPD, </w:t>
      </w:r>
      <w:r w:rsidRPr="0032029C">
        <w:rPr>
          <w:rFonts w:ascii="TimesNewRomanPSMT" w:hAnsi="TimesNewRomanPSMT"/>
          <w:color w:val="000000"/>
        </w:rPr>
        <w:t>a comprehensive review of existing studies of long-term exposure primarily to traffic-related pollutants and COPD among adults found that the evidence overall was</w:t>
      </w:r>
      <w:r>
        <w:rPr>
          <w:rFonts w:ascii="TimesNewRomanPSMT" w:hAnsi="TimesNewRomanPSMT"/>
          <w:color w:val="000000"/>
        </w:rPr>
        <w:t xml:space="preserve"> suggestive but not conclusive </w:t>
      </w:r>
      <w:r w:rsidRPr="0032029C">
        <w:rPr>
          <w:rFonts w:ascii="TimesNewRomanPSMT" w:hAnsi="TimesNewRomanPSMT"/>
          <w:color w:val="000000"/>
        </w:rPr>
        <w:t>(Schikowski et al., 2013).</w:t>
      </w:r>
    </w:p>
    <w:p w:rsidR="00A327E6" w:rsidRPr="0021796A" w:rsidRDefault="00A327E6" w:rsidP="00E44AAF">
      <w:pPr>
        <w:pStyle w:val="Caption"/>
        <w:spacing w:before="100" w:beforeAutospacing="1" w:after="100" w:afterAutospacing="1" w:line="400" w:lineRule="atLeast"/>
        <w:rPr>
          <w:rStyle w:val="Emphasis"/>
          <w:b w:val="0"/>
          <w:bCs w:val="0"/>
          <w:szCs w:val="24"/>
        </w:rPr>
      </w:pPr>
      <w:r w:rsidRPr="0021796A">
        <w:rPr>
          <w:rStyle w:val="Emphasis"/>
          <w:szCs w:val="24"/>
        </w:rPr>
        <w:t>Summary of Health Effects Associated with Targeted Air Pollutants</w:t>
      </w:r>
      <w:bookmarkEnd w:id="39"/>
      <w:r w:rsidRPr="0021796A">
        <w:rPr>
          <w:rStyle w:val="Emphasis"/>
          <w:szCs w:val="24"/>
        </w:rPr>
        <w:t xml:space="preserve"> </w:t>
      </w:r>
    </w:p>
    <w:p w:rsidR="00A327E6" w:rsidRPr="0021796A" w:rsidRDefault="00A327E6" w:rsidP="00E44AAF">
      <w:pPr>
        <w:pStyle w:val="NormalIndent"/>
        <w:spacing w:before="100" w:beforeAutospacing="1" w:after="100" w:afterAutospacing="1" w:line="400" w:lineRule="atLeast"/>
        <w:rPr>
          <w:szCs w:val="24"/>
        </w:rPr>
      </w:pPr>
      <w:r w:rsidRPr="0021796A">
        <w:rPr>
          <w:szCs w:val="24"/>
        </w:rPr>
        <w:t>In the absence of specific studies of the health impacts of the complex mixture of air pollutants emitted from airport operations, the health effects associated with targeted air pollutants from airport operations were considered in this study.  In summary, numerous epidemiological studies have shown an association between both short-term and long-term exposure to air pollutants, most notably particulate matter, and cardiovascular mortality as well as non-fatal cardiac events (myocardial infarction, angina/other ischemic heart events, dysrhythmias, and heart failure)</w:t>
      </w:r>
      <w:r>
        <w:rPr>
          <w:szCs w:val="24"/>
        </w:rPr>
        <w:t xml:space="preserve">.  </w:t>
      </w:r>
      <w:r w:rsidRPr="0021796A">
        <w:rPr>
          <w:szCs w:val="24"/>
        </w:rPr>
        <w:t>The elderly and persons with pre-existing cardiopulmonary diseases, including coronary heart disease, are most susceptible.</w:t>
      </w:r>
    </w:p>
    <w:p w:rsidR="00A327E6" w:rsidRPr="0021796A" w:rsidRDefault="00A327E6" w:rsidP="00E44AAF">
      <w:pPr>
        <w:pStyle w:val="NormalIndent"/>
        <w:spacing w:before="100" w:beforeAutospacing="1" w:after="100" w:afterAutospacing="1" w:line="400" w:lineRule="atLeast"/>
        <w:rPr>
          <w:szCs w:val="24"/>
        </w:rPr>
      </w:pPr>
      <w:r w:rsidRPr="0021796A">
        <w:rPr>
          <w:szCs w:val="24"/>
        </w:rPr>
        <w:t xml:space="preserve">In addition, epidemiological and toxicological studies have demonstrated an association between exposure to air pollutants and respiratory effects, notably exacerbation of physician-diagnosed asthma (number of episodes, emergency department visits, and asthma hospitalization) in both children and adults.  The increase in respiratory symptoms, including wheezing, in areas with higher pollution levels also suggest environmental factors may be critical in the development and exacerbation of asthma and related symptoms.  Exposure to air pollution is also an environmental risk factor associated with exacerbation and </w:t>
      </w:r>
      <w:r>
        <w:rPr>
          <w:szCs w:val="24"/>
        </w:rPr>
        <w:t>prevalence</w:t>
      </w:r>
      <w:r w:rsidRPr="0021796A">
        <w:rPr>
          <w:szCs w:val="24"/>
        </w:rPr>
        <w:t xml:space="preserve"> of COPD.</w:t>
      </w:r>
    </w:p>
    <w:p w:rsidR="00A327E6" w:rsidRPr="0021796A" w:rsidRDefault="00A327E6" w:rsidP="00E44AAF">
      <w:pPr>
        <w:pStyle w:val="Heading2"/>
        <w:spacing w:line="400" w:lineRule="atLeast"/>
      </w:pPr>
      <w:bookmarkStart w:id="40" w:name="_Toc345574292"/>
      <w:bookmarkStart w:id="41" w:name="_Toc346872966"/>
      <w:bookmarkStart w:id="42" w:name="_Toc350413063"/>
      <w:bookmarkStart w:id="43" w:name="_Toc388543093"/>
      <w:r w:rsidRPr="0021796A">
        <w:t>Health Effects Associated with Exposure to Noise</w:t>
      </w:r>
      <w:bookmarkEnd w:id="40"/>
      <w:bookmarkEnd w:id="41"/>
      <w:bookmarkEnd w:id="42"/>
      <w:bookmarkEnd w:id="43"/>
      <w:r w:rsidRPr="0021796A">
        <w:t xml:space="preserve"> </w:t>
      </w:r>
    </w:p>
    <w:p w:rsidR="00A327E6" w:rsidRPr="001D44CD" w:rsidRDefault="00A327E6" w:rsidP="001D44CD">
      <w:pPr>
        <w:pStyle w:val="NormalIndent"/>
        <w:spacing w:before="100" w:beforeAutospacing="1" w:after="100" w:afterAutospacing="1" w:line="400" w:lineRule="atLeast"/>
        <w:rPr>
          <w:rStyle w:val="Emphasis"/>
          <w:caps w:val="0"/>
          <w:color w:val="auto"/>
          <w:spacing w:val="0"/>
          <w:szCs w:val="24"/>
        </w:rPr>
      </w:pPr>
      <w:bookmarkStart w:id="44" w:name="_Toc336343120"/>
      <w:r w:rsidRPr="0021796A">
        <w:rPr>
          <w:szCs w:val="24"/>
        </w:rPr>
        <w:t>In addition to contributing to air pollution, airport operations also result in significant noise.  The dominant source of noise from airport-related activities is aircraft engines.  The quantitative measure typically used to assess the effect of noise on the environment is expressed as sound energy produced over the entire noise event during a standard time period.  The method used to quantify the sound level of a transient noise event, (e.g., from takeoff and landing of aircraft) is the Sound Exposure Level or SEL.  The SEL sums individual sound level readings over the duration of the event.  For airport-re</w:t>
      </w:r>
      <w:r>
        <w:rPr>
          <w:szCs w:val="24"/>
        </w:rPr>
        <w:t>lated noise assessment, the Day-</w:t>
      </w:r>
      <w:r w:rsidRPr="0021796A">
        <w:rPr>
          <w:szCs w:val="24"/>
        </w:rPr>
        <w:t xml:space="preserve">Night </w:t>
      </w:r>
      <w:r>
        <w:rPr>
          <w:szCs w:val="24"/>
        </w:rPr>
        <w:t xml:space="preserve">Sound </w:t>
      </w:r>
      <w:r w:rsidRPr="0021796A">
        <w:rPr>
          <w:szCs w:val="24"/>
        </w:rPr>
        <w:t>Level (DNL) sums the individual flyover SELs over the day (24-hours) with a nighttime noise weighting of 10 decibels (dB) added to the SEL for operations occurring from 10 pm to 7 am.  Since 1974, the standard approach for assessing exposure to environmental noise levels from aircraft operations is the time-weighted daily average exposure index or DNL.  Conceptually, the DNL represents the total accumulation of all noise energy spread out uni</w:t>
      </w:r>
      <w:bookmarkStart w:id="45" w:name="_Toc345574293"/>
      <w:r>
        <w:rPr>
          <w:szCs w:val="24"/>
        </w:rPr>
        <w:t xml:space="preserve">formly over a 24-hour period.  </w:t>
      </w:r>
    </w:p>
    <w:p w:rsidR="00A327E6" w:rsidRPr="001D44CD" w:rsidRDefault="00A327E6" w:rsidP="001D44CD">
      <w:pPr>
        <w:pStyle w:val="Caption"/>
        <w:spacing w:before="0" w:after="120" w:line="400" w:lineRule="atLeast"/>
        <w:rPr>
          <w:caps/>
          <w:color w:val="243F60"/>
          <w:spacing w:val="5"/>
          <w:szCs w:val="24"/>
        </w:rPr>
      </w:pPr>
      <w:r w:rsidRPr="0021796A">
        <w:rPr>
          <w:rStyle w:val="Emphasis"/>
          <w:szCs w:val="24"/>
        </w:rPr>
        <w:t>Studies of noise impacts of airports</w:t>
      </w:r>
      <w:bookmarkEnd w:id="45"/>
    </w:p>
    <w:bookmarkEnd w:id="44"/>
    <w:p w:rsidR="00A327E6" w:rsidRPr="0021796A" w:rsidRDefault="00A327E6" w:rsidP="001D44CD">
      <w:pPr>
        <w:pStyle w:val="Caption"/>
        <w:spacing w:before="0" w:after="120" w:line="400" w:lineRule="atLeast"/>
        <w:rPr>
          <w:i/>
          <w:szCs w:val="24"/>
        </w:rPr>
      </w:pPr>
      <w:r w:rsidRPr="0021796A">
        <w:rPr>
          <w:i/>
          <w:szCs w:val="24"/>
        </w:rPr>
        <w:t>Auditory</w:t>
      </w:r>
    </w:p>
    <w:p w:rsidR="00A327E6" w:rsidRPr="0021796A" w:rsidRDefault="00A327E6" w:rsidP="001D44CD">
      <w:pPr>
        <w:pStyle w:val="Caption"/>
        <w:spacing w:before="0" w:after="120" w:line="400" w:lineRule="atLeast"/>
        <w:jc w:val="both"/>
        <w:rPr>
          <w:rStyle w:val="BookTitle"/>
          <w:szCs w:val="24"/>
        </w:rPr>
      </w:pPr>
      <w:r w:rsidRPr="0021796A">
        <w:rPr>
          <w:rStyle w:val="BookTitle"/>
          <w:szCs w:val="24"/>
        </w:rPr>
        <w:t>Noise-Induced Hearing Loss</w:t>
      </w:r>
    </w:p>
    <w:p w:rsidR="00A327E6" w:rsidRPr="0021796A" w:rsidRDefault="00A327E6" w:rsidP="00E44AAF">
      <w:pPr>
        <w:pStyle w:val="NormalIndent"/>
        <w:spacing w:before="100" w:beforeAutospacing="1" w:after="100" w:afterAutospacing="1" w:line="400" w:lineRule="atLeast"/>
        <w:rPr>
          <w:szCs w:val="24"/>
        </w:rPr>
      </w:pPr>
      <w:r w:rsidRPr="0021796A">
        <w:rPr>
          <w:szCs w:val="24"/>
        </w:rPr>
        <w:t>There is a significant body of evidence on the association between noise exposure levels and auditory impairment such as noise-induced hearing loss (NIHL).  NIHL is hearing loss that develops slowly over a long period of time as a result of exposure to continuous or intermittent exposure to loud noise.  NIHL is a complex disorder caused by a combination of environmental and genetic factors.  Most of the health literature regarding NIHL is associated with occupationally induced hearing loss (WHO, 2004, ACOEM, 2002).  In addition to occupational exposure studies, studies have reported reduced hearing ability in adults and school-age children living close to a commercial airport (Chen et al., 1997; Chen et al., 1993), and a military airport (Miyakita et al., 2001).  Recent studies have focused on the genetic association in</w:t>
      </w:r>
      <w:r>
        <w:rPr>
          <w:szCs w:val="24"/>
        </w:rPr>
        <w:t xml:space="preserve"> humans (e.g., oxidative stress genes, </w:t>
      </w:r>
      <w:r w:rsidRPr="0021796A">
        <w:rPr>
          <w:szCs w:val="24"/>
        </w:rPr>
        <w:t>inner ear potassium recycling pathway genes, and monogenic deafness genes) for NIHL (Konigs et al., 2009, Sliwinska-Kowalska et al., 201</w:t>
      </w:r>
      <w:r>
        <w:rPr>
          <w:szCs w:val="24"/>
        </w:rPr>
        <w:t>3</w:t>
      </w:r>
      <w:r w:rsidRPr="0021796A">
        <w:rPr>
          <w:szCs w:val="24"/>
        </w:rPr>
        <w:t>)</w:t>
      </w:r>
      <w:r>
        <w:rPr>
          <w:szCs w:val="24"/>
        </w:rPr>
        <w:t>.</w:t>
      </w:r>
    </w:p>
    <w:p w:rsidR="00A327E6" w:rsidRPr="0021796A" w:rsidRDefault="00A327E6" w:rsidP="00E44AAF">
      <w:pPr>
        <w:pStyle w:val="NormalIndent"/>
        <w:spacing w:before="100" w:beforeAutospacing="1" w:after="100" w:afterAutospacing="1" w:line="400" w:lineRule="atLeast"/>
        <w:rPr>
          <w:szCs w:val="24"/>
        </w:rPr>
      </w:pPr>
      <w:r w:rsidRPr="0021796A">
        <w:rPr>
          <w:szCs w:val="24"/>
        </w:rPr>
        <w:t xml:space="preserve">Hearing impairment is caused by morphological changes in the inner and outer hair cells of the cochlea, where the stereocilia become fused and bent.  The symptoms of NIHL increase gradually over time as sounds may become distorted or muffled and it may become difficult for a person to understand speech (NIDCD, 2005).  The development of NIHL progresses through two phases.  Phase one is characterized by temporary threshold shift (TTS).  This is a brief hearing loss that occurs after noise exposures and hearing is completely restored after a rest period.  After repeated exposure to noise intense enough to produce TTS, a permanent threshold shift (PTS) will occur.  This is an irreversible increase in hearing thresholds caused by irreversible hair cell damage.  Hearing loss is variable within the population but it is not known why some individuals are more susceptible than others (Quinn et al., 2001).  There is some indication that hearing loss may be accelerated with co-exposure to environmental chemicals and cigarette smoke (El-Shazly, 2006; Pouryaghoub et al., 2007).  </w:t>
      </w:r>
    </w:p>
    <w:p w:rsidR="00A327E6" w:rsidRPr="0021796A" w:rsidRDefault="00A327E6" w:rsidP="00E44AAF">
      <w:pPr>
        <w:pStyle w:val="NormalIndent"/>
        <w:spacing w:before="100" w:beforeAutospacing="1" w:after="100" w:afterAutospacing="1" w:line="400" w:lineRule="atLeast"/>
        <w:rPr>
          <w:szCs w:val="24"/>
        </w:rPr>
      </w:pPr>
      <w:r w:rsidRPr="0021796A">
        <w:rPr>
          <w:szCs w:val="24"/>
        </w:rPr>
        <w:t xml:space="preserve">Guidelines for community noise developed by the WHO (1999), US EPA (1974), and the National Academy of Sciences (NAS) (2005) determined independently that a maximum exposure level to noise that is protective against NIHL are noise levels equal to or less than 70 </w:t>
      </w:r>
      <w:r>
        <w:rPr>
          <w:szCs w:val="24"/>
        </w:rPr>
        <w:t>decibel (</w:t>
      </w:r>
      <w:r w:rsidRPr="0021796A">
        <w:rPr>
          <w:szCs w:val="24"/>
        </w:rPr>
        <w:t>dB</w:t>
      </w:r>
      <w:r>
        <w:rPr>
          <w:szCs w:val="24"/>
        </w:rPr>
        <w:t>)</w:t>
      </w:r>
      <w:r w:rsidRPr="0021796A">
        <w:rPr>
          <w:szCs w:val="24"/>
        </w:rPr>
        <w:t xml:space="preserve"> over a 24-hour time-average period (Leq (24) &lt;70 dB</w:t>
      </w:r>
      <w:r>
        <w:rPr>
          <w:szCs w:val="24"/>
        </w:rPr>
        <w:t>A-</w:t>
      </w:r>
      <w:r w:rsidRPr="0021796A">
        <w:rPr>
          <w:szCs w:val="24"/>
        </w:rPr>
        <w:t xml:space="preserve">weighted </w:t>
      </w:r>
      <w:r>
        <w:rPr>
          <w:szCs w:val="24"/>
        </w:rPr>
        <w:t>sound</w:t>
      </w:r>
      <w:r w:rsidRPr="0021796A">
        <w:rPr>
          <w:szCs w:val="24"/>
        </w:rPr>
        <w:t xml:space="preserve">).  This assumes exposure to all environmental noise does not exceed 70 dB throughout daily activities irrespective of where and under which conditions this exposure is received, including exposure to occupational levels of noise.  With respect to community noise impacts, WHO determined in 1999 that evidence strongly suggests that the calculation methods used by the International Organization for Standardization (ISO) 1999 for occupational noise should also be applied to environmental and leisure time noise exposures.  The guideline states that health impacts are unlikely for individuals exposed to cumulative noise exposure over a 24-hour period of less than or equal to 70 dB [Leq (24) </w:t>
      </w:r>
      <w:r>
        <w:rPr>
          <w:szCs w:val="24"/>
        </w:rPr>
        <w:t>=&lt;70 dB</w:t>
      </w:r>
      <w:r w:rsidRPr="0021796A">
        <w:rPr>
          <w:szCs w:val="24"/>
        </w:rPr>
        <w:t xml:space="preserve">A-weighted noise].  WHO also notes that the uncertainties associated with this assessment suggest that a margin of safety is needed when applied in a community setting.  The uncertainties associated with this guideline value that were not considered include the (1) increased risks due to greater vulnerability of children in acquiring NIHL than adults, (2) increase risk from an exposure when noise is combined with vibrations (as is the case with lower frequency noise from aircraft), and (3) increased risk from exposures from ototoxic substances (having a toxic effect on the ear or its nerve supply) including certain chemicals (e.g., opioids, organic solvents, carbon monoxide), smoking, and having high blood pressure or high cholesterol (Konings et al., 2009).   </w:t>
      </w:r>
    </w:p>
    <w:p w:rsidR="00A327E6" w:rsidRPr="0021796A" w:rsidRDefault="00A327E6" w:rsidP="00E44AAF">
      <w:pPr>
        <w:pStyle w:val="Caption"/>
        <w:spacing w:before="100" w:beforeAutospacing="1" w:after="100" w:afterAutospacing="1" w:line="400" w:lineRule="atLeast"/>
        <w:rPr>
          <w:i/>
          <w:szCs w:val="24"/>
        </w:rPr>
      </w:pPr>
      <w:r w:rsidRPr="0021796A">
        <w:rPr>
          <w:i/>
          <w:szCs w:val="24"/>
        </w:rPr>
        <w:t>Tinnitus</w:t>
      </w:r>
    </w:p>
    <w:p w:rsidR="00A327E6" w:rsidRPr="0021796A" w:rsidRDefault="00A327E6" w:rsidP="00E44AAF">
      <w:pPr>
        <w:pStyle w:val="NormalIndent"/>
        <w:spacing w:before="100" w:beforeAutospacing="1" w:after="100" w:afterAutospacing="1" w:line="400" w:lineRule="atLeast"/>
        <w:rPr>
          <w:szCs w:val="24"/>
        </w:rPr>
      </w:pPr>
      <w:r w:rsidRPr="0021796A">
        <w:rPr>
          <w:szCs w:val="24"/>
        </w:rPr>
        <w:t>Tinnitus is a symptom associated primarily with noise-induced hearing loss.  Tinnitus is defined as the perception of sound for which there is no external acoustic source.  It is often referred to as “ringing in the ears” and may manifest itself as a buzzing or whistling sound.  Tinnitus can be persistent or transient, and may be perceived in one or both ears.  There is a clear correlation between hearing loss and tinnitus; however, not all persons with hearing loss have tinnitus (NAS, 2005; Henry et al., 2005).  According to a review by Henry et al. (2005), there are no uniform or reliable clinical measures for defining the negative impact on individuals that experience tinn</w:t>
      </w:r>
      <w:r>
        <w:rPr>
          <w:szCs w:val="24"/>
        </w:rPr>
        <w:t>itus.  Individuals</w:t>
      </w:r>
      <w:r w:rsidRPr="0021796A">
        <w:rPr>
          <w:szCs w:val="24"/>
        </w:rPr>
        <w:t xml:space="preserve"> that experience clinically significant effects from tinnitus report a range of health problems including sleep disturbances (in about half of individuals), and effects on cognition, emotional status, and hearing.  Hearing aides are a common type of treatment for tinnitus.</w:t>
      </w:r>
    </w:p>
    <w:p w:rsidR="00A327E6" w:rsidRPr="0021796A" w:rsidRDefault="00A327E6" w:rsidP="00E44AAF">
      <w:pPr>
        <w:pStyle w:val="NormalIndent"/>
        <w:spacing w:before="100" w:beforeAutospacing="1" w:after="100" w:afterAutospacing="1" w:line="400" w:lineRule="atLeast"/>
        <w:rPr>
          <w:szCs w:val="24"/>
        </w:rPr>
      </w:pPr>
      <w:r w:rsidRPr="0021796A">
        <w:rPr>
          <w:szCs w:val="24"/>
        </w:rPr>
        <w:t xml:space="preserve">There are wide-ranging theories of the pathological mechanisms for tinnitus. </w:t>
      </w:r>
      <w:r>
        <w:rPr>
          <w:szCs w:val="24"/>
        </w:rPr>
        <w:t xml:space="preserve"> </w:t>
      </w:r>
      <w:r w:rsidRPr="0021796A">
        <w:rPr>
          <w:szCs w:val="24"/>
        </w:rPr>
        <w:t xml:space="preserve">The most prevalent theories involve loss of hair cells or hair cell function, discontinuity of activity across the auditory nerve, and disruption of the central auditory pathways (NAS, 2005).  However, the mechanism that causes sustained tinnitus is unknown (Henry, et al., 2005).  Tinnitus may be caused by loud noise, which results in hair cell damage, </w:t>
      </w:r>
      <w:r>
        <w:rPr>
          <w:szCs w:val="24"/>
        </w:rPr>
        <w:t>certain ototoxic medicines, o</w:t>
      </w:r>
      <w:r w:rsidRPr="0021796A">
        <w:rPr>
          <w:szCs w:val="24"/>
        </w:rPr>
        <w:t xml:space="preserve">r medical conditions </w:t>
      </w:r>
      <w:r>
        <w:rPr>
          <w:szCs w:val="24"/>
        </w:rPr>
        <w:t xml:space="preserve">such as </w:t>
      </w:r>
      <w:r w:rsidRPr="0021796A">
        <w:rPr>
          <w:szCs w:val="24"/>
        </w:rPr>
        <w:t xml:space="preserve">nutritional status, vascular disease, middle-ear disease, diabetes, hypertension, autoimmune disorders, and degenerative neural disorders (Perry et al., 2000).  </w:t>
      </w:r>
      <w:r>
        <w:rPr>
          <w:szCs w:val="24"/>
        </w:rPr>
        <w:t>S</w:t>
      </w:r>
      <w:r w:rsidRPr="0021796A">
        <w:rPr>
          <w:szCs w:val="24"/>
        </w:rPr>
        <w:t xml:space="preserve">ynergistic effects have been reported </w:t>
      </w:r>
      <w:r>
        <w:rPr>
          <w:szCs w:val="24"/>
        </w:rPr>
        <w:t>between</w:t>
      </w:r>
      <w:r w:rsidRPr="0021796A">
        <w:rPr>
          <w:szCs w:val="24"/>
        </w:rPr>
        <w:t xml:space="preserve"> noise, diuretics, and common aminoglycoside</w:t>
      </w:r>
      <w:r>
        <w:rPr>
          <w:szCs w:val="24"/>
        </w:rPr>
        <w:t xml:space="preserve"> antibiotics </w:t>
      </w:r>
      <w:r w:rsidRPr="0021796A">
        <w:rPr>
          <w:szCs w:val="24"/>
        </w:rPr>
        <w:t xml:space="preserve">such as gentamicin (NAS, 2005).  </w:t>
      </w:r>
    </w:p>
    <w:p w:rsidR="00A327E6" w:rsidRPr="0021796A" w:rsidRDefault="00A327E6" w:rsidP="00E44AAF">
      <w:pPr>
        <w:pStyle w:val="Caption"/>
        <w:spacing w:before="100" w:beforeAutospacing="1" w:after="100" w:afterAutospacing="1" w:line="400" w:lineRule="atLeast"/>
        <w:rPr>
          <w:rStyle w:val="Emphasis"/>
          <w:b w:val="0"/>
          <w:bCs w:val="0"/>
          <w:szCs w:val="24"/>
        </w:rPr>
      </w:pPr>
      <w:bookmarkStart w:id="46" w:name="_Toc345574294"/>
      <w:r w:rsidRPr="0021796A">
        <w:rPr>
          <w:rStyle w:val="Emphasis"/>
          <w:szCs w:val="24"/>
        </w:rPr>
        <w:t>Summary of Health Effects of Noise</w:t>
      </w:r>
      <w:bookmarkEnd w:id="46"/>
      <w:r w:rsidRPr="0021796A">
        <w:rPr>
          <w:rStyle w:val="Emphasis"/>
          <w:szCs w:val="24"/>
        </w:rPr>
        <w:t xml:space="preserve"> </w:t>
      </w:r>
    </w:p>
    <w:p w:rsidR="00A327E6" w:rsidRPr="001D44CD" w:rsidRDefault="00A327E6" w:rsidP="001D44CD">
      <w:pPr>
        <w:pStyle w:val="NormalIndent"/>
        <w:spacing w:before="100" w:beforeAutospacing="1" w:after="100" w:afterAutospacing="1" w:line="400" w:lineRule="atLeast"/>
        <w:rPr>
          <w:rStyle w:val="Emphasis"/>
          <w:caps w:val="0"/>
          <w:color w:val="auto"/>
          <w:spacing w:val="0"/>
          <w:szCs w:val="24"/>
        </w:rPr>
      </w:pPr>
      <w:r w:rsidRPr="0021796A">
        <w:rPr>
          <w:szCs w:val="24"/>
        </w:rPr>
        <w:t>In summary, there are a wide-range of health effects associated with exposure to various levels and sources of noise including noise-induced hearing impairment, interference with speech communication, disturbance of rest and sleep; psychophysiological effects, mental-health effects, impairment of performance of school children in cognitive tasks, and annoyance.  Although recent studies have reported a possible increased risk of hypertension from exposure to aircraft-related noise, this finding still requires additional study.  To date, a significant body of evidence has demonstrated an association between high noise levels and auditory impairment (NIHL).  Tinnitus is a symptom associated primarily with noise induced hearing loss.  Guidelines for community noise levels developed by the WHO and US  EPA found that auditory effects, including noise-induced hearing loss, are not expected to occur at noise levels equal to or less than 70 dB over a 24-hour time-aver</w:t>
      </w:r>
      <w:r>
        <w:rPr>
          <w:szCs w:val="24"/>
        </w:rPr>
        <w:t xml:space="preserve">age period (Leq (24) &lt;70 dB).  </w:t>
      </w:r>
    </w:p>
    <w:p w:rsidR="00A327E6" w:rsidRPr="0021796A" w:rsidRDefault="00A327E6" w:rsidP="00E44AAF">
      <w:pPr>
        <w:spacing w:before="100" w:beforeAutospacing="1" w:after="100" w:afterAutospacing="1" w:line="400" w:lineRule="atLeast"/>
        <w:rPr>
          <w:szCs w:val="24"/>
        </w:rPr>
      </w:pPr>
      <w:r w:rsidRPr="0021796A">
        <w:rPr>
          <w:rStyle w:val="Emphasis"/>
          <w:b/>
          <w:szCs w:val="24"/>
        </w:rPr>
        <w:t>HEALTH STUDIES OF AIRPORT-RELATED AIR POLLUTION STUDIES</w:t>
      </w:r>
    </w:p>
    <w:p w:rsidR="00A327E6" w:rsidRPr="0021796A" w:rsidRDefault="00A327E6" w:rsidP="00E44AAF">
      <w:pPr>
        <w:pStyle w:val="NormalIndent"/>
        <w:spacing w:before="100" w:beforeAutospacing="1" w:after="100" w:afterAutospacing="1" w:line="400" w:lineRule="atLeast"/>
        <w:rPr>
          <w:szCs w:val="24"/>
        </w:rPr>
      </w:pPr>
      <w:r>
        <w:rPr>
          <w:szCs w:val="24"/>
        </w:rPr>
        <w:t>Lin et al.</w:t>
      </w:r>
      <w:r w:rsidRPr="0021796A">
        <w:rPr>
          <w:szCs w:val="24"/>
        </w:rPr>
        <w:t xml:space="preserve"> </w:t>
      </w:r>
      <w:r>
        <w:rPr>
          <w:szCs w:val="24"/>
        </w:rPr>
        <w:t>(</w:t>
      </w:r>
      <w:r w:rsidRPr="0021796A">
        <w:rPr>
          <w:szCs w:val="24"/>
        </w:rPr>
        <w:t>2008</w:t>
      </w:r>
      <w:r>
        <w:rPr>
          <w:szCs w:val="24"/>
        </w:rPr>
        <w:t>)</w:t>
      </w:r>
      <w:r w:rsidRPr="0021796A">
        <w:rPr>
          <w:szCs w:val="24"/>
        </w:rPr>
        <w:t xml:space="preserve"> evaluated hospital admission rates for respiratory outcomes from 1995-2000 and residential proximity to three large New York airports (Rochester Airport in Rochester, LaGuardia Airport in New York City, and MacArthur Airport in Long Island).  The respiratory outcomes examined were </w:t>
      </w:r>
      <w:r>
        <w:rPr>
          <w:szCs w:val="24"/>
        </w:rPr>
        <w:t xml:space="preserve">hospital admissions for </w:t>
      </w:r>
      <w:r w:rsidRPr="0021796A">
        <w:rPr>
          <w:szCs w:val="24"/>
        </w:rPr>
        <w:t>asthma, chronic bronchitis, emphysema, chronic obstructive pulmonary disease, children’s bronchitis</w:t>
      </w:r>
      <w:r>
        <w:rPr>
          <w:szCs w:val="24"/>
        </w:rPr>
        <w:t xml:space="preserve"> (&lt;4 years of age)</w:t>
      </w:r>
      <w:r w:rsidRPr="0021796A">
        <w:rPr>
          <w:szCs w:val="24"/>
        </w:rPr>
        <w:t xml:space="preserve">, and children’s bronchiolitis.  Findings suggested that residential distance within 5 miles of two of the three airports was associated with an increase in hospitalization admission rates </w:t>
      </w:r>
      <w:r>
        <w:rPr>
          <w:szCs w:val="24"/>
        </w:rPr>
        <w:t xml:space="preserve">for respiratory conditions </w:t>
      </w:r>
      <w:r w:rsidRPr="0021796A">
        <w:rPr>
          <w:szCs w:val="24"/>
        </w:rPr>
        <w:t>(1.96; 95% CI 1.16-3.29 for Rochester and 1.68; 95% CI 1.36, 2.07 for LaGuardia) after adjusting for potential neighborhood-level confounders from census block data (poverty level, African-American race, Hispanic ethnicity, education less than higher school).  Wind flow patterns were analyzed to identify census block groups receiving predominant wind flow from the airports, but this was not found to be a factor in hospitalization rates of the respiratory outcomes studied.  Due to the nature of hospitalization records, the study was limited, however, by the lack of individual-level information on important individual-level confounding factors, including smoking status, which may be related to respiratory hospitalizations.</w:t>
      </w:r>
    </w:p>
    <w:p w:rsidR="00A327E6" w:rsidRPr="0021796A" w:rsidRDefault="00A327E6" w:rsidP="00E44AAF">
      <w:pPr>
        <w:pStyle w:val="NormalIndent"/>
        <w:spacing w:before="100" w:beforeAutospacing="1" w:after="100" w:afterAutospacing="1" w:line="400" w:lineRule="atLeast"/>
        <w:rPr>
          <w:szCs w:val="24"/>
        </w:rPr>
      </w:pPr>
      <w:r w:rsidRPr="0021796A">
        <w:rPr>
          <w:szCs w:val="24"/>
        </w:rPr>
        <w:t xml:space="preserve">Of the two studies identified in the literature that evaluated specific health outcome data in residents living near an airport, </w:t>
      </w:r>
      <w:r>
        <w:rPr>
          <w:szCs w:val="24"/>
        </w:rPr>
        <w:t xml:space="preserve">one of </w:t>
      </w:r>
      <w:r w:rsidRPr="0021796A">
        <w:rPr>
          <w:szCs w:val="24"/>
        </w:rPr>
        <w:t xml:space="preserve">the most notable are the series of studies conducted since </w:t>
      </w:r>
      <w:r>
        <w:rPr>
          <w:szCs w:val="24"/>
        </w:rPr>
        <w:t xml:space="preserve">the </w:t>
      </w:r>
      <w:r w:rsidRPr="0021796A">
        <w:rPr>
          <w:szCs w:val="24"/>
        </w:rPr>
        <w:t xml:space="preserve">1990’s in the communities near Schiphol Airport in the Netherlands (Franssen et al., 2003).  A broad range of self-reported health outcomes have been evaluated using a postal survey of 11,812 residents living within approximately 2.5 miles from Schiphol Airport (Amsterdam). The survey included questions on annoyance, sleep disturbance, self-rated general health status, respiratory complaints, and medication use.  In general, investigators concluded that air traffic emissions contributed only a few percentage points to local air pollution levels and that there was no evidence that air traffic emissions contributed to respiratory disorders.  In a follow-up study, the investigators found associations between general health status, use of medication for cardiovascular diseases or increased blood pressure, and use of sleep medications or sedatives and aircraft noise exposure.  Those residents who were severely annoyed by aircraft noise were more likely to have poor self-perceived health and more likely to report higher blood pressure.  </w:t>
      </w:r>
    </w:p>
    <w:p w:rsidR="00A327E6" w:rsidRDefault="00A327E6" w:rsidP="00E44AAF">
      <w:pPr>
        <w:pStyle w:val="NormalIndent"/>
        <w:spacing w:before="100" w:beforeAutospacing="1" w:after="100" w:afterAutospacing="1" w:line="400" w:lineRule="atLeast"/>
        <w:ind w:firstLine="432"/>
        <w:rPr>
          <w:szCs w:val="24"/>
        </w:rPr>
      </w:pPr>
    </w:p>
    <w:p w:rsidR="00A327E6" w:rsidRDefault="00A327E6">
      <w:pPr>
        <w:spacing w:before="0" w:after="0" w:line="240" w:lineRule="auto"/>
        <w:rPr>
          <w:szCs w:val="24"/>
        </w:rPr>
      </w:pPr>
      <w:r>
        <w:rPr>
          <w:szCs w:val="24"/>
        </w:rPr>
        <w:br w:type="page"/>
      </w:r>
    </w:p>
    <w:p w:rsidR="00A327E6" w:rsidRDefault="00A327E6" w:rsidP="00264409">
      <w:pPr>
        <w:spacing w:before="0" w:after="0" w:line="240" w:lineRule="auto"/>
        <w:rPr>
          <w:szCs w:val="24"/>
        </w:rPr>
      </w:pPr>
      <w:r>
        <w:rPr>
          <w:szCs w:val="24"/>
        </w:rPr>
        <w:br w:type="page"/>
      </w:r>
    </w:p>
    <w:p w:rsidR="00A327E6" w:rsidRPr="00A03CCE" w:rsidRDefault="00A327E6" w:rsidP="00A03CCE">
      <w:pPr>
        <w:pStyle w:val="Heading1"/>
        <w:spacing w:before="0" w:line="400" w:lineRule="atLeast"/>
        <w:rPr>
          <w:sz w:val="24"/>
          <w:szCs w:val="24"/>
        </w:rPr>
      </w:pPr>
      <w:bookmarkStart w:id="47" w:name="_Toc344362981"/>
      <w:bookmarkStart w:id="48" w:name="_Toc345574295"/>
      <w:bookmarkStart w:id="49" w:name="_Toc346872967"/>
      <w:bookmarkStart w:id="50" w:name="_Toc350413064"/>
      <w:bookmarkStart w:id="51" w:name="_Toc388543094"/>
      <w:bookmarkStart w:id="52" w:name="_Toc336343133"/>
      <w:r w:rsidRPr="00A03CCE">
        <w:rPr>
          <w:sz w:val="24"/>
          <w:szCs w:val="24"/>
        </w:rPr>
        <w:t>HEALTH SURVEY DESIGN AND METHODS</w:t>
      </w:r>
      <w:bookmarkEnd w:id="47"/>
      <w:bookmarkEnd w:id="48"/>
      <w:bookmarkEnd w:id="49"/>
      <w:bookmarkEnd w:id="50"/>
      <w:bookmarkEnd w:id="51"/>
    </w:p>
    <w:p w:rsidR="00A327E6" w:rsidRPr="0021796A" w:rsidRDefault="00A327E6" w:rsidP="00E44AAF">
      <w:pPr>
        <w:pStyle w:val="Heading2"/>
        <w:spacing w:line="400" w:lineRule="atLeast"/>
      </w:pPr>
      <w:bookmarkStart w:id="53" w:name="_Toc344362983"/>
      <w:bookmarkStart w:id="54" w:name="_Toc345574297"/>
      <w:bookmarkStart w:id="55" w:name="_Toc346872969"/>
      <w:bookmarkStart w:id="56" w:name="_Toc350413065"/>
      <w:bookmarkStart w:id="57" w:name="_Toc388543095"/>
      <w:r w:rsidRPr="0021796A">
        <w:t>Study Area and Sample Population</w:t>
      </w:r>
      <w:bookmarkEnd w:id="53"/>
      <w:bookmarkEnd w:id="54"/>
      <w:bookmarkEnd w:id="55"/>
      <w:bookmarkEnd w:id="56"/>
      <w:bookmarkEnd w:id="57"/>
    </w:p>
    <w:p w:rsidR="00A327E6" w:rsidRPr="0021796A" w:rsidRDefault="00A327E6" w:rsidP="00E44AAF">
      <w:pPr>
        <w:pStyle w:val="Caption"/>
        <w:spacing w:before="100" w:beforeAutospacing="1" w:after="100" w:afterAutospacing="1" w:line="400" w:lineRule="atLeast"/>
        <w:rPr>
          <w:rStyle w:val="Emphasis"/>
          <w:b w:val="0"/>
          <w:bCs w:val="0"/>
          <w:caps w:val="0"/>
          <w:szCs w:val="24"/>
        </w:rPr>
      </w:pPr>
      <w:r w:rsidRPr="0021796A">
        <w:rPr>
          <w:rStyle w:val="Emphasis"/>
          <w:szCs w:val="24"/>
        </w:rPr>
        <w:t>Study area</w:t>
      </w:r>
    </w:p>
    <w:p w:rsidR="00A327E6" w:rsidRPr="00F64ED0" w:rsidRDefault="00A327E6" w:rsidP="00E44AAF">
      <w:pPr>
        <w:pStyle w:val="NormalIndent"/>
        <w:spacing w:before="100" w:beforeAutospacing="1" w:after="100" w:afterAutospacing="1" w:line="400" w:lineRule="atLeast"/>
        <w:rPr>
          <w:szCs w:val="24"/>
        </w:rPr>
      </w:pPr>
      <w:r w:rsidRPr="008F509F">
        <w:rPr>
          <w:szCs w:val="24"/>
        </w:rPr>
        <w:t xml:space="preserve">Consistent with the intent of legislative language, the study population was defined as communities located, either fully or partially, within a 5-mile radius of the General Lawrence Logan Airport.  Based on the 2000 US census, seventeen communities, with populations totaling over 1 million residents 18 years of age and older, are located within a 5-mile radius of Logan Airport and were, therefore, considered part of the study area (Figure 3-1).  As shown in Figure 3-1, the study area includes the airport itself and extends outward to the geographic borders of each of the seventeen communities located within the 5-mile radius.  The communities are: Boston, Brookline, Cambridge, Chelsea, Everett, Hull, Lynn, Malden, Medford, Melrose, Milton, Nahant, Quincy, Revere, Saugus, Somerville, and Winthrop.  </w:t>
      </w:r>
      <w:r w:rsidRPr="00F64ED0">
        <w:rPr>
          <w:szCs w:val="24"/>
        </w:rPr>
        <w:t xml:space="preserve">Two communities directly abut the airport property, Winthrop which has residential properties located within 800 feet to the east of the airport, </w:t>
      </w:r>
      <w:r w:rsidRPr="00F64ED0">
        <w:rPr>
          <w:rFonts w:cs="Arial"/>
          <w:szCs w:val="24"/>
        </w:rPr>
        <w:t>and East Boston, which immediately borders the airport to the west with some residential properties directly abutting airport property</w:t>
      </w:r>
      <w:r w:rsidRPr="00F64ED0">
        <w:rPr>
          <w:szCs w:val="24"/>
        </w:rPr>
        <w:t>.</w:t>
      </w:r>
    </w:p>
    <w:p w:rsidR="00A327E6" w:rsidRPr="0021796A" w:rsidRDefault="00A327E6" w:rsidP="00E44AAF">
      <w:pPr>
        <w:pStyle w:val="Caption"/>
        <w:spacing w:before="100" w:beforeAutospacing="1" w:after="100" w:afterAutospacing="1" w:line="400" w:lineRule="atLeast"/>
        <w:rPr>
          <w:rStyle w:val="Emphasis"/>
          <w:b w:val="0"/>
          <w:bCs w:val="0"/>
          <w:szCs w:val="24"/>
        </w:rPr>
      </w:pPr>
      <w:bookmarkStart w:id="58" w:name="_Toc344362988"/>
      <w:bookmarkStart w:id="59" w:name="_Toc345574302"/>
      <w:r w:rsidRPr="0021796A">
        <w:rPr>
          <w:rStyle w:val="Emphasis"/>
          <w:szCs w:val="24"/>
        </w:rPr>
        <w:t>Selection of Households to Survey (Survey Sample)</w:t>
      </w:r>
      <w:bookmarkEnd w:id="58"/>
      <w:bookmarkEnd w:id="59"/>
      <w:r w:rsidRPr="0021796A">
        <w:rPr>
          <w:rStyle w:val="Emphasis"/>
          <w:szCs w:val="24"/>
        </w:rPr>
        <w:t xml:space="preserve"> </w:t>
      </w:r>
    </w:p>
    <w:p w:rsidR="00A327E6" w:rsidRDefault="00A327E6" w:rsidP="00E44AAF">
      <w:pPr>
        <w:pStyle w:val="NormalIndent"/>
        <w:spacing w:before="100" w:beforeAutospacing="1" w:after="100" w:afterAutospacing="1" w:line="400" w:lineRule="atLeast"/>
        <w:rPr>
          <w:szCs w:val="24"/>
        </w:rPr>
      </w:pPr>
      <w:r w:rsidRPr="0021796A">
        <w:rPr>
          <w:szCs w:val="24"/>
        </w:rPr>
        <w:t>The presence of air pollutants and noise associated with airport operations varies greatly across the five-mile radius study area.  For that reason, it was expected that portions of the study area closer to the airport would have the potential for higher levels of airport-related exposures than portions of the study area farther away from the airport.</w:t>
      </w:r>
    </w:p>
    <w:p w:rsidR="00A327E6" w:rsidRPr="0021796A" w:rsidRDefault="00A327E6" w:rsidP="00D13B51">
      <w:pPr>
        <w:pStyle w:val="NormalIndent"/>
        <w:spacing w:before="100" w:beforeAutospacing="1" w:after="100" w:afterAutospacing="1" w:line="400" w:lineRule="atLeast"/>
        <w:rPr>
          <w:szCs w:val="24"/>
        </w:rPr>
      </w:pPr>
      <w:r w:rsidRPr="0021796A">
        <w:rPr>
          <w:szCs w:val="24"/>
        </w:rPr>
        <w:t>In order to ensure that enough households were interviewed from all areas, those nearer and farther from the airport, the study area was divided or “stratified” into three distinct sections. These sections were designed to approximate areas that might expe</w:t>
      </w:r>
      <w:r>
        <w:rPr>
          <w:szCs w:val="24"/>
        </w:rPr>
        <w:t>rience high, medium, and low</w:t>
      </w:r>
      <w:r w:rsidRPr="0021796A">
        <w:rPr>
          <w:szCs w:val="24"/>
        </w:rPr>
        <w:t xml:space="preserve"> exposures to air pollutants and noise from airport operations.</w:t>
      </w:r>
    </w:p>
    <w:p w:rsidR="00A327E6" w:rsidRDefault="00A327E6" w:rsidP="00E44AAF">
      <w:pPr>
        <w:pStyle w:val="Caption"/>
        <w:keepNext/>
        <w:spacing w:line="400" w:lineRule="atLeast"/>
      </w:pPr>
      <w:bookmarkStart w:id="60" w:name="_Toc386796329"/>
      <w:r>
        <w:t xml:space="preserve">Figure </w:t>
      </w:r>
      <w:fldSimple w:instr=" STYLEREF 1 \s ">
        <w:r>
          <w:rPr>
            <w:noProof/>
          </w:rPr>
          <w:t>3</w:t>
        </w:r>
      </w:fldSimple>
      <w:r>
        <w:noBreakHyphen/>
      </w:r>
      <w:fldSimple w:instr=" SEQ Figure \* ARABIC \s 1 ">
        <w:r>
          <w:rPr>
            <w:noProof/>
          </w:rPr>
          <w:t>1</w:t>
        </w:r>
      </w:fldSimple>
      <w:r>
        <w:t>.  The Logan Airport Health Study Area</w:t>
      </w:r>
      <w:bookmarkEnd w:id="60"/>
    </w:p>
    <w:p w:rsidR="00A327E6" w:rsidRPr="0021796A" w:rsidRDefault="00A327E6" w:rsidP="00E44AAF">
      <w:pPr>
        <w:spacing w:before="100" w:beforeAutospacing="1" w:after="100" w:afterAutospacing="1" w:line="400" w:lineRule="atLeast"/>
        <w:jc w:val="center"/>
        <w:rPr>
          <w:szCs w:val="24"/>
        </w:rPr>
      </w:pPr>
      <w:r w:rsidRPr="00415FA2">
        <w:rPr>
          <w:noProof/>
          <w:szCs w:val="24"/>
          <w:lang w:eastAsia="zh-TW"/>
        </w:rPr>
        <w:pict>
          <v:shape id="Picture 2" o:spid="_x0000_i1028" type="#_x0000_t75" alt="A map of the 17 communities that comprise the study area for the Logan Airport Health Study." style="width:4in;height:5in;visibility:visible">
            <v:imagedata r:id="rId12" o:title=""/>
          </v:shape>
        </w:pict>
      </w:r>
    </w:p>
    <w:p w:rsidR="00A327E6" w:rsidRPr="0021796A" w:rsidRDefault="00A327E6" w:rsidP="00E44AAF">
      <w:pPr>
        <w:pStyle w:val="NormalIndent"/>
        <w:spacing w:before="100" w:beforeAutospacing="1" w:after="100" w:afterAutospacing="1" w:line="400" w:lineRule="atLeast"/>
        <w:rPr>
          <w:szCs w:val="24"/>
        </w:rPr>
      </w:pPr>
      <w:r w:rsidRPr="0021796A">
        <w:rPr>
          <w:szCs w:val="24"/>
        </w:rPr>
        <w:t>For the purpose of sample selection, proximity to the airport was considered a sufficient proxy for exposure to airport-related emissions. The use of municipal boundaries, zip codes, and census tracts was also incorporated into the survey design in order to sample at the highest geographic resolution possible.  The determination of distances for each of the three areas was based on knowledge of aircraft flight paths, atmospheric mixing of airport emissions, and modeled airport noise profiles.</w:t>
      </w:r>
    </w:p>
    <w:p w:rsidR="00A327E6" w:rsidRPr="0021796A" w:rsidRDefault="00A327E6" w:rsidP="00E44AAF">
      <w:pPr>
        <w:pStyle w:val="NormalIndent"/>
        <w:spacing w:before="100" w:beforeAutospacing="1" w:after="100" w:afterAutospacing="1" w:line="400" w:lineRule="atLeast"/>
        <w:rPr>
          <w:szCs w:val="24"/>
        </w:rPr>
      </w:pPr>
      <w:r>
        <w:rPr>
          <w:szCs w:val="24"/>
        </w:rPr>
        <w:t>The “high</w:t>
      </w:r>
      <w:r w:rsidRPr="0021796A">
        <w:rPr>
          <w:szCs w:val="24"/>
        </w:rPr>
        <w:t xml:space="preserve">” exposure area included the area within a 1-mile radius of the center of the airport.  This included emissions along the flight paths of aircraft flying at an altitude of approximately 3000 feet or less, which can contribute to ground level air pollutant concentrations.  The “medium” exposure area </w:t>
      </w:r>
      <w:r>
        <w:rPr>
          <w:szCs w:val="24"/>
        </w:rPr>
        <w:t>extends outward from the “high</w:t>
      </w:r>
      <w:r w:rsidRPr="0021796A">
        <w:rPr>
          <w:szCs w:val="24"/>
        </w:rPr>
        <w:t>” exposure area to the boundary at which aircraft reach an altitude of 3000 feet, which corresponds to a ground distance of about 3-4 miles from the airport.  The “low” exposure area extends from the end of “medium” exposure area to the geographical border of the outermost communities in the study area (approximately 4-12 miles from the airport).  (These exposure areas were refined for the final data analysis based on air dispersion modeling results of airport-related emissions for 2005.)</w:t>
      </w:r>
    </w:p>
    <w:p w:rsidR="00A327E6" w:rsidRPr="0021796A" w:rsidRDefault="00A327E6" w:rsidP="00E44AAF">
      <w:pPr>
        <w:pStyle w:val="NormalIndent"/>
        <w:spacing w:before="100" w:beforeAutospacing="1" w:after="100" w:afterAutospacing="1" w:line="400" w:lineRule="atLeast"/>
        <w:rPr>
          <w:szCs w:val="24"/>
        </w:rPr>
      </w:pPr>
      <w:r>
        <w:rPr>
          <w:szCs w:val="24"/>
        </w:rPr>
        <w:t>Since the “high</w:t>
      </w:r>
      <w:r w:rsidRPr="0021796A">
        <w:rPr>
          <w:szCs w:val="24"/>
        </w:rPr>
        <w:t>” and “medium” exposure areas cover smaller geographic areas and contain smaller populations than the “low” exposure area, the sampling strategy aimed to over-sample the populations in those areas, thus ensuring a sufficient number of households were sampled in those areas to detect statistically significant differences.</w:t>
      </w:r>
    </w:p>
    <w:p w:rsidR="00A327E6" w:rsidRPr="0021796A" w:rsidRDefault="00A327E6" w:rsidP="00E44AAF">
      <w:pPr>
        <w:pStyle w:val="Caption"/>
        <w:spacing w:before="100" w:beforeAutospacing="1" w:after="100" w:afterAutospacing="1" w:line="400" w:lineRule="atLeast"/>
        <w:rPr>
          <w:rStyle w:val="Emphasis"/>
          <w:b w:val="0"/>
          <w:bCs w:val="0"/>
          <w:szCs w:val="24"/>
        </w:rPr>
      </w:pPr>
      <w:bookmarkStart w:id="61" w:name="_Toc336343136"/>
      <w:bookmarkStart w:id="62" w:name="_Toc344362987"/>
      <w:bookmarkStart w:id="63" w:name="_Toc345574301"/>
      <w:r w:rsidRPr="0021796A">
        <w:rPr>
          <w:rStyle w:val="Emphasis"/>
          <w:szCs w:val="24"/>
        </w:rPr>
        <w:t>Sample Size and Statistical Power</w:t>
      </w:r>
      <w:bookmarkEnd w:id="61"/>
      <w:bookmarkEnd w:id="62"/>
      <w:bookmarkEnd w:id="63"/>
    </w:p>
    <w:p w:rsidR="00A327E6" w:rsidRPr="0021796A" w:rsidRDefault="00A327E6" w:rsidP="00E44AAF">
      <w:pPr>
        <w:pStyle w:val="NormalIndent"/>
        <w:spacing w:before="100" w:beforeAutospacing="1" w:after="100" w:afterAutospacing="1" w:line="400" w:lineRule="atLeast"/>
        <w:rPr>
          <w:szCs w:val="24"/>
        </w:rPr>
      </w:pPr>
      <w:r w:rsidRPr="0021796A">
        <w:rPr>
          <w:szCs w:val="24"/>
        </w:rPr>
        <w:t>The LAHS sample size was based on the statistical power needed to detect an association between air pollution exposure and heart disease prevalence. A power calculation is a method of estimating the sample size needed to detect a statistically significant association between exposure and a particular health outcome, using knowledge of the rates of the disease in the population and the predicted size and strength of the association with exposure based on previously published research. Heart disease was selected because it was found to have a lower prevalence in Massachusetts residents compared to asthma. Therefore, a sample size large enough to detect an elevation in heart disease prevalence would also be sufficient for detecting elevations in asthma or other more common health outcomes.</w:t>
      </w:r>
    </w:p>
    <w:p w:rsidR="00A327E6" w:rsidRPr="0021796A" w:rsidRDefault="00A327E6" w:rsidP="00E44AAF">
      <w:pPr>
        <w:pStyle w:val="NormalIndent"/>
        <w:spacing w:before="100" w:beforeAutospacing="1" w:after="100" w:afterAutospacing="1" w:line="400" w:lineRule="atLeast"/>
        <w:rPr>
          <w:szCs w:val="24"/>
        </w:rPr>
      </w:pPr>
      <w:r w:rsidRPr="0021796A">
        <w:rPr>
          <w:szCs w:val="24"/>
        </w:rPr>
        <w:t>The sample size calculation also accounted for a study design with three exposure areas and disproportionate stratified sampling (oversa</w:t>
      </w:r>
      <w:r>
        <w:rPr>
          <w:szCs w:val="24"/>
        </w:rPr>
        <w:t>mpling) in the medium and high</w:t>
      </w:r>
      <w:r w:rsidRPr="0021796A">
        <w:rPr>
          <w:szCs w:val="24"/>
        </w:rPr>
        <w:t xml:space="preserve"> exposure areas, increasing the probability of detecting the presence of elevated rates of disease in the population living closest to the airport if indeed such disease patterns exist. Based on the power calculation, for the study to have sufficient power (80 percent, α = 0.05) to detect an association between the exposure area of residence and the health outcomes of interest, it was estimated that a total of 6000 participants were required, corresponding to a total of 3000 residents in the “low” exposure area, 1500 in the “mediu</w:t>
      </w:r>
      <w:r>
        <w:rPr>
          <w:szCs w:val="24"/>
        </w:rPr>
        <w:t>m” area, and 1500 in the “high</w:t>
      </w:r>
      <w:r w:rsidRPr="0021796A">
        <w:rPr>
          <w:szCs w:val="24"/>
        </w:rPr>
        <w:t xml:space="preserve">” area.  Again, these estimates were further refined once the air dispersion modeling was completed. </w:t>
      </w:r>
    </w:p>
    <w:p w:rsidR="00A327E6" w:rsidRPr="009104B4" w:rsidRDefault="00A327E6" w:rsidP="00E44AAF">
      <w:pPr>
        <w:pStyle w:val="Heading2"/>
        <w:spacing w:line="400" w:lineRule="atLeast"/>
      </w:pPr>
      <w:bookmarkStart w:id="64" w:name="_Toc346872971"/>
      <w:bookmarkStart w:id="65" w:name="_Toc350413066"/>
      <w:bookmarkStart w:id="66" w:name="_Toc388543096"/>
      <w:bookmarkStart w:id="67" w:name="_Toc346872970"/>
      <w:r w:rsidRPr="009104B4">
        <w:t>Design</w:t>
      </w:r>
      <w:bookmarkEnd w:id="64"/>
      <w:r w:rsidRPr="009104B4">
        <w:t xml:space="preserve"> of the Survey Instrument</w:t>
      </w:r>
      <w:bookmarkEnd w:id="65"/>
      <w:bookmarkEnd w:id="66"/>
    </w:p>
    <w:p w:rsidR="00A327E6" w:rsidRPr="0021796A" w:rsidRDefault="00A327E6" w:rsidP="00E44AAF">
      <w:pPr>
        <w:pStyle w:val="Caption"/>
        <w:spacing w:before="100" w:beforeAutospacing="1" w:after="100" w:afterAutospacing="1" w:line="400" w:lineRule="atLeast"/>
        <w:rPr>
          <w:rStyle w:val="Emphasis"/>
          <w:b w:val="0"/>
          <w:bCs w:val="0"/>
          <w:caps w:val="0"/>
          <w:szCs w:val="24"/>
        </w:rPr>
      </w:pPr>
      <w:r w:rsidRPr="0021796A">
        <w:rPr>
          <w:rStyle w:val="Emphasis"/>
          <w:szCs w:val="24"/>
        </w:rPr>
        <w:t>Pilot Testing and Overview of the Survey</w:t>
      </w:r>
    </w:p>
    <w:p w:rsidR="00A327E6" w:rsidRPr="008F509F" w:rsidRDefault="00A327E6" w:rsidP="00E44AAF">
      <w:pPr>
        <w:pStyle w:val="NormalIndent"/>
        <w:spacing w:before="100" w:beforeAutospacing="1" w:after="100" w:afterAutospacing="1" w:line="400" w:lineRule="atLeast"/>
        <w:rPr>
          <w:szCs w:val="24"/>
        </w:rPr>
      </w:pPr>
      <w:r w:rsidRPr="008F509F">
        <w:rPr>
          <w:szCs w:val="24"/>
        </w:rPr>
        <w:t xml:space="preserve">The LAHS survey instrument was developed by MDPH/BEH using validated and reliable questions from national and international health surveys, including questions on respiratory symptoms taken from the European Community Respiratory Health Survey (ECRHS) and the International Study of Asthma and Allergies in Childhood (ISAAC). Prior to its use in the study, the survey instrument was pilot tested in 2002 with a population living near an airport in Portland, Maine. Based on pilot interviews, the survey was revised to improve question clarity, to enhance specificity of responses for some items, and to provide a greater emphasis on confidentiality for respondents. After extensive review to </w:t>
      </w:r>
      <w:r w:rsidRPr="0021796A">
        <w:rPr>
          <w:color w:val="000000"/>
          <w:szCs w:val="24"/>
        </w:rPr>
        <w:t xml:space="preserve">confirm satisfactory questionnaire logic and function, </w:t>
      </w:r>
      <w:r w:rsidRPr="008F509F">
        <w:rPr>
          <w:szCs w:val="24"/>
        </w:rPr>
        <w:t xml:space="preserve">an additional round of pilot interviews was conducted in 2005 with 25 </w:t>
      </w:r>
      <w:r w:rsidRPr="0021796A">
        <w:rPr>
          <w:color w:val="000000"/>
          <w:szCs w:val="24"/>
        </w:rPr>
        <w:t xml:space="preserve">randomly selected residents of the LAHS area.  These respondents were asked to complete the survey and to provide feedback on questions.  Specifically, they were asked to evaluate the clarity of questions, including any terminology they did not understand, and whether the flow of the survey made sense or if portions of the survey seemed confusing.  Feedback from these pre-test interviews was then used to finalize the </w:t>
      </w:r>
      <w:r w:rsidRPr="003A589D">
        <w:rPr>
          <w:color w:val="000000"/>
          <w:szCs w:val="24"/>
        </w:rPr>
        <w:t xml:space="preserve">survey instrument.  The 25 pilot respondents were </w:t>
      </w:r>
      <w:r w:rsidRPr="003A589D">
        <w:t>excluded from recruitment efforts for the final LAHS survey.</w:t>
      </w:r>
      <w:r>
        <w:t xml:space="preserve">  </w:t>
      </w:r>
    </w:p>
    <w:p w:rsidR="00A327E6" w:rsidRPr="0021796A" w:rsidRDefault="00A327E6" w:rsidP="00E44AAF">
      <w:pPr>
        <w:pStyle w:val="NormalIndent"/>
        <w:spacing w:before="100" w:beforeAutospacing="1" w:after="100" w:afterAutospacing="1" w:line="400" w:lineRule="atLeast"/>
        <w:rPr>
          <w:szCs w:val="24"/>
        </w:rPr>
      </w:pPr>
      <w:r w:rsidRPr="0021796A">
        <w:rPr>
          <w:szCs w:val="24"/>
        </w:rPr>
        <w:t>The final survey instrument was comprised of four sections: (1) questions on the prevalence of respiratory, cardiovascular, and auditory health endpoints, (2) questions on risk factors associated with these outcomes, (3) questions on exposures inside the home and at work, and (4) questions reflecting demographic and socio-economic status.</w:t>
      </w:r>
    </w:p>
    <w:p w:rsidR="00A327E6" w:rsidRDefault="00A327E6" w:rsidP="00E44AAF">
      <w:pPr>
        <w:pStyle w:val="Caption"/>
        <w:spacing w:before="100" w:beforeAutospacing="1" w:after="100" w:afterAutospacing="1" w:line="400" w:lineRule="atLeast"/>
        <w:rPr>
          <w:rStyle w:val="Emphasis"/>
          <w:szCs w:val="24"/>
        </w:rPr>
      </w:pPr>
    </w:p>
    <w:p w:rsidR="00A327E6" w:rsidRPr="0021796A" w:rsidRDefault="00A327E6" w:rsidP="00E44AAF">
      <w:pPr>
        <w:pStyle w:val="Caption"/>
        <w:spacing w:before="100" w:beforeAutospacing="1" w:after="100" w:afterAutospacing="1" w:line="400" w:lineRule="atLeast"/>
        <w:rPr>
          <w:rStyle w:val="Emphasis"/>
          <w:b w:val="0"/>
          <w:bCs w:val="0"/>
          <w:szCs w:val="24"/>
        </w:rPr>
      </w:pPr>
      <w:r w:rsidRPr="0021796A">
        <w:rPr>
          <w:rStyle w:val="Emphasis"/>
          <w:szCs w:val="24"/>
        </w:rPr>
        <w:t>Health outcome assessment</w:t>
      </w:r>
    </w:p>
    <w:p w:rsidR="00A327E6" w:rsidRPr="0021796A" w:rsidRDefault="00A327E6" w:rsidP="00E44AAF">
      <w:pPr>
        <w:pStyle w:val="NormalIndent"/>
        <w:spacing w:before="100" w:beforeAutospacing="1" w:after="100" w:afterAutospacing="1" w:line="400" w:lineRule="atLeast"/>
        <w:rPr>
          <w:szCs w:val="24"/>
        </w:rPr>
      </w:pPr>
      <w:r w:rsidRPr="0021796A">
        <w:rPr>
          <w:szCs w:val="24"/>
        </w:rPr>
        <w:t xml:space="preserve">The selection of health outcomes to be included in the survey was based on information gathered from a thorough review of the available scientific literature, including published literature on air pollution and potential health impacts, as well as input obtained from Community Advisory Committee (CAC) meetings and from residents and community stakeholders living in the vicinity of the airport regarding their perceptions and concerns. </w:t>
      </w:r>
    </w:p>
    <w:p w:rsidR="00A327E6" w:rsidRPr="0021796A" w:rsidRDefault="00A327E6" w:rsidP="00E44AAF">
      <w:pPr>
        <w:pStyle w:val="NormalIndent"/>
        <w:spacing w:before="100" w:beforeAutospacing="1" w:after="100" w:afterAutospacing="1" w:line="400" w:lineRule="atLeast"/>
        <w:rPr>
          <w:szCs w:val="24"/>
        </w:rPr>
      </w:pPr>
      <w:r w:rsidRPr="0021796A">
        <w:rPr>
          <w:szCs w:val="24"/>
        </w:rPr>
        <w:t xml:space="preserve">The primary health outcomes of interest in the survey were asthma (lifetime asthma, current asthma, current asthma with medicine use, asthma attacks, emergency department visits for asthma, probable asthma, respiratory symptoms, and COPD); physician-diagnosed cardiovascular outcomes (non-fatal heart attack, angina or coronary heart disease) and auditory effects including hearing impairment and tinnitus.  In addition to collecting information on the prevalence of these primary health outcomes, information on the age of first event, number of events, and severity was also collected. </w:t>
      </w:r>
    </w:p>
    <w:p w:rsidR="00A327E6" w:rsidRPr="0021796A" w:rsidRDefault="00A327E6" w:rsidP="00E44AAF">
      <w:pPr>
        <w:pStyle w:val="Caption"/>
        <w:spacing w:before="100" w:beforeAutospacing="1" w:after="100" w:afterAutospacing="1" w:line="400" w:lineRule="atLeast"/>
        <w:rPr>
          <w:rStyle w:val="Emphasis"/>
          <w:b w:val="0"/>
          <w:bCs w:val="0"/>
          <w:szCs w:val="24"/>
        </w:rPr>
      </w:pPr>
      <w:r w:rsidRPr="0021796A">
        <w:rPr>
          <w:rStyle w:val="Emphasis"/>
          <w:szCs w:val="24"/>
        </w:rPr>
        <w:t>Covariate data collected</w:t>
      </w:r>
    </w:p>
    <w:p w:rsidR="00A327E6" w:rsidRDefault="00A327E6" w:rsidP="00E44AAF">
      <w:pPr>
        <w:pStyle w:val="NormalIndent"/>
        <w:spacing w:before="100" w:beforeAutospacing="1" w:after="100" w:afterAutospacing="1" w:line="400" w:lineRule="atLeast"/>
        <w:rPr>
          <w:szCs w:val="24"/>
        </w:rPr>
      </w:pPr>
      <w:r w:rsidRPr="0021796A">
        <w:rPr>
          <w:szCs w:val="24"/>
        </w:rPr>
        <w:t>Risk factors for the health outcomes of interest, as reported by the American Heart Association (AHA) and American Lung Association (ALA), were also evaluated for the LAHS health survey.  Risk factors are characteristics (e.g., age, gender) or variables (e.g., smoking, air pollutant levels) associated with increased probability or likelihood of disease.  A risk factor may be inherited, associated with a lifestyle, or due to an environmental exposure.  Standardized questions associated with identified risk factors were taken from the National Health and Examination Survey (NHANES), the National Health Interview Survey (NHIS), and the Behavioral Risk Factor Surveillance System (BRFSS) survey and were included in the LAHS questionnaire.  Risk factors for respiratory outcomes include genetics, exposure to indoor allergens (e.g., pollen, second hand cigarette smoke, dust, mold), parental atopic or asthmatic status, obesity, and respiratory infections.  The major risk factors for cardiovascular outcomes are smoking, high blood cholesterol, high blood pressure, physical inactivity, obesity and being overweight, and diabetes mellitus.  The health survey contained questions on all of these risk factors except genetics.</w:t>
      </w:r>
    </w:p>
    <w:p w:rsidR="00A327E6" w:rsidRPr="0021796A" w:rsidRDefault="00A327E6" w:rsidP="00E44AAF">
      <w:pPr>
        <w:pStyle w:val="Heading2"/>
        <w:spacing w:line="400" w:lineRule="atLeast"/>
      </w:pPr>
      <w:bookmarkStart w:id="68" w:name="_Toc350413067"/>
      <w:bookmarkStart w:id="69" w:name="_Toc388543097"/>
      <w:r w:rsidRPr="0021796A">
        <w:t>Survey Administration</w:t>
      </w:r>
      <w:bookmarkEnd w:id="67"/>
      <w:bookmarkEnd w:id="68"/>
      <w:bookmarkEnd w:id="69"/>
    </w:p>
    <w:p w:rsidR="00A327E6" w:rsidRPr="0021796A" w:rsidRDefault="00A327E6" w:rsidP="00E44AAF">
      <w:pPr>
        <w:pStyle w:val="Caption"/>
        <w:spacing w:before="100" w:beforeAutospacing="1" w:after="100" w:afterAutospacing="1" w:line="400" w:lineRule="atLeast"/>
        <w:rPr>
          <w:rStyle w:val="Emphasis"/>
          <w:b w:val="0"/>
          <w:bCs w:val="0"/>
          <w:caps w:val="0"/>
          <w:szCs w:val="24"/>
        </w:rPr>
      </w:pPr>
      <w:bookmarkStart w:id="70" w:name="_Toc344362985"/>
      <w:bookmarkStart w:id="71" w:name="_Toc345574299"/>
      <w:bookmarkEnd w:id="52"/>
      <w:r w:rsidRPr="0021796A">
        <w:rPr>
          <w:rStyle w:val="Emphasis"/>
          <w:szCs w:val="24"/>
        </w:rPr>
        <w:t>Overview</w:t>
      </w:r>
      <w:bookmarkEnd w:id="70"/>
      <w:bookmarkEnd w:id="71"/>
    </w:p>
    <w:p w:rsidR="00A327E6" w:rsidRPr="0021796A" w:rsidRDefault="00A327E6" w:rsidP="00E44AAF">
      <w:pPr>
        <w:pStyle w:val="NormalIndent"/>
        <w:spacing w:before="100" w:beforeAutospacing="1" w:after="100" w:afterAutospacing="1" w:line="400" w:lineRule="atLeast"/>
        <w:rPr>
          <w:szCs w:val="24"/>
        </w:rPr>
      </w:pPr>
      <w:r w:rsidRPr="0021796A">
        <w:rPr>
          <w:szCs w:val="24"/>
        </w:rPr>
        <w:t>A cross-sectional stratified telephone survey using random-digit-dial (RDD) methods was deemed most efficient to collect health outcome data representative of a study population of over 1 million residents.   This type of survey provides data about a population at one point in time (e.g., 2005).  Most national health surveys (e.g., BRFSS) use RDD techniques to gather information on the health status of US residents because it is a validated cost-effective sampling technique.</w:t>
      </w:r>
    </w:p>
    <w:p w:rsidR="00A327E6" w:rsidRPr="0021796A" w:rsidRDefault="00A327E6" w:rsidP="00E44AAF">
      <w:pPr>
        <w:pStyle w:val="Caption"/>
        <w:spacing w:before="100" w:beforeAutospacing="1" w:after="100" w:afterAutospacing="1" w:line="400" w:lineRule="atLeast"/>
        <w:rPr>
          <w:rStyle w:val="Emphasis"/>
          <w:b w:val="0"/>
          <w:bCs w:val="0"/>
          <w:szCs w:val="24"/>
        </w:rPr>
      </w:pPr>
      <w:r w:rsidRPr="0021796A">
        <w:rPr>
          <w:rStyle w:val="Emphasis"/>
          <w:szCs w:val="24"/>
        </w:rPr>
        <w:t>RDD Telephone sample</w:t>
      </w:r>
    </w:p>
    <w:p w:rsidR="00A327E6" w:rsidRPr="0021796A" w:rsidRDefault="00A327E6" w:rsidP="00E44AAF">
      <w:pPr>
        <w:pStyle w:val="NormalIndent"/>
        <w:spacing w:before="100" w:beforeAutospacing="1" w:after="100" w:afterAutospacing="1" w:line="400" w:lineRule="atLeast"/>
        <w:rPr>
          <w:szCs w:val="24"/>
        </w:rPr>
      </w:pPr>
      <w:r w:rsidRPr="0021796A">
        <w:rPr>
          <w:szCs w:val="24"/>
        </w:rPr>
        <w:t>As noted previously, the sampling strategy aimed to sample a greater proportion of</w:t>
      </w:r>
      <w:r>
        <w:rPr>
          <w:szCs w:val="24"/>
        </w:rPr>
        <w:t xml:space="preserve"> residents living in the “high</w:t>
      </w:r>
      <w:r w:rsidRPr="0021796A">
        <w:rPr>
          <w:szCs w:val="24"/>
        </w:rPr>
        <w:t xml:space="preserve">” and “medium” exposure areas compared to the “low” area.  This was accomplished by using GENESYS Sampling Systems, a commercial software program that provides RDD samples. GENESYS also has the capability of identifying telephone exchanges and linking these exchanges to geographic information such as zip code areas.  </w:t>
      </w:r>
    </w:p>
    <w:p w:rsidR="00A327E6" w:rsidRPr="0021796A" w:rsidRDefault="00A327E6" w:rsidP="00E44AAF">
      <w:pPr>
        <w:pStyle w:val="NormalIndent"/>
        <w:spacing w:before="100" w:beforeAutospacing="1" w:after="100" w:afterAutospacing="1" w:line="400" w:lineRule="atLeast"/>
        <w:rPr>
          <w:szCs w:val="24"/>
        </w:rPr>
      </w:pPr>
      <w:r w:rsidRPr="0021796A">
        <w:rPr>
          <w:szCs w:val="24"/>
        </w:rPr>
        <w:t>The telephone numbers of households included in the health survey were drawn from an initial sample of telephone numbers generated by GENESYS.  This approach ensures an equal probability of selection for every residential telephone number including unlisted numbers.  The initial RDD sample of telephone numbers was then processed using specialized software to eliminate non-residential telephone numbers to the greatest extent possible.</w:t>
      </w:r>
    </w:p>
    <w:p w:rsidR="00A327E6" w:rsidRPr="0021796A" w:rsidRDefault="00A327E6" w:rsidP="00E44AAF">
      <w:pPr>
        <w:pStyle w:val="Caption"/>
        <w:spacing w:before="100" w:beforeAutospacing="1" w:after="100" w:afterAutospacing="1" w:line="400" w:lineRule="atLeast"/>
        <w:rPr>
          <w:rStyle w:val="Emphasis"/>
          <w:b w:val="0"/>
          <w:bCs w:val="0"/>
          <w:szCs w:val="24"/>
        </w:rPr>
      </w:pPr>
      <w:bookmarkStart w:id="72" w:name="_Toc344362989"/>
      <w:bookmarkStart w:id="73" w:name="_Toc345574303"/>
      <w:r w:rsidRPr="0021796A">
        <w:rPr>
          <w:rStyle w:val="Emphasis"/>
          <w:szCs w:val="24"/>
        </w:rPr>
        <w:t>Survey Administration</w:t>
      </w:r>
      <w:bookmarkEnd w:id="72"/>
      <w:bookmarkEnd w:id="73"/>
    </w:p>
    <w:p w:rsidR="00A327E6" w:rsidRPr="0021796A" w:rsidRDefault="00A327E6" w:rsidP="00E44AAF">
      <w:pPr>
        <w:pStyle w:val="NormalIndent"/>
        <w:spacing w:before="100" w:beforeAutospacing="1" w:after="100" w:afterAutospacing="1" w:line="400" w:lineRule="atLeast"/>
        <w:rPr>
          <w:szCs w:val="24"/>
        </w:rPr>
      </w:pPr>
      <w:r w:rsidRPr="0021796A">
        <w:rPr>
          <w:szCs w:val="24"/>
        </w:rPr>
        <w:t>Interviews were conducted using Computer-Assisted Telephone Interviewing (CATI) technology from May to October of 2005.  Interviewers were trained in interviewing protocols and procedures.  In addition, interviewers received training specific to the LAHS survey instrument using an Interviewers Manual that provided the rationale for each question of the survey.  The manual was developed by MDPH/BEH after pilot-testing of the survey.</w:t>
      </w:r>
    </w:p>
    <w:p w:rsidR="00A327E6" w:rsidRPr="0021796A" w:rsidRDefault="00A327E6" w:rsidP="00E44AAF">
      <w:pPr>
        <w:pStyle w:val="NormalIndent"/>
        <w:spacing w:before="100" w:beforeAutospacing="1" w:after="100" w:afterAutospacing="1" w:line="400" w:lineRule="atLeast"/>
        <w:rPr>
          <w:szCs w:val="24"/>
        </w:rPr>
      </w:pPr>
      <w:r w:rsidRPr="0021796A">
        <w:rPr>
          <w:szCs w:val="24"/>
        </w:rPr>
        <w:t xml:space="preserve">Call attempts rotated across all seven days of the week at different times of the day between 9 AM and 9 PM, according to industry standards. The only exceptions were specific, scheduled appointments outside this range.  A minimum of 15 call-back attempts were made per telephone number at the screener level. Four attempts were made to convert initial refusals, except in cases where individuals requested not to be contacted again. To encourage participation, a brief message with a toll-free number was delivered to answering machines on the first, third, and seventh machine-answer call attempts. In addition, respondents who initiated the survey without completing it were re-contacted at a date and time of their choosing to complete the survey at a later time. </w:t>
      </w:r>
    </w:p>
    <w:p w:rsidR="00A327E6" w:rsidRPr="0021796A" w:rsidRDefault="00A327E6" w:rsidP="00E44AAF">
      <w:pPr>
        <w:pStyle w:val="NormalIndent"/>
        <w:spacing w:before="100" w:beforeAutospacing="1" w:after="100" w:afterAutospacing="1" w:line="400" w:lineRule="atLeast"/>
        <w:rPr>
          <w:szCs w:val="24"/>
        </w:rPr>
      </w:pPr>
      <w:r w:rsidRPr="0021796A">
        <w:rPr>
          <w:szCs w:val="24"/>
        </w:rPr>
        <w:t>Standard screening questions were used to identify eligible households and to randomly select an eligible respondent to participate in the survey.  Additional screening questions were used to address potential selection biases.  For example, one screening question asked about the number of phone lines in the household because having more phone lines increases the probability of being selected.  By collecting this information, this factor was able to be included as part of the complex sampling design.</w:t>
      </w:r>
    </w:p>
    <w:p w:rsidR="00A327E6" w:rsidRPr="0021796A" w:rsidRDefault="00A327E6" w:rsidP="00E44AAF">
      <w:pPr>
        <w:pStyle w:val="NormalIndent"/>
        <w:spacing w:before="100" w:beforeAutospacing="1" w:after="100" w:afterAutospacing="1" w:line="400" w:lineRule="atLeast"/>
        <w:rPr>
          <w:szCs w:val="24"/>
        </w:rPr>
      </w:pPr>
      <w:r w:rsidRPr="0021796A">
        <w:rPr>
          <w:szCs w:val="24"/>
        </w:rPr>
        <w:t>To maximize the response rate, the survey administrators worked with MDPH/BEH to develop a number of call protocol elements designed to put responders at ease, pique interest and investment, verify the legitimacy of the caller and study, and establish trust in the confidentiality of any information given.  The protocol included a standardized and appropriate call lead-in with an introductory statement about an “important environmental health study” being conducted for the purpose of learning about the respondent’s health and the health of their family “to determine if there are common health problems” in their community. The statement explained the importance of participation in the study in order to help represent one’s community, but did not identify Logan Airport as the subject of the study. Contact information for MDPH/BEH as well as a toll-free number for the survey administrators and the name of the survey operation manager were given. The standardized statement also included assurances of the confidentiality of any information provided.</w:t>
      </w:r>
    </w:p>
    <w:p w:rsidR="00A327E6" w:rsidRPr="0021796A" w:rsidRDefault="00A327E6" w:rsidP="00E44AAF">
      <w:pPr>
        <w:pStyle w:val="NormalIndent"/>
        <w:spacing w:before="100" w:beforeAutospacing="1" w:after="100" w:afterAutospacing="1" w:line="400" w:lineRule="atLeast"/>
        <w:rPr>
          <w:szCs w:val="24"/>
        </w:rPr>
      </w:pPr>
      <w:r w:rsidRPr="0021796A">
        <w:rPr>
          <w:szCs w:val="24"/>
        </w:rPr>
        <w:t>Surveys were conducted in English and Spanish depending upon the spoken language of the eligible respondent.  For surveys conducted in Spanish, the respondent requesting the Spanish interview was re-contacted by a subcontractor within a specified period of time to complete the survey.  The survey was designed to take an average of 25 minutes to complete and asked respondents to provide information about themselves and all children that might reside in the household. When an interviewer called a sampled household, one adult living in the household was randomly selected to be the respondent.  If children resided in the household, the respondent was asked to complete the final section of the survey, designed to collect information for all children living in the household.</w:t>
      </w:r>
    </w:p>
    <w:p w:rsidR="00A327E6" w:rsidRPr="0021796A" w:rsidRDefault="00A327E6" w:rsidP="00E44AAF">
      <w:pPr>
        <w:pStyle w:val="NormalIndent"/>
        <w:spacing w:before="100" w:beforeAutospacing="1" w:after="100" w:afterAutospacing="1" w:line="400" w:lineRule="atLeast"/>
        <w:rPr>
          <w:szCs w:val="24"/>
        </w:rPr>
      </w:pPr>
      <w:r w:rsidRPr="0021796A">
        <w:rPr>
          <w:szCs w:val="24"/>
        </w:rPr>
        <w:t>A total of 6,072 eligible residents/households were interviewed and completed surveys about themselves and 2,215 children living in those respective households.  Completed surveys in each exposure area were tracked by mapping the street address, nearest landmark, or zip code provided by the respondent using GIS tools in order to ensure that the number of completed interviews per exposure area would be achieved.</w:t>
      </w:r>
    </w:p>
    <w:p w:rsidR="00A327E6" w:rsidRPr="0021796A" w:rsidRDefault="00A327E6" w:rsidP="00E44AAF">
      <w:pPr>
        <w:pStyle w:val="Heading1"/>
        <w:spacing w:before="100" w:beforeAutospacing="1" w:after="100" w:afterAutospacing="1" w:line="400" w:lineRule="atLeast"/>
        <w:rPr>
          <w:sz w:val="24"/>
          <w:szCs w:val="24"/>
        </w:rPr>
        <w:sectPr w:rsidR="00A327E6" w:rsidRPr="0021796A" w:rsidSect="00785F83">
          <w:footerReference w:type="default" r:id="rId13"/>
          <w:pgSz w:w="12240" w:h="15840"/>
          <w:pgMar w:top="1440" w:right="1440" w:bottom="1440" w:left="1440" w:header="720" w:footer="720" w:gutter="0"/>
          <w:cols w:space="720"/>
          <w:docGrid w:linePitch="360"/>
        </w:sectPr>
      </w:pPr>
      <w:bookmarkStart w:id="74" w:name="_Toc336343141"/>
      <w:bookmarkStart w:id="75" w:name="_Toc344362991"/>
      <w:bookmarkStart w:id="76" w:name="_Toc344476468"/>
      <w:bookmarkStart w:id="77" w:name="_Toc346872972"/>
      <w:bookmarkStart w:id="78" w:name="_Toc350413068"/>
    </w:p>
    <w:p w:rsidR="00A327E6" w:rsidRPr="00E44AAF" w:rsidRDefault="00A327E6" w:rsidP="00E44AAF">
      <w:pPr>
        <w:pStyle w:val="Heading1"/>
        <w:spacing w:before="0" w:line="240" w:lineRule="auto"/>
        <w:rPr>
          <w:sz w:val="24"/>
          <w:szCs w:val="24"/>
        </w:rPr>
      </w:pPr>
      <w:bookmarkStart w:id="79" w:name="_Toc388543098"/>
      <w:r w:rsidRPr="0021796A">
        <w:rPr>
          <w:sz w:val="24"/>
          <w:szCs w:val="24"/>
        </w:rPr>
        <w:t>ENVIRONMENTAL ASSESSMENT OF AIR POLLUTANTS AND NOISE ASSO</w:t>
      </w:r>
      <w:r>
        <w:rPr>
          <w:sz w:val="24"/>
          <w:szCs w:val="24"/>
        </w:rPr>
        <w:t>CIATED</w:t>
      </w:r>
      <w:r w:rsidRPr="0021796A">
        <w:rPr>
          <w:sz w:val="24"/>
          <w:szCs w:val="24"/>
        </w:rPr>
        <w:t xml:space="preserve"> WITH LOGAN AIRPORT OPERATIONS</w:t>
      </w:r>
      <w:bookmarkEnd w:id="74"/>
      <w:bookmarkEnd w:id="75"/>
      <w:bookmarkEnd w:id="76"/>
      <w:bookmarkEnd w:id="77"/>
      <w:bookmarkEnd w:id="78"/>
      <w:bookmarkEnd w:id="79"/>
    </w:p>
    <w:p w:rsidR="00A327E6" w:rsidRPr="0021796A" w:rsidRDefault="00A327E6" w:rsidP="00E44AAF">
      <w:pPr>
        <w:pStyle w:val="Heading2"/>
        <w:spacing w:line="400" w:lineRule="atLeast"/>
      </w:pPr>
      <w:bookmarkStart w:id="80" w:name="_Toc336343142"/>
      <w:bookmarkStart w:id="81" w:name="_Toc344362992"/>
      <w:bookmarkStart w:id="82" w:name="_Toc344476469"/>
      <w:bookmarkStart w:id="83" w:name="_Toc346872973"/>
      <w:bookmarkStart w:id="84" w:name="_Toc350413069"/>
      <w:bookmarkStart w:id="85" w:name="_Toc388543099"/>
      <w:r w:rsidRPr="0021796A">
        <w:t>Overview</w:t>
      </w:r>
      <w:bookmarkEnd w:id="80"/>
      <w:bookmarkEnd w:id="81"/>
      <w:bookmarkEnd w:id="82"/>
      <w:bookmarkEnd w:id="83"/>
      <w:bookmarkEnd w:id="84"/>
      <w:bookmarkEnd w:id="85"/>
    </w:p>
    <w:p w:rsidR="00A327E6" w:rsidRPr="0021796A" w:rsidRDefault="00A327E6" w:rsidP="00E44AAF">
      <w:pPr>
        <w:pStyle w:val="NormalIndent"/>
        <w:spacing w:before="100" w:beforeAutospacing="1" w:after="100" w:afterAutospacing="1" w:line="400" w:lineRule="atLeast"/>
        <w:rPr>
          <w:szCs w:val="24"/>
        </w:rPr>
      </w:pPr>
      <w:bookmarkStart w:id="86" w:name="_Toc344362994"/>
      <w:bookmarkStart w:id="87" w:name="_Toc345319872"/>
      <w:r w:rsidRPr="0021796A">
        <w:rPr>
          <w:szCs w:val="24"/>
        </w:rPr>
        <w:t xml:space="preserve">As previously discussed, the lack of individual exposure data associated with airport emissions for this study required the use of surrogates (specifically proximity to the airport and other factors). </w:t>
      </w:r>
      <w:r>
        <w:rPr>
          <w:szCs w:val="24"/>
        </w:rPr>
        <w:t xml:space="preserve"> </w:t>
      </w:r>
      <w:r w:rsidRPr="0021796A">
        <w:rPr>
          <w:szCs w:val="24"/>
        </w:rPr>
        <w:t xml:space="preserve">Air dispersion modeling was performed to quantify the ambient air pollution concentrations in the study area and improve exposure classification of the participants.  In addition, noise contours provided by Massport were used to classify noise exposure for the health outcome data analysis.  </w:t>
      </w:r>
    </w:p>
    <w:p w:rsidR="00A327E6" w:rsidRPr="0021796A" w:rsidRDefault="00A327E6" w:rsidP="00E44AAF">
      <w:pPr>
        <w:pStyle w:val="Heading2"/>
        <w:spacing w:line="400" w:lineRule="atLeast"/>
      </w:pPr>
      <w:bookmarkStart w:id="88" w:name="_Toc346872974"/>
      <w:bookmarkStart w:id="89" w:name="_Toc350413070"/>
      <w:bookmarkStart w:id="90" w:name="_Toc388543100"/>
      <w:r w:rsidRPr="0021796A">
        <w:t>Air Dispersion Modeling Analysis of 2005 Airport Emissions</w:t>
      </w:r>
      <w:bookmarkEnd w:id="86"/>
      <w:bookmarkEnd w:id="87"/>
      <w:bookmarkEnd w:id="88"/>
      <w:bookmarkEnd w:id="89"/>
      <w:bookmarkEnd w:id="90"/>
    </w:p>
    <w:p w:rsidR="00A327E6" w:rsidRPr="0021796A" w:rsidRDefault="00A327E6" w:rsidP="00E44AAF">
      <w:pPr>
        <w:pStyle w:val="Caption"/>
        <w:spacing w:before="100" w:beforeAutospacing="1" w:after="100" w:afterAutospacing="1" w:line="400" w:lineRule="atLeast"/>
        <w:rPr>
          <w:rStyle w:val="Emphasis"/>
          <w:b w:val="0"/>
          <w:bCs w:val="0"/>
          <w:caps w:val="0"/>
          <w:szCs w:val="24"/>
        </w:rPr>
      </w:pPr>
      <w:bookmarkStart w:id="91" w:name="_Toc344362995"/>
      <w:r w:rsidRPr="0021796A">
        <w:rPr>
          <w:rStyle w:val="Emphasis"/>
          <w:szCs w:val="24"/>
        </w:rPr>
        <w:t>Introduction</w:t>
      </w:r>
      <w:bookmarkEnd w:id="91"/>
    </w:p>
    <w:p w:rsidR="00A327E6" w:rsidRPr="0021796A" w:rsidRDefault="00A327E6" w:rsidP="00E44AAF">
      <w:pPr>
        <w:pStyle w:val="NormalIndent"/>
        <w:spacing w:before="100" w:beforeAutospacing="1" w:after="100" w:afterAutospacing="1" w:line="400" w:lineRule="atLeast"/>
        <w:rPr>
          <w:szCs w:val="24"/>
        </w:rPr>
      </w:pPr>
      <w:r w:rsidRPr="0021796A">
        <w:rPr>
          <w:szCs w:val="24"/>
        </w:rPr>
        <w:t xml:space="preserve">Air dispersion models perform mathematical simulations of atmospheric transport and dispersion of emissions, using emission factors and meteorological information to estimate ambient air pollution concentrations associated with a source, such as Logan Airport.  The US FAA’s Emissions and Dispersion Modeling System (EDMS) contains two modules. The first is designed to estimate an emissions inventory, or listing, of pollutants and the amounts emitted from each of the major airport emission sources including aircraft, motor vehicles, and ground service equipment.  The second module was developed to model the dispersion of these emissions in air over space and time.  </w:t>
      </w:r>
      <w:r>
        <w:rPr>
          <w:szCs w:val="24"/>
        </w:rPr>
        <w:t xml:space="preserve">The model in EDMS is </w:t>
      </w:r>
      <w:r w:rsidRPr="0021796A">
        <w:rPr>
          <w:szCs w:val="24"/>
        </w:rPr>
        <w:t xml:space="preserve">AERMOD and is the most advanced air dispersion model available for quantifying ambient air pollution concentrations from airport operations. AERMOD is the preferred model of environmental regulatory agencies when making air quality permitting decisions in the US.  The </w:t>
      </w:r>
      <w:r>
        <w:rPr>
          <w:szCs w:val="24"/>
        </w:rPr>
        <w:t xml:space="preserve">US </w:t>
      </w:r>
      <w:r w:rsidRPr="0021796A">
        <w:rPr>
          <w:szCs w:val="24"/>
        </w:rPr>
        <w:t>FAA’s EDMS model has undergone several revisions over the past several years and the most recent version (EDMS v 5.1.3) was used for the LAHS (US FAA, 2010).</w:t>
      </w:r>
    </w:p>
    <w:p w:rsidR="00A327E6" w:rsidRPr="0021796A" w:rsidRDefault="00A327E6" w:rsidP="00E44AAF">
      <w:pPr>
        <w:autoSpaceDE w:val="0"/>
        <w:autoSpaceDN w:val="0"/>
        <w:adjustRightInd w:val="0"/>
        <w:spacing w:before="100" w:beforeAutospacing="1" w:after="100" w:afterAutospacing="1" w:line="400" w:lineRule="atLeast"/>
        <w:ind w:firstLine="720"/>
        <w:rPr>
          <w:szCs w:val="24"/>
        </w:rPr>
      </w:pPr>
      <w:r w:rsidRPr="0021796A">
        <w:rPr>
          <w:szCs w:val="24"/>
        </w:rPr>
        <w:t xml:space="preserve">Air dispersion modeling of Logan Airport operations requires both the emissions inventory and the timing and location of emissions associated with airport operations.  Massport uses the emissions inventory module to calculate airport emissions on an annual basis and reports these data in the annual Environmental Data Report (EDR).  The EDRs are a part of a series of annual environmental review documents submitted to the Executive Office of Energy and Environmental Affairs/Massachusetts Environmental Policy Act (MEPA) Office. They have been required since 1989 to report on the cumulative environmental effects of Logan Airport’s operations and activities.  EDRs provide a review of environmental conditions for the reporting year compared to the previous year.  Massport also routinely logs flight operations of the exact time of every </w:t>
      </w:r>
      <w:r>
        <w:rPr>
          <w:szCs w:val="24"/>
        </w:rPr>
        <w:t>arrival</w:t>
      </w:r>
      <w:r w:rsidRPr="0021796A">
        <w:rPr>
          <w:szCs w:val="24"/>
        </w:rPr>
        <w:t xml:space="preserve"> and departure </w:t>
      </w:r>
      <w:r>
        <w:rPr>
          <w:szCs w:val="24"/>
        </w:rPr>
        <w:t xml:space="preserve">of aircraft </w:t>
      </w:r>
      <w:r w:rsidRPr="0021796A">
        <w:rPr>
          <w:szCs w:val="24"/>
        </w:rPr>
        <w:t>by runway and operation.  Massport provided MDPH/BEH both the emissions inventory input files to EDMS and the flight operations log for 2005 to determine the timing of aircraft emissions throughout the year.  The location of emission sources (</w:t>
      </w:r>
      <w:r>
        <w:rPr>
          <w:szCs w:val="24"/>
        </w:rPr>
        <w:t xml:space="preserve">e.g., </w:t>
      </w:r>
      <w:r w:rsidRPr="0021796A">
        <w:rPr>
          <w:szCs w:val="24"/>
        </w:rPr>
        <w:t>ground service equipment, power plant, motor vehicles) was determined from detailed maps obtained from Massport and an airport map embedded in US FAA’s EDMS model.  MDPH/BEH contracted with a consultant with expertise in air dispersion modeling and the EDMS model for this component of the LAHS.</w:t>
      </w:r>
    </w:p>
    <w:p w:rsidR="00A327E6" w:rsidRPr="0021796A" w:rsidRDefault="00A327E6" w:rsidP="00E44AAF">
      <w:pPr>
        <w:pStyle w:val="Caption"/>
        <w:spacing w:before="100" w:beforeAutospacing="1" w:after="100" w:afterAutospacing="1" w:line="400" w:lineRule="atLeast"/>
        <w:rPr>
          <w:rStyle w:val="Emphasis"/>
          <w:b w:val="0"/>
          <w:bCs w:val="0"/>
          <w:szCs w:val="24"/>
        </w:rPr>
      </w:pPr>
      <w:bookmarkStart w:id="92" w:name="_Toc344362996"/>
      <w:r w:rsidRPr="0021796A">
        <w:rPr>
          <w:rStyle w:val="Emphasis"/>
          <w:szCs w:val="24"/>
        </w:rPr>
        <w:t>Summary of air pollutant dispersion modeling analysis</w:t>
      </w:r>
      <w:bookmarkEnd w:id="92"/>
    </w:p>
    <w:p w:rsidR="00A327E6" w:rsidRPr="0021796A" w:rsidRDefault="00A327E6" w:rsidP="00E44AAF">
      <w:pPr>
        <w:autoSpaceDE w:val="0"/>
        <w:autoSpaceDN w:val="0"/>
        <w:adjustRightInd w:val="0"/>
        <w:spacing w:after="0" w:line="400" w:lineRule="atLeast"/>
        <w:ind w:firstLine="720"/>
        <w:rPr>
          <w:szCs w:val="24"/>
        </w:rPr>
      </w:pPr>
      <w:bookmarkStart w:id="93" w:name="_Toc344362997"/>
      <w:r w:rsidRPr="0021796A">
        <w:rPr>
          <w:szCs w:val="24"/>
        </w:rPr>
        <w:t>MDPH/BEH used the most advanced version of EDMS that includes the most recent emission factors</w:t>
      </w:r>
      <w:r w:rsidRPr="0021796A">
        <w:rPr>
          <w:rStyle w:val="FootnoteReference"/>
          <w:szCs w:val="24"/>
        </w:rPr>
        <w:footnoteReference w:id="2"/>
      </w:r>
      <w:r w:rsidRPr="0021796A">
        <w:rPr>
          <w:szCs w:val="24"/>
        </w:rPr>
        <w:t xml:space="preserve"> for quantifying source emissions, particularly for aircraft, and the most recent version of AERMOD, which predicts ground-level air pollutant concentrations in a specified modeling domain.  AERMOD is the regulatory model that is required for conducting dispersion modeling mandated for the permitting process for new or modified air pollutant sources required under the New Source Review regulations of the Clean Air Act.  AERMOD is an advanced Gaussian plume type model with improvements primarily in the characterization of how winds speeds and turbulent mixing rates vary as a function of height above the ground surface.  The US FAA upgrade to EDMS included changing the dispersion model to AERMOD in 2006.  Additional information, including the full air dispersion modeling analysis report, is provided in A</w:t>
      </w:r>
      <w:r>
        <w:rPr>
          <w:szCs w:val="24"/>
        </w:rPr>
        <w:t xml:space="preserve">ppendix A. Descriptions </w:t>
      </w:r>
      <w:r w:rsidRPr="0021796A">
        <w:rPr>
          <w:szCs w:val="24"/>
        </w:rPr>
        <w:t>of the major modeling parameters associated with this analysis are summarized below.</w:t>
      </w:r>
    </w:p>
    <w:p w:rsidR="00A327E6" w:rsidRPr="0021796A" w:rsidRDefault="00A327E6" w:rsidP="00E44AAF">
      <w:pPr>
        <w:pStyle w:val="Caption"/>
        <w:spacing w:before="100" w:beforeAutospacing="1" w:after="100" w:afterAutospacing="1" w:line="400" w:lineRule="atLeast"/>
        <w:rPr>
          <w:rStyle w:val="BookTitle"/>
          <w:b/>
          <w:szCs w:val="24"/>
        </w:rPr>
      </w:pPr>
      <w:r w:rsidRPr="0021796A">
        <w:rPr>
          <w:rStyle w:val="BookTitle"/>
          <w:b/>
          <w:szCs w:val="24"/>
        </w:rPr>
        <w:t>Modeling domain and topographic features</w:t>
      </w:r>
    </w:p>
    <w:p w:rsidR="00A327E6" w:rsidRPr="0021796A" w:rsidRDefault="00A327E6" w:rsidP="00E44AAF">
      <w:pPr>
        <w:pStyle w:val="NormalIndent"/>
        <w:spacing w:before="100" w:beforeAutospacing="1" w:after="100" w:afterAutospacing="1" w:line="400" w:lineRule="atLeast"/>
        <w:rPr>
          <w:szCs w:val="24"/>
        </w:rPr>
      </w:pPr>
      <w:r w:rsidRPr="0021796A">
        <w:rPr>
          <w:szCs w:val="24"/>
        </w:rPr>
        <w:t>The topography of the study area is relatively flat.  Therefore, a radial array was used for establishing the receptors for predicting pollutant concentrations at 10 degree intervals.  The array of rings of receptors were located at radial distances of 1, 1.25, 1.5, 1.75, 2, 2.25, 2.5,2.75, 3, 3.25, 3.5, 3.75, 4, 5, 6, 8, 10, and 12 miles from the airport center.  These receptors were assigned elevations of 1.8 meters above the ground surface and have base elevations set at 5.59 meters above sea level.  An additional 27 receptors were placed at the aeronautical center point of Logan Airport, the Logan Statue located at the entrance of Logan Airport</w:t>
      </w:r>
      <w:r>
        <w:rPr>
          <w:szCs w:val="24"/>
        </w:rPr>
        <w:t>, and at other specific land</w:t>
      </w:r>
      <w:r w:rsidRPr="0021796A">
        <w:rPr>
          <w:szCs w:val="24"/>
        </w:rPr>
        <w:t xml:space="preserve">marks or easily identifiable locations in the LAHS area.  Only receptors located off airport property were included in the modeling analysis.  There were a total of 635 receptors in the modeling domain.  </w:t>
      </w:r>
    </w:p>
    <w:p w:rsidR="00A327E6" w:rsidRPr="0021796A" w:rsidRDefault="00A327E6" w:rsidP="00E44AAF">
      <w:pPr>
        <w:spacing w:before="100" w:beforeAutospacing="1" w:after="100" w:afterAutospacing="1" w:line="400" w:lineRule="atLeast"/>
        <w:rPr>
          <w:rStyle w:val="BookTitle"/>
          <w:szCs w:val="24"/>
        </w:rPr>
      </w:pPr>
      <w:r w:rsidRPr="0021796A">
        <w:rPr>
          <w:rStyle w:val="BookTitle"/>
          <w:szCs w:val="24"/>
        </w:rPr>
        <w:t>Pollutants of concern</w:t>
      </w:r>
    </w:p>
    <w:p w:rsidR="00A327E6" w:rsidRDefault="00A327E6" w:rsidP="00E44AAF">
      <w:pPr>
        <w:spacing w:before="100" w:beforeAutospacing="1" w:after="100" w:afterAutospacing="1" w:line="400" w:lineRule="atLeast"/>
        <w:ind w:firstLine="720"/>
        <w:rPr>
          <w:szCs w:val="24"/>
        </w:rPr>
      </w:pPr>
      <w:r w:rsidRPr="0021796A">
        <w:rPr>
          <w:szCs w:val="24"/>
        </w:rPr>
        <w:t>The pollutants modeled by EDMS for the LAHS are nitrogen oxides (NOx), particulate matter (PM</w:t>
      </w:r>
      <w:r w:rsidRPr="0021796A">
        <w:rPr>
          <w:szCs w:val="24"/>
          <w:vertAlign w:val="subscript"/>
        </w:rPr>
        <w:t>2.5</w:t>
      </w:r>
      <w:r w:rsidRPr="0021796A">
        <w:rPr>
          <w:szCs w:val="24"/>
        </w:rPr>
        <w:t>)—assumed to be all particulate matter 2.5 micrometers and smaller in aerodynamic diameter</w:t>
      </w:r>
      <w:r w:rsidRPr="0021796A">
        <w:rPr>
          <w:rStyle w:val="FootnoteReference"/>
          <w:szCs w:val="24"/>
        </w:rPr>
        <w:footnoteReference w:id="3"/>
      </w:r>
      <w:r w:rsidRPr="0021796A">
        <w:rPr>
          <w:szCs w:val="24"/>
        </w:rPr>
        <w:t>, sulfur oxide</w:t>
      </w:r>
      <w:r>
        <w:rPr>
          <w:szCs w:val="24"/>
        </w:rPr>
        <w:t>s</w:t>
      </w:r>
      <w:r w:rsidRPr="0021796A">
        <w:rPr>
          <w:szCs w:val="24"/>
        </w:rPr>
        <w:t xml:space="preserve"> (SO</w:t>
      </w:r>
      <w:r>
        <w:rPr>
          <w:szCs w:val="24"/>
          <w:vertAlign w:val="subscript"/>
        </w:rPr>
        <w:t>x</w:t>
      </w:r>
      <w:r w:rsidRPr="0021796A">
        <w:rPr>
          <w:szCs w:val="24"/>
        </w:rPr>
        <w:t xml:space="preserve">), carbon monoxide (CO), and volatile organic compounds (VOCs).  </w:t>
      </w:r>
    </w:p>
    <w:p w:rsidR="00A327E6" w:rsidRDefault="00A327E6" w:rsidP="00E44AAF">
      <w:pPr>
        <w:pStyle w:val="NormalIndent"/>
        <w:spacing w:before="100" w:beforeAutospacing="1" w:after="100" w:afterAutospacing="1" w:line="400" w:lineRule="atLeast"/>
        <w:ind w:firstLine="0"/>
        <w:rPr>
          <w:rStyle w:val="BookTitle"/>
          <w:szCs w:val="24"/>
        </w:rPr>
      </w:pPr>
    </w:p>
    <w:p w:rsidR="00A327E6" w:rsidRDefault="00A327E6" w:rsidP="00E44AAF">
      <w:pPr>
        <w:pStyle w:val="NormalIndent"/>
        <w:spacing w:before="100" w:beforeAutospacing="1" w:after="100" w:afterAutospacing="1" w:line="400" w:lineRule="atLeast"/>
        <w:ind w:firstLine="0"/>
        <w:rPr>
          <w:rStyle w:val="BookTitle"/>
          <w:szCs w:val="24"/>
        </w:rPr>
      </w:pPr>
    </w:p>
    <w:p w:rsidR="00A327E6" w:rsidRPr="0021796A" w:rsidRDefault="00A327E6" w:rsidP="00E44AAF">
      <w:pPr>
        <w:pStyle w:val="NormalIndent"/>
        <w:spacing w:before="100" w:beforeAutospacing="1" w:after="100" w:afterAutospacing="1" w:line="400" w:lineRule="atLeast"/>
        <w:ind w:firstLine="0"/>
        <w:rPr>
          <w:rStyle w:val="BookTitle"/>
          <w:szCs w:val="24"/>
        </w:rPr>
      </w:pPr>
      <w:r w:rsidRPr="0021796A">
        <w:rPr>
          <w:rStyle w:val="BookTitle"/>
          <w:szCs w:val="24"/>
        </w:rPr>
        <w:t>Emission sources</w:t>
      </w:r>
    </w:p>
    <w:p w:rsidR="00A327E6" w:rsidRDefault="00A327E6" w:rsidP="0060709B">
      <w:pPr>
        <w:pStyle w:val="NormalIndent"/>
        <w:spacing w:before="100" w:beforeAutospacing="1" w:after="100" w:afterAutospacing="1" w:line="400" w:lineRule="atLeast"/>
        <w:rPr>
          <w:szCs w:val="24"/>
        </w:rPr>
      </w:pPr>
      <w:r w:rsidRPr="0021796A">
        <w:rPr>
          <w:szCs w:val="24"/>
        </w:rPr>
        <w:t>The primary source of information on emissions from operations at Logan Airport is the annual emissions inventory for 2005 conducted by Massport using US FAA’s EDMS emissions inventory module.  The air pollutant sources considered in the LAHS are those associated with the routine operations at Logan Airport.  These include all aircraft approaching and departing in the air, landings and takeoffs, aircraft movements on the runways,</w:t>
      </w:r>
      <w:r>
        <w:rPr>
          <w:szCs w:val="24"/>
        </w:rPr>
        <w:t xml:space="preserve"> taxiways</w:t>
      </w:r>
      <w:r w:rsidRPr="0021796A">
        <w:rPr>
          <w:szCs w:val="24"/>
        </w:rPr>
        <w:t xml:space="preserve">, and areas near the  terminals,  aircraft ground support equipment (GSE) that is needed at the terminal to load or handle arriving or departing aircraft, and auxiliary power units (APUs) at the terminals used to energize aircraft at the terminals.  The emissions data also includes motor vehicle traffic on the Logan property, emissions from vehicles in the parking garages and emissions from Massport‘s power boilers that provide power or steam to the airport.  Attachment 1 in Appendix A provides detailed descriptions and spreadsheets of all input data for the emissions inventory component of the air dispersion modeling analysis. </w:t>
      </w:r>
      <w:r>
        <w:rPr>
          <w:szCs w:val="24"/>
        </w:rPr>
        <w:t xml:space="preserve"> Table 4-1</w:t>
      </w:r>
      <w:r w:rsidRPr="0021796A">
        <w:rPr>
          <w:szCs w:val="24"/>
        </w:rPr>
        <w:t xml:space="preserve"> presents the 2005 emissions inventory for Logan Airport that was modeled in this study</w:t>
      </w:r>
      <w:r>
        <w:rPr>
          <w:szCs w:val="24"/>
        </w:rPr>
        <w:t>.</w:t>
      </w:r>
    </w:p>
    <w:p w:rsidR="00A327E6" w:rsidRPr="00450AF8" w:rsidRDefault="00A327E6" w:rsidP="000722C9">
      <w:pPr>
        <w:pStyle w:val="Caption"/>
        <w:rPr>
          <w:b w:val="0"/>
        </w:rPr>
      </w:pPr>
      <w:bookmarkStart w:id="94" w:name="_Toc386796289"/>
      <w:r>
        <w:t xml:space="preserve">Table </w:t>
      </w:r>
      <w:fldSimple w:instr=" STYLEREF 1 \s ">
        <w:r>
          <w:rPr>
            <w:noProof/>
          </w:rPr>
          <w:t>4</w:t>
        </w:r>
      </w:fldSimple>
      <w:r>
        <w:noBreakHyphen/>
      </w:r>
      <w:fldSimple w:instr=" SEQ Table \* ARABIC \s 1 ">
        <w:r>
          <w:rPr>
            <w:noProof/>
          </w:rPr>
          <w:t>1</w:t>
        </w:r>
      </w:fldSimple>
      <w:r w:rsidRPr="00450AF8">
        <w:t>.  Emissions Inventory for Logan Airport, 2005 (kg/year)</w:t>
      </w:r>
      <w:bookmarkEnd w:id="94"/>
    </w:p>
    <w:tbl>
      <w:tblPr>
        <w:tblW w:w="8029" w:type="dxa"/>
        <w:jc w:val="center"/>
        <w:tblBorders>
          <w:top w:val="single" w:sz="8" w:space="0" w:color="4F81BD"/>
          <w:left w:val="single" w:sz="8" w:space="0" w:color="4F81BD"/>
          <w:bottom w:val="single" w:sz="8" w:space="0" w:color="4F81BD"/>
          <w:right w:val="single" w:sz="8" w:space="0" w:color="4F81BD"/>
        </w:tblBorders>
        <w:tblLayout w:type="fixed"/>
        <w:tblLook w:val="00A0"/>
      </w:tblPr>
      <w:tblGrid>
        <w:gridCol w:w="2179"/>
        <w:gridCol w:w="1170"/>
        <w:gridCol w:w="1170"/>
        <w:gridCol w:w="1260"/>
        <w:gridCol w:w="1080"/>
        <w:gridCol w:w="1170"/>
      </w:tblGrid>
      <w:tr w:rsidR="00A327E6" w:rsidRPr="0021796A" w:rsidTr="00415FA2">
        <w:trPr>
          <w:trHeight w:val="576"/>
          <w:jc w:val="center"/>
        </w:trPr>
        <w:tc>
          <w:tcPr>
            <w:tcW w:w="2179" w:type="dxa"/>
            <w:tcBorders>
              <w:top w:val="single" w:sz="8" w:space="0" w:color="4F81BD"/>
            </w:tcBorders>
            <w:shd w:val="clear" w:color="auto" w:fill="4F81BD"/>
            <w:noWrap/>
            <w:vAlign w:val="center"/>
          </w:tcPr>
          <w:p w:rsidR="00A327E6" w:rsidRPr="00415FA2" w:rsidRDefault="00A327E6" w:rsidP="00415FA2">
            <w:pPr>
              <w:spacing w:before="100" w:beforeAutospacing="1" w:after="100" w:afterAutospacing="1" w:line="400" w:lineRule="atLeast"/>
              <w:rPr>
                <w:b/>
                <w:bCs/>
                <w:color w:val="FFFFFF"/>
                <w:szCs w:val="24"/>
                <w:lang w:eastAsia="zh-TW"/>
              </w:rPr>
            </w:pPr>
            <w:r w:rsidRPr="00415FA2">
              <w:rPr>
                <w:b/>
                <w:bCs/>
                <w:color w:val="FFFFFF"/>
                <w:szCs w:val="24"/>
                <w:lang w:eastAsia="zh-TW"/>
              </w:rPr>
              <w:t>Source Category</w:t>
            </w:r>
          </w:p>
        </w:tc>
        <w:tc>
          <w:tcPr>
            <w:tcW w:w="1170" w:type="dxa"/>
            <w:tcBorders>
              <w:top w:val="single" w:sz="8" w:space="0" w:color="4F81BD"/>
              <w:left w:val="single" w:sz="8" w:space="0" w:color="4F81BD"/>
              <w:right w:val="single" w:sz="8" w:space="0" w:color="4F81BD"/>
            </w:tcBorders>
            <w:shd w:val="clear" w:color="auto" w:fill="4F81BD"/>
            <w:noWrap/>
            <w:vAlign w:val="center"/>
          </w:tcPr>
          <w:p w:rsidR="00A327E6" w:rsidRPr="00415FA2" w:rsidRDefault="00A327E6" w:rsidP="00415FA2">
            <w:pPr>
              <w:spacing w:before="100" w:beforeAutospacing="1" w:after="100" w:afterAutospacing="1" w:line="400" w:lineRule="atLeast"/>
              <w:jc w:val="center"/>
              <w:rPr>
                <w:b/>
                <w:bCs/>
                <w:color w:val="FFFFFF"/>
                <w:szCs w:val="24"/>
                <w:lang w:eastAsia="zh-TW"/>
              </w:rPr>
            </w:pPr>
            <w:r w:rsidRPr="00415FA2">
              <w:rPr>
                <w:b/>
                <w:bCs/>
                <w:color w:val="FFFFFF"/>
                <w:szCs w:val="24"/>
                <w:lang w:eastAsia="zh-TW"/>
              </w:rPr>
              <w:t>CO</w:t>
            </w:r>
          </w:p>
        </w:tc>
        <w:tc>
          <w:tcPr>
            <w:tcW w:w="1170" w:type="dxa"/>
            <w:tcBorders>
              <w:top w:val="single" w:sz="8" w:space="0" w:color="4F81BD"/>
            </w:tcBorders>
            <w:shd w:val="clear" w:color="auto" w:fill="4F81BD"/>
            <w:vAlign w:val="center"/>
          </w:tcPr>
          <w:p w:rsidR="00A327E6" w:rsidRPr="00415FA2" w:rsidRDefault="00A327E6" w:rsidP="00415FA2">
            <w:pPr>
              <w:spacing w:before="100" w:beforeAutospacing="1" w:after="100" w:afterAutospacing="1" w:line="400" w:lineRule="atLeast"/>
              <w:jc w:val="center"/>
              <w:rPr>
                <w:b/>
                <w:bCs/>
                <w:color w:val="FFFFFF"/>
                <w:szCs w:val="24"/>
                <w:lang w:eastAsia="zh-TW"/>
              </w:rPr>
            </w:pPr>
            <w:r w:rsidRPr="00415FA2">
              <w:rPr>
                <w:b/>
                <w:bCs/>
                <w:color w:val="FFFFFF"/>
                <w:szCs w:val="24"/>
                <w:lang w:eastAsia="zh-TW"/>
              </w:rPr>
              <w:t>NOx</w:t>
            </w:r>
          </w:p>
        </w:tc>
        <w:tc>
          <w:tcPr>
            <w:tcW w:w="1260" w:type="dxa"/>
            <w:tcBorders>
              <w:top w:val="single" w:sz="8" w:space="0" w:color="4F81BD"/>
              <w:left w:val="single" w:sz="8" w:space="0" w:color="4F81BD"/>
              <w:right w:val="single" w:sz="8" w:space="0" w:color="4F81BD"/>
            </w:tcBorders>
            <w:shd w:val="clear" w:color="auto" w:fill="4F81BD"/>
            <w:noWrap/>
            <w:vAlign w:val="center"/>
          </w:tcPr>
          <w:p w:rsidR="00A327E6" w:rsidRPr="00415FA2" w:rsidRDefault="00A327E6" w:rsidP="00415FA2">
            <w:pPr>
              <w:spacing w:before="100" w:beforeAutospacing="1" w:after="100" w:afterAutospacing="1" w:line="400" w:lineRule="atLeast"/>
              <w:jc w:val="center"/>
              <w:rPr>
                <w:b/>
                <w:bCs/>
                <w:color w:val="FFFFFF"/>
                <w:szCs w:val="24"/>
                <w:lang w:eastAsia="zh-TW"/>
              </w:rPr>
            </w:pPr>
            <w:r w:rsidRPr="00415FA2">
              <w:rPr>
                <w:b/>
                <w:bCs/>
                <w:color w:val="FFFFFF"/>
                <w:szCs w:val="24"/>
                <w:lang w:eastAsia="zh-TW"/>
              </w:rPr>
              <w:t>PM</w:t>
            </w:r>
            <w:r w:rsidRPr="00415FA2">
              <w:rPr>
                <w:b/>
                <w:bCs/>
                <w:color w:val="FFFFFF"/>
                <w:szCs w:val="24"/>
                <w:vertAlign w:val="subscript"/>
                <w:lang w:eastAsia="zh-TW"/>
              </w:rPr>
              <w:t>2.5</w:t>
            </w:r>
          </w:p>
        </w:tc>
        <w:tc>
          <w:tcPr>
            <w:tcW w:w="1080" w:type="dxa"/>
            <w:tcBorders>
              <w:top w:val="single" w:sz="8" w:space="0" w:color="4F81BD"/>
            </w:tcBorders>
            <w:shd w:val="clear" w:color="auto" w:fill="4F81BD"/>
            <w:vAlign w:val="center"/>
          </w:tcPr>
          <w:p w:rsidR="00A327E6" w:rsidRPr="00415FA2" w:rsidRDefault="00A327E6" w:rsidP="00415FA2">
            <w:pPr>
              <w:spacing w:before="100" w:beforeAutospacing="1" w:after="100" w:afterAutospacing="1" w:line="400" w:lineRule="atLeast"/>
              <w:jc w:val="center"/>
              <w:rPr>
                <w:b/>
                <w:bCs/>
                <w:color w:val="FFFFFF"/>
                <w:szCs w:val="24"/>
                <w:lang w:eastAsia="zh-TW"/>
              </w:rPr>
            </w:pPr>
            <w:r w:rsidRPr="00415FA2">
              <w:rPr>
                <w:b/>
                <w:bCs/>
                <w:color w:val="FFFFFF"/>
                <w:szCs w:val="24"/>
                <w:lang w:eastAsia="zh-TW"/>
              </w:rPr>
              <w:t>SO</w:t>
            </w:r>
            <w:r w:rsidRPr="00415FA2">
              <w:rPr>
                <w:b/>
                <w:bCs/>
                <w:color w:val="FFFFFF"/>
                <w:szCs w:val="24"/>
                <w:vertAlign w:val="subscript"/>
                <w:lang w:eastAsia="zh-TW"/>
              </w:rPr>
              <w:t>x</w:t>
            </w:r>
          </w:p>
        </w:tc>
        <w:tc>
          <w:tcPr>
            <w:tcW w:w="1170" w:type="dxa"/>
            <w:tcBorders>
              <w:top w:val="single" w:sz="8" w:space="0" w:color="4F81BD"/>
              <w:left w:val="single" w:sz="8" w:space="0" w:color="4F81BD"/>
            </w:tcBorders>
            <w:shd w:val="clear" w:color="auto" w:fill="4F81BD"/>
            <w:noWrap/>
            <w:vAlign w:val="center"/>
          </w:tcPr>
          <w:p w:rsidR="00A327E6" w:rsidRPr="00415FA2" w:rsidRDefault="00A327E6" w:rsidP="00415FA2">
            <w:pPr>
              <w:spacing w:before="100" w:beforeAutospacing="1" w:after="100" w:afterAutospacing="1" w:line="400" w:lineRule="atLeast"/>
              <w:jc w:val="center"/>
              <w:rPr>
                <w:b/>
                <w:bCs/>
                <w:color w:val="FFFFFF"/>
                <w:szCs w:val="24"/>
                <w:lang w:eastAsia="zh-TW"/>
              </w:rPr>
            </w:pPr>
            <w:r w:rsidRPr="00415FA2">
              <w:rPr>
                <w:b/>
                <w:bCs/>
                <w:color w:val="FFFFFF"/>
                <w:szCs w:val="24"/>
                <w:lang w:eastAsia="zh-TW"/>
              </w:rPr>
              <w:t>VOC</w:t>
            </w:r>
          </w:p>
        </w:tc>
      </w:tr>
      <w:tr w:rsidR="00A327E6" w:rsidRPr="0021796A" w:rsidTr="00415FA2">
        <w:trPr>
          <w:trHeight w:val="389"/>
          <w:jc w:val="center"/>
        </w:trPr>
        <w:tc>
          <w:tcPr>
            <w:tcW w:w="2179" w:type="dxa"/>
            <w:tcBorders>
              <w:top w:val="single" w:sz="8" w:space="0" w:color="4F81BD"/>
              <w:bottom w:val="single" w:sz="8" w:space="0" w:color="4F81BD"/>
            </w:tcBorders>
            <w:noWrap/>
            <w:vAlign w:val="center"/>
          </w:tcPr>
          <w:p w:rsidR="00A327E6" w:rsidRPr="00415FA2" w:rsidRDefault="00A327E6" w:rsidP="00415FA2">
            <w:pPr>
              <w:spacing w:before="100" w:beforeAutospacing="1" w:after="100" w:afterAutospacing="1" w:line="400" w:lineRule="atLeast"/>
              <w:rPr>
                <w:b/>
                <w:bCs/>
                <w:szCs w:val="24"/>
                <w:lang w:eastAsia="zh-TW"/>
              </w:rPr>
            </w:pPr>
            <w:r w:rsidRPr="00415FA2">
              <w:rPr>
                <w:bCs/>
                <w:szCs w:val="24"/>
                <w:lang w:eastAsia="zh-TW"/>
              </w:rPr>
              <w:t>Aircraft</w:t>
            </w:r>
          </w:p>
        </w:tc>
        <w:tc>
          <w:tcPr>
            <w:tcW w:w="1170" w:type="dxa"/>
            <w:tcBorders>
              <w:top w:val="single" w:sz="8" w:space="0" w:color="4F81BD"/>
              <w:left w:val="single" w:sz="8" w:space="0" w:color="4F81BD"/>
              <w:bottom w:val="single" w:sz="8" w:space="0" w:color="4F81BD"/>
              <w:right w:val="single" w:sz="8" w:space="0" w:color="4F81BD"/>
            </w:tcBorders>
            <w:noWrap/>
            <w:vAlign w:val="center"/>
          </w:tcPr>
          <w:p w:rsidR="00A327E6" w:rsidRPr="00415FA2" w:rsidRDefault="00A327E6" w:rsidP="00415FA2">
            <w:pPr>
              <w:spacing w:before="100" w:beforeAutospacing="1" w:after="100" w:afterAutospacing="1" w:line="400" w:lineRule="atLeast"/>
              <w:jc w:val="right"/>
              <w:rPr>
                <w:szCs w:val="24"/>
                <w:lang w:eastAsia="zh-TW"/>
              </w:rPr>
            </w:pPr>
            <w:r w:rsidRPr="00415FA2">
              <w:rPr>
                <w:szCs w:val="24"/>
                <w:lang w:eastAsia="zh-TW"/>
              </w:rPr>
              <w:t>1149808</w:t>
            </w:r>
          </w:p>
        </w:tc>
        <w:tc>
          <w:tcPr>
            <w:tcW w:w="1170" w:type="dxa"/>
            <w:tcBorders>
              <w:top w:val="single" w:sz="8" w:space="0" w:color="4F81BD"/>
              <w:bottom w:val="single" w:sz="8" w:space="0" w:color="4F81BD"/>
            </w:tcBorders>
            <w:vAlign w:val="center"/>
          </w:tcPr>
          <w:p w:rsidR="00A327E6" w:rsidRPr="00415FA2" w:rsidRDefault="00A327E6" w:rsidP="00415FA2">
            <w:pPr>
              <w:spacing w:before="100" w:beforeAutospacing="1" w:after="100" w:afterAutospacing="1" w:line="400" w:lineRule="atLeast"/>
              <w:jc w:val="right"/>
              <w:rPr>
                <w:szCs w:val="24"/>
                <w:lang w:eastAsia="zh-TW"/>
              </w:rPr>
            </w:pPr>
            <w:r w:rsidRPr="00415FA2">
              <w:rPr>
                <w:szCs w:val="24"/>
                <w:lang w:eastAsia="zh-TW"/>
              </w:rPr>
              <w:t>1193034</w:t>
            </w:r>
          </w:p>
        </w:tc>
        <w:tc>
          <w:tcPr>
            <w:tcW w:w="1260" w:type="dxa"/>
            <w:tcBorders>
              <w:top w:val="single" w:sz="8" w:space="0" w:color="4F81BD"/>
              <w:left w:val="single" w:sz="8" w:space="0" w:color="4F81BD"/>
              <w:bottom w:val="single" w:sz="8" w:space="0" w:color="4F81BD"/>
              <w:right w:val="single" w:sz="8" w:space="0" w:color="4F81BD"/>
            </w:tcBorders>
            <w:noWrap/>
            <w:vAlign w:val="center"/>
          </w:tcPr>
          <w:p w:rsidR="00A327E6" w:rsidRPr="00415FA2" w:rsidRDefault="00A327E6" w:rsidP="00415FA2">
            <w:pPr>
              <w:spacing w:before="100" w:beforeAutospacing="1" w:after="100" w:afterAutospacing="1" w:line="400" w:lineRule="atLeast"/>
              <w:jc w:val="right"/>
              <w:rPr>
                <w:szCs w:val="24"/>
                <w:lang w:eastAsia="zh-TW"/>
              </w:rPr>
            </w:pPr>
            <w:r w:rsidRPr="00415FA2">
              <w:rPr>
                <w:szCs w:val="24"/>
                <w:lang w:eastAsia="zh-TW"/>
              </w:rPr>
              <w:t>21368</w:t>
            </w:r>
          </w:p>
        </w:tc>
        <w:tc>
          <w:tcPr>
            <w:tcW w:w="1080" w:type="dxa"/>
            <w:tcBorders>
              <w:top w:val="single" w:sz="8" w:space="0" w:color="4F81BD"/>
              <w:bottom w:val="single" w:sz="8" w:space="0" w:color="4F81BD"/>
            </w:tcBorders>
            <w:vAlign w:val="center"/>
          </w:tcPr>
          <w:p w:rsidR="00A327E6" w:rsidRPr="00415FA2" w:rsidRDefault="00A327E6" w:rsidP="00415FA2">
            <w:pPr>
              <w:spacing w:before="100" w:beforeAutospacing="1" w:after="100" w:afterAutospacing="1" w:line="400" w:lineRule="atLeast"/>
              <w:jc w:val="right"/>
              <w:rPr>
                <w:szCs w:val="24"/>
                <w:lang w:eastAsia="zh-TW"/>
              </w:rPr>
            </w:pPr>
            <w:r w:rsidRPr="00415FA2">
              <w:rPr>
                <w:szCs w:val="24"/>
                <w:lang w:eastAsia="zh-TW"/>
              </w:rPr>
              <w:t>111641</w:t>
            </w:r>
          </w:p>
        </w:tc>
        <w:tc>
          <w:tcPr>
            <w:tcW w:w="1170" w:type="dxa"/>
            <w:tcBorders>
              <w:top w:val="single" w:sz="8" w:space="0" w:color="4F81BD"/>
              <w:left w:val="single" w:sz="8" w:space="0" w:color="4F81BD"/>
              <w:bottom w:val="single" w:sz="8" w:space="0" w:color="4F81BD"/>
            </w:tcBorders>
            <w:noWrap/>
            <w:vAlign w:val="center"/>
          </w:tcPr>
          <w:p w:rsidR="00A327E6" w:rsidRPr="00415FA2" w:rsidRDefault="00A327E6" w:rsidP="00415FA2">
            <w:pPr>
              <w:spacing w:before="100" w:beforeAutospacing="1" w:after="100" w:afterAutospacing="1" w:line="400" w:lineRule="atLeast"/>
              <w:jc w:val="right"/>
              <w:rPr>
                <w:szCs w:val="24"/>
                <w:lang w:eastAsia="zh-TW"/>
              </w:rPr>
            </w:pPr>
            <w:r w:rsidRPr="00415FA2">
              <w:rPr>
                <w:szCs w:val="24"/>
                <w:lang w:eastAsia="zh-TW"/>
              </w:rPr>
              <w:t>434959</w:t>
            </w:r>
          </w:p>
        </w:tc>
      </w:tr>
      <w:tr w:rsidR="00A327E6" w:rsidRPr="0021796A" w:rsidTr="00415FA2">
        <w:trPr>
          <w:trHeight w:val="389"/>
          <w:jc w:val="center"/>
        </w:trPr>
        <w:tc>
          <w:tcPr>
            <w:tcW w:w="2179" w:type="dxa"/>
            <w:noWrap/>
            <w:vAlign w:val="center"/>
          </w:tcPr>
          <w:p w:rsidR="00A327E6" w:rsidRPr="00415FA2" w:rsidRDefault="00A327E6" w:rsidP="00415FA2">
            <w:pPr>
              <w:spacing w:before="100" w:beforeAutospacing="1" w:after="100" w:afterAutospacing="1" w:line="400" w:lineRule="atLeast"/>
              <w:rPr>
                <w:b/>
                <w:bCs/>
                <w:szCs w:val="24"/>
                <w:lang w:eastAsia="zh-TW"/>
              </w:rPr>
            </w:pPr>
            <w:r w:rsidRPr="00415FA2">
              <w:rPr>
                <w:bCs/>
                <w:szCs w:val="24"/>
                <w:lang w:eastAsia="zh-TW"/>
              </w:rPr>
              <w:t>GSE</w:t>
            </w:r>
          </w:p>
        </w:tc>
        <w:tc>
          <w:tcPr>
            <w:tcW w:w="1170" w:type="dxa"/>
            <w:tcBorders>
              <w:left w:val="single" w:sz="8" w:space="0" w:color="4F81BD"/>
              <w:right w:val="single" w:sz="8" w:space="0" w:color="4F81BD"/>
            </w:tcBorders>
            <w:noWrap/>
            <w:vAlign w:val="center"/>
          </w:tcPr>
          <w:p w:rsidR="00A327E6" w:rsidRPr="00415FA2" w:rsidRDefault="00A327E6" w:rsidP="00415FA2">
            <w:pPr>
              <w:spacing w:before="100" w:beforeAutospacing="1" w:after="100" w:afterAutospacing="1" w:line="400" w:lineRule="atLeast"/>
              <w:jc w:val="right"/>
              <w:rPr>
                <w:szCs w:val="24"/>
                <w:lang w:eastAsia="zh-TW"/>
              </w:rPr>
            </w:pPr>
            <w:r w:rsidRPr="00415FA2">
              <w:rPr>
                <w:szCs w:val="24"/>
                <w:lang w:eastAsia="zh-TW"/>
              </w:rPr>
              <w:t>2262228</w:t>
            </w:r>
          </w:p>
        </w:tc>
        <w:tc>
          <w:tcPr>
            <w:tcW w:w="1170" w:type="dxa"/>
            <w:vAlign w:val="center"/>
          </w:tcPr>
          <w:p w:rsidR="00A327E6" w:rsidRPr="00415FA2" w:rsidRDefault="00A327E6" w:rsidP="00415FA2">
            <w:pPr>
              <w:spacing w:before="100" w:beforeAutospacing="1" w:after="100" w:afterAutospacing="1" w:line="400" w:lineRule="atLeast"/>
              <w:jc w:val="right"/>
              <w:rPr>
                <w:szCs w:val="24"/>
                <w:lang w:eastAsia="zh-TW"/>
              </w:rPr>
            </w:pPr>
            <w:r w:rsidRPr="00415FA2">
              <w:rPr>
                <w:szCs w:val="24"/>
                <w:lang w:eastAsia="zh-TW"/>
              </w:rPr>
              <w:t>254757</w:t>
            </w:r>
          </w:p>
        </w:tc>
        <w:tc>
          <w:tcPr>
            <w:tcW w:w="1260" w:type="dxa"/>
            <w:tcBorders>
              <w:left w:val="single" w:sz="8" w:space="0" w:color="4F81BD"/>
              <w:right w:val="single" w:sz="8" w:space="0" w:color="4F81BD"/>
            </w:tcBorders>
            <w:noWrap/>
            <w:vAlign w:val="center"/>
          </w:tcPr>
          <w:p w:rsidR="00A327E6" w:rsidRPr="00415FA2" w:rsidRDefault="00A327E6" w:rsidP="00415FA2">
            <w:pPr>
              <w:spacing w:before="100" w:beforeAutospacing="1" w:after="100" w:afterAutospacing="1" w:line="400" w:lineRule="atLeast"/>
              <w:jc w:val="right"/>
              <w:rPr>
                <w:szCs w:val="24"/>
                <w:lang w:eastAsia="zh-TW"/>
              </w:rPr>
            </w:pPr>
            <w:r w:rsidRPr="00415FA2">
              <w:rPr>
                <w:szCs w:val="24"/>
                <w:lang w:eastAsia="zh-TW"/>
              </w:rPr>
              <w:t>7425</w:t>
            </w:r>
          </w:p>
        </w:tc>
        <w:tc>
          <w:tcPr>
            <w:tcW w:w="1080" w:type="dxa"/>
            <w:vAlign w:val="center"/>
          </w:tcPr>
          <w:p w:rsidR="00A327E6" w:rsidRPr="00415FA2" w:rsidRDefault="00A327E6" w:rsidP="00415FA2">
            <w:pPr>
              <w:spacing w:before="100" w:beforeAutospacing="1" w:after="100" w:afterAutospacing="1" w:line="400" w:lineRule="atLeast"/>
              <w:jc w:val="right"/>
              <w:rPr>
                <w:szCs w:val="24"/>
                <w:lang w:eastAsia="zh-TW"/>
              </w:rPr>
            </w:pPr>
            <w:r w:rsidRPr="00415FA2">
              <w:rPr>
                <w:szCs w:val="24"/>
                <w:lang w:eastAsia="zh-TW"/>
              </w:rPr>
              <w:t>20161</w:t>
            </w:r>
          </w:p>
        </w:tc>
        <w:tc>
          <w:tcPr>
            <w:tcW w:w="1170" w:type="dxa"/>
            <w:tcBorders>
              <w:left w:val="single" w:sz="8" w:space="0" w:color="4F81BD"/>
            </w:tcBorders>
            <w:noWrap/>
            <w:vAlign w:val="center"/>
          </w:tcPr>
          <w:p w:rsidR="00A327E6" w:rsidRPr="00415FA2" w:rsidRDefault="00A327E6" w:rsidP="00415FA2">
            <w:pPr>
              <w:spacing w:before="100" w:beforeAutospacing="1" w:after="100" w:afterAutospacing="1" w:line="400" w:lineRule="atLeast"/>
              <w:jc w:val="right"/>
              <w:rPr>
                <w:szCs w:val="24"/>
                <w:lang w:eastAsia="zh-TW"/>
              </w:rPr>
            </w:pPr>
            <w:r w:rsidRPr="00415FA2">
              <w:rPr>
                <w:szCs w:val="24"/>
                <w:lang w:eastAsia="zh-TW"/>
              </w:rPr>
              <w:t>79166</w:t>
            </w:r>
          </w:p>
        </w:tc>
      </w:tr>
      <w:tr w:rsidR="00A327E6" w:rsidRPr="0021796A" w:rsidTr="00415FA2">
        <w:trPr>
          <w:trHeight w:val="389"/>
          <w:jc w:val="center"/>
        </w:trPr>
        <w:tc>
          <w:tcPr>
            <w:tcW w:w="2179" w:type="dxa"/>
            <w:tcBorders>
              <w:top w:val="single" w:sz="8" w:space="0" w:color="4F81BD"/>
              <w:bottom w:val="single" w:sz="8" w:space="0" w:color="4F81BD"/>
            </w:tcBorders>
            <w:noWrap/>
            <w:vAlign w:val="center"/>
          </w:tcPr>
          <w:p w:rsidR="00A327E6" w:rsidRPr="00415FA2" w:rsidRDefault="00A327E6" w:rsidP="00415FA2">
            <w:pPr>
              <w:spacing w:before="100" w:beforeAutospacing="1" w:after="100" w:afterAutospacing="1" w:line="400" w:lineRule="atLeast"/>
              <w:rPr>
                <w:b/>
                <w:bCs/>
                <w:szCs w:val="24"/>
                <w:lang w:eastAsia="zh-TW"/>
              </w:rPr>
            </w:pPr>
            <w:r w:rsidRPr="00415FA2">
              <w:rPr>
                <w:bCs/>
                <w:szCs w:val="24"/>
                <w:lang w:eastAsia="zh-TW"/>
              </w:rPr>
              <w:t>APUs</w:t>
            </w:r>
          </w:p>
        </w:tc>
        <w:tc>
          <w:tcPr>
            <w:tcW w:w="1170" w:type="dxa"/>
            <w:tcBorders>
              <w:top w:val="single" w:sz="8" w:space="0" w:color="4F81BD"/>
              <w:left w:val="single" w:sz="8" w:space="0" w:color="4F81BD"/>
              <w:bottom w:val="single" w:sz="8" w:space="0" w:color="4F81BD"/>
              <w:right w:val="single" w:sz="8" w:space="0" w:color="4F81BD"/>
            </w:tcBorders>
            <w:noWrap/>
            <w:vAlign w:val="center"/>
          </w:tcPr>
          <w:p w:rsidR="00A327E6" w:rsidRPr="00415FA2" w:rsidRDefault="00A327E6" w:rsidP="00415FA2">
            <w:pPr>
              <w:spacing w:before="100" w:beforeAutospacing="1" w:after="100" w:afterAutospacing="1" w:line="400" w:lineRule="atLeast"/>
              <w:jc w:val="right"/>
              <w:rPr>
                <w:szCs w:val="24"/>
                <w:lang w:eastAsia="zh-TW"/>
              </w:rPr>
            </w:pPr>
            <w:r w:rsidRPr="00415FA2">
              <w:rPr>
                <w:szCs w:val="24"/>
                <w:lang w:eastAsia="zh-TW"/>
              </w:rPr>
              <w:t>48849</w:t>
            </w:r>
          </w:p>
        </w:tc>
        <w:tc>
          <w:tcPr>
            <w:tcW w:w="1170" w:type="dxa"/>
            <w:tcBorders>
              <w:top w:val="single" w:sz="8" w:space="0" w:color="4F81BD"/>
              <w:bottom w:val="single" w:sz="8" w:space="0" w:color="4F81BD"/>
            </w:tcBorders>
            <w:vAlign w:val="center"/>
          </w:tcPr>
          <w:p w:rsidR="00A327E6" w:rsidRPr="00415FA2" w:rsidRDefault="00A327E6" w:rsidP="00415FA2">
            <w:pPr>
              <w:spacing w:before="100" w:beforeAutospacing="1" w:after="100" w:afterAutospacing="1" w:line="400" w:lineRule="atLeast"/>
              <w:jc w:val="right"/>
              <w:rPr>
                <w:szCs w:val="24"/>
                <w:lang w:eastAsia="zh-TW"/>
              </w:rPr>
            </w:pPr>
            <w:r w:rsidRPr="00415FA2">
              <w:rPr>
                <w:szCs w:val="24"/>
                <w:lang w:eastAsia="zh-TW"/>
              </w:rPr>
              <w:t>22971</w:t>
            </w:r>
          </w:p>
        </w:tc>
        <w:tc>
          <w:tcPr>
            <w:tcW w:w="1260" w:type="dxa"/>
            <w:tcBorders>
              <w:top w:val="single" w:sz="8" w:space="0" w:color="4F81BD"/>
              <w:left w:val="single" w:sz="8" w:space="0" w:color="4F81BD"/>
              <w:bottom w:val="single" w:sz="8" w:space="0" w:color="4F81BD"/>
              <w:right w:val="single" w:sz="8" w:space="0" w:color="4F81BD"/>
            </w:tcBorders>
            <w:noWrap/>
            <w:vAlign w:val="center"/>
          </w:tcPr>
          <w:p w:rsidR="00A327E6" w:rsidRPr="00415FA2" w:rsidRDefault="00A327E6" w:rsidP="00415FA2">
            <w:pPr>
              <w:spacing w:before="100" w:beforeAutospacing="1" w:after="100" w:afterAutospacing="1" w:line="400" w:lineRule="atLeast"/>
              <w:jc w:val="right"/>
              <w:rPr>
                <w:szCs w:val="24"/>
                <w:lang w:eastAsia="zh-TW"/>
              </w:rPr>
            </w:pPr>
            <w:r w:rsidRPr="00415FA2">
              <w:rPr>
                <w:szCs w:val="24"/>
                <w:lang w:eastAsia="zh-TW"/>
              </w:rPr>
              <w:t>4443</w:t>
            </w:r>
          </w:p>
        </w:tc>
        <w:tc>
          <w:tcPr>
            <w:tcW w:w="1080" w:type="dxa"/>
            <w:tcBorders>
              <w:top w:val="single" w:sz="8" w:space="0" w:color="4F81BD"/>
              <w:bottom w:val="single" w:sz="8" w:space="0" w:color="4F81BD"/>
            </w:tcBorders>
            <w:vAlign w:val="center"/>
          </w:tcPr>
          <w:p w:rsidR="00A327E6" w:rsidRPr="00415FA2" w:rsidRDefault="00A327E6" w:rsidP="00415FA2">
            <w:pPr>
              <w:spacing w:before="100" w:beforeAutospacing="1" w:after="100" w:afterAutospacing="1" w:line="400" w:lineRule="atLeast"/>
              <w:jc w:val="right"/>
              <w:rPr>
                <w:szCs w:val="24"/>
                <w:lang w:eastAsia="zh-TW"/>
              </w:rPr>
            </w:pPr>
            <w:r w:rsidRPr="00415FA2">
              <w:rPr>
                <w:szCs w:val="24"/>
                <w:lang w:eastAsia="zh-TW"/>
              </w:rPr>
              <w:t>3933</w:t>
            </w:r>
          </w:p>
        </w:tc>
        <w:tc>
          <w:tcPr>
            <w:tcW w:w="1170" w:type="dxa"/>
            <w:tcBorders>
              <w:top w:val="single" w:sz="8" w:space="0" w:color="4F81BD"/>
              <w:left w:val="single" w:sz="8" w:space="0" w:color="4F81BD"/>
              <w:bottom w:val="single" w:sz="8" w:space="0" w:color="4F81BD"/>
            </w:tcBorders>
            <w:noWrap/>
            <w:vAlign w:val="center"/>
          </w:tcPr>
          <w:p w:rsidR="00A327E6" w:rsidRPr="00415FA2" w:rsidRDefault="00A327E6" w:rsidP="00415FA2">
            <w:pPr>
              <w:spacing w:before="100" w:beforeAutospacing="1" w:after="100" w:afterAutospacing="1" w:line="400" w:lineRule="atLeast"/>
              <w:jc w:val="right"/>
              <w:rPr>
                <w:szCs w:val="24"/>
                <w:lang w:eastAsia="zh-TW"/>
              </w:rPr>
            </w:pPr>
            <w:r w:rsidRPr="00415FA2">
              <w:rPr>
                <w:szCs w:val="24"/>
                <w:lang w:eastAsia="zh-TW"/>
              </w:rPr>
              <w:t>3267</w:t>
            </w:r>
          </w:p>
        </w:tc>
      </w:tr>
      <w:tr w:rsidR="00A327E6" w:rsidRPr="0021796A" w:rsidTr="00415FA2">
        <w:trPr>
          <w:trHeight w:val="389"/>
          <w:jc w:val="center"/>
        </w:trPr>
        <w:tc>
          <w:tcPr>
            <w:tcW w:w="2179" w:type="dxa"/>
            <w:noWrap/>
            <w:vAlign w:val="center"/>
          </w:tcPr>
          <w:p w:rsidR="00A327E6" w:rsidRPr="00415FA2" w:rsidRDefault="00A327E6" w:rsidP="00415FA2">
            <w:pPr>
              <w:spacing w:before="100" w:beforeAutospacing="1" w:after="100" w:afterAutospacing="1" w:line="400" w:lineRule="atLeast"/>
              <w:rPr>
                <w:b/>
                <w:bCs/>
                <w:szCs w:val="24"/>
                <w:lang w:eastAsia="zh-TW"/>
              </w:rPr>
            </w:pPr>
            <w:r w:rsidRPr="00415FA2">
              <w:rPr>
                <w:bCs/>
                <w:szCs w:val="24"/>
                <w:lang w:eastAsia="zh-TW"/>
              </w:rPr>
              <w:t>Parking Facilities</w:t>
            </w:r>
          </w:p>
        </w:tc>
        <w:tc>
          <w:tcPr>
            <w:tcW w:w="1170" w:type="dxa"/>
            <w:tcBorders>
              <w:left w:val="single" w:sz="8" w:space="0" w:color="4F81BD"/>
              <w:right w:val="single" w:sz="8" w:space="0" w:color="4F81BD"/>
            </w:tcBorders>
            <w:noWrap/>
            <w:vAlign w:val="center"/>
          </w:tcPr>
          <w:p w:rsidR="00A327E6" w:rsidRPr="00415FA2" w:rsidRDefault="00A327E6" w:rsidP="00415FA2">
            <w:pPr>
              <w:spacing w:before="100" w:beforeAutospacing="1" w:after="100" w:afterAutospacing="1" w:line="400" w:lineRule="atLeast"/>
              <w:jc w:val="right"/>
              <w:rPr>
                <w:szCs w:val="24"/>
                <w:lang w:eastAsia="zh-TW"/>
              </w:rPr>
            </w:pPr>
            <w:r w:rsidRPr="00415FA2">
              <w:rPr>
                <w:szCs w:val="24"/>
                <w:lang w:eastAsia="zh-TW"/>
              </w:rPr>
              <w:t>545896</w:t>
            </w:r>
          </w:p>
        </w:tc>
        <w:tc>
          <w:tcPr>
            <w:tcW w:w="1170" w:type="dxa"/>
            <w:vAlign w:val="center"/>
          </w:tcPr>
          <w:p w:rsidR="00A327E6" w:rsidRPr="00415FA2" w:rsidRDefault="00A327E6" w:rsidP="00415FA2">
            <w:pPr>
              <w:spacing w:before="100" w:beforeAutospacing="1" w:after="100" w:afterAutospacing="1" w:line="400" w:lineRule="atLeast"/>
              <w:jc w:val="right"/>
              <w:rPr>
                <w:szCs w:val="24"/>
                <w:lang w:eastAsia="zh-TW"/>
              </w:rPr>
            </w:pPr>
            <w:r w:rsidRPr="00415FA2">
              <w:rPr>
                <w:szCs w:val="24"/>
                <w:lang w:eastAsia="zh-TW"/>
              </w:rPr>
              <w:t>74347</w:t>
            </w:r>
          </w:p>
        </w:tc>
        <w:tc>
          <w:tcPr>
            <w:tcW w:w="1260" w:type="dxa"/>
            <w:tcBorders>
              <w:left w:val="single" w:sz="8" w:space="0" w:color="4F81BD"/>
              <w:right w:val="single" w:sz="8" w:space="0" w:color="4F81BD"/>
            </w:tcBorders>
            <w:noWrap/>
            <w:vAlign w:val="center"/>
          </w:tcPr>
          <w:p w:rsidR="00A327E6" w:rsidRPr="00415FA2" w:rsidRDefault="00A327E6" w:rsidP="00415FA2">
            <w:pPr>
              <w:spacing w:before="100" w:beforeAutospacing="1" w:after="100" w:afterAutospacing="1" w:line="400" w:lineRule="atLeast"/>
              <w:jc w:val="right"/>
              <w:rPr>
                <w:szCs w:val="24"/>
                <w:lang w:eastAsia="zh-TW"/>
              </w:rPr>
            </w:pPr>
            <w:r w:rsidRPr="00415FA2">
              <w:rPr>
                <w:szCs w:val="24"/>
                <w:lang w:eastAsia="zh-TW"/>
              </w:rPr>
              <w:t>1137</w:t>
            </w:r>
          </w:p>
        </w:tc>
        <w:tc>
          <w:tcPr>
            <w:tcW w:w="1080" w:type="dxa"/>
            <w:vAlign w:val="center"/>
          </w:tcPr>
          <w:p w:rsidR="00A327E6" w:rsidRPr="00415FA2" w:rsidRDefault="00A327E6" w:rsidP="00415FA2">
            <w:pPr>
              <w:spacing w:before="100" w:beforeAutospacing="1" w:after="100" w:afterAutospacing="1" w:line="400" w:lineRule="atLeast"/>
              <w:jc w:val="right"/>
              <w:rPr>
                <w:szCs w:val="24"/>
                <w:lang w:eastAsia="zh-TW"/>
              </w:rPr>
            </w:pPr>
            <w:r w:rsidRPr="00415FA2">
              <w:rPr>
                <w:szCs w:val="24"/>
                <w:lang w:eastAsia="zh-TW"/>
              </w:rPr>
              <w:t>N/A</w:t>
            </w:r>
          </w:p>
        </w:tc>
        <w:tc>
          <w:tcPr>
            <w:tcW w:w="1170" w:type="dxa"/>
            <w:tcBorders>
              <w:left w:val="single" w:sz="8" w:space="0" w:color="4F81BD"/>
            </w:tcBorders>
            <w:noWrap/>
            <w:vAlign w:val="center"/>
          </w:tcPr>
          <w:p w:rsidR="00A327E6" w:rsidRPr="00415FA2" w:rsidRDefault="00A327E6" w:rsidP="00415FA2">
            <w:pPr>
              <w:spacing w:before="100" w:beforeAutospacing="1" w:after="100" w:afterAutospacing="1" w:line="400" w:lineRule="atLeast"/>
              <w:jc w:val="right"/>
              <w:rPr>
                <w:szCs w:val="24"/>
                <w:lang w:eastAsia="zh-TW"/>
              </w:rPr>
            </w:pPr>
            <w:r w:rsidRPr="00415FA2">
              <w:rPr>
                <w:szCs w:val="24"/>
                <w:lang w:eastAsia="zh-TW"/>
              </w:rPr>
              <w:t>111635</w:t>
            </w:r>
          </w:p>
        </w:tc>
      </w:tr>
      <w:tr w:rsidR="00A327E6" w:rsidRPr="0021796A" w:rsidTr="00415FA2">
        <w:trPr>
          <w:trHeight w:val="389"/>
          <w:jc w:val="center"/>
        </w:trPr>
        <w:tc>
          <w:tcPr>
            <w:tcW w:w="2179" w:type="dxa"/>
            <w:tcBorders>
              <w:top w:val="single" w:sz="8" w:space="0" w:color="4F81BD"/>
              <w:bottom w:val="single" w:sz="8" w:space="0" w:color="4F81BD"/>
            </w:tcBorders>
            <w:noWrap/>
            <w:vAlign w:val="center"/>
          </w:tcPr>
          <w:p w:rsidR="00A327E6" w:rsidRPr="00415FA2" w:rsidRDefault="00A327E6" w:rsidP="00415FA2">
            <w:pPr>
              <w:spacing w:before="100" w:beforeAutospacing="1" w:after="100" w:afterAutospacing="1" w:line="400" w:lineRule="atLeast"/>
              <w:rPr>
                <w:b/>
                <w:bCs/>
                <w:szCs w:val="24"/>
                <w:lang w:eastAsia="zh-TW"/>
              </w:rPr>
            </w:pPr>
            <w:r w:rsidRPr="00415FA2">
              <w:rPr>
                <w:bCs/>
                <w:szCs w:val="24"/>
                <w:lang w:eastAsia="zh-TW"/>
              </w:rPr>
              <w:t>Roadways</w:t>
            </w:r>
          </w:p>
        </w:tc>
        <w:tc>
          <w:tcPr>
            <w:tcW w:w="1170" w:type="dxa"/>
            <w:tcBorders>
              <w:top w:val="single" w:sz="8" w:space="0" w:color="4F81BD"/>
              <w:left w:val="single" w:sz="8" w:space="0" w:color="4F81BD"/>
              <w:bottom w:val="single" w:sz="8" w:space="0" w:color="4F81BD"/>
              <w:right w:val="single" w:sz="8" w:space="0" w:color="4F81BD"/>
            </w:tcBorders>
            <w:noWrap/>
            <w:vAlign w:val="center"/>
          </w:tcPr>
          <w:p w:rsidR="00A327E6" w:rsidRPr="00415FA2" w:rsidRDefault="00A327E6" w:rsidP="00415FA2">
            <w:pPr>
              <w:spacing w:before="100" w:beforeAutospacing="1" w:after="100" w:afterAutospacing="1" w:line="400" w:lineRule="atLeast"/>
              <w:jc w:val="right"/>
              <w:rPr>
                <w:szCs w:val="24"/>
                <w:lang w:eastAsia="zh-TW"/>
              </w:rPr>
            </w:pPr>
            <w:r w:rsidRPr="00415FA2">
              <w:rPr>
                <w:szCs w:val="24"/>
                <w:lang w:eastAsia="zh-TW"/>
              </w:rPr>
              <w:t>378889</w:t>
            </w:r>
          </w:p>
        </w:tc>
        <w:tc>
          <w:tcPr>
            <w:tcW w:w="1170" w:type="dxa"/>
            <w:tcBorders>
              <w:top w:val="single" w:sz="8" w:space="0" w:color="4F81BD"/>
              <w:bottom w:val="single" w:sz="8" w:space="0" w:color="4F81BD"/>
            </w:tcBorders>
            <w:vAlign w:val="center"/>
          </w:tcPr>
          <w:p w:rsidR="00A327E6" w:rsidRPr="00415FA2" w:rsidRDefault="00A327E6" w:rsidP="00415FA2">
            <w:pPr>
              <w:spacing w:before="100" w:beforeAutospacing="1" w:after="100" w:afterAutospacing="1" w:line="400" w:lineRule="atLeast"/>
              <w:jc w:val="right"/>
              <w:rPr>
                <w:szCs w:val="24"/>
                <w:lang w:eastAsia="zh-TW"/>
              </w:rPr>
            </w:pPr>
            <w:r w:rsidRPr="00415FA2">
              <w:rPr>
                <w:szCs w:val="24"/>
                <w:lang w:eastAsia="zh-TW"/>
              </w:rPr>
              <w:t>85137</w:t>
            </w:r>
          </w:p>
        </w:tc>
        <w:tc>
          <w:tcPr>
            <w:tcW w:w="1260" w:type="dxa"/>
            <w:tcBorders>
              <w:top w:val="single" w:sz="8" w:space="0" w:color="4F81BD"/>
              <w:left w:val="single" w:sz="8" w:space="0" w:color="4F81BD"/>
              <w:bottom w:val="single" w:sz="8" w:space="0" w:color="4F81BD"/>
              <w:right w:val="single" w:sz="8" w:space="0" w:color="4F81BD"/>
            </w:tcBorders>
            <w:noWrap/>
            <w:vAlign w:val="center"/>
          </w:tcPr>
          <w:p w:rsidR="00A327E6" w:rsidRPr="00415FA2" w:rsidRDefault="00A327E6" w:rsidP="00415FA2">
            <w:pPr>
              <w:spacing w:before="100" w:beforeAutospacing="1" w:after="100" w:afterAutospacing="1" w:line="400" w:lineRule="atLeast"/>
              <w:jc w:val="right"/>
              <w:rPr>
                <w:szCs w:val="24"/>
                <w:lang w:eastAsia="zh-TW"/>
              </w:rPr>
            </w:pPr>
            <w:r w:rsidRPr="00415FA2">
              <w:rPr>
                <w:szCs w:val="24"/>
                <w:lang w:eastAsia="zh-TW"/>
              </w:rPr>
              <w:t>2596</w:t>
            </w:r>
          </w:p>
        </w:tc>
        <w:tc>
          <w:tcPr>
            <w:tcW w:w="1080" w:type="dxa"/>
            <w:tcBorders>
              <w:top w:val="single" w:sz="8" w:space="0" w:color="4F81BD"/>
              <w:bottom w:val="single" w:sz="8" w:space="0" w:color="4F81BD"/>
            </w:tcBorders>
            <w:vAlign w:val="center"/>
          </w:tcPr>
          <w:p w:rsidR="00A327E6" w:rsidRPr="00415FA2" w:rsidRDefault="00A327E6" w:rsidP="00415FA2">
            <w:pPr>
              <w:spacing w:before="100" w:beforeAutospacing="1" w:after="100" w:afterAutospacing="1" w:line="400" w:lineRule="atLeast"/>
              <w:jc w:val="right"/>
              <w:rPr>
                <w:szCs w:val="24"/>
                <w:lang w:eastAsia="zh-TW"/>
              </w:rPr>
            </w:pPr>
            <w:r w:rsidRPr="00415FA2">
              <w:rPr>
                <w:szCs w:val="24"/>
                <w:lang w:eastAsia="zh-TW"/>
              </w:rPr>
              <w:t>N/A</w:t>
            </w:r>
          </w:p>
        </w:tc>
        <w:tc>
          <w:tcPr>
            <w:tcW w:w="1170" w:type="dxa"/>
            <w:tcBorders>
              <w:top w:val="single" w:sz="8" w:space="0" w:color="4F81BD"/>
              <w:left w:val="single" w:sz="8" w:space="0" w:color="4F81BD"/>
              <w:bottom w:val="single" w:sz="8" w:space="0" w:color="4F81BD"/>
            </w:tcBorders>
            <w:noWrap/>
            <w:vAlign w:val="center"/>
          </w:tcPr>
          <w:p w:rsidR="00A327E6" w:rsidRPr="00415FA2" w:rsidRDefault="00A327E6" w:rsidP="00415FA2">
            <w:pPr>
              <w:spacing w:before="100" w:beforeAutospacing="1" w:after="100" w:afterAutospacing="1" w:line="400" w:lineRule="atLeast"/>
              <w:jc w:val="right"/>
              <w:rPr>
                <w:szCs w:val="24"/>
                <w:lang w:eastAsia="zh-TW"/>
              </w:rPr>
            </w:pPr>
            <w:r w:rsidRPr="00415FA2">
              <w:rPr>
                <w:szCs w:val="24"/>
                <w:lang w:eastAsia="zh-TW"/>
              </w:rPr>
              <w:t>37526</w:t>
            </w:r>
          </w:p>
        </w:tc>
      </w:tr>
      <w:tr w:rsidR="00A327E6" w:rsidRPr="0021796A" w:rsidTr="00415FA2">
        <w:trPr>
          <w:trHeight w:val="389"/>
          <w:jc w:val="center"/>
        </w:trPr>
        <w:tc>
          <w:tcPr>
            <w:tcW w:w="2179" w:type="dxa"/>
            <w:noWrap/>
            <w:vAlign w:val="center"/>
          </w:tcPr>
          <w:p w:rsidR="00A327E6" w:rsidRPr="00415FA2" w:rsidRDefault="00A327E6" w:rsidP="00415FA2">
            <w:pPr>
              <w:spacing w:before="100" w:beforeAutospacing="1" w:after="100" w:afterAutospacing="1" w:line="400" w:lineRule="atLeast"/>
              <w:rPr>
                <w:b/>
                <w:bCs/>
                <w:szCs w:val="24"/>
                <w:lang w:eastAsia="zh-TW"/>
              </w:rPr>
            </w:pPr>
            <w:r w:rsidRPr="00415FA2">
              <w:rPr>
                <w:bCs/>
                <w:szCs w:val="24"/>
                <w:lang w:eastAsia="zh-TW"/>
              </w:rPr>
              <w:t>Stationary Sources</w:t>
            </w:r>
          </w:p>
        </w:tc>
        <w:tc>
          <w:tcPr>
            <w:tcW w:w="1170" w:type="dxa"/>
            <w:tcBorders>
              <w:left w:val="single" w:sz="8" w:space="0" w:color="4F81BD"/>
              <w:right w:val="single" w:sz="8" w:space="0" w:color="4F81BD"/>
            </w:tcBorders>
            <w:noWrap/>
            <w:vAlign w:val="center"/>
          </w:tcPr>
          <w:p w:rsidR="00A327E6" w:rsidRPr="00415FA2" w:rsidRDefault="00A327E6" w:rsidP="00415FA2">
            <w:pPr>
              <w:spacing w:before="100" w:beforeAutospacing="1" w:after="100" w:afterAutospacing="1" w:line="400" w:lineRule="atLeast"/>
              <w:jc w:val="right"/>
              <w:rPr>
                <w:szCs w:val="24"/>
                <w:lang w:eastAsia="zh-TW"/>
              </w:rPr>
            </w:pPr>
            <w:r w:rsidRPr="00415FA2">
              <w:rPr>
                <w:szCs w:val="24"/>
                <w:lang w:eastAsia="zh-TW"/>
              </w:rPr>
              <w:t>11382</w:t>
            </w:r>
          </w:p>
        </w:tc>
        <w:tc>
          <w:tcPr>
            <w:tcW w:w="1170" w:type="dxa"/>
            <w:vAlign w:val="center"/>
          </w:tcPr>
          <w:p w:rsidR="00A327E6" w:rsidRPr="00415FA2" w:rsidRDefault="00A327E6" w:rsidP="00415FA2">
            <w:pPr>
              <w:spacing w:before="100" w:beforeAutospacing="1" w:after="100" w:afterAutospacing="1" w:line="400" w:lineRule="atLeast"/>
              <w:jc w:val="right"/>
              <w:rPr>
                <w:szCs w:val="24"/>
                <w:lang w:eastAsia="zh-TW"/>
              </w:rPr>
            </w:pPr>
            <w:r w:rsidRPr="00415FA2">
              <w:rPr>
                <w:szCs w:val="24"/>
                <w:lang w:eastAsia="zh-TW"/>
              </w:rPr>
              <w:t>74169</w:t>
            </w:r>
          </w:p>
        </w:tc>
        <w:tc>
          <w:tcPr>
            <w:tcW w:w="1260" w:type="dxa"/>
            <w:tcBorders>
              <w:left w:val="single" w:sz="8" w:space="0" w:color="4F81BD"/>
              <w:right w:val="single" w:sz="8" w:space="0" w:color="4F81BD"/>
            </w:tcBorders>
            <w:noWrap/>
            <w:vAlign w:val="center"/>
          </w:tcPr>
          <w:p w:rsidR="00A327E6" w:rsidRPr="00415FA2" w:rsidRDefault="00A327E6" w:rsidP="00415FA2">
            <w:pPr>
              <w:spacing w:before="100" w:beforeAutospacing="1" w:after="100" w:afterAutospacing="1" w:line="400" w:lineRule="atLeast"/>
              <w:jc w:val="right"/>
              <w:rPr>
                <w:szCs w:val="24"/>
                <w:lang w:eastAsia="zh-TW"/>
              </w:rPr>
            </w:pPr>
            <w:r w:rsidRPr="00415FA2">
              <w:rPr>
                <w:szCs w:val="24"/>
                <w:lang w:eastAsia="zh-TW"/>
              </w:rPr>
              <w:t>11626</w:t>
            </w:r>
          </w:p>
        </w:tc>
        <w:tc>
          <w:tcPr>
            <w:tcW w:w="1080" w:type="dxa"/>
            <w:vAlign w:val="center"/>
          </w:tcPr>
          <w:p w:rsidR="00A327E6" w:rsidRPr="00415FA2" w:rsidRDefault="00A327E6" w:rsidP="00415FA2">
            <w:pPr>
              <w:spacing w:before="100" w:beforeAutospacing="1" w:after="100" w:afterAutospacing="1" w:line="400" w:lineRule="atLeast"/>
              <w:jc w:val="right"/>
              <w:rPr>
                <w:szCs w:val="24"/>
                <w:lang w:eastAsia="zh-TW"/>
              </w:rPr>
            </w:pPr>
            <w:r w:rsidRPr="00415FA2">
              <w:rPr>
                <w:szCs w:val="24"/>
                <w:lang w:eastAsia="zh-TW"/>
              </w:rPr>
              <w:t>115507</w:t>
            </w:r>
          </w:p>
        </w:tc>
        <w:tc>
          <w:tcPr>
            <w:tcW w:w="1170" w:type="dxa"/>
            <w:tcBorders>
              <w:left w:val="single" w:sz="8" w:space="0" w:color="4F81BD"/>
            </w:tcBorders>
            <w:noWrap/>
            <w:vAlign w:val="center"/>
          </w:tcPr>
          <w:p w:rsidR="00A327E6" w:rsidRPr="00415FA2" w:rsidRDefault="00A327E6" w:rsidP="00415FA2">
            <w:pPr>
              <w:spacing w:before="100" w:beforeAutospacing="1" w:after="100" w:afterAutospacing="1" w:line="400" w:lineRule="atLeast"/>
              <w:jc w:val="right"/>
              <w:rPr>
                <w:szCs w:val="24"/>
                <w:lang w:eastAsia="zh-TW"/>
              </w:rPr>
            </w:pPr>
            <w:r w:rsidRPr="00415FA2">
              <w:rPr>
                <w:szCs w:val="24"/>
                <w:lang w:eastAsia="zh-TW"/>
              </w:rPr>
              <w:t>663</w:t>
            </w:r>
          </w:p>
        </w:tc>
      </w:tr>
      <w:tr w:rsidR="00A327E6" w:rsidRPr="0021796A" w:rsidTr="00415FA2">
        <w:trPr>
          <w:trHeight w:val="389"/>
          <w:jc w:val="center"/>
        </w:trPr>
        <w:tc>
          <w:tcPr>
            <w:tcW w:w="2179" w:type="dxa"/>
            <w:tcBorders>
              <w:top w:val="single" w:sz="8" w:space="0" w:color="4F81BD"/>
              <w:bottom w:val="single" w:sz="8" w:space="0" w:color="4F81BD"/>
            </w:tcBorders>
            <w:noWrap/>
            <w:vAlign w:val="center"/>
          </w:tcPr>
          <w:p w:rsidR="00A327E6" w:rsidRPr="00415FA2" w:rsidRDefault="00A327E6" w:rsidP="00415FA2">
            <w:pPr>
              <w:spacing w:before="100" w:beforeAutospacing="1" w:after="100" w:afterAutospacing="1" w:line="400" w:lineRule="atLeast"/>
              <w:rPr>
                <w:b/>
                <w:bCs/>
                <w:szCs w:val="24"/>
                <w:lang w:eastAsia="zh-TW"/>
              </w:rPr>
            </w:pPr>
            <w:r w:rsidRPr="00415FA2">
              <w:rPr>
                <w:bCs/>
                <w:szCs w:val="24"/>
                <w:lang w:eastAsia="zh-TW"/>
              </w:rPr>
              <w:t>Training Fires</w:t>
            </w:r>
          </w:p>
        </w:tc>
        <w:tc>
          <w:tcPr>
            <w:tcW w:w="1170" w:type="dxa"/>
            <w:tcBorders>
              <w:top w:val="single" w:sz="8" w:space="0" w:color="4F81BD"/>
              <w:left w:val="single" w:sz="8" w:space="0" w:color="4F81BD"/>
              <w:bottom w:val="single" w:sz="8" w:space="0" w:color="4F81BD"/>
              <w:right w:val="single" w:sz="8" w:space="0" w:color="4F81BD"/>
            </w:tcBorders>
            <w:noWrap/>
            <w:vAlign w:val="center"/>
          </w:tcPr>
          <w:p w:rsidR="00A327E6" w:rsidRPr="00415FA2" w:rsidRDefault="00A327E6" w:rsidP="00415FA2">
            <w:pPr>
              <w:spacing w:before="100" w:beforeAutospacing="1" w:after="100" w:afterAutospacing="1" w:line="400" w:lineRule="atLeast"/>
              <w:jc w:val="right"/>
              <w:rPr>
                <w:szCs w:val="24"/>
                <w:lang w:eastAsia="zh-TW"/>
              </w:rPr>
            </w:pPr>
            <w:r w:rsidRPr="00415FA2">
              <w:rPr>
                <w:szCs w:val="24"/>
                <w:lang w:eastAsia="zh-TW"/>
              </w:rPr>
              <w:t>1371</w:t>
            </w:r>
          </w:p>
        </w:tc>
        <w:tc>
          <w:tcPr>
            <w:tcW w:w="1170" w:type="dxa"/>
            <w:tcBorders>
              <w:top w:val="single" w:sz="8" w:space="0" w:color="4F81BD"/>
              <w:bottom w:val="single" w:sz="8" w:space="0" w:color="4F81BD"/>
            </w:tcBorders>
            <w:vAlign w:val="center"/>
          </w:tcPr>
          <w:p w:rsidR="00A327E6" w:rsidRPr="00415FA2" w:rsidRDefault="00A327E6" w:rsidP="00415FA2">
            <w:pPr>
              <w:spacing w:before="100" w:beforeAutospacing="1" w:after="100" w:afterAutospacing="1" w:line="400" w:lineRule="atLeast"/>
              <w:jc w:val="right"/>
              <w:rPr>
                <w:szCs w:val="24"/>
                <w:lang w:eastAsia="zh-TW"/>
              </w:rPr>
            </w:pPr>
            <w:r w:rsidRPr="00415FA2">
              <w:rPr>
                <w:szCs w:val="24"/>
                <w:lang w:eastAsia="zh-TW"/>
              </w:rPr>
              <w:t>22</w:t>
            </w:r>
          </w:p>
        </w:tc>
        <w:tc>
          <w:tcPr>
            <w:tcW w:w="1260" w:type="dxa"/>
            <w:tcBorders>
              <w:top w:val="single" w:sz="8" w:space="0" w:color="4F81BD"/>
              <w:left w:val="single" w:sz="8" w:space="0" w:color="4F81BD"/>
              <w:bottom w:val="single" w:sz="8" w:space="0" w:color="4F81BD"/>
              <w:right w:val="single" w:sz="8" w:space="0" w:color="4F81BD"/>
            </w:tcBorders>
            <w:noWrap/>
            <w:vAlign w:val="center"/>
          </w:tcPr>
          <w:p w:rsidR="00A327E6" w:rsidRPr="00415FA2" w:rsidRDefault="00A327E6" w:rsidP="00415FA2">
            <w:pPr>
              <w:spacing w:before="100" w:beforeAutospacing="1" w:after="100" w:afterAutospacing="1" w:line="400" w:lineRule="atLeast"/>
              <w:jc w:val="right"/>
              <w:rPr>
                <w:szCs w:val="24"/>
                <w:lang w:eastAsia="zh-TW"/>
              </w:rPr>
            </w:pPr>
            <w:r w:rsidRPr="00415FA2">
              <w:rPr>
                <w:szCs w:val="24"/>
                <w:lang w:eastAsia="zh-TW"/>
              </w:rPr>
              <w:t>375</w:t>
            </w:r>
          </w:p>
        </w:tc>
        <w:tc>
          <w:tcPr>
            <w:tcW w:w="1080" w:type="dxa"/>
            <w:tcBorders>
              <w:top w:val="single" w:sz="8" w:space="0" w:color="4F81BD"/>
              <w:bottom w:val="single" w:sz="8" w:space="0" w:color="4F81BD"/>
            </w:tcBorders>
            <w:vAlign w:val="center"/>
          </w:tcPr>
          <w:p w:rsidR="00A327E6" w:rsidRPr="00415FA2" w:rsidRDefault="00A327E6" w:rsidP="00415FA2">
            <w:pPr>
              <w:spacing w:before="100" w:beforeAutospacing="1" w:after="100" w:afterAutospacing="1" w:line="400" w:lineRule="atLeast"/>
              <w:jc w:val="right"/>
              <w:rPr>
                <w:szCs w:val="24"/>
                <w:lang w:eastAsia="zh-TW"/>
              </w:rPr>
            </w:pPr>
            <w:r w:rsidRPr="00415FA2">
              <w:rPr>
                <w:szCs w:val="24"/>
                <w:lang w:eastAsia="zh-TW"/>
              </w:rPr>
              <w:t>2</w:t>
            </w:r>
          </w:p>
        </w:tc>
        <w:tc>
          <w:tcPr>
            <w:tcW w:w="1170" w:type="dxa"/>
            <w:tcBorders>
              <w:top w:val="single" w:sz="8" w:space="0" w:color="4F81BD"/>
              <w:left w:val="single" w:sz="8" w:space="0" w:color="4F81BD"/>
              <w:bottom w:val="single" w:sz="8" w:space="0" w:color="4F81BD"/>
            </w:tcBorders>
            <w:noWrap/>
            <w:vAlign w:val="center"/>
          </w:tcPr>
          <w:p w:rsidR="00A327E6" w:rsidRPr="00415FA2" w:rsidRDefault="00A327E6" w:rsidP="00415FA2">
            <w:pPr>
              <w:spacing w:before="100" w:beforeAutospacing="1" w:after="100" w:afterAutospacing="1" w:line="400" w:lineRule="atLeast"/>
              <w:jc w:val="right"/>
              <w:rPr>
                <w:szCs w:val="24"/>
                <w:lang w:eastAsia="zh-TW"/>
              </w:rPr>
            </w:pPr>
            <w:r w:rsidRPr="00415FA2">
              <w:rPr>
                <w:szCs w:val="24"/>
                <w:lang w:eastAsia="zh-TW"/>
              </w:rPr>
              <w:t>216</w:t>
            </w:r>
          </w:p>
        </w:tc>
      </w:tr>
      <w:tr w:rsidR="00A327E6" w:rsidRPr="0021796A" w:rsidTr="00415FA2">
        <w:trPr>
          <w:trHeight w:val="389"/>
          <w:jc w:val="center"/>
        </w:trPr>
        <w:tc>
          <w:tcPr>
            <w:tcW w:w="2179" w:type="dxa"/>
            <w:tcBorders>
              <w:bottom w:val="single" w:sz="8" w:space="0" w:color="4F81BD"/>
            </w:tcBorders>
            <w:noWrap/>
            <w:vAlign w:val="center"/>
          </w:tcPr>
          <w:p w:rsidR="00A327E6" w:rsidRPr="00415FA2" w:rsidRDefault="00A327E6" w:rsidP="00415FA2">
            <w:pPr>
              <w:spacing w:before="100" w:beforeAutospacing="1" w:after="100" w:afterAutospacing="1" w:line="400" w:lineRule="atLeast"/>
              <w:rPr>
                <w:b/>
                <w:bCs/>
                <w:szCs w:val="24"/>
                <w:lang w:eastAsia="zh-TW"/>
              </w:rPr>
            </w:pPr>
            <w:r w:rsidRPr="00415FA2">
              <w:rPr>
                <w:bCs/>
                <w:szCs w:val="24"/>
                <w:lang w:eastAsia="zh-TW"/>
              </w:rPr>
              <w:t>Grand Total</w:t>
            </w:r>
          </w:p>
        </w:tc>
        <w:tc>
          <w:tcPr>
            <w:tcW w:w="1170" w:type="dxa"/>
            <w:tcBorders>
              <w:left w:val="single" w:sz="8" w:space="0" w:color="4F81BD"/>
              <w:bottom w:val="single" w:sz="8" w:space="0" w:color="4F81BD"/>
              <w:right w:val="single" w:sz="8" w:space="0" w:color="4F81BD"/>
            </w:tcBorders>
            <w:noWrap/>
            <w:vAlign w:val="center"/>
          </w:tcPr>
          <w:p w:rsidR="00A327E6" w:rsidRPr="00415FA2" w:rsidRDefault="00A327E6" w:rsidP="00415FA2">
            <w:pPr>
              <w:spacing w:before="100" w:beforeAutospacing="1" w:after="100" w:afterAutospacing="1" w:line="400" w:lineRule="atLeast"/>
              <w:jc w:val="right"/>
              <w:rPr>
                <w:szCs w:val="24"/>
                <w:lang w:eastAsia="zh-TW"/>
              </w:rPr>
            </w:pPr>
            <w:r w:rsidRPr="00415FA2">
              <w:rPr>
                <w:szCs w:val="24"/>
                <w:lang w:eastAsia="zh-TW"/>
              </w:rPr>
              <w:t>4398423</w:t>
            </w:r>
          </w:p>
        </w:tc>
        <w:tc>
          <w:tcPr>
            <w:tcW w:w="1170" w:type="dxa"/>
            <w:tcBorders>
              <w:bottom w:val="single" w:sz="8" w:space="0" w:color="4F81BD"/>
            </w:tcBorders>
            <w:vAlign w:val="center"/>
          </w:tcPr>
          <w:p w:rsidR="00A327E6" w:rsidRPr="00415FA2" w:rsidRDefault="00A327E6" w:rsidP="00415FA2">
            <w:pPr>
              <w:spacing w:before="100" w:beforeAutospacing="1" w:after="100" w:afterAutospacing="1" w:line="400" w:lineRule="atLeast"/>
              <w:jc w:val="right"/>
              <w:rPr>
                <w:szCs w:val="24"/>
                <w:lang w:eastAsia="zh-TW"/>
              </w:rPr>
            </w:pPr>
            <w:r w:rsidRPr="00415FA2">
              <w:rPr>
                <w:szCs w:val="24"/>
                <w:lang w:eastAsia="zh-TW"/>
              </w:rPr>
              <w:t>1704437</w:t>
            </w:r>
          </w:p>
        </w:tc>
        <w:tc>
          <w:tcPr>
            <w:tcW w:w="1260" w:type="dxa"/>
            <w:tcBorders>
              <w:left w:val="single" w:sz="8" w:space="0" w:color="4F81BD"/>
              <w:bottom w:val="single" w:sz="8" w:space="0" w:color="4F81BD"/>
              <w:right w:val="single" w:sz="8" w:space="0" w:color="4F81BD"/>
            </w:tcBorders>
            <w:noWrap/>
            <w:vAlign w:val="center"/>
          </w:tcPr>
          <w:p w:rsidR="00A327E6" w:rsidRPr="00415FA2" w:rsidRDefault="00A327E6" w:rsidP="00415FA2">
            <w:pPr>
              <w:spacing w:before="100" w:beforeAutospacing="1" w:after="100" w:afterAutospacing="1" w:line="400" w:lineRule="atLeast"/>
              <w:jc w:val="right"/>
              <w:rPr>
                <w:szCs w:val="24"/>
                <w:lang w:eastAsia="zh-TW"/>
              </w:rPr>
            </w:pPr>
            <w:r w:rsidRPr="00415FA2">
              <w:rPr>
                <w:szCs w:val="24"/>
                <w:lang w:eastAsia="zh-TW"/>
              </w:rPr>
              <w:t>48970</w:t>
            </w:r>
          </w:p>
        </w:tc>
        <w:tc>
          <w:tcPr>
            <w:tcW w:w="1080" w:type="dxa"/>
            <w:tcBorders>
              <w:bottom w:val="single" w:sz="8" w:space="0" w:color="4F81BD"/>
            </w:tcBorders>
            <w:vAlign w:val="center"/>
          </w:tcPr>
          <w:p w:rsidR="00A327E6" w:rsidRPr="00415FA2" w:rsidRDefault="00A327E6" w:rsidP="00415FA2">
            <w:pPr>
              <w:spacing w:before="100" w:beforeAutospacing="1" w:after="100" w:afterAutospacing="1" w:line="400" w:lineRule="atLeast"/>
              <w:jc w:val="right"/>
              <w:rPr>
                <w:szCs w:val="24"/>
                <w:lang w:eastAsia="zh-TW"/>
              </w:rPr>
            </w:pPr>
            <w:r w:rsidRPr="00415FA2">
              <w:rPr>
                <w:szCs w:val="24"/>
                <w:lang w:eastAsia="zh-TW"/>
              </w:rPr>
              <w:t>251244</w:t>
            </w:r>
          </w:p>
        </w:tc>
        <w:tc>
          <w:tcPr>
            <w:tcW w:w="1170" w:type="dxa"/>
            <w:tcBorders>
              <w:left w:val="single" w:sz="8" w:space="0" w:color="4F81BD"/>
              <w:bottom w:val="single" w:sz="8" w:space="0" w:color="4F81BD"/>
            </w:tcBorders>
            <w:noWrap/>
            <w:vAlign w:val="center"/>
          </w:tcPr>
          <w:p w:rsidR="00A327E6" w:rsidRPr="00415FA2" w:rsidRDefault="00A327E6" w:rsidP="00415FA2">
            <w:pPr>
              <w:spacing w:before="100" w:beforeAutospacing="1" w:after="100" w:afterAutospacing="1" w:line="400" w:lineRule="atLeast"/>
              <w:jc w:val="right"/>
              <w:rPr>
                <w:szCs w:val="24"/>
                <w:lang w:eastAsia="zh-TW"/>
              </w:rPr>
            </w:pPr>
            <w:r w:rsidRPr="00415FA2">
              <w:rPr>
                <w:szCs w:val="24"/>
                <w:lang w:eastAsia="zh-TW"/>
              </w:rPr>
              <w:t>667432</w:t>
            </w:r>
          </w:p>
        </w:tc>
      </w:tr>
    </w:tbl>
    <w:p w:rsidR="00A327E6" w:rsidRDefault="00A327E6" w:rsidP="00E44AAF">
      <w:pPr>
        <w:pStyle w:val="NormalIndent"/>
        <w:spacing w:before="100" w:beforeAutospacing="1" w:after="100" w:afterAutospacing="1" w:line="400" w:lineRule="atLeast"/>
        <w:ind w:firstLine="0"/>
        <w:rPr>
          <w:rStyle w:val="BookTitle"/>
          <w:szCs w:val="24"/>
        </w:rPr>
      </w:pPr>
    </w:p>
    <w:p w:rsidR="00A327E6" w:rsidRDefault="00A327E6" w:rsidP="00E44AAF">
      <w:pPr>
        <w:pStyle w:val="NormalIndent"/>
        <w:spacing w:before="100" w:beforeAutospacing="1" w:after="100" w:afterAutospacing="1" w:line="400" w:lineRule="atLeast"/>
        <w:ind w:firstLine="0"/>
        <w:rPr>
          <w:rStyle w:val="BookTitle"/>
          <w:szCs w:val="24"/>
        </w:rPr>
      </w:pPr>
    </w:p>
    <w:p w:rsidR="00A327E6" w:rsidRPr="0021796A" w:rsidRDefault="00A327E6" w:rsidP="00E44AAF">
      <w:pPr>
        <w:pStyle w:val="NormalIndent"/>
        <w:spacing w:before="100" w:beforeAutospacing="1" w:after="100" w:afterAutospacing="1" w:line="400" w:lineRule="atLeast"/>
        <w:ind w:firstLine="0"/>
        <w:rPr>
          <w:rStyle w:val="BookTitle"/>
          <w:szCs w:val="24"/>
        </w:rPr>
      </w:pPr>
      <w:r w:rsidRPr="0021796A">
        <w:rPr>
          <w:rStyle w:val="BookTitle"/>
          <w:szCs w:val="24"/>
        </w:rPr>
        <w:t>Meteorological data</w:t>
      </w:r>
    </w:p>
    <w:p w:rsidR="00A327E6" w:rsidRDefault="00A327E6" w:rsidP="00E44AAF">
      <w:pPr>
        <w:pStyle w:val="NormalIndent"/>
        <w:spacing w:before="100" w:beforeAutospacing="1" w:after="100" w:afterAutospacing="1" w:line="400" w:lineRule="atLeast"/>
        <w:rPr>
          <w:szCs w:val="24"/>
        </w:rPr>
      </w:pPr>
      <w:r w:rsidRPr="0021796A">
        <w:rPr>
          <w:szCs w:val="24"/>
        </w:rPr>
        <w:t xml:space="preserve">AERMOD requires both surface and upper air meteorological data inputs.  In addition to obtaining meteorological data for 2005 from the National Weather Service (NWS), historic meteorological data was obtained for the years 2003-2004 and 2006-2007 for the sensitivity analysis (described below).  The NWS operates an Automated Surface Observation Station (ASOS) that is located amidst several of the runways and taxiways at Logan Airport.  The ASOS station includes an anemometer at a height of 26 feet above the ground surface, which is well placed to represent the locations of the most important category of emissions analyzed in this study.  The ASOS data includes wind speed and direction, temperature, dew point and cloud cover.  </w:t>
      </w:r>
      <w:r>
        <w:rPr>
          <w:szCs w:val="24"/>
        </w:rPr>
        <w:t xml:space="preserve">See Figure 4-1 for an example of a wind rose for 2005 modeling runs.  </w:t>
      </w:r>
      <w:r w:rsidRPr="0021796A">
        <w:rPr>
          <w:szCs w:val="24"/>
        </w:rPr>
        <w:t xml:space="preserve">Upper air measurements are required by AERMOD for the estimation of mixing depths and are taken two times per day at the National Weather Service station located in Chatham, MA.  Use of this station for this study is consistent with federal and state guidelines.  </w:t>
      </w:r>
    </w:p>
    <w:p w:rsidR="00A327E6" w:rsidRPr="0021796A" w:rsidRDefault="00A327E6" w:rsidP="00536C34">
      <w:pPr>
        <w:spacing w:before="100" w:beforeAutospacing="1" w:after="100" w:afterAutospacing="1" w:line="400" w:lineRule="atLeast"/>
        <w:rPr>
          <w:rStyle w:val="BookTitle"/>
          <w:szCs w:val="24"/>
        </w:rPr>
      </w:pPr>
      <w:r w:rsidRPr="0021796A">
        <w:rPr>
          <w:rStyle w:val="BookTitle"/>
          <w:szCs w:val="24"/>
        </w:rPr>
        <w:t>Surface characteristics</w:t>
      </w:r>
    </w:p>
    <w:p w:rsidR="00A327E6" w:rsidRPr="0021796A" w:rsidRDefault="00A327E6" w:rsidP="00536C34">
      <w:pPr>
        <w:pStyle w:val="NormalIndent"/>
        <w:spacing w:before="100" w:beforeAutospacing="1" w:after="100" w:afterAutospacing="1" w:line="400" w:lineRule="atLeast"/>
        <w:rPr>
          <w:szCs w:val="24"/>
        </w:rPr>
      </w:pPr>
      <w:r w:rsidRPr="0021796A">
        <w:rPr>
          <w:szCs w:val="24"/>
        </w:rPr>
        <w:t>AERMOD calculates the diffusion rates and wind speed profiles using algorithms based upon an advanced understanding of air flow in the surface boundary layer and upon how the flow and the turbulent diffusion rates are dependent upon three specific parameters that characterize the ground or water surface.  These parameters are the surface roughness (roughness length), the surface reflectivity of incoming solar radiation (albedo) and a measure of the importance of surface moisture in the transfer of heat to the air above the surface (Bowen ratio).  The values of these parameters are obtained from land use data that was used to create ma</w:t>
      </w:r>
      <w:r>
        <w:rPr>
          <w:szCs w:val="24"/>
        </w:rPr>
        <w:t>ps for the study area.  US EPA’</w:t>
      </w:r>
      <w:r w:rsidRPr="0021796A">
        <w:rPr>
          <w:szCs w:val="24"/>
        </w:rPr>
        <w:t xml:space="preserve">s AERSURFACE program uses United States Geological Survey (USGS) land use data through an interactive program to calculate average values of these three surface characteristic parameters based on latitude and longitude and estimates about seasonal vegetation and  snow cover.  The surface characteristics values are input into the AERMET meteorological preprocessor to determine the dispersion rates in the atmospheric boundary layer.  </w:t>
      </w:r>
    </w:p>
    <w:p w:rsidR="00A327E6" w:rsidRDefault="00A327E6" w:rsidP="00E44AAF">
      <w:pPr>
        <w:pStyle w:val="Caption"/>
        <w:keepNext/>
        <w:spacing w:line="400" w:lineRule="atLeast"/>
      </w:pPr>
      <w:bookmarkStart w:id="95" w:name="_Toc386796330"/>
      <w:r>
        <w:t xml:space="preserve">Figure </w:t>
      </w:r>
      <w:fldSimple w:instr=" STYLEREF 1 \s ">
        <w:r>
          <w:rPr>
            <w:noProof/>
          </w:rPr>
          <w:t>4</w:t>
        </w:r>
      </w:fldSimple>
      <w:r>
        <w:noBreakHyphen/>
      </w:r>
      <w:fldSimple w:instr=" SEQ Figure \* ARABIC \s 1 ">
        <w:r>
          <w:rPr>
            <w:noProof/>
          </w:rPr>
          <w:t>1</w:t>
        </w:r>
      </w:fldSimple>
      <w:r>
        <w:t xml:space="preserve">. </w:t>
      </w:r>
      <w:r w:rsidRPr="00FA01D9">
        <w:t xml:space="preserve"> Wind rose from weather station at Logan Airport – 2005</w:t>
      </w:r>
      <w:bookmarkEnd w:id="95"/>
    </w:p>
    <w:p w:rsidR="00A327E6" w:rsidRPr="00536C34" w:rsidRDefault="00A327E6" w:rsidP="00536C34">
      <w:pPr>
        <w:spacing w:before="0" w:after="0" w:line="400" w:lineRule="atLeast"/>
        <w:jc w:val="center"/>
        <w:rPr>
          <w:szCs w:val="24"/>
        </w:rPr>
      </w:pPr>
      <w:r w:rsidRPr="00415FA2">
        <w:rPr>
          <w:noProof/>
          <w:szCs w:val="24"/>
          <w:lang w:eastAsia="zh-TW"/>
        </w:rPr>
        <w:pict>
          <v:shape id="Picture 12" o:spid="_x0000_i1029" type="#_x0000_t75" alt="A figure of a wind rose for 2005 for Logan Airport." style="width:431.4pt;height:558pt;visibility:visible">
            <v:imagedata r:id="rId14" o:title=""/>
          </v:shape>
        </w:pict>
      </w:r>
    </w:p>
    <w:p w:rsidR="00A327E6" w:rsidRPr="0021796A" w:rsidRDefault="00A327E6" w:rsidP="00E44AAF">
      <w:pPr>
        <w:pStyle w:val="Caption"/>
        <w:spacing w:before="100" w:beforeAutospacing="1" w:after="100" w:afterAutospacing="1" w:line="400" w:lineRule="atLeast"/>
        <w:rPr>
          <w:rStyle w:val="Emphasis"/>
          <w:b w:val="0"/>
          <w:bCs w:val="0"/>
          <w:szCs w:val="24"/>
        </w:rPr>
      </w:pPr>
      <w:r w:rsidRPr="0021796A">
        <w:rPr>
          <w:rStyle w:val="Emphasis"/>
          <w:szCs w:val="24"/>
        </w:rPr>
        <w:t>Major findings of air dispersion modeling analysis</w:t>
      </w:r>
      <w:bookmarkEnd w:id="93"/>
    </w:p>
    <w:p w:rsidR="00A327E6" w:rsidRPr="0021796A" w:rsidRDefault="00A327E6" w:rsidP="00E44AAF">
      <w:pPr>
        <w:spacing w:before="100" w:beforeAutospacing="1" w:after="100" w:afterAutospacing="1" w:line="400" w:lineRule="atLeast"/>
        <w:rPr>
          <w:rStyle w:val="BookTitle"/>
          <w:szCs w:val="24"/>
        </w:rPr>
      </w:pPr>
      <w:r w:rsidRPr="0021796A">
        <w:rPr>
          <w:rStyle w:val="BookTitle"/>
          <w:szCs w:val="24"/>
        </w:rPr>
        <w:t>Overall findings of modeling 2005 emissions</w:t>
      </w:r>
    </w:p>
    <w:p w:rsidR="00A327E6" w:rsidRDefault="00A327E6" w:rsidP="00E44AAF">
      <w:pPr>
        <w:spacing w:before="100" w:beforeAutospacing="1" w:after="100" w:afterAutospacing="1" w:line="400" w:lineRule="atLeast"/>
        <w:ind w:firstLine="720"/>
        <w:rPr>
          <w:szCs w:val="24"/>
        </w:rPr>
      </w:pPr>
      <w:r>
        <w:rPr>
          <w:szCs w:val="24"/>
        </w:rPr>
        <w:t xml:space="preserve">As mentioned, </w:t>
      </w:r>
      <w:r w:rsidRPr="0021796A">
        <w:rPr>
          <w:szCs w:val="24"/>
        </w:rPr>
        <w:t xml:space="preserve">MDPH/BEH used the most advanced version of EDMS that includes the most recent emission factors for quantifying source emissions, particularly for aircraft, and the most recent version of AERMOD, which predicts ground-level air pollutant concentrations in a specified modeling domain.  </w:t>
      </w:r>
      <w:r>
        <w:rPr>
          <w:szCs w:val="24"/>
        </w:rPr>
        <w:t xml:space="preserve">There have been significant improvements in the development of emission factors for aircraft and other airport-related sources incorporated into EDMS.  Areas of current research include quantifying ultrafine particle emissions from aircraft, and the contribution of aircraft tires and brakes to the overall particulate matter inventory for airports (ACRP, 2008).  </w:t>
      </w:r>
    </w:p>
    <w:p w:rsidR="00A327E6" w:rsidRDefault="00A327E6" w:rsidP="00E44AAF">
      <w:pPr>
        <w:spacing w:before="100" w:beforeAutospacing="1" w:after="100" w:afterAutospacing="1" w:line="400" w:lineRule="atLeast"/>
        <w:ind w:firstLine="720"/>
        <w:rPr>
          <w:szCs w:val="24"/>
        </w:rPr>
      </w:pPr>
      <w:r w:rsidRPr="0021796A">
        <w:rPr>
          <w:szCs w:val="24"/>
        </w:rPr>
        <w:t xml:space="preserve">AERMOD modeling runs of emissions associated with </w:t>
      </w:r>
      <w:r>
        <w:rPr>
          <w:szCs w:val="24"/>
        </w:rPr>
        <w:t xml:space="preserve">Logan Airport </w:t>
      </w:r>
      <w:r w:rsidRPr="0021796A">
        <w:rPr>
          <w:szCs w:val="24"/>
        </w:rPr>
        <w:t>operation</w:t>
      </w:r>
      <w:r>
        <w:rPr>
          <w:szCs w:val="24"/>
        </w:rPr>
        <w:t>s</w:t>
      </w:r>
      <w:r w:rsidRPr="0021796A">
        <w:rPr>
          <w:szCs w:val="24"/>
        </w:rPr>
        <w:t xml:space="preserve"> in 2005</w:t>
      </w:r>
      <w:r w:rsidRPr="00840D4C">
        <w:rPr>
          <w:szCs w:val="24"/>
        </w:rPr>
        <w:t xml:space="preserve"> </w:t>
      </w:r>
      <w:r w:rsidRPr="0021796A">
        <w:rPr>
          <w:szCs w:val="24"/>
        </w:rPr>
        <w:t>were successfully completed and validated using established protocols and methods</w:t>
      </w:r>
      <w:r>
        <w:rPr>
          <w:szCs w:val="24"/>
        </w:rPr>
        <w:t xml:space="preserve"> (see Appendix A)</w:t>
      </w:r>
      <w:r w:rsidRPr="0021796A">
        <w:rPr>
          <w:szCs w:val="24"/>
        </w:rPr>
        <w:t>.</w:t>
      </w:r>
      <w:r>
        <w:rPr>
          <w:szCs w:val="24"/>
        </w:rPr>
        <w:t xml:space="preserve"> In addition to the base model, </w:t>
      </w:r>
      <w:r w:rsidRPr="0021796A">
        <w:rPr>
          <w:szCs w:val="24"/>
        </w:rPr>
        <w:t>sensitivity analyses for evaluating uncertainties in the modeling results</w:t>
      </w:r>
      <w:r>
        <w:rPr>
          <w:szCs w:val="24"/>
        </w:rPr>
        <w:t xml:space="preserve"> were also conducted.</w:t>
      </w:r>
      <w:r w:rsidRPr="0021796A">
        <w:rPr>
          <w:szCs w:val="24"/>
        </w:rPr>
        <w:t xml:space="preserve">  For example, varying meteorological data </w:t>
      </w:r>
      <w:r>
        <w:rPr>
          <w:szCs w:val="24"/>
        </w:rPr>
        <w:t xml:space="preserve">by </w:t>
      </w:r>
      <w:r w:rsidRPr="0021796A">
        <w:rPr>
          <w:szCs w:val="24"/>
        </w:rPr>
        <w:t xml:space="preserve">running the 2005 operations </w:t>
      </w:r>
      <w:r>
        <w:rPr>
          <w:szCs w:val="24"/>
        </w:rPr>
        <w:t>with</w:t>
      </w:r>
      <w:r w:rsidRPr="0021796A">
        <w:rPr>
          <w:szCs w:val="24"/>
        </w:rPr>
        <w:t xml:space="preserve"> 2003, 2004, 2006</w:t>
      </w:r>
      <w:r>
        <w:rPr>
          <w:szCs w:val="24"/>
        </w:rPr>
        <w:t>, and 2007 meteorological conditions resulted in</w:t>
      </w:r>
      <w:r w:rsidRPr="0021796A">
        <w:rPr>
          <w:szCs w:val="24"/>
        </w:rPr>
        <w:t xml:space="preserve"> concentrations </w:t>
      </w:r>
      <w:r>
        <w:rPr>
          <w:szCs w:val="24"/>
        </w:rPr>
        <w:t xml:space="preserve">that </w:t>
      </w:r>
      <w:r w:rsidRPr="0021796A">
        <w:rPr>
          <w:szCs w:val="24"/>
        </w:rPr>
        <w:t>differe</w:t>
      </w:r>
      <w:r>
        <w:rPr>
          <w:szCs w:val="24"/>
        </w:rPr>
        <w:t>d by</w:t>
      </w:r>
      <w:r w:rsidRPr="0021796A">
        <w:rPr>
          <w:szCs w:val="24"/>
        </w:rPr>
        <w:t xml:space="preserve"> </w:t>
      </w:r>
      <w:r>
        <w:rPr>
          <w:szCs w:val="24"/>
        </w:rPr>
        <w:t xml:space="preserve">only </w:t>
      </w:r>
      <w:r w:rsidRPr="0021796A">
        <w:rPr>
          <w:szCs w:val="24"/>
        </w:rPr>
        <w:t xml:space="preserve">10% </w:t>
      </w:r>
      <w:r>
        <w:rPr>
          <w:szCs w:val="24"/>
        </w:rPr>
        <w:t xml:space="preserve">from </w:t>
      </w:r>
      <w:r w:rsidRPr="0021796A">
        <w:rPr>
          <w:szCs w:val="24"/>
        </w:rPr>
        <w:t xml:space="preserve">the values </w:t>
      </w:r>
      <w:r>
        <w:rPr>
          <w:szCs w:val="24"/>
        </w:rPr>
        <w:t xml:space="preserve">produced using </w:t>
      </w:r>
      <w:r w:rsidRPr="0021796A">
        <w:rPr>
          <w:szCs w:val="24"/>
        </w:rPr>
        <w:t>2005 Base year</w:t>
      </w:r>
      <w:r>
        <w:rPr>
          <w:szCs w:val="24"/>
        </w:rPr>
        <w:t xml:space="preserve"> meteorological data</w:t>
      </w:r>
      <w:r w:rsidRPr="0021796A">
        <w:rPr>
          <w:szCs w:val="24"/>
        </w:rPr>
        <w:t xml:space="preserve">. </w:t>
      </w:r>
      <w:r>
        <w:rPr>
          <w:szCs w:val="24"/>
        </w:rPr>
        <w:t xml:space="preserve"> The average of all four years wa</w:t>
      </w:r>
      <w:r w:rsidRPr="0021796A">
        <w:rPr>
          <w:szCs w:val="24"/>
        </w:rPr>
        <w:t xml:space="preserve">s within 5% of the 2005 Base year values.  It should be noted that 2005 aircraft activity was assumed in the modeling of these additional years so the differences in the results could be attributed only to differences in meteorological conditions for these years.  </w:t>
      </w:r>
      <w:r>
        <w:rPr>
          <w:szCs w:val="24"/>
        </w:rPr>
        <w:t>E</w:t>
      </w:r>
      <w:r w:rsidRPr="0021796A">
        <w:rPr>
          <w:szCs w:val="24"/>
        </w:rPr>
        <w:t xml:space="preserve">xtensive review of the input data was </w:t>
      </w:r>
      <w:r>
        <w:rPr>
          <w:szCs w:val="24"/>
        </w:rPr>
        <w:t xml:space="preserve">also </w:t>
      </w:r>
      <w:r w:rsidRPr="0021796A">
        <w:rPr>
          <w:szCs w:val="24"/>
        </w:rPr>
        <w:t xml:space="preserve">conducted to ensure accuracy and completeness of data obtained from Massport that was entered into the AERMOD model.  Quality assurance of modeling runs was conducted by reviewing the AERMET quality assurance checks of the raw observational data and extensive review of final modeling output.  </w:t>
      </w:r>
    </w:p>
    <w:p w:rsidR="00A327E6" w:rsidRDefault="00A327E6" w:rsidP="00E44AAF">
      <w:pPr>
        <w:spacing w:before="100" w:beforeAutospacing="1" w:after="100" w:afterAutospacing="1" w:line="400" w:lineRule="atLeast"/>
        <w:rPr>
          <w:rStyle w:val="BookTitle"/>
          <w:szCs w:val="24"/>
        </w:rPr>
      </w:pPr>
    </w:p>
    <w:p w:rsidR="00A327E6" w:rsidRDefault="00A327E6" w:rsidP="00E44AAF">
      <w:pPr>
        <w:spacing w:before="100" w:beforeAutospacing="1" w:after="100" w:afterAutospacing="1" w:line="400" w:lineRule="atLeast"/>
        <w:rPr>
          <w:rStyle w:val="BookTitle"/>
          <w:szCs w:val="24"/>
        </w:rPr>
      </w:pPr>
    </w:p>
    <w:p w:rsidR="00A327E6" w:rsidRPr="0021796A" w:rsidRDefault="00A327E6" w:rsidP="00E44AAF">
      <w:pPr>
        <w:spacing w:before="100" w:beforeAutospacing="1" w:after="100" w:afterAutospacing="1" w:line="400" w:lineRule="atLeast"/>
        <w:rPr>
          <w:rStyle w:val="BookTitle"/>
          <w:szCs w:val="24"/>
        </w:rPr>
      </w:pPr>
      <w:r w:rsidRPr="0021796A">
        <w:rPr>
          <w:rStyle w:val="BookTitle"/>
          <w:szCs w:val="24"/>
        </w:rPr>
        <w:t>Air pollutant concentration</w:t>
      </w:r>
      <w:r>
        <w:rPr>
          <w:rStyle w:val="BookTitle"/>
          <w:szCs w:val="24"/>
        </w:rPr>
        <w:t>s</w:t>
      </w:r>
      <w:r w:rsidRPr="0021796A">
        <w:rPr>
          <w:rStyle w:val="BookTitle"/>
          <w:szCs w:val="24"/>
        </w:rPr>
        <w:t xml:space="preserve"> in </w:t>
      </w:r>
      <w:r>
        <w:rPr>
          <w:rStyle w:val="BookTitle"/>
          <w:szCs w:val="24"/>
        </w:rPr>
        <w:t xml:space="preserve">the </w:t>
      </w:r>
      <w:r w:rsidRPr="0021796A">
        <w:rPr>
          <w:rStyle w:val="BookTitle"/>
          <w:szCs w:val="24"/>
        </w:rPr>
        <w:t>study area</w:t>
      </w:r>
    </w:p>
    <w:p w:rsidR="00A327E6" w:rsidRDefault="00A327E6" w:rsidP="00B234F1">
      <w:pPr>
        <w:spacing w:line="400" w:lineRule="atLeast"/>
        <w:ind w:firstLine="720"/>
        <w:rPr>
          <w:szCs w:val="24"/>
        </w:rPr>
      </w:pPr>
      <w:r w:rsidRPr="0021796A">
        <w:rPr>
          <w:szCs w:val="24"/>
        </w:rPr>
        <w:t>Individual pollutants (CO</w:t>
      </w:r>
      <w:r>
        <w:rPr>
          <w:szCs w:val="24"/>
        </w:rPr>
        <w:t xml:space="preserve">, </w:t>
      </w:r>
      <w:r w:rsidRPr="0021796A">
        <w:rPr>
          <w:szCs w:val="24"/>
        </w:rPr>
        <w:t>NOx, PM</w:t>
      </w:r>
      <w:r w:rsidRPr="0021796A">
        <w:rPr>
          <w:szCs w:val="24"/>
          <w:vertAlign w:val="subscript"/>
        </w:rPr>
        <w:t>2.5</w:t>
      </w:r>
      <w:r w:rsidRPr="0021796A">
        <w:rPr>
          <w:szCs w:val="24"/>
        </w:rPr>
        <w:t>, SO</w:t>
      </w:r>
      <w:r>
        <w:rPr>
          <w:szCs w:val="24"/>
          <w:vertAlign w:val="subscript"/>
        </w:rPr>
        <w:t>x</w:t>
      </w:r>
      <w:r w:rsidRPr="0021796A">
        <w:rPr>
          <w:szCs w:val="24"/>
        </w:rPr>
        <w:t>, and VOCs) were modeled and concentrations were obtained from each of the 635 receptors arrayed in polar g</w:t>
      </w:r>
      <w:r>
        <w:rPr>
          <w:szCs w:val="24"/>
        </w:rPr>
        <w:t>rids across the study area (see Figure 4-2</w:t>
      </w:r>
      <w:bookmarkStart w:id="96" w:name="_Ref345596961"/>
      <w:r>
        <w:rPr>
          <w:szCs w:val="24"/>
        </w:rPr>
        <w:t xml:space="preserve">).  A summary of the annual average pollutant concentrations from air dispersion modeling of 205 airport operations is presented in </w:t>
      </w:r>
      <w:r>
        <w:rPr>
          <w:szCs w:val="24"/>
        </w:rPr>
        <w:fldChar w:fldCharType="begin"/>
      </w:r>
      <w:r>
        <w:rPr>
          <w:szCs w:val="24"/>
        </w:rPr>
        <w:instrText xml:space="preserve"> REF _Ref383531487 \h </w:instrText>
      </w:r>
      <w:r w:rsidRPr="00222B76">
        <w:rPr>
          <w:szCs w:val="24"/>
        </w:rPr>
      </w:r>
      <w:r>
        <w:rPr>
          <w:szCs w:val="24"/>
        </w:rPr>
        <w:fldChar w:fldCharType="separate"/>
      </w:r>
      <w:r>
        <w:t xml:space="preserve">Table </w:t>
      </w:r>
      <w:r>
        <w:rPr>
          <w:noProof/>
        </w:rPr>
        <w:t>4</w:t>
      </w:r>
      <w:r>
        <w:noBreakHyphen/>
      </w:r>
      <w:r>
        <w:rPr>
          <w:noProof/>
        </w:rPr>
        <w:t>2</w:t>
      </w:r>
      <w:r>
        <w:rPr>
          <w:szCs w:val="24"/>
        </w:rPr>
        <w:fldChar w:fldCharType="end"/>
      </w:r>
      <w:r>
        <w:rPr>
          <w:szCs w:val="24"/>
        </w:rPr>
        <w:t>.</w:t>
      </w:r>
    </w:p>
    <w:p w:rsidR="00A327E6" w:rsidRDefault="00A327E6" w:rsidP="00D13B51">
      <w:pPr>
        <w:pStyle w:val="Caption"/>
        <w:spacing w:before="0" w:after="0" w:line="240" w:lineRule="auto"/>
      </w:pPr>
      <w:bookmarkStart w:id="97" w:name="_Ref383531487"/>
      <w:bookmarkStart w:id="98" w:name="_Toc386796290"/>
      <w:r>
        <w:t xml:space="preserve">Table </w:t>
      </w:r>
      <w:fldSimple w:instr=" STYLEREF 1 \s ">
        <w:r>
          <w:rPr>
            <w:noProof/>
          </w:rPr>
          <w:t>4</w:t>
        </w:r>
      </w:fldSimple>
      <w:r>
        <w:noBreakHyphen/>
      </w:r>
      <w:fldSimple w:instr=" SEQ Table \* ARABIC \s 1 ">
        <w:r>
          <w:rPr>
            <w:noProof/>
          </w:rPr>
          <w:t>2</w:t>
        </w:r>
      </w:fldSimple>
      <w:bookmarkEnd w:id="97"/>
      <w:r>
        <w:t xml:space="preserve">.  </w:t>
      </w:r>
      <w:r w:rsidRPr="00510D8A">
        <w:t>Summary of Annual Average Air Pollutant Concentrations (μg/m</w:t>
      </w:r>
      <w:r w:rsidRPr="0040266D">
        <w:rPr>
          <w:vertAlign w:val="superscript"/>
        </w:rPr>
        <w:t>3</w:t>
      </w:r>
      <w:r w:rsidRPr="00510D8A">
        <w:t>) from Air Dispersion Modeling of 2005 Airport Operations</w:t>
      </w:r>
      <w:bookmarkEnd w:id="98"/>
      <w:r>
        <w:t xml:space="preserve"> </w:t>
      </w:r>
    </w:p>
    <w:p w:rsidR="00A327E6" w:rsidRPr="00D13B51" w:rsidRDefault="00A327E6" w:rsidP="00D13B51">
      <w:pPr>
        <w:spacing w:before="0" w:after="0" w:line="240" w:lineRule="auto"/>
      </w:pPr>
    </w:p>
    <w:tbl>
      <w:tblPr>
        <w:tblW w:w="8205" w:type="dxa"/>
        <w:tblInd w:w="585" w:type="dxa"/>
        <w:tblBorders>
          <w:top w:val="single" w:sz="8" w:space="0" w:color="4F81BD"/>
          <w:left w:val="single" w:sz="8" w:space="0" w:color="4F81BD"/>
          <w:bottom w:val="single" w:sz="8" w:space="0" w:color="4F81BD"/>
          <w:right w:val="single" w:sz="8" w:space="0" w:color="4F81BD"/>
        </w:tblBorders>
        <w:tblLayout w:type="fixed"/>
        <w:tblLook w:val="00A0"/>
      </w:tblPr>
      <w:tblGrid>
        <w:gridCol w:w="2250"/>
        <w:gridCol w:w="1152"/>
        <w:gridCol w:w="1180"/>
        <w:gridCol w:w="1180"/>
        <w:gridCol w:w="1180"/>
        <w:gridCol w:w="1263"/>
      </w:tblGrid>
      <w:tr w:rsidR="00A327E6" w:rsidRPr="0021796A" w:rsidTr="00415FA2">
        <w:trPr>
          <w:trHeight w:val="576"/>
        </w:trPr>
        <w:tc>
          <w:tcPr>
            <w:tcW w:w="2250" w:type="dxa"/>
            <w:tcBorders>
              <w:top w:val="single" w:sz="8" w:space="0" w:color="4F81BD"/>
            </w:tcBorders>
            <w:shd w:val="clear" w:color="auto" w:fill="4F81BD"/>
            <w:noWrap/>
          </w:tcPr>
          <w:p w:rsidR="00A327E6" w:rsidRPr="00415FA2" w:rsidRDefault="00A327E6" w:rsidP="00415FA2">
            <w:pPr>
              <w:spacing w:before="100" w:beforeAutospacing="1" w:after="100" w:afterAutospacing="1" w:line="400" w:lineRule="atLeast"/>
              <w:jc w:val="center"/>
              <w:rPr>
                <w:b/>
                <w:bCs/>
                <w:color w:val="FFFFFF"/>
                <w:szCs w:val="24"/>
                <w:lang w:eastAsia="zh-TW"/>
              </w:rPr>
            </w:pPr>
          </w:p>
        </w:tc>
        <w:tc>
          <w:tcPr>
            <w:tcW w:w="1152" w:type="dxa"/>
            <w:tcBorders>
              <w:top w:val="single" w:sz="8" w:space="0" w:color="4F81BD"/>
              <w:left w:val="single" w:sz="8" w:space="0" w:color="4F81BD"/>
              <w:right w:val="single" w:sz="8" w:space="0" w:color="4F81BD"/>
            </w:tcBorders>
            <w:shd w:val="clear" w:color="auto" w:fill="4F81BD"/>
            <w:vAlign w:val="center"/>
          </w:tcPr>
          <w:p w:rsidR="00A327E6" w:rsidRPr="00415FA2" w:rsidRDefault="00A327E6" w:rsidP="00415FA2">
            <w:pPr>
              <w:spacing w:before="100" w:beforeAutospacing="1" w:after="100" w:afterAutospacing="1" w:line="400" w:lineRule="atLeast"/>
              <w:jc w:val="center"/>
              <w:rPr>
                <w:b/>
                <w:bCs/>
                <w:color w:val="FFFFFF"/>
                <w:szCs w:val="24"/>
                <w:lang w:eastAsia="zh-TW"/>
              </w:rPr>
            </w:pPr>
            <w:r w:rsidRPr="00415FA2">
              <w:rPr>
                <w:b/>
                <w:bCs/>
                <w:color w:val="FFFFFF"/>
                <w:szCs w:val="24"/>
                <w:lang w:eastAsia="zh-TW"/>
              </w:rPr>
              <w:t>CO</w:t>
            </w:r>
          </w:p>
        </w:tc>
        <w:tc>
          <w:tcPr>
            <w:tcW w:w="1180" w:type="dxa"/>
            <w:tcBorders>
              <w:top w:val="single" w:sz="8" w:space="0" w:color="4F81BD"/>
            </w:tcBorders>
            <w:shd w:val="clear" w:color="auto" w:fill="4F81BD"/>
            <w:noWrap/>
            <w:vAlign w:val="center"/>
          </w:tcPr>
          <w:p w:rsidR="00A327E6" w:rsidRPr="00415FA2" w:rsidRDefault="00A327E6" w:rsidP="00415FA2">
            <w:pPr>
              <w:spacing w:before="100" w:beforeAutospacing="1" w:after="100" w:afterAutospacing="1" w:line="400" w:lineRule="atLeast"/>
              <w:jc w:val="center"/>
              <w:rPr>
                <w:b/>
                <w:bCs/>
                <w:color w:val="FFFFFF"/>
                <w:szCs w:val="24"/>
                <w:lang w:eastAsia="zh-TW"/>
              </w:rPr>
            </w:pPr>
            <w:r w:rsidRPr="00415FA2">
              <w:rPr>
                <w:b/>
                <w:bCs/>
                <w:color w:val="FFFFFF"/>
                <w:szCs w:val="24"/>
                <w:lang w:eastAsia="zh-TW"/>
              </w:rPr>
              <w:t>NOx</w:t>
            </w:r>
          </w:p>
        </w:tc>
        <w:tc>
          <w:tcPr>
            <w:tcW w:w="1180" w:type="dxa"/>
            <w:tcBorders>
              <w:top w:val="single" w:sz="8" w:space="0" w:color="4F81BD"/>
              <w:left w:val="single" w:sz="8" w:space="0" w:color="4F81BD"/>
              <w:right w:val="single" w:sz="8" w:space="0" w:color="4F81BD"/>
            </w:tcBorders>
            <w:shd w:val="clear" w:color="auto" w:fill="4F81BD"/>
            <w:vAlign w:val="center"/>
          </w:tcPr>
          <w:p w:rsidR="00A327E6" w:rsidRPr="00415FA2" w:rsidRDefault="00A327E6" w:rsidP="00415FA2">
            <w:pPr>
              <w:spacing w:before="100" w:beforeAutospacing="1" w:after="100" w:afterAutospacing="1" w:line="400" w:lineRule="atLeast"/>
              <w:jc w:val="center"/>
              <w:rPr>
                <w:b/>
                <w:bCs/>
                <w:color w:val="FFFFFF"/>
                <w:szCs w:val="24"/>
                <w:lang w:eastAsia="zh-TW"/>
              </w:rPr>
            </w:pPr>
            <w:r w:rsidRPr="00415FA2">
              <w:rPr>
                <w:b/>
                <w:bCs/>
                <w:color w:val="FFFFFF"/>
                <w:szCs w:val="24"/>
                <w:lang w:eastAsia="zh-TW"/>
              </w:rPr>
              <w:t>PM</w:t>
            </w:r>
            <w:r w:rsidRPr="00415FA2">
              <w:rPr>
                <w:b/>
                <w:bCs/>
                <w:color w:val="FFFFFF"/>
                <w:szCs w:val="24"/>
                <w:vertAlign w:val="subscript"/>
                <w:lang w:eastAsia="zh-TW"/>
              </w:rPr>
              <w:t>2.5</w:t>
            </w:r>
          </w:p>
        </w:tc>
        <w:tc>
          <w:tcPr>
            <w:tcW w:w="1180" w:type="dxa"/>
            <w:tcBorders>
              <w:top w:val="single" w:sz="8" w:space="0" w:color="4F81BD"/>
            </w:tcBorders>
            <w:shd w:val="clear" w:color="auto" w:fill="4F81BD"/>
            <w:noWrap/>
            <w:vAlign w:val="center"/>
          </w:tcPr>
          <w:p w:rsidR="00A327E6" w:rsidRPr="00415FA2" w:rsidRDefault="00A327E6" w:rsidP="00415FA2">
            <w:pPr>
              <w:spacing w:before="100" w:beforeAutospacing="1" w:after="100" w:afterAutospacing="1" w:line="400" w:lineRule="atLeast"/>
              <w:jc w:val="center"/>
              <w:rPr>
                <w:b/>
                <w:bCs/>
                <w:color w:val="FFFFFF"/>
                <w:szCs w:val="24"/>
                <w:lang w:eastAsia="zh-TW"/>
              </w:rPr>
            </w:pPr>
            <w:r w:rsidRPr="00415FA2">
              <w:rPr>
                <w:b/>
                <w:bCs/>
                <w:color w:val="FFFFFF"/>
                <w:szCs w:val="24"/>
                <w:lang w:eastAsia="zh-TW"/>
              </w:rPr>
              <w:t>SO</w:t>
            </w:r>
            <w:r w:rsidRPr="00415FA2">
              <w:rPr>
                <w:b/>
                <w:bCs/>
                <w:color w:val="FFFFFF"/>
                <w:szCs w:val="24"/>
                <w:vertAlign w:val="subscript"/>
                <w:lang w:eastAsia="zh-TW"/>
              </w:rPr>
              <w:t>x</w:t>
            </w:r>
          </w:p>
        </w:tc>
        <w:tc>
          <w:tcPr>
            <w:tcW w:w="1263" w:type="dxa"/>
            <w:tcBorders>
              <w:top w:val="single" w:sz="8" w:space="0" w:color="4F81BD"/>
              <w:left w:val="single" w:sz="8" w:space="0" w:color="4F81BD"/>
            </w:tcBorders>
            <w:shd w:val="clear" w:color="auto" w:fill="4F81BD"/>
            <w:vAlign w:val="center"/>
          </w:tcPr>
          <w:p w:rsidR="00A327E6" w:rsidRPr="00415FA2" w:rsidRDefault="00A327E6" w:rsidP="00415FA2">
            <w:pPr>
              <w:spacing w:before="100" w:beforeAutospacing="1" w:after="100" w:afterAutospacing="1" w:line="400" w:lineRule="atLeast"/>
              <w:jc w:val="center"/>
              <w:rPr>
                <w:b/>
                <w:bCs/>
                <w:color w:val="FFFFFF"/>
                <w:szCs w:val="24"/>
                <w:lang w:eastAsia="zh-TW"/>
              </w:rPr>
            </w:pPr>
            <w:r w:rsidRPr="00415FA2">
              <w:rPr>
                <w:b/>
                <w:bCs/>
                <w:color w:val="FFFFFF"/>
                <w:szCs w:val="24"/>
                <w:lang w:eastAsia="zh-TW"/>
              </w:rPr>
              <w:t>VOC</w:t>
            </w:r>
          </w:p>
        </w:tc>
      </w:tr>
      <w:tr w:rsidR="00A327E6" w:rsidRPr="0021796A" w:rsidTr="00415FA2">
        <w:trPr>
          <w:trHeight w:val="432"/>
        </w:trPr>
        <w:tc>
          <w:tcPr>
            <w:tcW w:w="2250" w:type="dxa"/>
            <w:tcBorders>
              <w:top w:val="single" w:sz="8" w:space="0" w:color="4F81BD"/>
              <w:bottom w:val="single" w:sz="8" w:space="0" w:color="4F81BD"/>
            </w:tcBorders>
            <w:noWrap/>
            <w:vAlign w:val="center"/>
          </w:tcPr>
          <w:p w:rsidR="00A327E6" w:rsidRPr="00415FA2" w:rsidRDefault="00A327E6" w:rsidP="00415FA2">
            <w:pPr>
              <w:spacing w:before="100" w:beforeAutospacing="1" w:after="100" w:afterAutospacing="1" w:line="400" w:lineRule="atLeast"/>
              <w:rPr>
                <w:b/>
                <w:bCs/>
                <w:szCs w:val="24"/>
                <w:lang w:eastAsia="zh-TW"/>
              </w:rPr>
            </w:pPr>
            <w:r w:rsidRPr="00415FA2">
              <w:rPr>
                <w:bCs/>
                <w:szCs w:val="24"/>
                <w:lang w:eastAsia="zh-TW"/>
              </w:rPr>
              <w:t>Annual Average</w:t>
            </w:r>
          </w:p>
        </w:tc>
        <w:tc>
          <w:tcPr>
            <w:tcW w:w="1152" w:type="dxa"/>
            <w:tcBorders>
              <w:top w:val="single" w:sz="8" w:space="0" w:color="4F81BD"/>
              <w:left w:val="single" w:sz="8" w:space="0" w:color="4F81BD"/>
              <w:bottom w:val="single" w:sz="8" w:space="0" w:color="4F81BD"/>
              <w:right w:val="single" w:sz="8" w:space="0" w:color="4F81BD"/>
            </w:tcBorders>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15.45</w:t>
            </w:r>
          </w:p>
        </w:tc>
        <w:tc>
          <w:tcPr>
            <w:tcW w:w="1180" w:type="dxa"/>
            <w:tcBorders>
              <w:top w:val="single" w:sz="8" w:space="0" w:color="4F81BD"/>
              <w:bottom w:val="single" w:sz="8" w:space="0" w:color="4F81BD"/>
            </w:tcBorders>
            <w:noWrap/>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3.56</w:t>
            </w:r>
          </w:p>
        </w:tc>
        <w:tc>
          <w:tcPr>
            <w:tcW w:w="1180" w:type="dxa"/>
            <w:tcBorders>
              <w:top w:val="single" w:sz="8" w:space="0" w:color="4F81BD"/>
              <w:left w:val="single" w:sz="8" w:space="0" w:color="4F81BD"/>
              <w:bottom w:val="single" w:sz="8" w:space="0" w:color="4F81BD"/>
              <w:right w:val="single" w:sz="8" w:space="0" w:color="4F81BD"/>
            </w:tcBorders>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 xml:space="preserve">0.11 </w:t>
            </w:r>
          </w:p>
        </w:tc>
        <w:tc>
          <w:tcPr>
            <w:tcW w:w="1180" w:type="dxa"/>
            <w:tcBorders>
              <w:top w:val="single" w:sz="8" w:space="0" w:color="4F81BD"/>
              <w:bottom w:val="single" w:sz="8" w:space="0" w:color="4F81BD"/>
            </w:tcBorders>
            <w:noWrap/>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0.34</w:t>
            </w:r>
          </w:p>
        </w:tc>
        <w:tc>
          <w:tcPr>
            <w:tcW w:w="1263" w:type="dxa"/>
            <w:tcBorders>
              <w:top w:val="single" w:sz="8" w:space="0" w:color="4F81BD"/>
              <w:left w:val="single" w:sz="8" w:space="0" w:color="4F81BD"/>
              <w:bottom w:val="single" w:sz="8" w:space="0" w:color="4F81BD"/>
            </w:tcBorders>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1.84</w:t>
            </w:r>
          </w:p>
        </w:tc>
      </w:tr>
    </w:tbl>
    <w:p w:rsidR="00A327E6" w:rsidRPr="0021796A" w:rsidRDefault="00A327E6" w:rsidP="00536C34">
      <w:pPr>
        <w:spacing w:line="400" w:lineRule="atLeast"/>
        <w:rPr>
          <w:rStyle w:val="BookTitle"/>
          <w:szCs w:val="24"/>
        </w:rPr>
      </w:pPr>
      <w:bookmarkStart w:id="99" w:name="_Toc350434438"/>
      <w:bookmarkStart w:id="100" w:name="_Toc350434888"/>
      <w:bookmarkStart w:id="101" w:name="_Toc350436394"/>
      <w:bookmarkStart w:id="102" w:name="_Toc350436602"/>
      <w:bookmarkStart w:id="103" w:name="_Toc350436630"/>
      <w:bookmarkStart w:id="104" w:name="_Toc350438543"/>
      <w:bookmarkStart w:id="105" w:name="_Toc350443707"/>
      <w:r w:rsidRPr="0021796A">
        <w:rPr>
          <w:rStyle w:val="BookTitle"/>
          <w:szCs w:val="24"/>
        </w:rPr>
        <w:t>Distribution of air pollutant concentrations in the study area</w:t>
      </w:r>
    </w:p>
    <w:p w:rsidR="00A327E6" w:rsidRPr="0021796A" w:rsidRDefault="00A327E6" w:rsidP="00536C34">
      <w:pPr>
        <w:spacing w:before="0" w:after="0" w:line="400" w:lineRule="atLeast"/>
        <w:ind w:firstLine="720"/>
      </w:pPr>
      <w:bookmarkStart w:id="106" w:name="_Toc350877546"/>
      <w:bookmarkStart w:id="107" w:name="_Toc350878367"/>
      <w:bookmarkStart w:id="108" w:name="_Toc350945069"/>
      <w:r w:rsidRPr="0021796A">
        <w:t xml:space="preserve">The distribution of air pollutant concentration data is characterized by much higher concentrations near the airport that fall off rapidly with increased radial distance from the airport.  This skewed distribution is consistent with the initial survey sampling design that anticipated higher exposure areas closer to the airport.  This is illustrated in </w:t>
      </w:r>
      <w:bookmarkStart w:id="109" w:name="_Ref349914509"/>
      <w:r w:rsidRPr="0021796A">
        <w:t>Figure</w:t>
      </w:r>
      <w:r>
        <w:t xml:space="preserve"> 4-3</w:t>
      </w:r>
      <w:bookmarkEnd w:id="109"/>
      <w:r w:rsidRPr="0021796A">
        <w:t xml:space="preserve"> that shows the normalized annual average concentrations of NOx and PM</w:t>
      </w:r>
      <w:r w:rsidRPr="009D5E25">
        <w:rPr>
          <w:vertAlign w:val="subscript"/>
        </w:rPr>
        <w:t xml:space="preserve">2.5 </w:t>
      </w:r>
      <w:r w:rsidRPr="0021796A">
        <w:t>predicted for polar (or circular) receptors near the airport.</w:t>
      </w:r>
      <w:bookmarkEnd w:id="99"/>
      <w:bookmarkEnd w:id="100"/>
      <w:bookmarkEnd w:id="101"/>
      <w:bookmarkEnd w:id="102"/>
      <w:bookmarkEnd w:id="103"/>
      <w:bookmarkEnd w:id="104"/>
      <w:bookmarkEnd w:id="105"/>
      <w:bookmarkEnd w:id="106"/>
      <w:bookmarkEnd w:id="107"/>
      <w:bookmarkEnd w:id="108"/>
    </w:p>
    <w:p w:rsidR="00A327E6" w:rsidRPr="0021796A" w:rsidRDefault="00A327E6" w:rsidP="00536C34">
      <w:pPr>
        <w:spacing w:before="100" w:beforeAutospacing="1" w:after="100" w:afterAutospacing="1" w:line="400" w:lineRule="atLeast"/>
        <w:rPr>
          <w:rStyle w:val="BookTitle"/>
          <w:szCs w:val="24"/>
        </w:rPr>
      </w:pPr>
      <w:r w:rsidRPr="0021796A">
        <w:rPr>
          <w:rStyle w:val="BookTitle"/>
          <w:szCs w:val="24"/>
        </w:rPr>
        <w:t>Air pollutant concentrations of individual source categories</w:t>
      </w:r>
    </w:p>
    <w:p w:rsidR="00A327E6" w:rsidRDefault="00A327E6" w:rsidP="00B234F1">
      <w:pPr>
        <w:spacing w:line="400" w:lineRule="atLeast"/>
        <w:ind w:firstLine="720"/>
        <w:rPr>
          <w:szCs w:val="24"/>
        </w:rPr>
      </w:pPr>
      <w:r w:rsidRPr="0021796A">
        <w:rPr>
          <w:szCs w:val="24"/>
        </w:rPr>
        <w:t>The air dispersion modeling results provide information about the contribution of each of the major source categories (e.g., aircraft, motor vehicles, power plant) to air pollutant concentrations in the study area.  The annual average concentrations for NOx and PM</w:t>
      </w:r>
      <w:r w:rsidRPr="0021796A">
        <w:rPr>
          <w:szCs w:val="24"/>
          <w:vertAlign w:val="subscript"/>
        </w:rPr>
        <w:t>2.5</w:t>
      </w:r>
      <w:r w:rsidRPr="0021796A">
        <w:rPr>
          <w:szCs w:val="24"/>
        </w:rPr>
        <w:t xml:space="preserve"> for the major source categories in the modeling domain are presented in </w:t>
      </w:r>
      <w:r>
        <w:rPr>
          <w:szCs w:val="24"/>
        </w:rPr>
        <w:t>Table 4-3.</w:t>
      </w:r>
    </w:p>
    <w:p w:rsidR="00A327E6" w:rsidRDefault="00A327E6" w:rsidP="00E44AAF">
      <w:pPr>
        <w:spacing w:line="400" w:lineRule="atLeast"/>
        <w:rPr>
          <w:szCs w:val="24"/>
        </w:rPr>
      </w:pPr>
    </w:p>
    <w:p w:rsidR="00A327E6" w:rsidRDefault="00A327E6" w:rsidP="00E44AAF">
      <w:pPr>
        <w:spacing w:line="400" w:lineRule="atLeast"/>
        <w:rPr>
          <w:szCs w:val="24"/>
        </w:rPr>
      </w:pPr>
    </w:p>
    <w:p w:rsidR="00A327E6" w:rsidRDefault="00A327E6" w:rsidP="00E44AAF">
      <w:pPr>
        <w:spacing w:line="400" w:lineRule="atLeast"/>
        <w:rPr>
          <w:szCs w:val="24"/>
        </w:rPr>
      </w:pPr>
    </w:p>
    <w:p w:rsidR="00A327E6" w:rsidRDefault="00A327E6" w:rsidP="00E44AAF">
      <w:pPr>
        <w:pStyle w:val="Caption"/>
        <w:keepNext/>
        <w:spacing w:line="400" w:lineRule="atLeast"/>
      </w:pPr>
      <w:bookmarkStart w:id="110" w:name="_Toc386796331"/>
      <w:bookmarkEnd w:id="96"/>
      <w:r>
        <w:t xml:space="preserve">Figure </w:t>
      </w:r>
      <w:fldSimple w:instr=" STYLEREF 1 \s ">
        <w:r>
          <w:rPr>
            <w:noProof/>
          </w:rPr>
          <w:t>4</w:t>
        </w:r>
      </w:fldSimple>
      <w:r>
        <w:noBreakHyphen/>
      </w:r>
      <w:fldSimple w:instr=" SEQ Figure \* ARABIC \s 1 ">
        <w:r>
          <w:rPr>
            <w:noProof/>
          </w:rPr>
          <w:t>2</w:t>
        </w:r>
      </w:fldSimple>
      <w:r>
        <w:t xml:space="preserve">.  </w:t>
      </w:r>
      <w:r w:rsidRPr="000B53DF">
        <w:t>Modeling Domain for the LAHS</w:t>
      </w:r>
      <w:bookmarkEnd w:id="110"/>
    </w:p>
    <w:p w:rsidR="00A327E6" w:rsidRDefault="00A327E6" w:rsidP="00536C34">
      <w:pPr>
        <w:spacing w:before="100" w:beforeAutospacing="1" w:after="100" w:afterAutospacing="1" w:line="400" w:lineRule="atLeast"/>
        <w:jc w:val="center"/>
        <w:rPr>
          <w:szCs w:val="24"/>
        </w:rPr>
        <w:sectPr w:rsidR="00A327E6" w:rsidSect="00551127">
          <w:pgSz w:w="12240" w:h="15840"/>
          <w:pgMar w:top="1440" w:right="1440" w:bottom="1440" w:left="1440" w:header="720" w:footer="720" w:gutter="0"/>
          <w:cols w:space="720"/>
          <w:docGrid w:linePitch="360"/>
        </w:sectPr>
      </w:pPr>
      <w:r w:rsidRPr="00415FA2">
        <w:rPr>
          <w:noProof/>
          <w:szCs w:val="24"/>
          <w:lang w:eastAsia="zh-TW"/>
        </w:rPr>
        <w:pict>
          <v:shape id="_x0000_i1030" type="#_x0000_t75" alt="Study area and receptor locations of air dispersion modeling analysis conducted for LAHS." style="width:440.4pt;height:530.4pt;visibility:visible">
            <v:imagedata r:id="rId15" o:title=""/>
          </v:shape>
        </w:pict>
      </w:r>
      <w:bookmarkStart w:id="111" w:name="_Ref345597032"/>
      <w:bookmarkStart w:id="112" w:name="_Ref345597037"/>
    </w:p>
    <w:p w:rsidR="00A327E6" w:rsidRDefault="00A327E6" w:rsidP="00E44AAF">
      <w:pPr>
        <w:pStyle w:val="Caption"/>
        <w:keepNext/>
        <w:spacing w:line="400" w:lineRule="atLeast"/>
      </w:pPr>
      <w:bookmarkStart w:id="113" w:name="_Toc386796332"/>
      <w:bookmarkEnd w:id="111"/>
      <w:bookmarkEnd w:id="112"/>
      <w:r>
        <w:t xml:space="preserve">Figure </w:t>
      </w:r>
      <w:fldSimple w:instr=" STYLEREF 1 \s ">
        <w:r>
          <w:rPr>
            <w:noProof/>
          </w:rPr>
          <w:t>4</w:t>
        </w:r>
      </w:fldSimple>
      <w:r>
        <w:noBreakHyphen/>
      </w:r>
      <w:fldSimple w:instr=" SEQ Figure \* ARABIC \s 1 ">
        <w:r>
          <w:rPr>
            <w:noProof/>
          </w:rPr>
          <w:t>3</w:t>
        </w:r>
      </w:fldSimple>
      <w:r>
        <w:t xml:space="preserve">.  </w:t>
      </w:r>
      <w:r w:rsidRPr="00DA1EE6">
        <w:t>Normalized Annual Average C</w:t>
      </w:r>
      <w:r>
        <w:t>oncentrations for NOx and PM</w:t>
      </w:r>
      <w:r w:rsidRPr="00E9728F">
        <w:rPr>
          <w:vertAlign w:val="subscript"/>
        </w:rPr>
        <w:t>2.5</w:t>
      </w:r>
      <w:bookmarkEnd w:id="113"/>
    </w:p>
    <w:p w:rsidR="00A327E6" w:rsidRPr="0021796A" w:rsidRDefault="00A327E6" w:rsidP="00D13B51">
      <w:pPr>
        <w:spacing w:before="100" w:beforeAutospacing="1" w:after="100" w:afterAutospacing="1" w:line="400" w:lineRule="atLeast"/>
        <w:ind w:left="-540"/>
        <w:jc w:val="center"/>
        <w:rPr>
          <w:szCs w:val="24"/>
        </w:rPr>
        <w:sectPr w:rsidR="00A327E6" w:rsidRPr="0021796A" w:rsidSect="00551127">
          <w:pgSz w:w="12240" w:h="15840"/>
          <w:pgMar w:top="1440" w:right="1440" w:bottom="1440" w:left="1440" w:header="720" w:footer="720" w:gutter="0"/>
          <w:cols w:space="720"/>
          <w:docGrid w:linePitch="360"/>
        </w:sectPr>
      </w:pPr>
      <w:r w:rsidRPr="00415FA2">
        <w:rPr>
          <w:noProof/>
          <w:szCs w:val="24"/>
          <w:lang w:eastAsia="zh-TW"/>
        </w:rPr>
        <w:pict>
          <v:shape id="Picture 11" o:spid="_x0000_i1031" type="#_x0000_t75" alt="Two maps showing normalized concentrations for NOx and PM2.5 at the modeling receptors in the study area." style="width:519pt;height:349.8pt;visibility:visible">
            <v:imagedata r:id="rId16" o:title=""/>
          </v:shape>
        </w:pict>
      </w:r>
    </w:p>
    <w:p w:rsidR="00A327E6" w:rsidRDefault="00A327E6" w:rsidP="000006CA">
      <w:pPr>
        <w:pStyle w:val="Caption"/>
        <w:keepNext/>
        <w:spacing w:before="0" w:after="0" w:line="240" w:lineRule="auto"/>
        <w:rPr>
          <w:szCs w:val="24"/>
        </w:rPr>
      </w:pPr>
      <w:bookmarkStart w:id="114" w:name="_Ref345599111"/>
      <w:bookmarkStart w:id="115" w:name="_Ref345599115"/>
      <w:bookmarkStart w:id="116" w:name="_Toc386796291"/>
      <w:r w:rsidRPr="0021796A">
        <w:rPr>
          <w:szCs w:val="24"/>
        </w:rPr>
        <w:t xml:space="preserve">Table </w:t>
      </w:r>
      <w:r>
        <w:rPr>
          <w:szCs w:val="24"/>
        </w:rPr>
        <w:fldChar w:fldCharType="begin"/>
      </w:r>
      <w:r>
        <w:rPr>
          <w:szCs w:val="24"/>
        </w:rPr>
        <w:instrText xml:space="preserve"> STYLEREF 1 \s </w:instrText>
      </w:r>
      <w:r>
        <w:rPr>
          <w:szCs w:val="24"/>
        </w:rPr>
        <w:fldChar w:fldCharType="separate"/>
      </w:r>
      <w:r>
        <w:rPr>
          <w:noProof/>
          <w:szCs w:val="24"/>
        </w:rPr>
        <w:t>4</w:t>
      </w:r>
      <w:r>
        <w:rPr>
          <w:szCs w:val="24"/>
        </w:rPr>
        <w:fldChar w:fldCharType="end"/>
      </w:r>
      <w:r>
        <w:rPr>
          <w:szCs w:val="24"/>
        </w:rPr>
        <w:noBreakHyphen/>
      </w:r>
      <w:r>
        <w:rPr>
          <w:szCs w:val="24"/>
        </w:rPr>
        <w:fldChar w:fldCharType="begin"/>
      </w:r>
      <w:r>
        <w:rPr>
          <w:szCs w:val="24"/>
        </w:rPr>
        <w:instrText xml:space="preserve"> SEQ Table \* ARABIC \s 1 </w:instrText>
      </w:r>
      <w:r>
        <w:rPr>
          <w:szCs w:val="24"/>
        </w:rPr>
        <w:fldChar w:fldCharType="separate"/>
      </w:r>
      <w:r>
        <w:rPr>
          <w:noProof/>
          <w:szCs w:val="24"/>
        </w:rPr>
        <w:t>3</w:t>
      </w:r>
      <w:r>
        <w:rPr>
          <w:szCs w:val="24"/>
        </w:rPr>
        <w:fldChar w:fldCharType="end"/>
      </w:r>
      <w:bookmarkEnd w:id="114"/>
      <w:r>
        <w:rPr>
          <w:szCs w:val="24"/>
        </w:rPr>
        <w:t xml:space="preserve">.  </w:t>
      </w:r>
      <w:r w:rsidRPr="0021796A">
        <w:rPr>
          <w:szCs w:val="24"/>
        </w:rPr>
        <w:t>Annual Average Concentrations for NOx and PM</w:t>
      </w:r>
      <w:r w:rsidRPr="0021796A">
        <w:rPr>
          <w:szCs w:val="24"/>
          <w:vertAlign w:val="subscript"/>
        </w:rPr>
        <w:t>2.5</w:t>
      </w:r>
      <w:r w:rsidRPr="0021796A">
        <w:rPr>
          <w:szCs w:val="24"/>
        </w:rPr>
        <w:t xml:space="preserve"> </w:t>
      </w:r>
      <w:r>
        <w:rPr>
          <w:szCs w:val="24"/>
        </w:rPr>
        <w:t xml:space="preserve">Across the Study Area </w:t>
      </w:r>
      <w:r w:rsidRPr="0021796A">
        <w:rPr>
          <w:szCs w:val="24"/>
        </w:rPr>
        <w:t>for the Major Source Categories at Logan Airport</w:t>
      </w:r>
      <w:bookmarkEnd w:id="115"/>
      <w:bookmarkEnd w:id="116"/>
      <w:r>
        <w:rPr>
          <w:szCs w:val="24"/>
        </w:rPr>
        <w:t xml:space="preserve"> </w:t>
      </w:r>
    </w:p>
    <w:p w:rsidR="00A327E6" w:rsidRPr="00F54C39" w:rsidRDefault="00A327E6" w:rsidP="00D13B51">
      <w:pPr>
        <w:spacing w:before="0" w:after="0" w:line="240" w:lineRule="auto"/>
      </w:pPr>
    </w:p>
    <w:tbl>
      <w:tblPr>
        <w:tblW w:w="9182" w:type="dxa"/>
        <w:tblBorders>
          <w:top w:val="single" w:sz="8" w:space="0" w:color="4F81BD"/>
          <w:left w:val="single" w:sz="8" w:space="0" w:color="4F81BD"/>
          <w:bottom w:val="single" w:sz="8" w:space="0" w:color="4F81BD"/>
          <w:right w:val="single" w:sz="8" w:space="0" w:color="4F81BD"/>
        </w:tblBorders>
        <w:tblLayout w:type="fixed"/>
        <w:tblLook w:val="00A0"/>
      </w:tblPr>
      <w:tblGrid>
        <w:gridCol w:w="1908"/>
        <w:gridCol w:w="108"/>
        <w:gridCol w:w="1062"/>
        <w:gridCol w:w="188"/>
        <w:gridCol w:w="1072"/>
        <w:gridCol w:w="94"/>
        <w:gridCol w:w="1076"/>
        <w:gridCol w:w="57"/>
        <w:gridCol w:w="1293"/>
        <w:gridCol w:w="90"/>
        <w:gridCol w:w="1260"/>
        <w:gridCol w:w="90"/>
        <w:gridCol w:w="884"/>
      </w:tblGrid>
      <w:tr w:rsidR="00A327E6" w:rsidRPr="0021796A" w:rsidTr="00415FA2">
        <w:trPr>
          <w:trHeight w:val="585"/>
        </w:trPr>
        <w:tc>
          <w:tcPr>
            <w:tcW w:w="9182" w:type="dxa"/>
            <w:gridSpan w:val="13"/>
            <w:tcBorders>
              <w:top w:val="single" w:sz="8" w:space="0" w:color="4F81BD"/>
            </w:tcBorders>
            <w:shd w:val="clear" w:color="auto" w:fill="4F81BD"/>
            <w:vAlign w:val="center"/>
          </w:tcPr>
          <w:p w:rsidR="00A327E6" w:rsidRPr="00415FA2" w:rsidRDefault="00A327E6" w:rsidP="00415FA2">
            <w:pPr>
              <w:spacing w:before="100" w:beforeAutospacing="1" w:after="100" w:afterAutospacing="1" w:line="400" w:lineRule="atLeast"/>
              <w:jc w:val="center"/>
              <w:rPr>
                <w:b/>
                <w:bCs/>
                <w:color w:val="FFFFFF"/>
                <w:szCs w:val="24"/>
                <w:lang w:eastAsia="zh-TW"/>
              </w:rPr>
            </w:pPr>
            <w:r w:rsidRPr="00415FA2">
              <w:rPr>
                <w:b/>
                <w:bCs/>
                <w:color w:val="FFFFFF"/>
                <w:szCs w:val="24"/>
                <w:lang w:eastAsia="zh-TW"/>
              </w:rPr>
              <w:t>NOx Annual Average Concentrations in Modeling Domain (μg/m</w:t>
            </w:r>
            <w:r w:rsidRPr="00415FA2">
              <w:rPr>
                <w:b/>
                <w:bCs/>
                <w:color w:val="FFFFFF"/>
                <w:szCs w:val="24"/>
                <w:vertAlign w:val="superscript"/>
                <w:lang w:eastAsia="zh-TW"/>
              </w:rPr>
              <w:t>3</w:t>
            </w:r>
            <w:r w:rsidRPr="00415FA2">
              <w:rPr>
                <w:b/>
                <w:bCs/>
                <w:color w:val="FFFFFF"/>
                <w:szCs w:val="24"/>
                <w:lang w:eastAsia="zh-TW"/>
              </w:rPr>
              <w:t>)</w:t>
            </w:r>
          </w:p>
        </w:tc>
      </w:tr>
      <w:tr w:rsidR="00A327E6" w:rsidRPr="0021796A" w:rsidTr="00415FA2">
        <w:trPr>
          <w:trHeight w:val="438"/>
        </w:trPr>
        <w:tc>
          <w:tcPr>
            <w:tcW w:w="1908" w:type="dxa"/>
            <w:tcBorders>
              <w:top w:val="single" w:sz="8" w:space="0" w:color="4F81BD"/>
              <w:bottom w:val="single" w:sz="8" w:space="0" w:color="4F81BD"/>
            </w:tcBorders>
            <w:vAlign w:val="center"/>
          </w:tcPr>
          <w:p w:rsidR="00A327E6" w:rsidRPr="00415FA2" w:rsidRDefault="00A327E6" w:rsidP="00415FA2">
            <w:pPr>
              <w:spacing w:before="100" w:beforeAutospacing="1" w:after="100" w:afterAutospacing="1" w:line="400" w:lineRule="atLeast"/>
              <w:jc w:val="center"/>
              <w:rPr>
                <w:b/>
                <w:bCs/>
                <w:szCs w:val="24"/>
                <w:lang w:eastAsia="zh-TW"/>
              </w:rPr>
            </w:pPr>
          </w:p>
        </w:tc>
        <w:tc>
          <w:tcPr>
            <w:tcW w:w="1170" w:type="dxa"/>
            <w:gridSpan w:val="2"/>
            <w:tcBorders>
              <w:top w:val="single" w:sz="8" w:space="0" w:color="4F81BD"/>
              <w:left w:val="single" w:sz="8" w:space="0" w:color="4F81BD"/>
              <w:bottom w:val="single" w:sz="8" w:space="0" w:color="4F81BD"/>
              <w:right w:val="single" w:sz="8" w:space="0" w:color="4F81BD"/>
            </w:tcBorders>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Aircraft</w:t>
            </w:r>
          </w:p>
        </w:tc>
        <w:tc>
          <w:tcPr>
            <w:tcW w:w="1260" w:type="dxa"/>
            <w:gridSpan w:val="2"/>
            <w:tcBorders>
              <w:top w:val="single" w:sz="8" w:space="0" w:color="4F81BD"/>
              <w:bottom w:val="single" w:sz="8" w:space="0" w:color="4F81BD"/>
            </w:tcBorders>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Gates</w:t>
            </w:r>
          </w:p>
        </w:tc>
        <w:tc>
          <w:tcPr>
            <w:tcW w:w="1170" w:type="dxa"/>
            <w:gridSpan w:val="2"/>
            <w:tcBorders>
              <w:top w:val="single" w:sz="8" w:space="0" w:color="4F81BD"/>
              <w:left w:val="single" w:sz="8" w:space="0" w:color="4F81BD"/>
              <w:bottom w:val="single" w:sz="8" w:space="0" w:color="4F81BD"/>
              <w:right w:val="single" w:sz="8" w:space="0" w:color="4F81BD"/>
            </w:tcBorders>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Parking</w:t>
            </w:r>
          </w:p>
        </w:tc>
        <w:tc>
          <w:tcPr>
            <w:tcW w:w="1350" w:type="dxa"/>
            <w:gridSpan w:val="2"/>
            <w:tcBorders>
              <w:top w:val="single" w:sz="8" w:space="0" w:color="4F81BD"/>
              <w:bottom w:val="single" w:sz="8" w:space="0" w:color="4F81BD"/>
            </w:tcBorders>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Roadways</w:t>
            </w:r>
          </w:p>
        </w:tc>
        <w:tc>
          <w:tcPr>
            <w:tcW w:w="1350" w:type="dxa"/>
            <w:gridSpan w:val="2"/>
            <w:tcBorders>
              <w:top w:val="single" w:sz="8" w:space="0" w:color="4F81BD"/>
              <w:left w:val="single" w:sz="8" w:space="0" w:color="4F81BD"/>
              <w:bottom w:val="single" w:sz="8" w:space="0" w:color="4F81BD"/>
              <w:right w:val="single" w:sz="8" w:space="0" w:color="4F81BD"/>
            </w:tcBorders>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Stationary</w:t>
            </w:r>
          </w:p>
        </w:tc>
        <w:tc>
          <w:tcPr>
            <w:tcW w:w="974" w:type="dxa"/>
            <w:gridSpan w:val="2"/>
            <w:tcBorders>
              <w:top w:val="single" w:sz="8" w:space="0" w:color="4F81BD"/>
              <w:bottom w:val="single" w:sz="8" w:space="0" w:color="4F81BD"/>
            </w:tcBorders>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Total</w:t>
            </w:r>
          </w:p>
        </w:tc>
      </w:tr>
      <w:tr w:rsidR="00A327E6" w:rsidRPr="0021796A" w:rsidTr="00415FA2">
        <w:trPr>
          <w:trHeight w:val="438"/>
        </w:trPr>
        <w:tc>
          <w:tcPr>
            <w:tcW w:w="1908" w:type="dxa"/>
            <w:tcBorders>
              <w:bottom w:val="single" w:sz="8" w:space="0" w:color="4F81BD"/>
            </w:tcBorders>
            <w:vAlign w:val="center"/>
          </w:tcPr>
          <w:p w:rsidR="00A327E6" w:rsidRPr="00415FA2" w:rsidRDefault="00A327E6" w:rsidP="00415FA2">
            <w:pPr>
              <w:spacing w:before="100" w:beforeAutospacing="1" w:after="100" w:afterAutospacing="1" w:line="400" w:lineRule="atLeast"/>
              <w:jc w:val="center"/>
              <w:rPr>
                <w:b/>
                <w:bCs/>
                <w:szCs w:val="24"/>
                <w:lang w:eastAsia="zh-TW"/>
              </w:rPr>
            </w:pPr>
            <w:r w:rsidRPr="00415FA2">
              <w:rPr>
                <w:bCs/>
                <w:szCs w:val="24"/>
                <w:lang w:eastAsia="zh-TW"/>
              </w:rPr>
              <w:t>Annual Average</w:t>
            </w:r>
          </w:p>
        </w:tc>
        <w:tc>
          <w:tcPr>
            <w:tcW w:w="1170" w:type="dxa"/>
            <w:gridSpan w:val="2"/>
            <w:tcBorders>
              <w:left w:val="single" w:sz="8" w:space="0" w:color="4F81BD"/>
              <w:bottom w:val="single" w:sz="8" w:space="0" w:color="4F81BD"/>
              <w:right w:val="single" w:sz="8" w:space="0" w:color="4F81BD"/>
            </w:tcBorders>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1.65</w:t>
            </w:r>
          </w:p>
        </w:tc>
        <w:tc>
          <w:tcPr>
            <w:tcW w:w="1260" w:type="dxa"/>
            <w:gridSpan w:val="2"/>
            <w:tcBorders>
              <w:bottom w:val="single" w:sz="8" w:space="0" w:color="4F81BD"/>
            </w:tcBorders>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1.08</w:t>
            </w:r>
          </w:p>
        </w:tc>
        <w:tc>
          <w:tcPr>
            <w:tcW w:w="1170" w:type="dxa"/>
            <w:gridSpan w:val="2"/>
            <w:tcBorders>
              <w:left w:val="single" w:sz="8" w:space="0" w:color="4F81BD"/>
              <w:bottom w:val="single" w:sz="8" w:space="0" w:color="4F81BD"/>
              <w:right w:val="single" w:sz="8" w:space="0" w:color="4F81BD"/>
            </w:tcBorders>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0.25</w:t>
            </w:r>
          </w:p>
        </w:tc>
        <w:tc>
          <w:tcPr>
            <w:tcW w:w="1350" w:type="dxa"/>
            <w:gridSpan w:val="2"/>
            <w:tcBorders>
              <w:bottom w:val="single" w:sz="8" w:space="0" w:color="4F81BD"/>
            </w:tcBorders>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0.54</w:t>
            </w:r>
          </w:p>
        </w:tc>
        <w:tc>
          <w:tcPr>
            <w:tcW w:w="1350" w:type="dxa"/>
            <w:gridSpan w:val="2"/>
            <w:tcBorders>
              <w:left w:val="single" w:sz="8" w:space="0" w:color="4F81BD"/>
              <w:bottom w:val="single" w:sz="8" w:space="0" w:color="4F81BD"/>
              <w:right w:val="single" w:sz="8" w:space="0" w:color="4F81BD"/>
            </w:tcBorders>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0.05</w:t>
            </w:r>
          </w:p>
        </w:tc>
        <w:tc>
          <w:tcPr>
            <w:tcW w:w="974" w:type="dxa"/>
            <w:gridSpan w:val="2"/>
            <w:tcBorders>
              <w:bottom w:val="single" w:sz="8" w:space="0" w:color="4F81BD"/>
            </w:tcBorders>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3.6</w:t>
            </w:r>
          </w:p>
        </w:tc>
      </w:tr>
      <w:tr w:rsidR="00A327E6" w:rsidRPr="0021796A" w:rsidTr="00415FA2">
        <w:trPr>
          <w:trHeight w:val="585"/>
        </w:trPr>
        <w:tc>
          <w:tcPr>
            <w:tcW w:w="9182" w:type="dxa"/>
            <w:gridSpan w:val="13"/>
            <w:tcBorders>
              <w:top w:val="single" w:sz="8" w:space="0" w:color="4F81BD"/>
              <w:bottom w:val="single" w:sz="8" w:space="0" w:color="4F81BD"/>
            </w:tcBorders>
            <w:shd w:val="clear" w:color="auto" w:fill="4F81BD"/>
            <w:vAlign w:val="center"/>
          </w:tcPr>
          <w:p w:rsidR="00A327E6" w:rsidRPr="00415FA2" w:rsidRDefault="00A327E6" w:rsidP="00415FA2">
            <w:pPr>
              <w:spacing w:before="100" w:beforeAutospacing="1" w:after="100" w:afterAutospacing="1" w:line="400" w:lineRule="atLeast"/>
              <w:jc w:val="center"/>
              <w:rPr>
                <w:b/>
                <w:bCs/>
                <w:szCs w:val="24"/>
                <w:lang w:eastAsia="zh-TW"/>
              </w:rPr>
            </w:pPr>
            <w:r w:rsidRPr="00415FA2">
              <w:rPr>
                <w:b/>
                <w:bCs/>
                <w:color w:val="FFFFFF"/>
                <w:szCs w:val="24"/>
                <w:lang w:eastAsia="zh-TW"/>
              </w:rPr>
              <w:t>PM</w:t>
            </w:r>
            <w:r w:rsidRPr="00415FA2">
              <w:rPr>
                <w:b/>
                <w:bCs/>
                <w:color w:val="FFFFFF"/>
                <w:szCs w:val="24"/>
                <w:vertAlign w:val="subscript"/>
                <w:lang w:eastAsia="zh-TW"/>
              </w:rPr>
              <w:t>2.5</w:t>
            </w:r>
            <w:r w:rsidRPr="00415FA2">
              <w:rPr>
                <w:b/>
                <w:bCs/>
                <w:color w:val="FFFFFF"/>
                <w:szCs w:val="24"/>
                <w:lang w:eastAsia="zh-TW"/>
              </w:rPr>
              <w:t xml:space="preserve"> Annual Average Concentrations in Modeling Domain (μg/m</w:t>
            </w:r>
            <w:r w:rsidRPr="00415FA2">
              <w:rPr>
                <w:b/>
                <w:bCs/>
                <w:color w:val="FFFFFF"/>
                <w:szCs w:val="24"/>
                <w:vertAlign w:val="superscript"/>
                <w:lang w:eastAsia="zh-TW"/>
              </w:rPr>
              <w:t>3</w:t>
            </w:r>
            <w:r w:rsidRPr="00415FA2">
              <w:rPr>
                <w:b/>
                <w:bCs/>
                <w:color w:val="FFFFFF"/>
                <w:szCs w:val="24"/>
                <w:lang w:eastAsia="zh-TW"/>
              </w:rPr>
              <w:t>)</w:t>
            </w:r>
          </w:p>
        </w:tc>
      </w:tr>
      <w:tr w:rsidR="00A327E6" w:rsidRPr="0021796A" w:rsidTr="00415FA2">
        <w:trPr>
          <w:trHeight w:val="438"/>
        </w:trPr>
        <w:tc>
          <w:tcPr>
            <w:tcW w:w="2016" w:type="dxa"/>
            <w:gridSpan w:val="2"/>
            <w:vAlign w:val="center"/>
          </w:tcPr>
          <w:p w:rsidR="00A327E6" w:rsidRPr="00415FA2" w:rsidRDefault="00A327E6" w:rsidP="00415FA2">
            <w:pPr>
              <w:spacing w:before="100" w:beforeAutospacing="1" w:after="100" w:afterAutospacing="1" w:line="400" w:lineRule="atLeast"/>
              <w:jc w:val="center"/>
              <w:rPr>
                <w:b/>
                <w:bCs/>
                <w:szCs w:val="24"/>
                <w:lang w:eastAsia="zh-TW"/>
              </w:rPr>
            </w:pPr>
          </w:p>
        </w:tc>
        <w:tc>
          <w:tcPr>
            <w:tcW w:w="1250" w:type="dxa"/>
            <w:gridSpan w:val="2"/>
            <w:tcBorders>
              <w:left w:val="single" w:sz="8" w:space="0" w:color="4F81BD"/>
              <w:right w:val="single" w:sz="8" w:space="0" w:color="4F81BD"/>
            </w:tcBorders>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Aircraft</w:t>
            </w:r>
          </w:p>
        </w:tc>
        <w:tc>
          <w:tcPr>
            <w:tcW w:w="1166" w:type="dxa"/>
            <w:gridSpan w:val="2"/>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Gates</w:t>
            </w:r>
          </w:p>
        </w:tc>
        <w:tc>
          <w:tcPr>
            <w:tcW w:w="1133" w:type="dxa"/>
            <w:gridSpan w:val="2"/>
            <w:tcBorders>
              <w:left w:val="single" w:sz="8" w:space="0" w:color="4F81BD"/>
              <w:right w:val="single" w:sz="8" w:space="0" w:color="4F81BD"/>
            </w:tcBorders>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Parking</w:t>
            </w:r>
          </w:p>
        </w:tc>
        <w:tc>
          <w:tcPr>
            <w:tcW w:w="1383" w:type="dxa"/>
            <w:gridSpan w:val="2"/>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Roadways</w:t>
            </w:r>
          </w:p>
        </w:tc>
        <w:tc>
          <w:tcPr>
            <w:tcW w:w="1350" w:type="dxa"/>
            <w:gridSpan w:val="2"/>
            <w:tcBorders>
              <w:left w:val="single" w:sz="8" w:space="0" w:color="4F81BD"/>
              <w:right w:val="single" w:sz="8" w:space="0" w:color="4F81BD"/>
            </w:tcBorders>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Stationary</w:t>
            </w:r>
          </w:p>
        </w:tc>
        <w:tc>
          <w:tcPr>
            <w:tcW w:w="884" w:type="dxa"/>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Total</w:t>
            </w:r>
          </w:p>
        </w:tc>
      </w:tr>
      <w:tr w:rsidR="00A327E6" w:rsidRPr="0021796A" w:rsidTr="00415FA2">
        <w:trPr>
          <w:trHeight w:val="438"/>
        </w:trPr>
        <w:tc>
          <w:tcPr>
            <w:tcW w:w="2016" w:type="dxa"/>
            <w:gridSpan w:val="2"/>
            <w:tcBorders>
              <w:top w:val="single" w:sz="8" w:space="0" w:color="4F81BD"/>
              <w:bottom w:val="single" w:sz="8" w:space="0" w:color="4F81BD"/>
            </w:tcBorders>
            <w:vAlign w:val="center"/>
          </w:tcPr>
          <w:p w:rsidR="00A327E6" w:rsidRPr="00415FA2" w:rsidRDefault="00A327E6" w:rsidP="00415FA2">
            <w:pPr>
              <w:spacing w:before="100" w:beforeAutospacing="1" w:after="100" w:afterAutospacing="1" w:line="400" w:lineRule="atLeast"/>
              <w:jc w:val="center"/>
              <w:rPr>
                <w:b/>
                <w:bCs/>
                <w:szCs w:val="24"/>
                <w:lang w:eastAsia="zh-TW"/>
              </w:rPr>
            </w:pPr>
            <w:r w:rsidRPr="00415FA2">
              <w:rPr>
                <w:bCs/>
                <w:szCs w:val="24"/>
                <w:lang w:eastAsia="zh-TW"/>
              </w:rPr>
              <w:t>Annual Average</w:t>
            </w:r>
          </w:p>
        </w:tc>
        <w:tc>
          <w:tcPr>
            <w:tcW w:w="1250" w:type="dxa"/>
            <w:gridSpan w:val="2"/>
            <w:tcBorders>
              <w:top w:val="single" w:sz="8" w:space="0" w:color="4F81BD"/>
              <w:left w:val="single" w:sz="8" w:space="0" w:color="4F81BD"/>
              <w:bottom w:val="single" w:sz="8" w:space="0" w:color="4F81BD"/>
              <w:right w:val="single" w:sz="8" w:space="0" w:color="4F81BD"/>
            </w:tcBorders>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0.03</w:t>
            </w:r>
          </w:p>
        </w:tc>
        <w:tc>
          <w:tcPr>
            <w:tcW w:w="1166" w:type="dxa"/>
            <w:gridSpan w:val="2"/>
            <w:tcBorders>
              <w:top w:val="single" w:sz="8" w:space="0" w:color="4F81BD"/>
              <w:bottom w:val="single" w:sz="8" w:space="0" w:color="4F81BD"/>
            </w:tcBorders>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0.05</w:t>
            </w:r>
          </w:p>
        </w:tc>
        <w:tc>
          <w:tcPr>
            <w:tcW w:w="1133" w:type="dxa"/>
            <w:gridSpan w:val="2"/>
            <w:tcBorders>
              <w:top w:val="single" w:sz="8" w:space="0" w:color="4F81BD"/>
              <w:left w:val="single" w:sz="8" w:space="0" w:color="4F81BD"/>
              <w:bottom w:val="single" w:sz="8" w:space="0" w:color="4F81BD"/>
              <w:right w:val="single" w:sz="8" w:space="0" w:color="4F81BD"/>
            </w:tcBorders>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0.004</w:t>
            </w:r>
          </w:p>
        </w:tc>
        <w:tc>
          <w:tcPr>
            <w:tcW w:w="1383" w:type="dxa"/>
            <w:gridSpan w:val="2"/>
            <w:tcBorders>
              <w:top w:val="single" w:sz="8" w:space="0" w:color="4F81BD"/>
              <w:bottom w:val="single" w:sz="8" w:space="0" w:color="4F81BD"/>
            </w:tcBorders>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0.02</w:t>
            </w:r>
          </w:p>
        </w:tc>
        <w:tc>
          <w:tcPr>
            <w:tcW w:w="1350" w:type="dxa"/>
            <w:gridSpan w:val="2"/>
            <w:tcBorders>
              <w:top w:val="single" w:sz="8" w:space="0" w:color="4F81BD"/>
              <w:left w:val="single" w:sz="8" w:space="0" w:color="4F81BD"/>
              <w:bottom w:val="single" w:sz="8" w:space="0" w:color="4F81BD"/>
              <w:right w:val="single" w:sz="8" w:space="0" w:color="4F81BD"/>
            </w:tcBorders>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0.01</w:t>
            </w:r>
          </w:p>
        </w:tc>
        <w:tc>
          <w:tcPr>
            <w:tcW w:w="884" w:type="dxa"/>
            <w:tcBorders>
              <w:top w:val="single" w:sz="8" w:space="0" w:color="4F81BD"/>
              <w:bottom w:val="single" w:sz="8" w:space="0" w:color="4F81BD"/>
            </w:tcBorders>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0.11</w:t>
            </w:r>
          </w:p>
        </w:tc>
      </w:tr>
    </w:tbl>
    <w:p w:rsidR="00A327E6" w:rsidRPr="0021796A" w:rsidRDefault="00A327E6" w:rsidP="00E44AAF">
      <w:pPr>
        <w:spacing w:before="100" w:beforeAutospacing="1" w:after="100" w:afterAutospacing="1" w:line="400" w:lineRule="atLeast"/>
        <w:rPr>
          <w:rStyle w:val="BookTitle"/>
          <w:szCs w:val="24"/>
        </w:rPr>
      </w:pPr>
      <w:r w:rsidRPr="0021796A">
        <w:rPr>
          <w:rStyle w:val="BookTitle"/>
          <w:szCs w:val="24"/>
        </w:rPr>
        <w:t>Impact of emission source locations at Logan Airport</w:t>
      </w:r>
    </w:p>
    <w:p w:rsidR="00A327E6" w:rsidRPr="0021796A" w:rsidRDefault="00A327E6" w:rsidP="00E44AAF">
      <w:pPr>
        <w:spacing w:before="100" w:beforeAutospacing="1" w:after="100" w:afterAutospacing="1" w:line="400" w:lineRule="atLeast"/>
        <w:ind w:firstLine="720"/>
        <w:rPr>
          <w:szCs w:val="24"/>
        </w:rPr>
      </w:pPr>
      <w:r w:rsidRPr="0021796A">
        <w:rPr>
          <w:szCs w:val="24"/>
        </w:rPr>
        <w:t>The dispersion modeling results provide information about the relative impact of air pollutants by source location.  For example, although the emissions of NOx and PM</w:t>
      </w:r>
      <w:r w:rsidRPr="0021796A">
        <w:rPr>
          <w:szCs w:val="24"/>
          <w:vertAlign w:val="subscript"/>
        </w:rPr>
        <w:t xml:space="preserve">2.5 </w:t>
      </w:r>
      <w:r w:rsidRPr="0021796A">
        <w:rPr>
          <w:szCs w:val="24"/>
        </w:rPr>
        <w:t xml:space="preserve">at Logan Airport come from sources at different locations and from sources that differ significantly in emission levels, the EDMS modeling results show that the concentrations of individual air pollutants are not only strongly correlated with time (hourly, daily, and annual average values), but also with respect to geographic location of ambient air concentrations.  To evaluate the degree </w:t>
      </w:r>
      <w:r>
        <w:rPr>
          <w:szCs w:val="24"/>
        </w:rPr>
        <w:t>to which</w:t>
      </w:r>
      <w:r w:rsidRPr="0021796A">
        <w:rPr>
          <w:szCs w:val="24"/>
        </w:rPr>
        <w:t xml:space="preserve"> the spatial patterns of pollutant concentrations are similar, the differences between the NOx and PM</w:t>
      </w:r>
      <w:r w:rsidRPr="0021796A">
        <w:rPr>
          <w:szCs w:val="24"/>
          <w:vertAlign w:val="subscript"/>
        </w:rPr>
        <w:t xml:space="preserve">2.5 </w:t>
      </w:r>
      <w:r w:rsidRPr="0021796A">
        <w:rPr>
          <w:szCs w:val="24"/>
        </w:rPr>
        <w:t>normalized concentrations over the study area</w:t>
      </w:r>
      <w:r>
        <w:rPr>
          <w:szCs w:val="24"/>
        </w:rPr>
        <w:t xml:space="preserve"> are plotted</w:t>
      </w:r>
      <w:r w:rsidRPr="0021796A">
        <w:rPr>
          <w:szCs w:val="24"/>
        </w:rPr>
        <w:t xml:space="preserve">.  </w:t>
      </w:r>
    </w:p>
    <w:p w:rsidR="00A327E6" w:rsidRDefault="00A327E6" w:rsidP="00E44AAF">
      <w:pPr>
        <w:spacing w:before="100" w:beforeAutospacing="1" w:after="100" w:afterAutospacing="1" w:line="400" w:lineRule="atLeast"/>
        <w:ind w:firstLine="720"/>
        <w:rPr>
          <w:szCs w:val="24"/>
        </w:rPr>
      </w:pPr>
      <w:r>
        <w:rPr>
          <w:szCs w:val="24"/>
        </w:rPr>
        <w:t>Figure 4-4</w:t>
      </w:r>
      <w:r w:rsidRPr="0021796A">
        <w:rPr>
          <w:szCs w:val="24"/>
        </w:rPr>
        <w:t xml:space="preserve"> shows that although the maximum concentrations of both NOx and PM</w:t>
      </w:r>
      <w:r w:rsidRPr="0021796A">
        <w:rPr>
          <w:szCs w:val="24"/>
          <w:vertAlign w:val="subscript"/>
        </w:rPr>
        <w:t>2.</w:t>
      </w:r>
      <w:r w:rsidRPr="00573CF6">
        <w:rPr>
          <w:szCs w:val="24"/>
          <w:vertAlign w:val="subscript"/>
        </w:rPr>
        <w:t xml:space="preserve"> </w:t>
      </w:r>
      <w:r w:rsidRPr="0021796A">
        <w:rPr>
          <w:szCs w:val="24"/>
          <w:vertAlign w:val="subscript"/>
        </w:rPr>
        <w:t xml:space="preserve">5 </w:t>
      </w:r>
      <w:r w:rsidRPr="0021796A">
        <w:rPr>
          <w:szCs w:val="24"/>
        </w:rPr>
        <w:t xml:space="preserve"> occur just to the west of the airport, the higher NOx relative to PM</w:t>
      </w:r>
      <w:r w:rsidRPr="0021796A">
        <w:rPr>
          <w:szCs w:val="24"/>
          <w:vertAlign w:val="subscript"/>
        </w:rPr>
        <w:t xml:space="preserve">2.5 </w:t>
      </w:r>
      <w:r w:rsidRPr="0021796A">
        <w:rPr>
          <w:szCs w:val="24"/>
        </w:rPr>
        <w:t>occurs at the runway ends and to the east of the airport.  These results are attributed by the modeling to aircraft activities in that location. The higher PM</w:t>
      </w:r>
      <w:r w:rsidRPr="0021796A">
        <w:rPr>
          <w:szCs w:val="24"/>
          <w:vertAlign w:val="subscript"/>
        </w:rPr>
        <w:t xml:space="preserve">2.5 </w:t>
      </w:r>
      <w:r w:rsidRPr="0021796A">
        <w:rPr>
          <w:szCs w:val="24"/>
        </w:rPr>
        <w:t xml:space="preserve">concentrations relative to NOx that occur to the west of the airport are presumably attributed to relatively larger fraction of motor vehicular emissions rates in those areas.  Thus, operations near the terminals contribute to the air pollution concentrations in East Boston.  In contrast, the aircraft takeoffs and landings are the largest contributor to concentrations north and east near Winthrop, and near the ends of other major runways.  Both sets of differences fall off rapidly to values less than 1% with increased radial distances beyond the airport perimeter.  </w:t>
      </w:r>
    </w:p>
    <w:p w:rsidR="00A327E6" w:rsidRPr="0021796A" w:rsidRDefault="00A327E6" w:rsidP="000006CA">
      <w:pPr>
        <w:pStyle w:val="Caption"/>
        <w:spacing w:before="100" w:beforeAutospacing="1" w:after="0" w:line="240" w:lineRule="auto"/>
        <w:rPr>
          <w:szCs w:val="24"/>
        </w:rPr>
      </w:pPr>
      <w:bookmarkStart w:id="117" w:name="_Ref350434822"/>
      <w:bookmarkStart w:id="118" w:name="_Ref350428716"/>
      <w:bookmarkStart w:id="119" w:name="_Toc386796333"/>
      <w:r w:rsidRPr="0021796A">
        <w:rPr>
          <w:szCs w:val="24"/>
        </w:rPr>
        <w:t xml:space="preserve">Figure </w:t>
      </w:r>
      <w:r>
        <w:rPr>
          <w:szCs w:val="24"/>
        </w:rPr>
        <w:fldChar w:fldCharType="begin"/>
      </w:r>
      <w:r>
        <w:rPr>
          <w:szCs w:val="24"/>
        </w:rPr>
        <w:instrText xml:space="preserve"> STYLEREF 1 \s </w:instrText>
      </w:r>
      <w:r>
        <w:rPr>
          <w:szCs w:val="24"/>
        </w:rPr>
        <w:fldChar w:fldCharType="separate"/>
      </w:r>
      <w:r>
        <w:rPr>
          <w:noProof/>
          <w:szCs w:val="24"/>
        </w:rPr>
        <w:t>4</w:t>
      </w:r>
      <w:r>
        <w:rPr>
          <w:szCs w:val="24"/>
        </w:rPr>
        <w:fldChar w:fldCharType="end"/>
      </w:r>
      <w:r>
        <w:rPr>
          <w:szCs w:val="24"/>
        </w:rPr>
        <w:noBreakHyphen/>
      </w:r>
      <w:r>
        <w:rPr>
          <w:szCs w:val="24"/>
        </w:rPr>
        <w:fldChar w:fldCharType="begin"/>
      </w:r>
      <w:r>
        <w:rPr>
          <w:szCs w:val="24"/>
        </w:rPr>
        <w:instrText xml:space="preserve"> SEQ Figure \* ARABIC \s 1 </w:instrText>
      </w:r>
      <w:r>
        <w:rPr>
          <w:szCs w:val="24"/>
        </w:rPr>
        <w:fldChar w:fldCharType="separate"/>
      </w:r>
      <w:r>
        <w:rPr>
          <w:noProof/>
          <w:szCs w:val="24"/>
        </w:rPr>
        <w:t>4</w:t>
      </w:r>
      <w:r>
        <w:rPr>
          <w:szCs w:val="24"/>
        </w:rPr>
        <w:fldChar w:fldCharType="end"/>
      </w:r>
      <w:bookmarkEnd w:id="117"/>
      <w:bookmarkEnd w:id="118"/>
      <w:r>
        <w:rPr>
          <w:szCs w:val="24"/>
        </w:rPr>
        <w:t>.</w:t>
      </w:r>
      <w:r w:rsidRPr="0021796A">
        <w:rPr>
          <w:szCs w:val="24"/>
        </w:rPr>
        <w:t xml:space="preserve"> </w:t>
      </w:r>
      <w:r>
        <w:rPr>
          <w:szCs w:val="24"/>
        </w:rPr>
        <w:t xml:space="preserve"> </w:t>
      </w:r>
      <w:r w:rsidRPr="0021796A">
        <w:rPr>
          <w:szCs w:val="24"/>
        </w:rPr>
        <w:t>Relative Contribution of Predicted NOx and PM</w:t>
      </w:r>
      <w:r w:rsidRPr="0021796A">
        <w:rPr>
          <w:szCs w:val="24"/>
          <w:vertAlign w:val="subscript"/>
        </w:rPr>
        <w:t xml:space="preserve">2.5 </w:t>
      </w:r>
      <w:r w:rsidRPr="0021796A">
        <w:rPr>
          <w:szCs w:val="24"/>
        </w:rPr>
        <w:t>Air Pollutant Concentrations Associated with Logan Airport</w:t>
      </w:r>
      <w:bookmarkEnd w:id="119"/>
    </w:p>
    <w:p w:rsidR="00A327E6" w:rsidRPr="0021796A" w:rsidRDefault="00A327E6" w:rsidP="00E44AAF">
      <w:pPr>
        <w:spacing w:before="100" w:beforeAutospacing="1" w:after="100" w:afterAutospacing="1" w:line="400" w:lineRule="atLeast"/>
        <w:rPr>
          <w:szCs w:val="24"/>
        </w:rPr>
      </w:pPr>
      <w:r w:rsidRPr="00415FA2">
        <w:rPr>
          <w:noProof/>
          <w:szCs w:val="24"/>
          <w:lang w:eastAsia="zh-TW"/>
        </w:rPr>
        <w:pict>
          <v:shape id="Picture 15" o:spid="_x0000_i1032" type="#_x0000_t75" alt="Figure showing concentrations at modeling receptors in the study area of NOx and PM2.5 in which the higher relative concentrations for PM2.5 are located west of the airport and higher relative NOx concentrations located east of the airport." style="width:437.4pt;height:346.8pt;visibility:visible">
            <v:imagedata r:id="rId17" o:title=""/>
          </v:shape>
        </w:pict>
      </w:r>
      <w:bookmarkStart w:id="120" w:name="_Ref345597286"/>
      <w:bookmarkStart w:id="121" w:name="_Ref345597297"/>
      <w:bookmarkStart w:id="122" w:name="_Toc344362998"/>
    </w:p>
    <w:p w:rsidR="00A327E6" w:rsidRPr="0021796A" w:rsidRDefault="00A327E6" w:rsidP="00E44AAF">
      <w:pPr>
        <w:pStyle w:val="Heading2"/>
        <w:numPr>
          <w:ilvl w:val="0"/>
          <w:numId w:val="0"/>
        </w:numPr>
        <w:spacing w:line="400" w:lineRule="atLeast"/>
        <w:sectPr w:rsidR="00A327E6" w:rsidRPr="0021796A" w:rsidSect="00551127">
          <w:headerReference w:type="default" r:id="rId18"/>
          <w:footerReference w:type="even" r:id="rId19"/>
          <w:footerReference w:type="default" r:id="rId20"/>
          <w:headerReference w:type="first" r:id="rId21"/>
          <w:pgSz w:w="12240" w:h="15840"/>
          <w:pgMar w:top="1440" w:right="1440" w:bottom="1440" w:left="1440" w:header="720" w:footer="720" w:gutter="0"/>
          <w:cols w:space="720"/>
          <w:docGrid w:linePitch="360"/>
        </w:sectPr>
      </w:pPr>
      <w:bookmarkStart w:id="123" w:name="_Toc344362990"/>
      <w:bookmarkStart w:id="124" w:name="_Toc344476467"/>
      <w:bookmarkStart w:id="125" w:name="_Toc336343140"/>
      <w:bookmarkStart w:id="126" w:name="_Toc344363015"/>
      <w:bookmarkStart w:id="127" w:name="_Toc344476489"/>
      <w:bookmarkEnd w:id="120"/>
      <w:bookmarkEnd w:id="121"/>
    </w:p>
    <w:p w:rsidR="00A327E6" w:rsidRPr="0021796A" w:rsidRDefault="00A327E6" w:rsidP="00E44AAF">
      <w:pPr>
        <w:pStyle w:val="Heading2"/>
        <w:spacing w:line="400" w:lineRule="atLeast"/>
      </w:pPr>
      <w:bookmarkStart w:id="128" w:name="_Toc350413071"/>
      <w:bookmarkStart w:id="129" w:name="_Toc388543101"/>
      <w:r w:rsidRPr="0021796A">
        <w:t xml:space="preserve">Air </w:t>
      </w:r>
      <w:r>
        <w:t>P</w:t>
      </w:r>
      <w:r w:rsidRPr="0021796A">
        <w:t xml:space="preserve">ollution Exposure </w:t>
      </w:r>
      <w:r>
        <w:t>C</w:t>
      </w:r>
      <w:r w:rsidRPr="0021796A">
        <w:t>ategorization</w:t>
      </w:r>
      <w:bookmarkEnd w:id="128"/>
      <w:bookmarkEnd w:id="129"/>
    </w:p>
    <w:p w:rsidR="00A327E6" w:rsidRPr="0021796A" w:rsidRDefault="00A327E6" w:rsidP="00E44AAF">
      <w:pPr>
        <w:pStyle w:val="xmsonormal"/>
        <w:spacing w:line="400" w:lineRule="atLeast"/>
        <w:ind w:firstLine="720"/>
        <w:rPr>
          <w:rFonts w:ascii="Cambria" w:hAnsi="Cambria" w:cs="Calibri"/>
        </w:rPr>
      </w:pPr>
      <w:r w:rsidRPr="0021796A">
        <w:rPr>
          <w:rFonts w:ascii="Cambria" w:hAnsi="Cambria"/>
        </w:rPr>
        <w:t xml:space="preserve">As discussed previously, </w:t>
      </w:r>
      <w:r w:rsidRPr="0021796A">
        <w:rPr>
          <w:rFonts w:ascii="Cambria" w:hAnsi="Cambria" w:cs="Calibri"/>
          <w:color w:val="000000"/>
        </w:rPr>
        <w:t xml:space="preserve">the emissions inventory was modeled using a standard atmospheric dispersion modeling system to estimate air pollutant concentrations from airport operations across the study area.  The </w:t>
      </w:r>
      <w:r w:rsidRPr="0021796A">
        <w:rPr>
          <w:rFonts w:ascii="Cambria" w:hAnsi="Cambria"/>
        </w:rPr>
        <w:t>modeled concentrations of each of the five air pollutants (CO,</w:t>
      </w:r>
      <w:r>
        <w:rPr>
          <w:rFonts w:ascii="Cambria" w:hAnsi="Cambria"/>
        </w:rPr>
        <w:t xml:space="preserve"> </w:t>
      </w:r>
      <w:r w:rsidRPr="0021796A">
        <w:rPr>
          <w:rFonts w:ascii="Cambria" w:hAnsi="Cambria"/>
        </w:rPr>
        <w:t>NOx,</w:t>
      </w:r>
      <w:r>
        <w:rPr>
          <w:rFonts w:ascii="Cambria" w:hAnsi="Cambria"/>
        </w:rPr>
        <w:t xml:space="preserve"> </w:t>
      </w:r>
      <w:r w:rsidRPr="0021796A">
        <w:rPr>
          <w:rFonts w:ascii="Cambria" w:hAnsi="Cambria"/>
        </w:rPr>
        <w:t>PM</w:t>
      </w:r>
      <w:r w:rsidRPr="0021796A">
        <w:rPr>
          <w:rFonts w:ascii="Cambria" w:hAnsi="Cambria"/>
          <w:vertAlign w:val="subscript"/>
        </w:rPr>
        <w:t>2.5</w:t>
      </w:r>
      <w:r w:rsidRPr="0021796A">
        <w:rPr>
          <w:rFonts w:ascii="Cambria" w:hAnsi="Cambria"/>
        </w:rPr>
        <w:t>, SO</w:t>
      </w:r>
      <w:r>
        <w:rPr>
          <w:rFonts w:ascii="Cambria" w:hAnsi="Cambria"/>
          <w:vertAlign w:val="subscript"/>
        </w:rPr>
        <w:t>x</w:t>
      </w:r>
      <w:r w:rsidRPr="0021796A">
        <w:rPr>
          <w:rFonts w:ascii="Cambria" w:hAnsi="Cambria"/>
        </w:rPr>
        <w:t xml:space="preserve">, and VOCs) were highest near the airport and were observed to decrease rapidly with increasing distance from the airport.  </w:t>
      </w:r>
      <w:r w:rsidRPr="0021796A">
        <w:rPr>
          <w:rFonts w:ascii="Cambria" w:hAnsi="Cambria" w:cs="Calibri"/>
        </w:rPr>
        <w:t xml:space="preserve">The </w:t>
      </w:r>
      <w:r>
        <w:rPr>
          <w:rFonts w:ascii="Cambria" w:hAnsi="Cambria" w:cs="Calibri"/>
        </w:rPr>
        <w:t xml:space="preserve">modeled </w:t>
      </w:r>
      <w:r w:rsidRPr="0021796A">
        <w:rPr>
          <w:rFonts w:ascii="Cambria" w:hAnsi="Cambria" w:cs="Calibri"/>
        </w:rPr>
        <w:t>concentrations at each receptor were analyzed</w:t>
      </w:r>
      <w:r>
        <w:rPr>
          <w:rFonts w:ascii="Cambria" w:hAnsi="Cambria" w:cs="Calibri"/>
        </w:rPr>
        <w:t xml:space="preserve"> using </w:t>
      </w:r>
      <w:r w:rsidRPr="0021796A">
        <w:rPr>
          <w:rFonts w:ascii="Cambria" w:hAnsi="Cambria" w:cs="Calibri"/>
        </w:rPr>
        <w:t>ArcGIS Spatial Analyst to create maps for each air pollutant’s concentrations across the study area.  Geocoded household addresses of survey respondents were overlaid with air pollutant maps to assign an air pollutant concentration to each household</w:t>
      </w:r>
      <w:r>
        <w:rPr>
          <w:rFonts w:ascii="Cambria" w:hAnsi="Cambria" w:cs="Calibri"/>
        </w:rPr>
        <w:t xml:space="preserve"> using inverse distance weighting (</w:t>
      </w:r>
      <w:r w:rsidRPr="0087470D">
        <w:t>IDW</w:t>
      </w:r>
      <w:r>
        <w:t xml:space="preserve">) </w:t>
      </w:r>
      <w:r w:rsidRPr="0087470D">
        <w:t>interpolation</w:t>
      </w:r>
      <w:r>
        <w:t>.  IDW</w:t>
      </w:r>
      <w:r w:rsidRPr="0087470D">
        <w:t xml:space="preserve"> considers the values of sample points</w:t>
      </w:r>
      <w:r>
        <w:t xml:space="preserve"> (receptors)</w:t>
      </w:r>
      <w:r w:rsidRPr="0087470D">
        <w:t xml:space="preserve"> a</w:t>
      </w:r>
      <w:r>
        <w:t xml:space="preserve">nd the distance separating them (i.e., nearest neighbor) to estimate the value at each respondent address. </w:t>
      </w:r>
      <w:r>
        <w:rPr>
          <w:rFonts w:ascii="Cambria" w:hAnsi="Cambria" w:cs="Calibri"/>
        </w:rPr>
        <w:t xml:space="preserve"> </w:t>
      </w:r>
      <w:r>
        <w:t>The inverse of the squared distance is the simplest and most commonly used format of distance-weighting, giving higher weight to closer observations</w:t>
      </w:r>
      <w:r>
        <w:rPr>
          <w:rFonts w:ascii="Cambria" w:hAnsi="Cambria" w:cs="Calibri"/>
        </w:rPr>
        <w:t xml:space="preserve"> (US EPA, 2004).  </w:t>
      </w:r>
      <w:r>
        <w:t>Given the high density of the receptor grid, particularly close to the airport where concentrations have the most variability, IDW interpolation provided a consistent approach for considering local-scale pollutant variability in assigning concentrations to each of the households</w:t>
      </w:r>
      <w:r>
        <w:rPr>
          <w:rFonts w:ascii="Cambria" w:hAnsi="Cambria" w:cs="Calibri"/>
        </w:rPr>
        <w:t>.</w:t>
      </w:r>
    </w:p>
    <w:p w:rsidR="00A327E6" w:rsidRDefault="00A327E6" w:rsidP="00E44AAF">
      <w:pPr>
        <w:pStyle w:val="xmsonormal"/>
        <w:spacing w:line="400" w:lineRule="atLeast"/>
        <w:ind w:firstLine="720"/>
        <w:rPr>
          <w:rFonts w:ascii="Cambria" w:hAnsi="Cambria"/>
        </w:rPr>
      </w:pPr>
      <w:r>
        <w:rPr>
          <w:rFonts w:ascii="Cambria" w:hAnsi="Cambria"/>
        </w:rPr>
        <w:t>Pollutant concentrations were evaluated for several averaging times (annual average, 24-hour maximum, and 1-hour maximum) and were found to be highly correlated (Spearman correlation coefficients of 0.96 or higher) and geographically similar across averaging times. In other words, for example, areas/respondents with the highest modeled annual average NOx concentrations also had the highest modeled 24-hour and 1-hour maximum NOx concentrations. For this reason, only annual average pollutant concentrations were used in further analyses t</w:t>
      </w:r>
      <w:r w:rsidRPr="0021796A">
        <w:rPr>
          <w:rFonts w:ascii="Cambria" w:hAnsi="Cambria"/>
        </w:rPr>
        <w:t>o categorize exposure to airport-related pollutants in the surrounding communities.  From a statistical standpoint, the annual average is the preferred choice as it is the average of the largest number of individual predictions at each receptor and, thus, represents the lowest variability or uncertainty compared to other averaging times.  </w:t>
      </w:r>
    </w:p>
    <w:p w:rsidR="00A327E6" w:rsidRPr="0021796A" w:rsidRDefault="00A327E6" w:rsidP="00E44AAF">
      <w:pPr>
        <w:pStyle w:val="xmsonormal"/>
        <w:spacing w:line="400" w:lineRule="atLeast"/>
        <w:ind w:firstLine="720"/>
        <w:rPr>
          <w:rFonts w:ascii="Cambria" w:hAnsi="Cambria"/>
        </w:rPr>
      </w:pPr>
      <w:r w:rsidRPr="0021796A">
        <w:rPr>
          <w:rFonts w:ascii="Cambria" w:hAnsi="Cambria"/>
        </w:rPr>
        <w:t>Correlation analyses of air pollutant concentrations assigned to each household also confirmed that the annual averages of all five modeled air pollutants (CO, NOx,</w:t>
      </w:r>
      <w:r>
        <w:rPr>
          <w:rFonts w:ascii="Cambria" w:hAnsi="Cambria"/>
        </w:rPr>
        <w:t xml:space="preserve"> </w:t>
      </w:r>
      <w:r w:rsidRPr="0021796A">
        <w:rPr>
          <w:rFonts w:ascii="Cambria" w:hAnsi="Cambria"/>
        </w:rPr>
        <w:t>PM</w:t>
      </w:r>
      <w:r w:rsidRPr="0021796A">
        <w:rPr>
          <w:rFonts w:ascii="Cambria" w:hAnsi="Cambria"/>
          <w:vertAlign w:val="subscript"/>
        </w:rPr>
        <w:t>2.5</w:t>
      </w:r>
      <w:r w:rsidRPr="0021796A">
        <w:rPr>
          <w:rFonts w:ascii="Cambria" w:hAnsi="Cambria"/>
        </w:rPr>
        <w:t>, SO</w:t>
      </w:r>
      <w:r>
        <w:rPr>
          <w:rFonts w:ascii="Cambria" w:hAnsi="Cambria"/>
          <w:vertAlign w:val="subscript"/>
        </w:rPr>
        <w:t>x</w:t>
      </w:r>
      <w:r w:rsidRPr="0021796A">
        <w:rPr>
          <w:rFonts w:ascii="Cambria" w:hAnsi="Cambria"/>
        </w:rPr>
        <w:t>, and VOCs) were highly correlated with one another with Spearman correlation coefficients greater than 0.99 for all associations (</w:t>
      </w:r>
      <w:r>
        <w:rPr>
          <w:rFonts w:ascii="Cambria" w:hAnsi="Cambria"/>
        </w:rPr>
        <w:t>Table 4-4</w:t>
      </w:r>
      <w:r w:rsidRPr="0021796A">
        <w:rPr>
          <w:rFonts w:ascii="Cambria" w:hAnsi="Cambria"/>
        </w:rPr>
        <w:t xml:space="preserve">).  Therefore, a combined exposure variable was developed to categorize study participants based on their exposure to all five targeted compounds.  </w:t>
      </w:r>
    </w:p>
    <w:p w:rsidR="00A327E6" w:rsidRDefault="00A327E6" w:rsidP="000006CA">
      <w:pPr>
        <w:pStyle w:val="Caption"/>
        <w:spacing w:before="0" w:after="0" w:line="240" w:lineRule="auto"/>
        <w:rPr>
          <w:color w:val="000000"/>
          <w:szCs w:val="24"/>
          <w:vertAlign w:val="superscript"/>
        </w:rPr>
      </w:pPr>
      <w:bookmarkStart w:id="130" w:name="_Ref349919707"/>
      <w:bookmarkStart w:id="131" w:name="_Toc386796292"/>
      <w:r w:rsidRPr="0021796A">
        <w:rPr>
          <w:szCs w:val="24"/>
        </w:rPr>
        <w:t xml:space="preserve">Table </w:t>
      </w:r>
      <w:r>
        <w:rPr>
          <w:szCs w:val="24"/>
        </w:rPr>
        <w:fldChar w:fldCharType="begin"/>
      </w:r>
      <w:r>
        <w:rPr>
          <w:szCs w:val="24"/>
        </w:rPr>
        <w:instrText xml:space="preserve"> STYLEREF 1 \s </w:instrText>
      </w:r>
      <w:r>
        <w:rPr>
          <w:szCs w:val="24"/>
        </w:rPr>
        <w:fldChar w:fldCharType="separate"/>
      </w:r>
      <w:r>
        <w:rPr>
          <w:noProof/>
          <w:szCs w:val="24"/>
        </w:rPr>
        <w:t>4</w:t>
      </w:r>
      <w:r>
        <w:rPr>
          <w:szCs w:val="24"/>
        </w:rPr>
        <w:fldChar w:fldCharType="end"/>
      </w:r>
      <w:r>
        <w:rPr>
          <w:szCs w:val="24"/>
        </w:rPr>
        <w:noBreakHyphen/>
      </w:r>
      <w:r>
        <w:rPr>
          <w:szCs w:val="24"/>
        </w:rPr>
        <w:fldChar w:fldCharType="begin"/>
      </w:r>
      <w:r>
        <w:rPr>
          <w:szCs w:val="24"/>
        </w:rPr>
        <w:instrText xml:space="preserve"> SEQ Table \* ARABIC \s 1 </w:instrText>
      </w:r>
      <w:r>
        <w:rPr>
          <w:szCs w:val="24"/>
        </w:rPr>
        <w:fldChar w:fldCharType="separate"/>
      </w:r>
      <w:r>
        <w:rPr>
          <w:noProof/>
          <w:szCs w:val="24"/>
        </w:rPr>
        <w:t>4</w:t>
      </w:r>
      <w:r>
        <w:rPr>
          <w:szCs w:val="24"/>
        </w:rPr>
        <w:fldChar w:fldCharType="end"/>
      </w:r>
      <w:bookmarkEnd w:id="130"/>
      <w:r>
        <w:rPr>
          <w:szCs w:val="24"/>
        </w:rPr>
        <w:t xml:space="preserve">. </w:t>
      </w:r>
      <w:r w:rsidRPr="0021796A">
        <w:rPr>
          <w:color w:val="000000"/>
          <w:szCs w:val="24"/>
        </w:rPr>
        <w:t xml:space="preserve"> Spearman Correlations</w:t>
      </w:r>
      <w:r>
        <w:rPr>
          <w:color w:val="000000"/>
          <w:szCs w:val="24"/>
          <w:vertAlign w:val="superscript"/>
        </w:rPr>
        <w:t>a</w:t>
      </w:r>
      <w:r w:rsidRPr="0021796A">
        <w:rPr>
          <w:color w:val="000000"/>
          <w:szCs w:val="24"/>
        </w:rPr>
        <w:t xml:space="preserve"> of LAHS Annual Average Pollutant Concentrations from Air Dispersion Modeling</w:t>
      </w:r>
      <w:r>
        <w:rPr>
          <w:color w:val="000000"/>
          <w:szCs w:val="24"/>
          <w:vertAlign w:val="superscript"/>
        </w:rPr>
        <w:t>b</w:t>
      </w:r>
      <w:bookmarkEnd w:id="131"/>
    </w:p>
    <w:p w:rsidR="00A327E6" w:rsidRPr="003A059B" w:rsidRDefault="00A327E6" w:rsidP="003A059B">
      <w:pPr>
        <w:spacing w:before="0" w:after="0" w:line="240" w:lineRule="auto"/>
      </w:pPr>
    </w:p>
    <w:tbl>
      <w:tblPr>
        <w:tblW w:w="7800" w:type="dxa"/>
        <w:jc w:val="center"/>
        <w:tblBorders>
          <w:top w:val="single" w:sz="8" w:space="0" w:color="4F81BD"/>
          <w:left w:val="single" w:sz="8" w:space="0" w:color="4F81BD"/>
          <w:bottom w:val="single" w:sz="8" w:space="0" w:color="4F81BD"/>
          <w:right w:val="single" w:sz="8" w:space="0" w:color="4F81BD"/>
        </w:tblBorders>
        <w:tblLook w:val="00A0"/>
      </w:tblPr>
      <w:tblGrid>
        <w:gridCol w:w="1400"/>
        <w:gridCol w:w="1280"/>
        <w:gridCol w:w="1280"/>
        <w:gridCol w:w="1280"/>
        <w:gridCol w:w="1280"/>
        <w:gridCol w:w="1280"/>
      </w:tblGrid>
      <w:tr w:rsidR="00A327E6" w:rsidRPr="003A059B" w:rsidTr="00415FA2">
        <w:trPr>
          <w:trHeight w:val="502"/>
          <w:jc w:val="center"/>
        </w:trPr>
        <w:tc>
          <w:tcPr>
            <w:tcW w:w="1400" w:type="dxa"/>
            <w:tcBorders>
              <w:top w:val="single" w:sz="8" w:space="0" w:color="4F81BD"/>
            </w:tcBorders>
            <w:shd w:val="clear" w:color="auto" w:fill="4F81BD"/>
          </w:tcPr>
          <w:p w:rsidR="00A327E6" w:rsidRPr="00415FA2" w:rsidRDefault="00A327E6" w:rsidP="00415FA2">
            <w:pPr>
              <w:spacing w:before="100" w:beforeAutospacing="1" w:after="100" w:afterAutospacing="1" w:line="400" w:lineRule="atLeast"/>
              <w:rPr>
                <w:b/>
                <w:bCs/>
                <w:color w:val="FFFFFF"/>
                <w:szCs w:val="24"/>
                <w:lang w:eastAsia="zh-TW"/>
              </w:rPr>
            </w:pPr>
            <w:r w:rsidRPr="00415FA2">
              <w:rPr>
                <w:b/>
                <w:bCs/>
                <w:color w:val="FFFFFF"/>
                <w:szCs w:val="24"/>
                <w:lang w:eastAsia="zh-TW"/>
              </w:rPr>
              <w:t> </w:t>
            </w:r>
          </w:p>
        </w:tc>
        <w:tc>
          <w:tcPr>
            <w:tcW w:w="1280" w:type="dxa"/>
            <w:tcBorders>
              <w:top w:val="single" w:sz="8" w:space="0" w:color="4F81BD"/>
              <w:left w:val="single" w:sz="8" w:space="0" w:color="4F81BD"/>
              <w:right w:val="single" w:sz="8" w:space="0" w:color="4F81BD"/>
            </w:tcBorders>
            <w:shd w:val="clear" w:color="auto" w:fill="4F81BD"/>
            <w:vAlign w:val="center"/>
          </w:tcPr>
          <w:p w:rsidR="00A327E6" w:rsidRPr="00415FA2" w:rsidRDefault="00A327E6" w:rsidP="00415FA2">
            <w:pPr>
              <w:spacing w:before="100" w:beforeAutospacing="1" w:after="100" w:afterAutospacing="1" w:line="400" w:lineRule="atLeast"/>
              <w:jc w:val="center"/>
              <w:rPr>
                <w:b/>
                <w:bCs/>
                <w:color w:val="FFFFFF"/>
                <w:szCs w:val="24"/>
                <w:lang w:eastAsia="zh-TW"/>
              </w:rPr>
            </w:pPr>
            <w:r w:rsidRPr="00415FA2">
              <w:rPr>
                <w:b/>
                <w:bCs/>
                <w:color w:val="FFFFFF"/>
                <w:szCs w:val="24"/>
                <w:lang w:eastAsia="zh-TW"/>
              </w:rPr>
              <w:t>CO</w:t>
            </w:r>
          </w:p>
        </w:tc>
        <w:tc>
          <w:tcPr>
            <w:tcW w:w="1280" w:type="dxa"/>
            <w:tcBorders>
              <w:top w:val="single" w:sz="8" w:space="0" w:color="4F81BD"/>
            </w:tcBorders>
            <w:shd w:val="clear" w:color="auto" w:fill="4F81BD"/>
            <w:vAlign w:val="center"/>
          </w:tcPr>
          <w:p w:rsidR="00A327E6" w:rsidRPr="00415FA2" w:rsidRDefault="00A327E6" w:rsidP="00415FA2">
            <w:pPr>
              <w:spacing w:before="100" w:beforeAutospacing="1" w:after="100" w:afterAutospacing="1" w:line="400" w:lineRule="atLeast"/>
              <w:jc w:val="center"/>
              <w:rPr>
                <w:b/>
                <w:bCs/>
                <w:color w:val="FFFFFF"/>
                <w:szCs w:val="24"/>
                <w:lang w:eastAsia="zh-TW"/>
              </w:rPr>
            </w:pPr>
            <w:r w:rsidRPr="00415FA2">
              <w:rPr>
                <w:b/>
                <w:bCs/>
                <w:color w:val="FFFFFF"/>
                <w:szCs w:val="24"/>
                <w:lang w:eastAsia="zh-TW"/>
              </w:rPr>
              <w:t>NOx</w:t>
            </w:r>
          </w:p>
        </w:tc>
        <w:tc>
          <w:tcPr>
            <w:tcW w:w="1280" w:type="dxa"/>
            <w:tcBorders>
              <w:top w:val="single" w:sz="8" w:space="0" w:color="4F81BD"/>
              <w:left w:val="single" w:sz="8" w:space="0" w:color="4F81BD"/>
              <w:right w:val="single" w:sz="8" w:space="0" w:color="4F81BD"/>
            </w:tcBorders>
            <w:shd w:val="clear" w:color="auto" w:fill="4F81BD"/>
            <w:vAlign w:val="center"/>
          </w:tcPr>
          <w:p w:rsidR="00A327E6" w:rsidRPr="00415FA2" w:rsidRDefault="00A327E6" w:rsidP="00415FA2">
            <w:pPr>
              <w:spacing w:before="100" w:beforeAutospacing="1" w:after="100" w:afterAutospacing="1" w:line="400" w:lineRule="atLeast"/>
              <w:jc w:val="center"/>
              <w:rPr>
                <w:b/>
                <w:bCs/>
                <w:color w:val="FFFFFF"/>
                <w:szCs w:val="24"/>
                <w:lang w:eastAsia="zh-TW"/>
              </w:rPr>
            </w:pPr>
            <w:r w:rsidRPr="00415FA2">
              <w:rPr>
                <w:b/>
                <w:bCs/>
                <w:color w:val="FFFFFF"/>
                <w:szCs w:val="24"/>
                <w:lang w:eastAsia="zh-TW"/>
              </w:rPr>
              <w:t>PM</w:t>
            </w:r>
            <w:r w:rsidRPr="00415FA2">
              <w:rPr>
                <w:b/>
                <w:bCs/>
                <w:color w:val="FFFFFF"/>
                <w:szCs w:val="24"/>
                <w:vertAlign w:val="subscript"/>
                <w:lang w:eastAsia="zh-TW"/>
              </w:rPr>
              <w:t>2.5</w:t>
            </w:r>
          </w:p>
        </w:tc>
        <w:tc>
          <w:tcPr>
            <w:tcW w:w="1280" w:type="dxa"/>
            <w:tcBorders>
              <w:top w:val="single" w:sz="8" w:space="0" w:color="4F81BD"/>
            </w:tcBorders>
            <w:shd w:val="clear" w:color="auto" w:fill="4F81BD"/>
            <w:vAlign w:val="center"/>
          </w:tcPr>
          <w:p w:rsidR="00A327E6" w:rsidRPr="00415FA2" w:rsidRDefault="00A327E6" w:rsidP="00415FA2">
            <w:pPr>
              <w:spacing w:before="100" w:beforeAutospacing="1" w:after="100" w:afterAutospacing="1" w:line="400" w:lineRule="atLeast"/>
              <w:jc w:val="center"/>
              <w:rPr>
                <w:b/>
                <w:bCs/>
                <w:color w:val="FFFFFF"/>
                <w:szCs w:val="24"/>
                <w:lang w:eastAsia="zh-TW"/>
              </w:rPr>
            </w:pPr>
            <w:r w:rsidRPr="00415FA2">
              <w:rPr>
                <w:b/>
                <w:bCs/>
                <w:color w:val="FFFFFF"/>
                <w:szCs w:val="24"/>
                <w:lang w:eastAsia="zh-TW"/>
              </w:rPr>
              <w:t>SOx</w:t>
            </w:r>
          </w:p>
        </w:tc>
        <w:tc>
          <w:tcPr>
            <w:tcW w:w="1280" w:type="dxa"/>
            <w:tcBorders>
              <w:top w:val="single" w:sz="8" w:space="0" w:color="4F81BD"/>
              <w:left w:val="single" w:sz="8" w:space="0" w:color="4F81BD"/>
            </w:tcBorders>
            <w:shd w:val="clear" w:color="auto" w:fill="4F81BD"/>
            <w:vAlign w:val="center"/>
          </w:tcPr>
          <w:p w:rsidR="00A327E6" w:rsidRPr="00415FA2" w:rsidRDefault="00A327E6" w:rsidP="00415FA2">
            <w:pPr>
              <w:spacing w:before="100" w:beforeAutospacing="1" w:after="100" w:afterAutospacing="1" w:line="400" w:lineRule="atLeast"/>
              <w:jc w:val="center"/>
              <w:rPr>
                <w:b/>
                <w:bCs/>
                <w:color w:val="FFFFFF"/>
                <w:szCs w:val="24"/>
                <w:lang w:eastAsia="zh-TW"/>
              </w:rPr>
            </w:pPr>
            <w:r w:rsidRPr="00415FA2">
              <w:rPr>
                <w:b/>
                <w:bCs/>
                <w:color w:val="FFFFFF"/>
                <w:szCs w:val="24"/>
                <w:lang w:eastAsia="zh-TW"/>
              </w:rPr>
              <w:t>VOC</w:t>
            </w:r>
          </w:p>
        </w:tc>
      </w:tr>
      <w:tr w:rsidR="00A327E6" w:rsidRPr="003A059B" w:rsidTr="00415FA2">
        <w:trPr>
          <w:trHeight w:val="432"/>
          <w:jc w:val="center"/>
        </w:trPr>
        <w:tc>
          <w:tcPr>
            <w:tcW w:w="1400" w:type="dxa"/>
            <w:tcBorders>
              <w:top w:val="single" w:sz="8" w:space="0" w:color="4F81BD"/>
              <w:bottom w:val="single" w:sz="8" w:space="0" w:color="4F81BD"/>
            </w:tcBorders>
            <w:vAlign w:val="center"/>
          </w:tcPr>
          <w:p w:rsidR="00A327E6" w:rsidRPr="00415FA2" w:rsidRDefault="00A327E6" w:rsidP="00415FA2">
            <w:pPr>
              <w:spacing w:before="100" w:beforeAutospacing="1" w:after="100" w:afterAutospacing="1" w:line="400" w:lineRule="atLeast"/>
              <w:jc w:val="center"/>
              <w:rPr>
                <w:b/>
                <w:bCs/>
                <w:szCs w:val="24"/>
                <w:lang w:eastAsia="zh-TW"/>
              </w:rPr>
            </w:pPr>
            <w:r w:rsidRPr="00415FA2">
              <w:rPr>
                <w:b/>
                <w:bCs/>
                <w:szCs w:val="24"/>
                <w:lang w:eastAsia="zh-TW"/>
              </w:rPr>
              <w:t>PM</w:t>
            </w:r>
            <w:r w:rsidRPr="00415FA2">
              <w:rPr>
                <w:b/>
                <w:bCs/>
                <w:szCs w:val="24"/>
                <w:vertAlign w:val="subscript"/>
                <w:lang w:eastAsia="zh-TW"/>
              </w:rPr>
              <w:t>2.5</w:t>
            </w:r>
          </w:p>
        </w:tc>
        <w:tc>
          <w:tcPr>
            <w:tcW w:w="1280" w:type="dxa"/>
            <w:tcBorders>
              <w:top w:val="single" w:sz="8" w:space="0" w:color="4F81BD"/>
              <w:left w:val="single" w:sz="8" w:space="0" w:color="4F81BD"/>
              <w:bottom w:val="single" w:sz="8" w:space="0" w:color="4F81BD"/>
              <w:right w:val="single" w:sz="8" w:space="0" w:color="4F81BD"/>
            </w:tcBorders>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0.998</w:t>
            </w:r>
          </w:p>
        </w:tc>
        <w:tc>
          <w:tcPr>
            <w:tcW w:w="1280" w:type="dxa"/>
            <w:tcBorders>
              <w:top w:val="single" w:sz="8" w:space="0" w:color="4F81BD"/>
              <w:bottom w:val="single" w:sz="8" w:space="0" w:color="4F81BD"/>
            </w:tcBorders>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0.997</w:t>
            </w:r>
          </w:p>
        </w:tc>
        <w:tc>
          <w:tcPr>
            <w:tcW w:w="1280" w:type="dxa"/>
            <w:tcBorders>
              <w:top w:val="single" w:sz="8" w:space="0" w:color="4F81BD"/>
              <w:left w:val="single" w:sz="8" w:space="0" w:color="4F81BD"/>
              <w:bottom w:val="single" w:sz="8" w:space="0" w:color="4F81BD"/>
              <w:right w:val="single" w:sz="8" w:space="0" w:color="4F81BD"/>
            </w:tcBorders>
            <w:noWrap/>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1.000</w:t>
            </w:r>
          </w:p>
        </w:tc>
        <w:tc>
          <w:tcPr>
            <w:tcW w:w="1280" w:type="dxa"/>
            <w:tcBorders>
              <w:top w:val="single" w:sz="8" w:space="0" w:color="4F81BD"/>
              <w:bottom w:val="single" w:sz="8" w:space="0" w:color="4F81BD"/>
            </w:tcBorders>
            <w:noWrap/>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0.997</w:t>
            </w:r>
          </w:p>
        </w:tc>
        <w:tc>
          <w:tcPr>
            <w:tcW w:w="1280" w:type="dxa"/>
            <w:tcBorders>
              <w:top w:val="single" w:sz="8" w:space="0" w:color="4F81BD"/>
              <w:left w:val="single" w:sz="8" w:space="0" w:color="4F81BD"/>
              <w:bottom w:val="single" w:sz="8" w:space="0" w:color="4F81BD"/>
            </w:tcBorders>
            <w:noWrap/>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0.999</w:t>
            </w:r>
          </w:p>
        </w:tc>
      </w:tr>
      <w:tr w:rsidR="00A327E6" w:rsidRPr="003A059B" w:rsidTr="00415FA2">
        <w:trPr>
          <w:trHeight w:val="432"/>
          <w:jc w:val="center"/>
        </w:trPr>
        <w:tc>
          <w:tcPr>
            <w:tcW w:w="1400" w:type="dxa"/>
            <w:vAlign w:val="center"/>
          </w:tcPr>
          <w:p w:rsidR="00A327E6" w:rsidRPr="00415FA2" w:rsidRDefault="00A327E6" w:rsidP="00415FA2">
            <w:pPr>
              <w:spacing w:before="100" w:beforeAutospacing="1" w:after="100" w:afterAutospacing="1" w:line="400" w:lineRule="atLeast"/>
              <w:jc w:val="center"/>
              <w:rPr>
                <w:b/>
                <w:bCs/>
                <w:szCs w:val="24"/>
                <w:lang w:eastAsia="zh-TW"/>
              </w:rPr>
            </w:pPr>
            <w:r w:rsidRPr="00415FA2">
              <w:rPr>
                <w:b/>
                <w:bCs/>
                <w:szCs w:val="24"/>
                <w:lang w:eastAsia="zh-TW"/>
              </w:rPr>
              <w:t>NOx</w:t>
            </w:r>
          </w:p>
        </w:tc>
        <w:tc>
          <w:tcPr>
            <w:tcW w:w="1280" w:type="dxa"/>
            <w:tcBorders>
              <w:left w:val="single" w:sz="8" w:space="0" w:color="4F81BD"/>
              <w:right w:val="single" w:sz="8" w:space="0" w:color="4F81BD"/>
            </w:tcBorders>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0.992</w:t>
            </w:r>
          </w:p>
        </w:tc>
        <w:tc>
          <w:tcPr>
            <w:tcW w:w="1280" w:type="dxa"/>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1.000</w:t>
            </w:r>
          </w:p>
        </w:tc>
        <w:tc>
          <w:tcPr>
            <w:tcW w:w="1280" w:type="dxa"/>
            <w:tcBorders>
              <w:left w:val="single" w:sz="8" w:space="0" w:color="4F81BD"/>
              <w:right w:val="single" w:sz="8" w:space="0" w:color="4F81BD"/>
            </w:tcBorders>
            <w:noWrap/>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0.997</w:t>
            </w:r>
          </w:p>
        </w:tc>
        <w:tc>
          <w:tcPr>
            <w:tcW w:w="1280" w:type="dxa"/>
            <w:noWrap/>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0.998</w:t>
            </w:r>
          </w:p>
        </w:tc>
        <w:tc>
          <w:tcPr>
            <w:tcW w:w="1280" w:type="dxa"/>
            <w:tcBorders>
              <w:left w:val="single" w:sz="8" w:space="0" w:color="4F81BD"/>
            </w:tcBorders>
            <w:noWrap/>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0.995</w:t>
            </w:r>
          </w:p>
        </w:tc>
      </w:tr>
      <w:tr w:rsidR="00A327E6" w:rsidRPr="003A059B" w:rsidTr="00415FA2">
        <w:trPr>
          <w:trHeight w:val="432"/>
          <w:jc w:val="center"/>
        </w:trPr>
        <w:tc>
          <w:tcPr>
            <w:tcW w:w="1400" w:type="dxa"/>
            <w:tcBorders>
              <w:top w:val="single" w:sz="8" w:space="0" w:color="4F81BD"/>
              <w:bottom w:val="single" w:sz="8" w:space="0" w:color="4F81BD"/>
            </w:tcBorders>
            <w:vAlign w:val="center"/>
          </w:tcPr>
          <w:p w:rsidR="00A327E6" w:rsidRPr="00415FA2" w:rsidRDefault="00A327E6" w:rsidP="00415FA2">
            <w:pPr>
              <w:spacing w:before="100" w:beforeAutospacing="1" w:after="100" w:afterAutospacing="1" w:line="400" w:lineRule="atLeast"/>
              <w:jc w:val="center"/>
              <w:rPr>
                <w:b/>
                <w:bCs/>
                <w:szCs w:val="24"/>
                <w:lang w:eastAsia="zh-TW"/>
              </w:rPr>
            </w:pPr>
            <w:r w:rsidRPr="00415FA2">
              <w:rPr>
                <w:b/>
                <w:bCs/>
                <w:szCs w:val="24"/>
                <w:lang w:eastAsia="zh-TW"/>
              </w:rPr>
              <w:t>SOx</w:t>
            </w:r>
          </w:p>
        </w:tc>
        <w:tc>
          <w:tcPr>
            <w:tcW w:w="1280" w:type="dxa"/>
            <w:tcBorders>
              <w:top w:val="single" w:sz="8" w:space="0" w:color="4F81BD"/>
              <w:left w:val="single" w:sz="8" w:space="0" w:color="4F81BD"/>
              <w:bottom w:val="single" w:sz="8" w:space="0" w:color="4F81BD"/>
              <w:right w:val="single" w:sz="8" w:space="0" w:color="4F81BD"/>
            </w:tcBorders>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0.991</w:t>
            </w:r>
          </w:p>
        </w:tc>
        <w:tc>
          <w:tcPr>
            <w:tcW w:w="1280" w:type="dxa"/>
            <w:tcBorders>
              <w:top w:val="single" w:sz="8" w:space="0" w:color="4F81BD"/>
              <w:bottom w:val="single" w:sz="8" w:space="0" w:color="4F81BD"/>
            </w:tcBorders>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0.998</w:t>
            </w:r>
          </w:p>
        </w:tc>
        <w:tc>
          <w:tcPr>
            <w:tcW w:w="1280" w:type="dxa"/>
            <w:tcBorders>
              <w:top w:val="single" w:sz="8" w:space="0" w:color="4F81BD"/>
              <w:left w:val="single" w:sz="8" w:space="0" w:color="4F81BD"/>
              <w:bottom w:val="single" w:sz="8" w:space="0" w:color="4F81BD"/>
              <w:right w:val="single" w:sz="8" w:space="0" w:color="4F81BD"/>
            </w:tcBorders>
            <w:noWrap/>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0.997</w:t>
            </w:r>
          </w:p>
        </w:tc>
        <w:tc>
          <w:tcPr>
            <w:tcW w:w="1280" w:type="dxa"/>
            <w:tcBorders>
              <w:top w:val="single" w:sz="8" w:space="0" w:color="4F81BD"/>
              <w:bottom w:val="single" w:sz="8" w:space="0" w:color="4F81BD"/>
            </w:tcBorders>
            <w:noWrap/>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1.000</w:t>
            </w:r>
          </w:p>
        </w:tc>
        <w:tc>
          <w:tcPr>
            <w:tcW w:w="1280" w:type="dxa"/>
            <w:tcBorders>
              <w:top w:val="single" w:sz="8" w:space="0" w:color="4F81BD"/>
              <w:left w:val="single" w:sz="8" w:space="0" w:color="4F81BD"/>
              <w:bottom w:val="single" w:sz="8" w:space="0" w:color="4F81BD"/>
            </w:tcBorders>
            <w:noWrap/>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0.994</w:t>
            </w:r>
          </w:p>
        </w:tc>
      </w:tr>
      <w:tr w:rsidR="00A327E6" w:rsidRPr="003A059B" w:rsidTr="00415FA2">
        <w:trPr>
          <w:trHeight w:val="432"/>
          <w:jc w:val="center"/>
        </w:trPr>
        <w:tc>
          <w:tcPr>
            <w:tcW w:w="1400" w:type="dxa"/>
            <w:vAlign w:val="center"/>
          </w:tcPr>
          <w:p w:rsidR="00A327E6" w:rsidRPr="00415FA2" w:rsidRDefault="00A327E6" w:rsidP="00415FA2">
            <w:pPr>
              <w:spacing w:before="100" w:beforeAutospacing="1" w:after="100" w:afterAutospacing="1" w:line="400" w:lineRule="atLeast"/>
              <w:jc w:val="center"/>
              <w:rPr>
                <w:b/>
                <w:bCs/>
                <w:szCs w:val="24"/>
                <w:lang w:eastAsia="zh-TW"/>
              </w:rPr>
            </w:pPr>
            <w:r w:rsidRPr="00415FA2">
              <w:rPr>
                <w:b/>
                <w:bCs/>
                <w:szCs w:val="24"/>
                <w:lang w:eastAsia="zh-TW"/>
              </w:rPr>
              <w:t>CO</w:t>
            </w:r>
          </w:p>
        </w:tc>
        <w:tc>
          <w:tcPr>
            <w:tcW w:w="1280" w:type="dxa"/>
            <w:tcBorders>
              <w:left w:val="single" w:sz="8" w:space="0" w:color="4F81BD"/>
              <w:right w:val="single" w:sz="8" w:space="0" w:color="4F81BD"/>
            </w:tcBorders>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1.000</w:t>
            </w:r>
          </w:p>
        </w:tc>
        <w:tc>
          <w:tcPr>
            <w:tcW w:w="1280" w:type="dxa"/>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0.992</w:t>
            </w:r>
          </w:p>
        </w:tc>
        <w:tc>
          <w:tcPr>
            <w:tcW w:w="1280" w:type="dxa"/>
            <w:tcBorders>
              <w:left w:val="single" w:sz="8" w:space="0" w:color="4F81BD"/>
              <w:right w:val="single" w:sz="8" w:space="0" w:color="4F81BD"/>
            </w:tcBorders>
            <w:noWrap/>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0.998</w:t>
            </w:r>
          </w:p>
        </w:tc>
        <w:tc>
          <w:tcPr>
            <w:tcW w:w="1280" w:type="dxa"/>
            <w:noWrap/>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0.991</w:t>
            </w:r>
          </w:p>
        </w:tc>
        <w:tc>
          <w:tcPr>
            <w:tcW w:w="1280" w:type="dxa"/>
            <w:tcBorders>
              <w:left w:val="single" w:sz="8" w:space="0" w:color="4F81BD"/>
            </w:tcBorders>
            <w:noWrap/>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0.999</w:t>
            </w:r>
          </w:p>
        </w:tc>
      </w:tr>
      <w:tr w:rsidR="00A327E6" w:rsidRPr="003A059B" w:rsidTr="00415FA2">
        <w:trPr>
          <w:trHeight w:val="432"/>
          <w:jc w:val="center"/>
        </w:trPr>
        <w:tc>
          <w:tcPr>
            <w:tcW w:w="1400" w:type="dxa"/>
            <w:tcBorders>
              <w:top w:val="single" w:sz="8" w:space="0" w:color="4F81BD"/>
              <w:bottom w:val="single" w:sz="8" w:space="0" w:color="4F81BD"/>
            </w:tcBorders>
            <w:vAlign w:val="center"/>
          </w:tcPr>
          <w:p w:rsidR="00A327E6" w:rsidRPr="00415FA2" w:rsidRDefault="00A327E6" w:rsidP="00415FA2">
            <w:pPr>
              <w:spacing w:before="100" w:beforeAutospacing="1" w:after="100" w:afterAutospacing="1" w:line="400" w:lineRule="atLeast"/>
              <w:jc w:val="center"/>
              <w:rPr>
                <w:b/>
                <w:bCs/>
                <w:szCs w:val="24"/>
                <w:lang w:eastAsia="zh-TW"/>
              </w:rPr>
            </w:pPr>
            <w:r w:rsidRPr="00415FA2">
              <w:rPr>
                <w:b/>
                <w:bCs/>
                <w:szCs w:val="24"/>
                <w:lang w:eastAsia="zh-TW"/>
              </w:rPr>
              <w:t>VOC</w:t>
            </w:r>
          </w:p>
        </w:tc>
        <w:tc>
          <w:tcPr>
            <w:tcW w:w="1280" w:type="dxa"/>
            <w:tcBorders>
              <w:top w:val="single" w:sz="8" w:space="0" w:color="4F81BD"/>
              <w:left w:val="single" w:sz="8" w:space="0" w:color="4F81BD"/>
              <w:bottom w:val="single" w:sz="8" w:space="0" w:color="4F81BD"/>
              <w:right w:val="single" w:sz="8" w:space="0" w:color="4F81BD"/>
            </w:tcBorders>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0.999</w:t>
            </w:r>
          </w:p>
        </w:tc>
        <w:tc>
          <w:tcPr>
            <w:tcW w:w="1280" w:type="dxa"/>
            <w:tcBorders>
              <w:top w:val="single" w:sz="8" w:space="0" w:color="4F81BD"/>
              <w:bottom w:val="single" w:sz="8" w:space="0" w:color="4F81BD"/>
            </w:tcBorders>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0.995</w:t>
            </w:r>
          </w:p>
        </w:tc>
        <w:tc>
          <w:tcPr>
            <w:tcW w:w="1280" w:type="dxa"/>
            <w:tcBorders>
              <w:top w:val="single" w:sz="8" w:space="0" w:color="4F81BD"/>
              <w:left w:val="single" w:sz="8" w:space="0" w:color="4F81BD"/>
              <w:bottom w:val="single" w:sz="8" w:space="0" w:color="4F81BD"/>
              <w:right w:val="single" w:sz="8" w:space="0" w:color="4F81BD"/>
            </w:tcBorders>
            <w:noWrap/>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0.999</w:t>
            </w:r>
          </w:p>
        </w:tc>
        <w:tc>
          <w:tcPr>
            <w:tcW w:w="1280" w:type="dxa"/>
            <w:tcBorders>
              <w:top w:val="single" w:sz="8" w:space="0" w:color="4F81BD"/>
              <w:bottom w:val="single" w:sz="8" w:space="0" w:color="4F81BD"/>
            </w:tcBorders>
            <w:noWrap/>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0.994</w:t>
            </w:r>
          </w:p>
        </w:tc>
        <w:tc>
          <w:tcPr>
            <w:tcW w:w="1280" w:type="dxa"/>
            <w:tcBorders>
              <w:top w:val="single" w:sz="8" w:space="0" w:color="4F81BD"/>
              <w:left w:val="single" w:sz="8" w:space="0" w:color="4F81BD"/>
              <w:bottom w:val="single" w:sz="8" w:space="0" w:color="4F81BD"/>
            </w:tcBorders>
            <w:noWrap/>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1.000</w:t>
            </w:r>
          </w:p>
        </w:tc>
      </w:tr>
    </w:tbl>
    <w:p w:rsidR="00A327E6" w:rsidRPr="00590B75" w:rsidRDefault="00A327E6" w:rsidP="003A059B">
      <w:pPr>
        <w:spacing w:before="100" w:beforeAutospacing="1" w:after="100" w:afterAutospacing="1" w:line="240" w:lineRule="auto"/>
        <w:ind w:left="810"/>
        <w:contextualSpacing/>
        <w:rPr>
          <w:szCs w:val="24"/>
        </w:rPr>
      </w:pPr>
      <w:r>
        <w:rPr>
          <w:szCs w:val="24"/>
          <w:vertAlign w:val="superscript"/>
        </w:rPr>
        <w:t>a</w:t>
      </w:r>
      <w:r>
        <w:rPr>
          <w:szCs w:val="24"/>
        </w:rPr>
        <w:t>Pearson correlation results were similarly strong. See Appendix A, Table 12.</w:t>
      </w:r>
    </w:p>
    <w:p w:rsidR="00A327E6" w:rsidRPr="0021796A" w:rsidRDefault="00A327E6" w:rsidP="003A059B">
      <w:pPr>
        <w:spacing w:before="100" w:beforeAutospacing="1" w:after="480" w:line="240" w:lineRule="auto"/>
        <w:ind w:left="810"/>
        <w:contextualSpacing/>
        <w:rPr>
          <w:i/>
          <w:color w:val="000000"/>
          <w:szCs w:val="24"/>
        </w:rPr>
      </w:pPr>
      <w:r w:rsidRPr="00D73D51">
        <w:rPr>
          <w:color w:val="000000"/>
          <w:szCs w:val="24"/>
          <w:vertAlign w:val="superscript"/>
        </w:rPr>
        <w:t>b</w:t>
      </w:r>
      <w:r w:rsidRPr="00E729F3">
        <w:rPr>
          <w:color w:val="000000"/>
          <w:szCs w:val="24"/>
        </w:rPr>
        <w:t>P-values for all correlations are &lt;0.0001.</w:t>
      </w:r>
    </w:p>
    <w:p w:rsidR="00A327E6" w:rsidRPr="00015F16" w:rsidRDefault="00A327E6" w:rsidP="00E44AAF">
      <w:pPr>
        <w:pStyle w:val="NormalIndent"/>
        <w:spacing w:before="100" w:beforeAutospacing="1" w:after="100" w:afterAutospacing="1" w:line="400" w:lineRule="atLeast"/>
        <w:rPr>
          <w:b/>
          <w:szCs w:val="24"/>
        </w:rPr>
      </w:pPr>
      <w:r w:rsidRPr="008F509F">
        <w:rPr>
          <w:szCs w:val="24"/>
        </w:rPr>
        <w:t xml:space="preserve">Visualization of the concentrations of each pollutant assigned to households across the study area using histograms revealed that the distribution of concentrations followed a logarithmic function.  Annual average concentrations of each pollutant were categorized into three categories: high, medium, and low areas.  These categories were chosen based on the following considerations: identifying the upper distribution of pollutant concentrations, understanding the scientific literature related to the health effects of the targeted compounds, and weighing epidemiologic considerations (such as selecting a “low” group that is truly low, isolating the highest exposed group as much as possible, and maintaining sample sizes in each group that would be large enough to enable detection of any associations present). </w:t>
      </w:r>
      <w:r>
        <w:rPr>
          <w:szCs w:val="24"/>
        </w:rPr>
        <w:t xml:space="preserve"> </w:t>
      </w:r>
      <w:r w:rsidRPr="008F509F">
        <w:rPr>
          <w:szCs w:val="24"/>
        </w:rPr>
        <w:t>Thus, each household was categorized as follows for exposure to each air pollutant: the low category included all respondents whose modeled concentrations were less than or equal to the median value (i.e., 50</w:t>
      </w:r>
      <w:r w:rsidRPr="0021796A">
        <w:rPr>
          <w:szCs w:val="24"/>
          <w:vertAlign w:val="superscript"/>
        </w:rPr>
        <w:t>th</w:t>
      </w:r>
      <w:r w:rsidRPr="008F509F">
        <w:rPr>
          <w:szCs w:val="24"/>
        </w:rPr>
        <w:t xml:space="preserve"> percentile); the medium category included all respondents whose concentrations were above the median, but less than or equal to the 80th percentile; and the high category included all respondents whose concentrations were above the 80th percentile.  The range of modeled air pollutant concentrations based on these cut-points and the number of respondents assigned to the high, medium, and low exposure areas for each pollutant are presented in Table 4-5.</w:t>
      </w:r>
    </w:p>
    <w:p w:rsidR="00A327E6" w:rsidRDefault="00A327E6" w:rsidP="000006CA">
      <w:pPr>
        <w:pStyle w:val="Caption"/>
        <w:keepNext/>
        <w:spacing w:line="240" w:lineRule="auto"/>
      </w:pPr>
      <w:bookmarkStart w:id="132" w:name="_Toc386796293"/>
      <w:r>
        <w:t xml:space="preserve">Table </w:t>
      </w:r>
      <w:fldSimple w:instr=" STYLEREF 1 \s ">
        <w:r>
          <w:rPr>
            <w:noProof/>
          </w:rPr>
          <w:t>4</w:t>
        </w:r>
      </w:fldSimple>
      <w:r>
        <w:noBreakHyphen/>
      </w:r>
      <w:fldSimple w:instr=" SEQ Table \* ARABIC \s 1 ">
        <w:r>
          <w:rPr>
            <w:noProof/>
          </w:rPr>
          <w:t>5</w:t>
        </w:r>
      </w:fldSimple>
      <w:r>
        <w:t xml:space="preserve">.  </w:t>
      </w:r>
      <w:r w:rsidRPr="00695652">
        <w:t xml:space="preserve">Range of Modeled Air Pollutant Concentrations </w:t>
      </w:r>
      <w:r>
        <w:t>Associated with the High, Medium, and Low</w:t>
      </w:r>
      <w:r w:rsidRPr="00695652">
        <w:t xml:space="preserve"> Exposure </w:t>
      </w:r>
      <w:r>
        <w:t>Categories for Each Pollutant</w:t>
      </w:r>
      <w:bookmarkEnd w:id="132"/>
    </w:p>
    <w:tbl>
      <w:tblPr>
        <w:tblW w:w="5132" w:type="pct"/>
        <w:tblBorders>
          <w:top w:val="single" w:sz="8" w:space="0" w:color="4F81BD"/>
          <w:left w:val="single" w:sz="8" w:space="0" w:color="4F81BD"/>
          <w:bottom w:val="single" w:sz="8" w:space="0" w:color="4F81BD"/>
          <w:right w:val="single" w:sz="8" w:space="0" w:color="4F81BD"/>
        </w:tblBorders>
        <w:tblLayout w:type="fixed"/>
        <w:tblLook w:val="00A0"/>
      </w:tblPr>
      <w:tblGrid>
        <w:gridCol w:w="1279"/>
        <w:gridCol w:w="1710"/>
        <w:gridCol w:w="1349"/>
        <w:gridCol w:w="1349"/>
        <w:gridCol w:w="1441"/>
        <w:gridCol w:w="1402"/>
        <w:gridCol w:w="1299"/>
      </w:tblGrid>
      <w:tr w:rsidR="00A327E6" w:rsidRPr="0021796A" w:rsidTr="00415FA2">
        <w:trPr>
          <w:trHeight w:val="583"/>
        </w:trPr>
        <w:tc>
          <w:tcPr>
            <w:tcW w:w="651" w:type="pct"/>
            <w:vMerge w:val="restart"/>
            <w:tcBorders>
              <w:top w:val="single" w:sz="8" w:space="0" w:color="4F81BD"/>
            </w:tcBorders>
            <w:shd w:val="clear" w:color="auto" w:fill="4F81BD"/>
            <w:vAlign w:val="bottom"/>
          </w:tcPr>
          <w:p w:rsidR="00A327E6" w:rsidRPr="00415FA2" w:rsidRDefault="00A327E6" w:rsidP="00415FA2">
            <w:pPr>
              <w:spacing w:before="100" w:beforeAutospacing="1" w:after="100" w:afterAutospacing="1" w:line="240" w:lineRule="auto"/>
              <w:jc w:val="center"/>
              <w:rPr>
                <w:b/>
                <w:bCs/>
                <w:color w:val="FFFFFF"/>
                <w:szCs w:val="24"/>
                <w:lang w:eastAsia="zh-TW"/>
              </w:rPr>
            </w:pPr>
            <w:r w:rsidRPr="00415FA2">
              <w:rPr>
                <w:b/>
                <w:bCs/>
                <w:color w:val="FFFFFF"/>
                <w:szCs w:val="24"/>
                <w:lang w:eastAsia="zh-TW"/>
              </w:rPr>
              <w:t>Exposure Level</w:t>
            </w:r>
          </w:p>
        </w:tc>
        <w:tc>
          <w:tcPr>
            <w:tcW w:w="870" w:type="pct"/>
            <w:vMerge w:val="restart"/>
            <w:tcBorders>
              <w:top w:val="single" w:sz="8" w:space="0" w:color="4F81BD"/>
              <w:left w:val="single" w:sz="8" w:space="0" w:color="4F81BD"/>
              <w:right w:val="single" w:sz="8" w:space="0" w:color="4F81BD"/>
            </w:tcBorders>
            <w:shd w:val="clear" w:color="auto" w:fill="4F81BD"/>
            <w:vAlign w:val="bottom"/>
          </w:tcPr>
          <w:p w:rsidR="00A327E6" w:rsidRPr="00415FA2" w:rsidRDefault="00A327E6" w:rsidP="00415FA2">
            <w:pPr>
              <w:spacing w:before="100" w:beforeAutospacing="1" w:after="100" w:afterAutospacing="1" w:line="240" w:lineRule="auto"/>
              <w:jc w:val="center"/>
              <w:rPr>
                <w:b/>
                <w:bCs/>
                <w:color w:val="FFFFFF"/>
                <w:szCs w:val="24"/>
                <w:lang w:eastAsia="zh-TW"/>
              </w:rPr>
            </w:pPr>
            <w:r w:rsidRPr="00415FA2">
              <w:rPr>
                <w:b/>
                <w:bCs/>
                <w:color w:val="FFFFFF"/>
                <w:szCs w:val="24"/>
                <w:lang w:eastAsia="zh-TW"/>
              </w:rPr>
              <w:t>Number (%) Respondents</w:t>
            </w:r>
          </w:p>
        </w:tc>
        <w:tc>
          <w:tcPr>
            <w:tcW w:w="3479" w:type="pct"/>
            <w:gridSpan w:val="5"/>
            <w:tcBorders>
              <w:top w:val="single" w:sz="8" w:space="0" w:color="4F81BD"/>
            </w:tcBorders>
            <w:shd w:val="clear" w:color="auto" w:fill="4F81BD"/>
          </w:tcPr>
          <w:p w:rsidR="00A327E6" w:rsidRPr="00415FA2" w:rsidRDefault="00A327E6" w:rsidP="00415FA2">
            <w:pPr>
              <w:spacing w:before="100" w:beforeAutospacing="1" w:after="100" w:afterAutospacing="1" w:line="400" w:lineRule="atLeast"/>
              <w:jc w:val="center"/>
              <w:rPr>
                <w:b/>
                <w:bCs/>
                <w:color w:val="FFFFFF"/>
                <w:szCs w:val="24"/>
                <w:highlight w:val="cyan"/>
                <w:lang w:eastAsia="zh-TW"/>
              </w:rPr>
            </w:pPr>
            <w:r w:rsidRPr="00415FA2">
              <w:rPr>
                <w:b/>
                <w:bCs/>
                <w:color w:val="FFFFFF"/>
                <w:szCs w:val="24"/>
                <w:lang w:eastAsia="zh-TW"/>
              </w:rPr>
              <w:t>Range of Exposure (µg/m</w:t>
            </w:r>
            <w:r w:rsidRPr="00415FA2">
              <w:rPr>
                <w:b/>
                <w:bCs/>
                <w:color w:val="FFFFFF"/>
                <w:szCs w:val="24"/>
                <w:vertAlign w:val="superscript"/>
                <w:lang w:eastAsia="zh-TW"/>
              </w:rPr>
              <w:t>3</w:t>
            </w:r>
            <w:r w:rsidRPr="00415FA2">
              <w:rPr>
                <w:b/>
                <w:bCs/>
                <w:color w:val="FFFFFF"/>
                <w:szCs w:val="24"/>
                <w:lang w:eastAsia="zh-TW"/>
              </w:rPr>
              <w:t>)</w:t>
            </w:r>
          </w:p>
        </w:tc>
      </w:tr>
      <w:tr w:rsidR="00A327E6" w:rsidRPr="0021796A" w:rsidTr="00415FA2">
        <w:trPr>
          <w:trHeight w:val="610"/>
        </w:trPr>
        <w:tc>
          <w:tcPr>
            <w:tcW w:w="651" w:type="pct"/>
            <w:vMerge/>
            <w:tcBorders>
              <w:top w:val="single" w:sz="8" w:space="0" w:color="4F81BD"/>
              <w:bottom w:val="single" w:sz="8" w:space="0" w:color="4F81BD"/>
            </w:tcBorders>
          </w:tcPr>
          <w:p w:rsidR="00A327E6" w:rsidRPr="00415FA2" w:rsidRDefault="00A327E6" w:rsidP="00415FA2">
            <w:pPr>
              <w:spacing w:before="100" w:beforeAutospacing="1" w:after="100" w:afterAutospacing="1" w:line="400" w:lineRule="atLeast"/>
              <w:rPr>
                <w:b/>
                <w:bCs/>
                <w:szCs w:val="24"/>
                <w:lang w:eastAsia="zh-TW"/>
              </w:rPr>
            </w:pPr>
          </w:p>
        </w:tc>
        <w:tc>
          <w:tcPr>
            <w:tcW w:w="870" w:type="pct"/>
            <w:vMerge/>
            <w:tcBorders>
              <w:top w:val="single" w:sz="8" w:space="0" w:color="4F81BD"/>
              <w:left w:val="single" w:sz="8" w:space="0" w:color="4F81BD"/>
              <w:bottom w:val="single" w:sz="8" w:space="0" w:color="4F81BD"/>
              <w:right w:val="single" w:sz="8" w:space="0" w:color="4F81BD"/>
            </w:tcBorders>
          </w:tcPr>
          <w:p w:rsidR="00A327E6" w:rsidRPr="00415FA2" w:rsidRDefault="00A327E6" w:rsidP="00415FA2">
            <w:pPr>
              <w:spacing w:before="100" w:beforeAutospacing="1" w:after="100" w:afterAutospacing="1" w:line="400" w:lineRule="atLeast"/>
              <w:rPr>
                <w:szCs w:val="24"/>
                <w:lang w:eastAsia="zh-TW"/>
              </w:rPr>
            </w:pPr>
          </w:p>
        </w:tc>
        <w:tc>
          <w:tcPr>
            <w:tcW w:w="686" w:type="pct"/>
            <w:tcBorders>
              <w:top w:val="single" w:sz="8" w:space="0" w:color="4F81BD"/>
              <w:bottom w:val="single" w:sz="8" w:space="0" w:color="4F81BD"/>
            </w:tcBorders>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CO</w:t>
            </w:r>
          </w:p>
        </w:tc>
        <w:tc>
          <w:tcPr>
            <w:tcW w:w="686" w:type="pct"/>
            <w:tcBorders>
              <w:top w:val="single" w:sz="8" w:space="0" w:color="4F81BD"/>
              <w:left w:val="single" w:sz="8" w:space="0" w:color="4F81BD"/>
              <w:bottom w:val="single" w:sz="8" w:space="0" w:color="4F81BD"/>
              <w:right w:val="single" w:sz="8" w:space="0" w:color="4F81BD"/>
            </w:tcBorders>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NO</w:t>
            </w:r>
            <w:r w:rsidRPr="00415FA2">
              <w:rPr>
                <w:szCs w:val="24"/>
                <w:vertAlign w:val="subscript"/>
                <w:lang w:eastAsia="zh-TW"/>
              </w:rPr>
              <w:t>x</w:t>
            </w:r>
          </w:p>
        </w:tc>
        <w:tc>
          <w:tcPr>
            <w:tcW w:w="733" w:type="pct"/>
            <w:tcBorders>
              <w:top w:val="single" w:sz="8" w:space="0" w:color="4F81BD"/>
              <w:bottom w:val="single" w:sz="8" w:space="0" w:color="4F81BD"/>
            </w:tcBorders>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PM</w:t>
            </w:r>
            <w:r w:rsidRPr="00415FA2">
              <w:rPr>
                <w:szCs w:val="24"/>
                <w:vertAlign w:val="subscript"/>
                <w:lang w:eastAsia="zh-TW"/>
              </w:rPr>
              <w:t>2.5</w:t>
            </w:r>
          </w:p>
        </w:tc>
        <w:tc>
          <w:tcPr>
            <w:tcW w:w="713" w:type="pct"/>
            <w:tcBorders>
              <w:top w:val="single" w:sz="8" w:space="0" w:color="4F81BD"/>
              <w:left w:val="single" w:sz="8" w:space="0" w:color="4F81BD"/>
              <w:bottom w:val="single" w:sz="8" w:space="0" w:color="4F81BD"/>
              <w:right w:val="single" w:sz="8" w:space="0" w:color="4F81BD"/>
            </w:tcBorders>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SO</w:t>
            </w:r>
            <w:r w:rsidRPr="00415FA2">
              <w:rPr>
                <w:szCs w:val="24"/>
                <w:vertAlign w:val="subscript"/>
                <w:lang w:eastAsia="zh-TW"/>
              </w:rPr>
              <w:t>x</w:t>
            </w:r>
          </w:p>
        </w:tc>
        <w:tc>
          <w:tcPr>
            <w:tcW w:w="661" w:type="pct"/>
            <w:tcBorders>
              <w:top w:val="single" w:sz="8" w:space="0" w:color="4F81BD"/>
              <w:bottom w:val="single" w:sz="8" w:space="0" w:color="4F81BD"/>
            </w:tcBorders>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VOCs</w:t>
            </w:r>
          </w:p>
        </w:tc>
      </w:tr>
      <w:tr w:rsidR="00A327E6" w:rsidRPr="0021796A" w:rsidTr="00415FA2">
        <w:trPr>
          <w:trHeight w:val="673"/>
        </w:trPr>
        <w:tc>
          <w:tcPr>
            <w:tcW w:w="651" w:type="pct"/>
            <w:vAlign w:val="center"/>
          </w:tcPr>
          <w:p w:rsidR="00A327E6" w:rsidRPr="00415FA2" w:rsidRDefault="00A327E6" w:rsidP="00415FA2">
            <w:pPr>
              <w:spacing w:before="100" w:beforeAutospacing="1" w:after="100" w:afterAutospacing="1" w:line="400" w:lineRule="atLeast"/>
              <w:jc w:val="center"/>
              <w:rPr>
                <w:b/>
                <w:bCs/>
                <w:szCs w:val="24"/>
                <w:lang w:eastAsia="zh-TW"/>
              </w:rPr>
            </w:pPr>
            <w:r w:rsidRPr="00415FA2">
              <w:rPr>
                <w:b/>
                <w:bCs/>
                <w:szCs w:val="24"/>
                <w:lang w:eastAsia="zh-TW"/>
              </w:rPr>
              <w:t>Low</w:t>
            </w:r>
          </w:p>
        </w:tc>
        <w:tc>
          <w:tcPr>
            <w:tcW w:w="870" w:type="pct"/>
            <w:tcBorders>
              <w:left w:val="single" w:sz="8" w:space="0" w:color="4F81BD"/>
              <w:right w:val="single" w:sz="8" w:space="0" w:color="4F81BD"/>
            </w:tcBorders>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3034 (50%)</w:t>
            </w:r>
          </w:p>
        </w:tc>
        <w:tc>
          <w:tcPr>
            <w:tcW w:w="686" w:type="pct"/>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0.57 - 3.88</w:t>
            </w:r>
          </w:p>
        </w:tc>
        <w:tc>
          <w:tcPr>
            <w:tcW w:w="686" w:type="pct"/>
            <w:tcBorders>
              <w:left w:val="single" w:sz="8" w:space="0" w:color="4F81BD"/>
              <w:right w:val="single" w:sz="8" w:space="0" w:color="4F81BD"/>
            </w:tcBorders>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0.14 - 0.77</w:t>
            </w:r>
          </w:p>
        </w:tc>
        <w:tc>
          <w:tcPr>
            <w:tcW w:w="733" w:type="pct"/>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0.005 - 0.03</w:t>
            </w:r>
          </w:p>
        </w:tc>
        <w:tc>
          <w:tcPr>
            <w:tcW w:w="713" w:type="pct"/>
            <w:tcBorders>
              <w:left w:val="single" w:sz="8" w:space="0" w:color="4F81BD"/>
              <w:right w:val="single" w:sz="8" w:space="0" w:color="4F81BD"/>
            </w:tcBorders>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0.03 - 0.11</w:t>
            </w:r>
          </w:p>
        </w:tc>
        <w:tc>
          <w:tcPr>
            <w:tcW w:w="661" w:type="pct"/>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0.08 - 0.50</w:t>
            </w:r>
          </w:p>
        </w:tc>
      </w:tr>
      <w:tr w:rsidR="00A327E6" w:rsidRPr="0021796A" w:rsidTr="00415FA2">
        <w:trPr>
          <w:trHeight w:val="457"/>
        </w:trPr>
        <w:tc>
          <w:tcPr>
            <w:tcW w:w="651" w:type="pct"/>
            <w:tcBorders>
              <w:top w:val="single" w:sz="8" w:space="0" w:color="4F81BD"/>
              <w:bottom w:val="single" w:sz="8" w:space="0" w:color="4F81BD"/>
            </w:tcBorders>
            <w:vAlign w:val="center"/>
          </w:tcPr>
          <w:p w:rsidR="00A327E6" w:rsidRPr="00415FA2" w:rsidRDefault="00A327E6" w:rsidP="00415FA2">
            <w:pPr>
              <w:spacing w:before="100" w:beforeAutospacing="1" w:after="100" w:afterAutospacing="1" w:line="400" w:lineRule="atLeast"/>
              <w:jc w:val="center"/>
              <w:rPr>
                <w:b/>
                <w:bCs/>
                <w:szCs w:val="24"/>
                <w:lang w:eastAsia="zh-TW"/>
              </w:rPr>
            </w:pPr>
            <w:r w:rsidRPr="00415FA2">
              <w:rPr>
                <w:b/>
                <w:bCs/>
                <w:szCs w:val="24"/>
                <w:lang w:eastAsia="zh-TW"/>
              </w:rPr>
              <w:t>Medium</w:t>
            </w:r>
          </w:p>
        </w:tc>
        <w:tc>
          <w:tcPr>
            <w:tcW w:w="870" w:type="pct"/>
            <w:tcBorders>
              <w:top w:val="single" w:sz="8" w:space="0" w:color="4F81BD"/>
              <w:left w:val="single" w:sz="8" w:space="0" w:color="4F81BD"/>
              <w:bottom w:val="single" w:sz="8" w:space="0" w:color="4F81BD"/>
              <w:right w:val="single" w:sz="8" w:space="0" w:color="4F81BD"/>
            </w:tcBorders>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1834 (30%)</w:t>
            </w:r>
          </w:p>
        </w:tc>
        <w:tc>
          <w:tcPr>
            <w:tcW w:w="686" w:type="pct"/>
            <w:tcBorders>
              <w:top w:val="single" w:sz="8" w:space="0" w:color="4F81BD"/>
              <w:bottom w:val="single" w:sz="8" w:space="0" w:color="4F81BD"/>
            </w:tcBorders>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3.88 - 11.4</w:t>
            </w:r>
          </w:p>
        </w:tc>
        <w:tc>
          <w:tcPr>
            <w:tcW w:w="686" w:type="pct"/>
            <w:tcBorders>
              <w:top w:val="single" w:sz="8" w:space="0" w:color="4F81BD"/>
              <w:left w:val="single" w:sz="8" w:space="0" w:color="4F81BD"/>
              <w:bottom w:val="single" w:sz="8" w:space="0" w:color="4F81BD"/>
              <w:right w:val="single" w:sz="8" w:space="0" w:color="4F81BD"/>
            </w:tcBorders>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0.77 - 2.47</w:t>
            </w:r>
          </w:p>
        </w:tc>
        <w:tc>
          <w:tcPr>
            <w:tcW w:w="733" w:type="pct"/>
            <w:tcBorders>
              <w:top w:val="single" w:sz="8" w:space="0" w:color="4F81BD"/>
              <w:bottom w:val="single" w:sz="8" w:space="0" w:color="4F81BD"/>
            </w:tcBorders>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0.03 - 0.09</w:t>
            </w:r>
          </w:p>
        </w:tc>
        <w:tc>
          <w:tcPr>
            <w:tcW w:w="713" w:type="pct"/>
            <w:tcBorders>
              <w:top w:val="single" w:sz="8" w:space="0" w:color="4F81BD"/>
              <w:left w:val="single" w:sz="8" w:space="0" w:color="4F81BD"/>
              <w:bottom w:val="single" w:sz="8" w:space="0" w:color="4F81BD"/>
              <w:right w:val="single" w:sz="8" w:space="0" w:color="4F81BD"/>
            </w:tcBorders>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0.11 - 0.34</w:t>
            </w:r>
          </w:p>
        </w:tc>
        <w:tc>
          <w:tcPr>
            <w:tcW w:w="661" w:type="pct"/>
            <w:tcBorders>
              <w:top w:val="single" w:sz="8" w:space="0" w:color="4F81BD"/>
              <w:bottom w:val="single" w:sz="8" w:space="0" w:color="4F81BD"/>
            </w:tcBorders>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0.50 - 1.53</w:t>
            </w:r>
          </w:p>
        </w:tc>
      </w:tr>
      <w:tr w:rsidR="00A327E6" w:rsidRPr="0021796A" w:rsidTr="00415FA2">
        <w:trPr>
          <w:trHeight w:val="457"/>
        </w:trPr>
        <w:tc>
          <w:tcPr>
            <w:tcW w:w="651" w:type="pct"/>
            <w:tcBorders>
              <w:bottom w:val="single" w:sz="8" w:space="0" w:color="4F81BD"/>
            </w:tcBorders>
            <w:vAlign w:val="center"/>
          </w:tcPr>
          <w:p w:rsidR="00A327E6" w:rsidRPr="00415FA2" w:rsidRDefault="00A327E6" w:rsidP="00415FA2">
            <w:pPr>
              <w:spacing w:before="100" w:beforeAutospacing="1" w:after="100" w:afterAutospacing="1" w:line="400" w:lineRule="atLeast"/>
              <w:jc w:val="center"/>
              <w:rPr>
                <w:b/>
                <w:bCs/>
                <w:szCs w:val="24"/>
                <w:lang w:eastAsia="zh-TW"/>
              </w:rPr>
            </w:pPr>
            <w:r w:rsidRPr="00415FA2">
              <w:rPr>
                <w:b/>
                <w:bCs/>
                <w:szCs w:val="24"/>
                <w:lang w:eastAsia="zh-TW"/>
              </w:rPr>
              <w:t>High</w:t>
            </w:r>
          </w:p>
        </w:tc>
        <w:tc>
          <w:tcPr>
            <w:tcW w:w="870" w:type="pct"/>
            <w:tcBorders>
              <w:left w:val="single" w:sz="8" w:space="0" w:color="4F81BD"/>
              <w:bottom w:val="single" w:sz="8" w:space="0" w:color="4F81BD"/>
              <w:right w:val="single" w:sz="8" w:space="0" w:color="4F81BD"/>
            </w:tcBorders>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1204 (20%)</w:t>
            </w:r>
          </w:p>
        </w:tc>
        <w:tc>
          <w:tcPr>
            <w:tcW w:w="686" w:type="pct"/>
            <w:tcBorders>
              <w:bottom w:val="single" w:sz="8" w:space="0" w:color="4F81BD"/>
            </w:tcBorders>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11.4 - 109</w:t>
            </w:r>
          </w:p>
        </w:tc>
        <w:tc>
          <w:tcPr>
            <w:tcW w:w="686" w:type="pct"/>
            <w:tcBorders>
              <w:left w:val="single" w:sz="8" w:space="0" w:color="4F81BD"/>
              <w:bottom w:val="single" w:sz="8" w:space="0" w:color="4F81BD"/>
              <w:right w:val="single" w:sz="8" w:space="0" w:color="4F81BD"/>
            </w:tcBorders>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2.47 - 15.0</w:t>
            </w:r>
          </w:p>
        </w:tc>
        <w:tc>
          <w:tcPr>
            <w:tcW w:w="733" w:type="pct"/>
            <w:tcBorders>
              <w:bottom w:val="single" w:sz="8" w:space="0" w:color="4F81BD"/>
            </w:tcBorders>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0.09 - 0.65</w:t>
            </w:r>
          </w:p>
        </w:tc>
        <w:tc>
          <w:tcPr>
            <w:tcW w:w="713" w:type="pct"/>
            <w:tcBorders>
              <w:left w:val="single" w:sz="8" w:space="0" w:color="4F81BD"/>
              <w:bottom w:val="single" w:sz="8" w:space="0" w:color="4F81BD"/>
              <w:right w:val="single" w:sz="8" w:space="0" w:color="4F81BD"/>
            </w:tcBorders>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0.34 - 1.39</w:t>
            </w:r>
          </w:p>
        </w:tc>
        <w:tc>
          <w:tcPr>
            <w:tcW w:w="661" w:type="pct"/>
            <w:tcBorders>
              <w:bottom w:val="single" w:sz="8" w:space="0" w:color="4F81BD"/>
            </w:tcBorders>
            <w:vAlign w:val="center"/>
          </w:tcPr>
          <w:p w:rsidR="00A327E6" w:rsidRPr="00415FA2" w:rsidRDefault="00A327E6" w:rsidP="00415FA2">
            <w:pPr>
              <w:spacing w:before="100" w:beforeAutospacing="1" w:after="100" w:afterAutospacing="1" w:line="400" w:lineRule="atLeast"/>
              <w:jc w:val="center"/>
              <w:rPr>
                <w:szCs w:val="24"/>
                <w:lang w:eastAsia="zh-TW"/>
              </w:rPr>
            </w:pPr>
            <w:r w:rsidRPr="00415FA2">
              <w:rPr>
                <w:szCs w:val="24"/>
                <w:lang w:eastAsia="zh-TW"/>
              </w:rPr>
              <w:t>1.53 - 11.6</w:t>
            </w:r>
          </w:p>
        </w:tc>
      </w:tr>
    </w:tbl>
    <w:p w:rsidR="00A327E6" w:rsidRDefault="00A327E6" w:rsidP="00E44AAF">
      <w:pPr>
        <w:spacing w:before="100" w:beforeAutospacing="1" w:after="100" w:afterAutospacing="1" w:line="400" w:lineRule="atLeast"/>
        <w:ind w:firstLine="720"/>
        <w:rPr>
          <w:szCs w:val="24"/>
        </w:rPr>
      </w:pPr>
      <w:r>
        <w:rPr>
          <w:szCs w:val="24"/>
        </w:rPr>
        <w:t>O</w:t>
      </w:r>
      <w:r w:rsidRPr="0021796A">
        <w:rPr>
          <w:szCs w:val="24"/>
        </w:rPr>
        <w:t>f the 6,072 individuals in the study, 93% were assigned the same categorization (</w:t>
      </w:r>
      <w:r>
        <w:rPr>
          <w:szCs w:val="24"/>
        </w:rPr>
        <w:t>high</w:t>
      </w:r>
      <w:r w:rsidRPr="0021796A">
        <w:rPr>
          <w:szCs w:val="24"/>
        </w:rPr>
        <w:t xml:space="preserve">, medium, or </w:t>
      </w:r>
      <w:r>
        <w:rPr>
          <w:szCs w:val="24"/>
        </w:rPr>
        <w:t>low</w:t>
      </w:r>
      <w:r w:rsidRPr="0021796A">
        <w:rPr>
          <w:szCs w:val="24"/>
        </w:rPr>
        <w:t xml:space="preserve">) for all five targeted air pollutants based on the cut-points described above.  Only 420 (7%) were assigned to different categories based on different pollutants; some were categorized to both </w:t>
      </w:r>
      <w:r>
        <w:rPr>
          <w:szCs w:val="24"/>
        </w:rPr>
        <w:t>low</w:t>
      </w:r>
      <w:r w:rsidRPr="0021796A">
        <w:rPr>
          <w:szCs w:val="24"/>
        </w:rPr>
        <w:t xml:space="preserve"> and medium exposure groups and some were categorized to both medium and </w:t>
      </w:r>
      <w:r>
        <w:rPr>
          <w:szCs w:val="24"/>
        </w:rPr>
        <w:t>high</w:t>
      </w:r>
      <w:r w:rsidRPr="0021796A">
        <w:rPr>
          <w:szCs w:val="24"/>
        </w:rPr>
        <w:t xml:space="preserve"> exposure groups.  None were assigned to both </w:t>
      </w:r>
      <w:r>
        <w:rPr>
          <w:szCs w:val="24"/>
        </w:rPr>
        <w:t xml:space="preserve">low </w:t>
      </w:r>
      <w:r w:rsidRPr="0021796A">
        <w:rPr>
          <w:szCs w:val="24"/>
        </w:rPr>
        <w:t xml:space="preserve">and </w:t>
      </w:r>
      <w:r>
        <w:rPr>
          <w:szCs w:val="24"/>
        </w:rPr>
        <w:t>high</w:t>
      </w:r>
      <w:r w:rsidRPr="0021796A">
        <w:rPr>
          <w:szCs w:val="24"/>
        </w:rPr>
        <w:t xml:space="preserve"> categories.  For the combined exposure variable, these 420 individuals were assigned to the exposure category most represented by the five pollutants (i.e., the exposure category assigned to three or more of the five air pollutants). The combined exposure variable was used for all subsequent analyses of associations between health outcomes and airport-related air pollution.  The estimated exposure areas </w:t>
      </w:r>
      <w:r>
        <w:rPr>
          <w:szCs w:val="24"/>
        </w:rPr>
        <w:t>associated with assigning high, medium, and low</w:t>
      </w:r>
      <w:r w:rsidRPr="0021796A">
        <w:rPr>
          <w:szCs w:val="24"/>
        </w:rPr>
        <w:t xml:space="preserve"> exposures to respondents is illustrated in </w:t>
      </w:r>
      <w:r>
        <w:rPr>
          <w:szCs w:val="24"/>
        </w:rPr>
        <w:t>a map of the study area in Figure 4-5.</w:t>
      </w:r>
    </w:p>
    <w:p w:rsidR="00A327E6" w:rsidRDefault="00A327E6" w:rsidP="00E44AAF">
      <w:pPr>
        <w:spacing w:before="100" w:beforeAutospacing="1" w:after="100" w:afterAutospacing="1" w:line="400" w:lineRule="atLeast"/>
        <w:ind w:firstLine="720"/>
        <w:rPr>
          <w:szCs w:val="24"/>
        </w:rPr>
      </w:pPr>
      <w:r>
        <w:rPr>
          <w:szCs w:val="24"/>
        </w:rPr>
        <w:t>To further evaluate the choice of averaging time, combined exposure variables were created for maximum 24-hour and 1-hour pollutant concentrations, as well. Using the same percentile cut-points for high, medium, and low exposure areas, there was a 95% agreement in respondent categorization when using annual average versus 24-hour maximum concentrations and a 90% agreement when comparing annual average to 1-hour maximum concentrations.</w:t>
      </w:r>
    </w:p>
    <w:p w:rsidR="00A327E6" w:rsidRPr="00B23A37" w:rsidRDefault="00A327E6" w:rsidP="00E17A00">
      <w:pPr>
        <w:spacing w:before="0" w:after="0" w:line="240" w:lineRule="auto"/>
      </w:pPr>
      <w:bookmarkStart w:id="133" w:name="_Ref350436119"/>
    </w:p>
    <w:p w:rsidR="00A327E6" w:rsidRPr="0021796A" w:rsidRDefault="00A327E6" w:rsidP="00E17A00">
      <w:pPr>
        <w:pStyle w:val="Caption"/>
        <w:spacing w:before="0" w:after="0" w:line="240" w:lineRule="auto"/>
        <w:rPr>
          <w:szCs w:val="24"/>
        </w:rPr>
      </w:pPr>
      <w:bookmarkStart w:id="134" w:name="_Toc386796334"/>
      <w:r w:rsidRPr="0021796A">
        <w:rPr>
          <w:szCs w:val="24"/>
        </w:rPr>
        <w:t xml:space="preserve">Figure </w:t>
      </w:r>
      <w:r>
        <w:rPr>
          <w:szCs w:val="24"/>
        </w:rPr>
        <w:fldChar w:fldCharType="begin"/>
      </w:r>
      <w:r>
        <w:rPr>
          <w:szCs w:val="24"/>
        </w:rPr>
        <w:instrText xml:space="preserve"> STYLEREF 1 \s </w:instrText>
      </w:r>
      <w:r>
        <w:rPr>
          <w:szCs w:val="24"/>
        </w:rPr>
        <w:fldChar w:fldCharType="separate"/>
      </w:r>
      <w:r>
        <w:rPr>
          <w:noProof/>
          <w:szCs w:val="24"/>
        </w:rPr>
        <w:t>4</w:t>
      </w:r>
      <w:r>
        <w:rPr>
          <w:szCs w:val="24"/>
        </w:rPr>
        <w:fldChar w:fldCharType="end"/>
      </w:r>
      <w:r>
        <w:rPr>
          <w:szCs w:val="24"/>
        </w:rPr>
        <w:noBreakHyphen/>
      </w:r>
      <w:r>
        <w:rPr>
          <w:szCs w:val="24"/>
        </w:rPr>
        <w:fldChar w:fldCharType="begin"/>
      </w:r>
      <w:r>
        <w:rPr>
          <w:szCs w:val="24"/>
        </w:rPr>
        <w:instrText xml:space="preserve"> SEQ Figure \* ARABIC \s 1 </w:instrText>
      </w:r>
      <w:r>
        <w:rPr>
          <w:szCs w:val="24"/>
        </w:rPr>
        <w:fldChar w:fldCharType="separate"/>
      </w:r>
      <w:r>
        <w:rPr>
          <w:noProof/>
          <w:szCs w:val="24"/>
        </w:rPr>
        <w:t>5</w:t>
      </w:r>
      <w:r>
        <w:rPr>
          <w:szCs w:val="24"/>
        </w:rPr>
        <w:fldChar w:fldCharType="end"/>
      </w:r>
      <w:bookmarkEnd w:id="133"/>
      <w:r>
        <w:rPr>
          <w:noProof/>
          <w:szCs w:val="24"/>
        </w:rPr>
        <w:t>.</w:t>
      </w:r>
      <w:r w:rsidRPr="0021796A">
        <w:rPr>
          <w:szCs w:val="24"/>
        </w:rPr>
        <w:t xml:space="preserve"> </w:t>
      </w:r>
      <w:r>
        <w:rPr>
          <w:szCs w:val="24"/>
        </w:rPr>
        <w:t xml:space="preserve"> </w:t>
      </w:r>
      <w:r w:rsidRPr="0021796A">
        <w:rPr>
          <w:szCs w:val="24"/>
        </w:rPr>
        <w:t>Estimated Exposure</w:t>
      </w:r>
      <w:r>
        <w:rPr>
          <w:szCs w:val="24"/>
        </w:rPr>
        <w:t xml:space="preserve"> Areas Based on Assigning High, </w:t>
      </w:r>
      <w:r w:rsidRPr="0021796A">
        <w:rPr>
          <w:szCs w:val="24"/>
        </w:rPr>
        <w:t>Medium</w:t>
      </w:r>
      <w:r>
        <w:rPr>
          <w:szCs w:val="24"/>
        </w:rPr>
        <w:t>, and Low</w:t>
      </w:r>
      <w:r w:rsidRPr="0021796A">
        <w:rPr>
          <w:szCs w:val="24"/>
        </w:rPr>
        <w:t xml:space="preserve"> Exposure Areas to Respondents</w:t>
      </w:r>
      <w:bookmarkEnd w:id="134"/>
    </w:p>
    <w:p w:rsidR="00A327E6" w:rsidRPr="0021796A" w:rsidRDefault="00A327E6" w:rsidP="00E17A00">
      <w:pPr>
        <w:spacing w:before="100" w:beforeAutospacing="1" w:after="100" w:afterAutospacing="1" w:line="400" w:lineRule="atLeast"/>
        <w:jc w:val="center"/>
        <w:rPr>
          <w:szCs w:val="24"/>
        </w:rPr>
      </w:pPr>
      <w:r w:rsidRPr="00415FA2">
        <w:rPr>
          <w:noProof/>
          <w:szCs w:val="24"/>
          <w:lang w:eastAsia="zh-TW"/>
        </w:rPr>
        <w:pict>
          <v:shape id="Picture 1" o:spid="_x0000_i1033" type="#_x0000_t75" alt="Map of the 17 communities in the LAHS classified as being in the high, medium or low exposure areas according to modeled air pollution concentrations. " style="width:480.6pt;height:393.6pt;visibility:visible">
            <v:imagedata r:id="rId22" o:title=""/>
          </v:shape>
        </w:pict>
      </w:r>
    </w:p>
    <w:p w:rsidR="00A327E6" w:rsidRPr="0021796A" w:rsidRDefault="00A327E6" w:rsidP="00E44AAF">
      <w:pPr>
        <w:pStyle w:val="Heading2"/>
        <w:spacing w:line="240" w:lineRule="auto"/>
      </w:pPr>
      <w:bookmarkStart w:id="135" w:name="_Toc350413072"/>
      <w:bookmarkStart w:id="136" w:name="_Toc388543102"/>
      <w:r>
        <w:t>Consideration of N</w:t>
      </w:r>
      <w:r w:rsidRPr="0021796A">
        <w:t>on-</w:t>
      </w:r>
      <w:r>
        <w:t>A</w:t>
      </w:r>
      <w:r w:rsidRPr="0021796A">
        <w:t xml:space="preserve">irport </w:t>
      </w:r>
      <w:r>
        <w:t>R</w:t>
      </w:r>
      <w:r w:rsidRPr="0021796A">
        <w:t xml:space="preserve">elated </w:t>
      </w:r>
      <w:r>
        <w:t>B</w:t>
      </w:r>
      <w:r w:rsidRPr="0021796A">
        <w:t xml:space="preserve">ackground </w:t>
      </w:r>
      <w:r>
        <w:t>A</w:t>
      </w:r>
      <w:r w:rsidRPr="0021796A">
        <w:t xml:space="preserve">ir </w:t>
      </w:r>
      <w:r>
        <w:t>P</w:t>
      </w:r>
      <w:r w:rsidRPr="0021796A">
        <w:t>ollution</w:t>
      </w:r>
      <w:bookmarkEnd w:id="135"/>
      <w:bookmarkEnd w:id="136"/>
    </w:p>
    <w:p w:rsidR="00A327E6" w:rsidRDefault="00A327E6" w:rsidP="00E44AAF">
      <w:pPr>
        <w:spacing w:before="100" w:beforeAutospacing="1" w:after="100" w:afterAutospacing="1" w:line="400" w:lineRule="atLeast"/>
        <w:ind w:firstLine="720"/>
        <w:rPr>
          <w:szCs w:val="24"/>
        </w:rPr>
      </w:pPr>
      <w:r w:rsidRPr="0021796A">
        <w:rPr>
          <w:szCs w:val="24"/>
        </w:rPr>
        <w:t>Exposure to air pollution from sources not associated with Logan Airport was taken into consideration as a potential confounding factor in the analysis.  Air pollutants similar to those emitted from airport sources are present in the airshed across the study area</w:t>
      </w:r>
      <w:bookmarkStart w:id="137" w:name="_Ref350001284"/>
      <w:r w:rsidRPr="0021796A">
        <w:rPr>
          <w:szCs w:val="24"/>
        </w:rPr>
        <w:t xml:space="preserve"> from sources such as vehicle exhaust, power plant emissions, and other industrial processes.  Given the variability of air pollutants across the study area and other factors that influence exposure (e.g., activity patterns), residents living in the study area are not likely to be equally exposed to these background air pollutants.  To account for </w:t>
      </w:r>
      <w:r>
        <w:rPr>
          <w:szCs w:val="24"/>
        </w:rPr>
        <w:t xml:space="preserve">the variability of </w:t>
      </w:r>
      <w:r w:rsidRPr="0021796A">
        <w:rPr>
          <w:szCs w:val="24"/>
        </w:rPr>
        <w:t>background air pollution exposure in the analysis, two measures of air pollution exposure were developed</w:t>
      </w:r>
      <w:r>
        <w:rPr>
          <w:szCs w:val="24"/>
        </w:rPr>
        <w:t xml:space="preserve"> (see Appendix B).</w:t>
      </w:r>
    </w:p>
    <w:p w:rsidR="00A327E6" w:rsidRDefault="00A327E6" w:rsidP="00E44AAF">
      <w:pPr>
        <w:spacing w:before="100" w:beforeAutospacing="1" w:after="100" w:afterAutospacing="1" w:line="400" w:lineRule="atLeast"/>
        <w:ind w:firstLine="720"/>
        <w:rPr>
          <w:szCs w:val="24"/>
        </w:rPr>
      </w:pPr>
      <w:r w:rsidRPr="0021796A">
        <w:rPr>
          <w:szCs w:val="24"/>
        </w:rPr>
        <w:t>First, each household respondent was assigned an annual average predicted background PM</w:t>
      </w:r>
      <w:r w:rsidRPr="0021796A">
        <w:rPr>
          <w:szCs w:val="24"/>
          <w:vertAlign w:val="subscript"/>
        </w:rPr>
        <w:t xml:space="preserve">2.5 </w:t>
      </w:r>
      <w:r w:rsidRPr="0021796A">
        <w:rPr>
          <w:szCs w:val="24"/>
        </w:rPr>
        <w:t xml:space="preserve">concentration based on measurements from the ambient air monitoring station nearest their home.  </w:t>
      </w:r>
      <w:r>
        <w:rPr>
          <w:szCs w:val="24"/>
        </w:rPr>
        <w:t xml:space="preserve">The Massachusetts Department of Environmental Protection operates air quality monitoring stations that measure and report air pollution levels across the study area.  These background air pollution levels represent a general measure of the best available air quality data across the study area.  </w:t>
      </w:r>
      <w:r w:rsidRPr="0021796A">
        <w:rPr>
          <w:szCs w:val="24"/>
        </w:rPr>
        <w:t>Since air pollution monitoring data may be influenced by both airport and non-airport related emissions, the predicted background PM</w:t>
      </w:r>
      <w:r w:rsidRPr="0021796A">
        <w:rPr>
          <w:szCs w:val="24"/>
          <w:vertAlign w:val="subscript"/>
        </w:rPr>
        <w:t>2.5</w:t>
      </w:r>
      <w:r w:rsidRPr="0021796A">
        <w:rPr>
          <w:szCs w:val="24"/>
        </w:rPr>
        <w:t xml:space="preserve"> concentrations assigned to each respondent were adjusted by subtracting the airport-related contributions of PM</w:t>
      </w:r>
      <w:r w:rsidRPr="0021796A">
        <w:rPr>
          <w:szCs w:val="24"/>
          <w:vertAlign w:val="subscript"/>
        </w:rPr>
        <w:t xml:space="preserve">2.5 </w:t>
      </w:r>
      <w:r w:rsidRPr="0021796A">
        <w:rPr>
          <w:szCs w:val="24"/>
        </w:rPr>
        <w:t>that were estimated for each household using air dispersion modeling of airport operations (see Appendix B for more details on the derivation of background pollutant concentrations for this study). The derived background PM</w:t>
      </w:r>
      <w:r w:rsidRPr="0021796A">
        <w:rPr>
          <w:szCs w:val="24"/>
          <w:vertAlign w:val="subscript"/>
        </w:rPr>
        <w:t>2.5</w:t>
      </w:r>
      <w:r w:rsidRPr="0021796A">
        <w:rPr>
          <w:szCs w:val="24"/>
        </w:rPr>
        <w:t xml:space="preserve"> concentrations assigned to each household were then included in all multivariate regression analyses (as discussed in upcoming Chapter 5) of associations between health outcomes and estimated airport-related air pollution exposure.</w:t>
      </w:r>
    </w:p>
    <w:p w:rsidR="00A327E6" w:rsidRDefault="00A327E6" w:rsidP="00E44AAF">
      <w:pPr>
        <w:spacing w:before="100" w:beforeAutospacing="1" w:after="100" w:afterAutospacing="1" w:line="400" w:lineRule="atLeast"/>
        <w:ind w:firstLine="720"/>
        <w:rPr>
          <w:bCs/>
          <w:szCs w:val="24"/>
        </w:rPr>
      </w:pPr>
    </w:p>
    <w:p w:rsidR="00A327E6" w:rsidRDefault="00A327E6" w:rsidP="00E44AAF">
      <w:pPr>
        <w:spacing w:before="100" w:beforeAutospacing="1" w:after="100" w:afterAutospacing="1" w:line="400" w:lineRule="atLeast"/>
        <w:ind w:firstLine="720"/>
        <w:rPr>
          <w:bCs/>
          <w:szCs w:val="24"/>
        </w:rPr>
      </w:pPr>
    </w:p>
    <w:p w:rsidR="00A327E6" w:rsidRDefault="00A327E6" w:rsidP="00E44AAF">
      <w:pPr>
        <w:spacing w:before="100" w:beforeAutospacing="1" w:after="100" w:afterAutospacing="1" w:line="400" w:lineRule="atLeast"/>
        <w:ind w:firstLine="720"/>
        <w:rPr>
          <w:szCs w:val="24"/>
        </w:rPr>
      </w:pPr>
      <w:r>
        <w:rPr>
          <w:bCs/>
          <w:szCs w:val="24"/>
        </w:rPr>
        <w:t xml:space="preserve">To provide context </w:t>
      </w:r>
      <w:r w:rsidRPr="0082332C">
        <w:rPr>
          <w:bCs/>
          <w:szCs w:val="24"/>
        </w:rPr>
        <w:t xml:space="preserve">of background concentrations, the annual average </w:t>
      </w:r>
      <w:r>
        <w:rPr>
          <w:bCs/>
          <w:szCs w:val="24"/>
        </w:rPr>
        <w:t>predicted concentrations from modeled airport operations at Logan Airport assigned to each respondent</w:t>
      </w:r>
      <w:r w:rsidRPr="0082332C">
        <w:rPr>
          <w:bCs/>
          <w:szCs w:val="24"/>
        </w:rPr>
        <w:t xml:space="preserve"> </w:t>
      </w:r>
      <w:r>
        <w:rPr>
          <w:bCs/>
          <w:szCs w:val="24"/>
        </w:rPr>
        <w:t xml:space="preserve">were compared to </w:t>
      </w:r>
      <w:r w:rsidRPr="0082332C">
        <w:rPr>
          <w:bCs/>
          <w:szCs w:val="24"/>
        </w:rPr>
        <w:t xml:space="preserve">the annual average </w:t>
      </w:r>
      <w:r>
        <w:rPr>
          <w:bCs/>
          <w:szCs w:val="24"/>
        </w:rPr>
        <w:t>monitored PM</w:t>
      </w:r>
      <w:r w:rsidRPr="002448FF">
        <w:rPr>
          <w:bCs/>
          <w:szCs w:val="24"/>
          <w:vertAlign w:val="subscript"/>
        </w:rPr>
        <w:t>2.5</w:t>
      </w:r>
      <w:r>
        <w:rPr>
          <w:bCs/>
          <w:szCs w:val="24"/>
        </w:rPr>
        <w:t xml:space="preserve"> background value assigned to each respondent</w:t>
      </w:r>
      <w:r w:rsidRPr="0082332C">
        <w:rPr>
          <w:bCs/>
          <w:szCs w:val="24"/>
        </w:rPr>
        <w:t xml:space="preserve"> </w:t>
      </w:r>
      <w:r>
        <w:rPr>
          <w:bCs/>
          <w:szCs w:val="24"/>
        </w:rPr>
        <w:t xml:space="preserve">(see Table 1 in Appendix B).  </w:t>
      </w:r>
      <w:r w:rsidRPr="0082332C">
        <w:rPr>
          <w:bCs/>
          <w:szCs w:val="24"/>
        </w:rPr>
        <w:t xml:space="preserve">The ratio of </w:t>
      </w:r>
      <w:r>
        <w:rPr>
          <w:bCs/>
          <w:szCs w:val="24"/>
        </w:rPr>
        <w:t>predicted PM</w:t>
      </w:r>
      <w:r>
        <w:rPr>
          <w:bCs/>
          <w:szCs w:val="24"/>
          <w:vertAlign w:val="subscript"/>
        </w:rPr>
        <w:t>2.5</w:t>
      </w:r>
      <w:r>
        <w:rPr>
          <w:bCs/>
          <w:szCs w:val="24"/>
        </w:rPr>
        <w:t xml:space="preserve"> contributions from </w:t>
      </w:r>
      <w:r w:rsidRPr="0082332C">
        <w:rPr>
          <w:bCs/>
          <w:szCs w:val="24"/>
        </w:rPr>
        <w:t xml:space="preserve">Logan </w:t>
      </w:r>
      <w:r>
        <w:rPr>
          <w:bCs/>
          <w:szCs w:val="24"/>
        </w:rPr>
        <w:t xml:space="preserve">Airport </w:t>
      </w:r>
      <w:r w:rsidRPr="0082332C">
        <w:rPr>
          <w:bCs/>
          <w:szCs w:val="24"/>
        </w:rPr>
        <w:t xml:space="preserve">to the </w:t>
      </w:r>
      <w:r>
        <w:rPr>
          <w:bCs/>
          <w:szCs w:val="24"/>
        </w:rPr>
        <w:t>b</w:t>
      </w:r>
      <w:r w:rsidRPr="0082332C">
        <w:rPr>
          <w:bCs/>
          <w:szCs w:val="24"/>
        </w:rPr>
        <w:t xml:space="preserve">ackground </w:t>
      </w:r>
      <w:r>
        <w:rPr>
          <w:bCs/>
          <w:szCs w:val="24"/>
        </w:rPr>
        <w:t xml:space="preserve">air pollutant monitored </w:t>
      </w:r>
      <w:r w:rsidRPr="0082332C">
        <w:rPr>
          <w:bCs/>
          <w:szCs w:val="24"/>
        </w:rPr>
        <w:t xml:space="preserve">values for </w:t>
      </w:r>
      <w:r>
        <w:rPr>
          <w:bCs/>
          <w:szCs w:val="24"/>
        </w:rPr>
        <w:t>all respondents</w:t>
      </w:r>
      <w:r w:rsidRPr="0082332C">
        <w:rPr>
          <w:bCs/>
          <w:szCs w:val="24"/>
        </w:rPr>
        <w:t xml:space="preserve"> is about 0.006</w:t>
      </w:r>
      <w:r>
        <w:rPr>
          <w:rStyle w:val="FootnoteReference"/>
          <w:bCs/>
          <w:szCs w:val="24"/>
        </w:rPr>
        <w:footnoteReference w:id="4"/>
      </w:r>
      <w:r w:rsidRPr="0082332C">
        <w:rPr>
          <w:bCs/>
          <w:szCs w:val="24"/>
        </w:rPr>
        <w:t>.</w:t>
      </w:r>
      <w:r>
        <w:rPr>
          <w:bCs/>
          <w:szCs w:val="24"/>
        </w:rPr>
        <w:t xml:space="preserve">  Since</w:t>
      </w:r>
      <w:r w:rsidRPr="0082332C">
        <w:rPr>
          <w:bCs/>
          <w:szCs w:val="24"/>
        </w:rPr>
        <w:t xml:space="preserve"> this ratio includes </w:t>
      </w:r>
      <w:r>
        <w:rPr>
          <w:bCs/>
          <w:szCs w:val="24"/>
        </w:rPr>
        <w:t>a</w:t>
      </w:r>
      <w:r w:rsidRPr="0082332C">
        <w:rPr>
          <w:bCs/>
          <w:szCs w:val="24"/>
        </w:rPr>
        <w:t xml:space="preserve"> large number of </w:t>
      </w:r>
      <w:r w:rsidRPr="007A3261">
        <w:rPr>
          <w:bCs/>
          <w:szCs w:val="24"/>
        </w:rPr>
        <w:t>predictions</w:t>
      </w:r>
      <w:r w:rsidRPr="0082332C">
        <w:rPr>
          <w:bCs/>
          <w:szCs w:val="24"/>
        </w:rPr>
        <w:t xml:space="preserve"> at large distances from the airport, ratios </w:t>
      </w:r>
      <w:r>
        <w:rPr>
          <w:bCs/>
          <w:szCs w:val="24"/>
        </w:rPr>
        <w:t xml:space="preserve">were also calculated </w:t>
      </w:r>
      <w:r w:rsidRPr="0082332C">
        <w:rPr>
          <w:bCs/>
          <w:szCs w:val="24"/>
        </w:rPr>
        <w:t xml:space="preserve">for </w:t>
      </w:r>
      <w:r>
        <w:rPr>
          <w:bCs/>
          <w:szCs w:val="24"/>
        </w:rPr>
        <w:t xml:space="preserve">those households with the highest predicted Logan Airport concentrations. </w:t>
      </w:r>
      <w:r w:rsidRPr="0082332C">
        <w:rPr>
          <w:bCs/>
          <w:szCs w:val="24"/>
        </w:rPr>
        <w:t xml:space="preserve"> </w:t>
      </w:r>
      <w:r>
        <w:rPr>
          <w:bCs/>
          <w:szCs w:val="24"/>
        </w:rPr>
        <w:t>These include</w:t>
      </w:r>
      <w:r w:rsidRPr="0082332C">
        <w:rPr>
          <w:bCs/>
          <w:szCs w:val="24"/>
        </w:rPr>
        <w:t xml:space="preserve"> ratios </w:t>
      </w:r>
      <w:r>
        <w:rPr>
          <w:bCs/>
          <w:szCs w:val="24"/>
        </w:rPr>
        <w:t>of Logan Airport to background</w:t>
      </w:r>
      <w:r w:rsidRPr="0082332C">
        <w:rPr>
          <w:bCs/>
          <w:szCs w:val="24"/>
        </w:rPr>
        <w:t xml:space="preserve"> for the </w:t>
      </w:r>
      <w:r>
        <w:rPr>
          <w:bCs/>
          <w:szCs w:val="24"/>
        </w:rPr>
        <w:t>3% of households with predicted Logan Airport PM</w:t>
      </w:r>
      <w:r>
        <w:rPr>
          <w:bCs/>
          <w:szCs w:val="24"/>
          <w:vertAlign w:val="subscript"/>
        </w:rPr>
        <w:t>2.5</w:t>
      </w:r>
      <w:r>
        <w:rPr>
          <w:bCs/>
          <w:szCs w:val="24"/>
        </w:rPr>
        <w:t xml:space="preserve"> </w:t>
      </w:r>
      <w:r w:rsidRPr="0082332C">
        <w:rPr>
          <w:bCs/>
          <w:szCs w:val="24"/>
        </w:rPr>
        <w:t>concentration</w:t>
      </w:r>
      <w:r>
        <w:rPr>
          <w:bCs/>
          <w:szCs w:val="24"/>
        </w:rPr>
        <w:t>s</w:t>
      </w:r>
      <w:r w:rsidRPr="0082332C">
        <w:rPr>
          <w:bCs/>
          <w:szCs w:val="24"/>
        </w:rPr>
        <w:t xml:space="preserve"> </w:t>
      </w:r>
      <w:r>
        <w:rPr>
          <w:bCs/>
          <w:szCs w:val="24"/>
        </w:rPr>
        <w:t>that</w:t>
      </w:r>
      <w:r w:rsidRPr="0082332C">
        <w:rPr>
          <w:bCs/>
          <w:szCs w:val="24"/>
        </w:rPr>
        <w:t xml:space="preserve"> exceed 50% of the maximum value and the </w:t>
      </w:r>
      <w:r>
        <w:rPr>
          <w:bCs/>
          <w:szCs w:val="24"/>
        </w:rPr>
        <w:t xml:space="preserve">0.6% of households with </w:t>
      </w:r>
      <w:r w:rsidRPr="0082332C">
        <w:rPr>
          <w:bCs/>
          <w:szCs w:val="24"/>
        </w:rPr>
        <w:t>concentration</w:t>
      </w:r>
      <w:r>
        <w:rPr>
          <w:bCs/>
          <w:szCs w:val="24"/>
        </w:rPr>
        <w:t>s</w:t>
      </w:r>
      <w:r w:rsidRPr="0082332C">
        <w:rPr>
          <w:bCs/>
          <w:szCs w:val="24"/>
        </w:rPr>
        <w:t xml:space="preserve"> </w:t>
      </w:r>
      <w:r>
        <w:rPr>
          <w:bCs/>
          <w:szCs w:val="24"/>
        </w:rPr>
        <w:t>that</w:t>
      </w:r>
      <w:r w:rsidRPr="0082332C">
        <w:rPr>
          <w:bCs/>
          <w:szCs w:val="24"/>
        </w:rPr>
        <w:t xml:space="preserve"> exceed 75% of the maximum value. </w:t>
      </w:r>
      <w:r>
        <w:rPr>
          <w:bCs/>
          <w:szCs w:val="24"/>
        </w:rPr>
        <w:t>F</w:t>
      </w:r>
      <w:r w:rsidRPr="0082332C">
        <w:rPr>
          <w:bCs/>
          <w:szCs w:val="24"/>
        </w:rPr>
        <w:t>or th</w:t>
      </w:r>
      <w:r>
        <w:rPr>
          <w:bCs/>
          <w:szCs w:val="24"/>
        </w:rPr>
        <w:t xml:space="preserve">ose </w:t>
      </w:r>
      <w:r w:rsidRPr="0082332C">
        <w:rPr>
          <w:bCs/>
          <w:szCs w:val="24"/>
        </w:rPr>
        <w:t>e</w:t>
      </w:r>
      <w:r>
        <w:rPr>
          <w:bCs/>
          <w:szCs w:val="24"/>
        </w:rPr>
        <w:t>xceeding</w:t>
      </w:r>
      <w:r w:rsidRPr="0082332C">
        <w:rPr>
          <w:bCs/>
          <w:szCs w:val="24"/>
        </w:rPr>
        <w:t xml:space="preserve"> 50% and </w:t>
      </w:r>
      <w:r>
        <w:rPr>
          <w:bCs/>
          <w:szCs w:val="24"/>
        </w:rPr>
        <w:t>7</w:t>
      </w:r>
      <w:r w:rsidRPr="0082332C">
        <w:rPr>
          <w:bCs/>
          <w:szCs w:val="24"/>
        </w:rPr>
        <w:t>5%</w:t>
      </w:r>
      <w:r>
        <w:rPr>
          <w:bCs/>
          <w:szCs w:val="24"/>
        </w:rPr>
        <w:t xml:space="preserve"> of the maximum predicted Logan Airport PM</w:t>
      </w:r>
      <w:r>
        <w:rPr>
          <w:bCs/>
          <w:szCs w:val="24"/>
          <w:vertAlign w:val="subscript"/>
        </w:rPr>
        <w:t>2.5</w:t>
      </w:r>
      <w:r>
        <w:rPr>
          <w:bCs/>
          <w:szCs w:val="24"/>
        </w:rPr>
        <w:t xml:space="preserve"> value</w:t>
      </w:r>
      <w:r w:rsidRPr="0082332C">
        <w:rPr>
          <w:bCs/>
          <w:szCs w:val="24"/>
        </w:rPr>
        <w:t xml:space="preserve">, the ratio of Logan </w:t>
      </w:r>
      <w:r>
        <w:rPr>
          <w:bCs/>
          <w:szCs w:val="24"/>
        </w:rPr>
        <w:t xml:space="preserve">Airport </w:t>
      </w:r>
      <w:r w:rsidRPr="0082332C">
        <w:rPr>
          <w:bCs/>
          <w:szCs w:val="24"/>
        </w:rPr>
        <w:t xml:space="preserve">contributions to </w:t>
      </w:r>
      <w:r>
        <w:rPr>
          <w:bCs/>
          <w:szCs w:val="24"/>
        </w:rPr>
        <w:t>b</w:t>
      </w:r>
      <w:r w:rsidRPr="0082332C">
        <w:rPr>
          <w:bCs/>
          <w:szCs w:val="24"/>
        </w:rPr>
        <w:t xml:space="preserve">ackground </w:t>
      </w:r>
      <w:r>
        <w:rPr>
          <w:bCs/>
          <w:szCs w:val="24"/>
        </w:rPr>
        <w:t>estimates</w:t>
      </w:r>
      <w:r w:rsidRPr="0082332C">
        <w:rPr>
          <w:bCs/>
          <w:szCs w:val="24"/>
        </w:rPr>
        <w:t xml:space="preserve"> are </w:t>
      </w:r>
      <w:r>
        <w:rPr>
          <w:bCs/>
          <w:szCs w:val="24"/>
        </w:rPr>
        <w:t>also low (0</w:t>
      </w:r>
      <w:r w:rsidRPr="0082332C">
        <w:rPr>
          <w:bCs/>
          <w:szCs w:val="24"/>
        </w:rPr>
        <w:t xml:space="preserve">.033 and </w:t>
      </w:r>
      <w:r>
        <w:rPr>
          <w:bCs/>
          <w:szCs w:val="24"/>
        </w:rPr>
        <w:t>0</w:t>
      </w:r>
      <w:r w:rsidRPr="0082332C">
        <w:rPr>
          <w:bCs/>
          <w:szCs w:val="24"/>
        </w:rPr>
        <w:t>.04</w:t>
      </w:r>
      <w:r>
        <w:rPr>
          <w:bCs/>
          <w:szCs w:val="24"/>
        </w:rPr>
        <w:t>2, respectively).</w:t>
      </w:r>
    </w:p>
    <w:p w:rsidR="00A327E6" w:rsidRPr="0021796A" w:rsidRDefault="00A327E6" w:rsidP="00E44AAF">
      <w:pPr>
        <w:spacing w:before="100" w:beforeAutospacing="1" w:after="100" w:afterAutospacing="1" w:line="400" w:lineRule="atLeast"/>
        <w:ind w:firstLine="720"/>
        <w:rPr>
          <w:b/>
          <w:szCs w:val="24"/>
        </w:rPr>
      </w:pPr>
      <w:r w:rsidRPr="0021796A" w:rsidDel="006C3A15">
        <w:rPr>
          <w:szCs w:val="24"/>
        </w:rPr>
        <w:t>Second, respondents were categorized based on their proximity to major roadways.  Recent health studies of near-roadway exposure</w:t>
      </w:r>
      <w:r>
        <w:rPr>
          <w:szCs w:val="24"/>
        </w:rPr>
        <w:t>s</w:t>
      </w:r>
      <w:r w:rsidRPr="0021796A" w:rsidDel="006C3A15">
        <w:rPr>
          <w:szCs w:val="24"/>
        </w:rPr>
        <w:t xml:space="preserve"> (100-300 meters) have found increased risk of respiratory and cardiovascular impacts</w:t>
      </w:r>
      <w:r w:rsidDel="006C3A15">
        <w:rPr>
          <w:szCs w:val="24"/>
        </w:rPr>
        <w:t xml:space="preserve"> (</w:t>
      </w:r>
      <w:r>
        <w:rPr>
          <w:szCs w:val="24"/>
        </w:rPr>
        <w:t xml:space="preserve">Hoffman et al, 2009; </w:t>
      </w:r>
      <w:r w:rsidRPr="0021796A">
        <w:rPr>
          <w:szCs w:val="24"/>
        </w:rPr>
        <w:t>Lindgren et al, 2009</w:t>
      </w:r>
      <w:r w:rsidDel="006C3A15">
        <w:rPr>
          <w:szCs w:val="24"/>
        </w:rPr>
        <w:t>)</w:t>
      </w:r>
      <w:r w:rsidRPr="0021796A" w:rsidDel="006C3A15">
        <w:rPr>
          <w:szCs w:val="24"/>
        </w:rPr>
        <w:t>.  For the purposes of this study, major roadways were defined as those having average daily traffic of more than 20,000 vehicles (MassDOT, 2012).</w:t>
      </w:r>
    </w:p>
    <w:bookmarkEnd w:id="137"/>
    <w:p w:rsidR="00A327E6" w:rsidRPr="0021796A" w:rsidRDefault="00A327E6" w:rsidP="00E44AAF">
      <w:pPr>
        <w:spacing w:before="100" w:beforeAutospacing="1" w:after="100" w:afterAutospacing="1" w:line="400" w:lineRule="atLeast"/>
        <w:ind w:firstLine="720"/>
        <w:rPr>
          <w:szCs w:val="24"/>
        </w:rPr>
      </w:pPr>
      <w:r w:rsidRPr="0021796A">
        <w:rPr>
          <w:szCs w:val="24"/>
        </w:rPr>
        <w:t>Using ArcGIS spatial analyst tools, respondents located within 200 meters of a major roadway were identified, and an indicator variable for this was included in multivariate analyses. The map in Figure 4-</w:t>
      </w:r>
      <w:r>
        <w:rPr>
          <w:szCs w:val="24"/>
        </w:rPr>
        <w:t>6</w:t>
      </w:r>
      <w:r w:rsidRPr="0021796A">
        <w:rPr>
          <w:szCs w:val="24"/>
        </w:rPr>
        <w:t xml:space="preserve"> displays the major roadways within the study area and a 200 meter buffer around them.</w:t>
      </w:r>
      <w:bookmarkStart w:id="138" w:name="_Ref350357104"/>
      <w:bookmarkEnd w:id="123"/>
      <w:bookmarkEnd w:id="124"/>
      <w:bookmarkEnd w:id="125"/>
      <w:bookmarkEnd w:id="126"/>
      <w:bookmarkEnd w:id="127"/>
    </w:p>
    <w:p w:rsidR="00A327E6" w:rsidRDefault="00A327E6" w:rsidP="00E44AAF">
      <w:pPr>
        <w:pStyle w:val="Caption"/>
        <w:spacing w:before="100" w:beforeAutospacing="1" w:after="0" w:line="400" w:lineRule="atLeast"/>
        <w:rPr>
          <w:szCs w:val="24"/>
        </w:rPr>
      </w:pPr>
    </w:p>
    <w:p w:rsidR="00A327E6" w:rsidRDefault="00A327E6" w:rsidP="00E44AAF">
      <w:pPr>
        <w:pStyle w:val="Caption"/>
        <w:spacing w:before="100" w:beforeAutospacing="1" w:after="0" w:line="400" w:lineRule="atLeast"/>
        <w:rPr>
          <w:szCs w:val="24"/>
        </w:rPr>
      </w:pPr>
    </w:p>
    <w:p w:rsidR="00A327E6" w:rsidRDefault="00A327E6" w:rsidP="00E17A00">
      <w:pPr>
        <w:pStyle w:val="Caption"/>
        <w:spacing w:before="0" w:after="0" w:line="240" w:lineRule="auto"/>
        <w:rPr>
          <w:szCs w:val="24"/>
        </w:rPr>
      </w:pPr>
      <w:bookmarkStart w:id="139" w:name="_Toc386796335"/>
      <w:r w:rsidRPr="0021796A">
        <w:rPr>
          <w:szCs w:val="24"/>
        </w:rPr>
        <w:t xml:space="preserve">Figure </w:t>
      </w:r>
      <w:r>
        <w:rPr>
          <w:szCs w:val="24"/>
        </w:rPr>
        <w:fldChar w:fldCharType="begin"/>
      </w:r>
      <w:r>
        <w:rPr>
          <w:szCs w:val="24"/>
        </w:rPr>
        <w:instrText xml:space="preserve"> STYLEREF 1 \s </w:instrText>
      </w:r>
      <w:r>
        <w:rPr>
          <w:szCs w:val="24"/>
        </w:rPr>
        <w:fldChar w:fldCharType="separate"/>
      </w:r>
      <w:r>
        <w:rPr>
          <w:noProof/>
          <w:szCs w:val="24"/>
        </w:rPr>
        <w:t>4</w:t>
      </w:r>
      <w:r>
        <w:rPr>
          <w:szCs w:val="24"/>
        </w:rPr>
        <w:fldChar w:fldCharType="end"/>
      </w:r>
      <w:r>
        <w:rPr>
          <w:szCs w:val="24"/>
        </w:rPr>
        <w:noBreakHyphen/>
      </w:r>
      <w:r>
        <w:rPr>
          <w:szCs w:val="24"/>
        </w:rPr>
        <w:fldChar w:fldCharType="begin"/>
      </w:r>
      <w:r>
        <w:rPr>
          <w:szCs w:val="24"/>
        </w:rPr>
        <w:instrText xml:space="preserve"> SEQ Figure \* ARABIC \s 1 </w:instrText>
      </w:r>
      <w:r>
        <w:rPr>
          <w:szCs w:val="24"/>
        </w:rPr>
        <w:fldChar w:fldCharType="separate"/>
      </w:r>
      <w:r>
        <w:rPr>
          <w:noProof/>
          <w:szCs w:val="24"/>
        </w:rPr>
        <w:t>6</w:t>
      </w:r>
      <w:r>
        <w:rPr>
          <w:szCs w:val="24"/>
        </w:rPr>
        <w:fldChar w:fldCharType="end"/>
      </w:r>
      <w:bookmarkEnd w:id="138"/>
      <w:r>
        <w:rPr>
          <w:noProof/>
          <w:szCs w:val="24"/>
        </w:rPr>
        <w:t xml:space="preserve">. </w:t>
      </w:r>
      <w:r w:rsidRPr="0021796A">
        <w:rPr>
          <w:szCs w:val="24"/>
        </w:rPr>
        <w:t xml:space="preserve"> Two hundred (200) Meter Buffer of Roads with Average Daily Traffic of 20,000 Vehicles or More</w:t>
      </w:r>
      <w:bookmarkEnd w:id="139"/>
    </w:p>
    <w:p w:rsidR="00A327E6" w:rsidRPr="0021796A" w:rsidRDefault="00A327E6" w:rsidP="000D3525">
      <w:pPr>
        <w:spacing w:before="100" w:beforeAutospacing="1" w:after="100" w:afterAutospacing="1" w:line="400" w:lineRule="atLeast"/>
        <w:jc w:val="center"/>
        <w:rPr>
          <w:szCs w:val="24"/>
        </w:rPr>
      </w:pPr>
      <w:r w:rsidRPr="00415FA2">
        <w:rPr>
          <w:noProof/>
          <w:szCs w:val="24"/>
          <w:lang w:eastAsia="zh-TW"/>
        </w:rPr>
        <w:pict>
          <v:shape id="Picture 16" o:spid="_x0000_i1034" type="#_x0000_t75" alt="Map showing major roadways (20,000 vehicle per day) in the study area." style="width:348pt;height:450pt;visibility:visible">
            <v:imagedata r:id="rId23" o:title=""/>
          </v:shape>
        </w:pict>
      </w:r>
    </w:p>
    <w:p w:rsidR="00A327E6" w:rsidRPr="0021796A" w:rsidRDefault="00A327E6" w:rsidP="00E44AAF">
      <w:pPr>
        <w:pStyle w:val="Heading2"/>
        <w:spacing w:line="400" w:lineRule="atLeast"/>
      </w:pPr>
      <w:bookmarkStart w:id="140" w:name="_Toc336343156"/>
      <w:bookmarkStart w:id="141" w:name="_Toc344363001"/>
      <w:bookmarkStart w:id="142" w:name="_Toc345319873"/>
      <w:bookmarkStart w:id="143" w:name="_Toc346872975"/>
      <w:bookmarkStart w:id="144" w:name="_Toc350413073"/>
      <w:bookmarkStart w:id="145" w:name="_Toc388543103"/>
      <w:bookmarkEnd w:id="122"/>
      <w:r w:rsidRPr="0021796A">
        <w:t xml:space="preserve">Exposure </w:t>
      </w:r>
      <w:bookmarkEnd w:id="140"/>
      <w:r w:rsidRPr="0021796A">
        <w:t xml:space="preserve">to Noise </w:t>
      </w:r>
      <w:r>
        <w:t>A</w:t>
      </w:r>
      <w:r w:rsidRPr="0021796A">
        <w:t xml:space="preserve">ssociated with </w:t>
      </w:r>
      <w:r>
        <w:t>A</w:t>
      </w:r>
      <w:r w:rsidRPr="0021796A">
        <w:t xml:space="preserve">irport </w:t>
      </w:r>
      <w:r>
        <w:t>O</w:t>
      </w:r>
      <w:r w:rsidRPr="0021796A">
        <w:t>perations</w:t>
      </w:r>
      <w:bookmarkEnd w:id="141"/>
      <w:bookmarkEnd w:id="142"/>
      <w:bookmarkEnd w:id="143"/>
      <w:bookmarkEnd w:id="144"/>
      <w:bookmarkEnd w:id="145"/>
    </w:p>
    <w:p w:rsidR="00A327E6" w:rsidRPr="0021796A" w:rsidRDefault="00A327E6" w:rsidP="00E44AAF">
      <w:pPr>
        <w:autoSpaceDE w:val="0"/>
        <w:autoSpaceDN w:val="0"/>
        <w:adjustRightInd w:val="0"/>
        <w:spacing w:before="100" w:beforeAutospacing="1" w:after="100" w:afterAutospacing="1" w:line="400" w:lineRule="atLeast"/>
        <w:ind w:firstLine="720"/>
        <w:rPr>
          <w:szCs w:val="24"/>
        </w:rPr>
      </w:pPr>
      <w:r w:rsidRPr="0021796A">
        <w:rPr>
          <w:szCs w:val="24"/>
        </w:rPr>
        <w:t xml:space="preserve">The LAHS evaluated exposure to noise from airport operations using noise contours developed by Massport.  Since 1981, Federal Aviation Regulations (FAR) require airports to conduct and implement an airport noise and land use compatibility plan (FAR Part 150).  These regulations also establish </w:t>
      </w:r>
      <w:r>
        <w:rPr>
          <w:szCs w:val="24"/>
        </w:rPr>
        <w:t xml:space="preserve">US </w:t>
      </w:r>
      <w:r w:rsidRPr="0021796A">
        <w:rPr>
          <w:szCs w:val="24"/>
        </w:rPr>
        <w:t xml:space="preserve">FAA’s Integrated Noise Model as the noise model to be used for analyzing aircraft noise.  </w:t>
      </w:r>
    </w:p>
    <w:p w:rsidR="00A327E6" w:rsidRPr="0021796A" w:rsidRDefault="00A327E6" w:rsidP="00E44AAF">
      <w:pPr>
        <w:pStyle w:val="NormalIndent"/>
        <w:spacing w:before="100" w:beforeAutospacing="1" w:after="100" w:afterAutospacing="1" w:line="400" w:lineRule="atLeast"/>
        <w:rPr>
          <w:szCs w:val="24"/>
        </w:rPr>
      </w:pPr>
      <w:r w:rsidRPr="0021796A">
        <w:rPr>
          <w:szCs w:val="24"/>
        </w:rPr>
        <w:t xml:space="preserve">Noise is generated primarily from aircraft operations at Logan Airport.  Using US FAA’s INM model, Massport models noise by considering the number of operations, types of aircraft operating during the day and night, use of runway configurations, and location and frequency of flight paths to and from the runways.  Since 2002, Massport has incorporated several enhancements to the noise modeling analysis for Logan Airport to more accurately estimate sound propagation into surrounding neighborhoods.  These modeling enhancements include consideration of the surrounding water and terrain characteristics, use of advanced radar data system (i.e., PASSUR) to collect radar-based operations data, and specialized software to produce noise contours based on every individual radar trace, which improves the spatial dispersion of the radar tracks.  </w:t>
      </w:r>
    </w:p>
    <w:p w:rsidR="00A327E6" w:rsidRPr="0021796A" w:rsidRDefault="00A327E6" w:rsidP="00E44AAF">
      <w:pPr>
        <w:spacing w:before="100" w:beforeAutospacing="1" w:after="100" w:afterAutospacing="1" w:line="400" w:lineRule="atLeast"/>
        <w:ind w:firstLine="720"/>
        <w:rPr>
          <w:szCs w:val="24"/>
        </w:rPr>
      </w:pPr>
      <w:r w:rsidRPr="0021796A">
        <w:rPr>
          <w:szCs w:val="24"/>
        </w:rPr>
        <w:t>US FAA regulations require that airports use annual Day-Night Sound Level (DNL) contours to evaluate airport noise and adhere to land use guidelines.  The guidelines restrict the building of residences, schools, hospitals or churches in areas within a DNL of 65 dB or above.  A DNL of 65 dB or above is considered compatible for residential land use only if they are insulated from sound.  Massport produces annual DNL contours that range from 60-75 dB at 5 dB increments and reports the estimated number of the people residing within various increments of modeled noise exposure (see</w:t>
      </w:r>
      <w:r>
        <w:rPr>
          <w:szCs w:val="24"/>
        </w:rPr>
        <w:t xml:space="preserve"> Figure 4-7</w:t>
      </w:r>
      <w:r w:rsidRPr="0021796A">
        <w:rPr>
          <w:szCs w:val="24"/>
        </w:rPr>
        <w:t xml:space="preserve">).  Massport also provides alternative noise metrics that include the “Cumulative Noise Index” (CNI) and “Time Above” (TA) various threshold sound levels.  However, since these metrics are only reported at the monitoring stations, they do not provide sufficient spatial coverage for assessing noise exposure across the entire study area.  </w:t>
      </w:r>
    </w:p>
    <w:p w:rsidR="00A327E6" w:rsidRPr="0021796A" w:rsidRDefault="00A327E6" w:rsidP="00517414">
      <w:pPr>
        <w:pStyle w:val="NormalIndent"/>
        <w:spacing w:before="100" w:beforeAutospacing="1" w:after="100" w:afterAutospacing="1" w:line="400" w:lineRule="atLeast"/>
        <w:rPr>
          <w:szCs w:val="24"/>
        </w:rPr>
      </w:pPr>
      <w:r w:rsidRPr="0021796A">
        <w:rPr>
          <w:szCs w:val="24"/>
        </w:rPr>
        <w:t xml:space="preserve">Massport also operates a noise monitoring system at 30 locations around the airport.  This system separates aircraft noise events from other local sources of noise and is limited to the measurement of airport-related noise only; it does not include background noise levels.  Thus, background noise is not incorporated into the modeled noise contours and is explicitly subtracted from the noise monitoring data in order to be able to compare the noise modeling with the noise monitoring data.  Massport compares the noise monitoring data to the modeling data and presents the differences between monitoring and modeled values in the annual EDR.  </w:t>
      </w:r>
    </w:p>
    <w:p w:rsidR="00A327E6" w:rsidRPr="0021796A" w:rsidRDefault="00A327E6" w:rsidP="00517414">
      <w:pPr>
        <w:pStyle w:val="BodyText"/>
        <w:spacing w:before="100" w:beforeAutospacing="1" w:after="100" w:afterAutospacing="1" w:line="400" w:lineRule="atLeast"/>
        <w:ind w:firstLine="720"/>
        <w:rPr>
          <w:color w:val="000000"/>
          <w:szCs w:val="24"/>
        </w:rPr>
      </w:pPr>
      <w:r w:rsidRPr="0021796A">
        <w:rPr>
          <w:color w:val="000000"/>
          <w:szCs w:val="24"/>
        </w:rPr>
        <w:t xml:space="preserve">For airport-related noise, modeled noise contours were readily available from the extensive noise assessment program that Massport implements using US FAA’s computer modeling program (Integrated Noise Model or INM) and supplemental analysis of measured noise levels around the airport used to implement a noise abatement program.  </w:t>
      </w:r>
    </w:p>
    <w:p w:rsidR="00A327E6" w:rsidRPr="0021796A" w:rsidRDefault="00A327E6" w:rsidP="00517414">
      <w:pPr>
        <w:spacing w:before="100" w:beforeAutospacing="1" w:after="100" w:afterAutospacing="1" w:line="400" w:lineRule="atLeast"/>
        <w:ind w:firstLine="720"/>
        <w:rPr>
          <w:color w:val="000000"/>
          <w:szCs w:val="24"/>
        </w:rPr>
      </w:pPr>
      <w:r w:rsidRPr="0021796A">
        <w:rPr>
          <w:color w:val="000000"/>
          <w:szCs w:val="24"/>
        </w:rPr>
        <w:t>As discussed above, the exposure level that was deemed appropriate for assessing the potential impacts of NIHL is the health-based guideline to protect against hearing impairment.  This guideline states that health impacts are unlikely for individuals exposed to cumulative noise exposure over a 24-hour period of less than or equal to 70 dB [L</w:t>
      </w:r>
      <w:r w:rsidRPr="0021796A">
        <w:rPr>
          <w:color w:val="000000"/>
          <w:szCs w:val="24"/>
          <w:vertAlign w:val="subscript"/>
        </w:rPr>
        <w:t>eq(24)</w:t>
      </w:r>
      <w:r w:rsidRPr="0021796A">
        <w:rPr>
          <w:color w:val="000000"/>
          <w:szCs w:val="24"/>
        </w:rPr>
        <w:t xml:space="preserve"> =&lt;70 dBA-weighted noise]</w:t>
      </w:r>
      <w:r w:rsidRPr="0021796A">
        <w:rPr>
          <w:rStyle w:val="FootnoteReference"/>
          <w:color w:val="000000"/>
          <w:szCs w:val="24"/>
        </w:rPr>
        <w:footnoteReference w:id="5"/>
      </w:r>
      <w:r w:rsidRPr="0021796A">
        <w:rPr>
          <w:color w:val="000000"/>
          <w:szCs w:val="24"/>
        </w:rPr>
        <w:t xml:space="preserve"> (US  EPA, 1974, WHO, 1999).  This guideline value indicates that the risk for hearing impairment would be negligible for a cumulative noise exposure below 70 dB on a daily basis over a lifetime.  Assuming the equal energy principle</w:t>
      </w:r>
      <w:r w:rsidRPr="0021796A">
        <w:rPr>
          <w:rStyle w:val="FootnoteReference"/>
          <w:color w:val="000000"/>
          <w:szCs w:val="24"/>
        </w:rPr>
        <w:footnoteReference w:id="6"/>
      </w:r>
      <w:r w:rsidRPr="0021796A">
        <w:rPr>
          <w:color w:val="000000"/>
          <w:szCs w:val="24"/>
        </w:rPr>
        <w:t xml:space="preserve"> the annual DNL represents the daily (24-hour) cumulative noise exposure (i.e., not average) that has been averaged over a one-year period.  The annual DNL differs from the cumulative noise exposure metric (L</w:t>
      </w:r>
      <w:r w:rsidRPr="0021796A">
        <w:rPr>
          <w:color w:val="000000"/>
          <w:szCs w:val="24"/>
          <w:vertAlign w:val="subscript"/>
        </w:rPr>
        <w:t>eq(24)</w:t>
      </w:r>
      <w:r w:rsidRPr="0021796A">
        <w:rPr>
          <w:color w:val="000000"/>
          <w:szCs w:val="24"/>
        </w:rPr>
        <w:t>) because the DNL adds 10 dB to each nighttime flight (i.e., each nighttime noise event as if it occurred 10 times).</w:t>
      </w:r>
      <w:bookmarkStart w:id="146" w:name="_Ref345674365"/>
      <w:bookmarkStart w:id="147" w:name="_Ref345674368"/>
    </w:p>
    <w:p w:rsidR="00A327E6" w:rsidRDefault="00A327E6" w:rsidP="00E44AAF">
      <w:pPr>
        <w:pStyle w:val="NormalIndent"/>
        <w:spacing w:before="100" w:beforeAutospacing="1" w:after="100" w:afterAutospacing="1" w:line="400" w:lineRule="atLeast"/>
        <w:rPr>
          <w:szCs w:val="24"/>
        </w:rPr>
      </w:pPr>
      <w:r w:rsidRPr="0021796A">
        <w:rPr>
          <w:szCs w:val="24"/>
        </w:rPr>
        <w:t>Review of the 2005 noise contours indicated that the 70 dB contour did not include a sufficient number of respondents to assign to the high noise exposure category</w:t>
      </w:r>
      <w:r>
        <w:rPr>
          <w:szCs w:val="24"/>
        </w:rPr>
        <w:t>.  As a result, the 65 dB</w:t>
      </w:r>
      <w:r w:rsidRPr="0021796A">
        <w:rPr>
          <w:szCs w:val="24"/>
        </w:rPr>
        <w:t xml:space="preserve"> </w:t>
      </w:r>
      <w:r>
        <w:rPr>
          <w:szCs w:val="24"/>
        </w:rPr>
        <w:t xml:space="preserve">noise </w:t>
      </w:r>
      <w:r w:rsidRPr="0021796A">
        <w:rPr>
          <w:szCs w:val="24"/>
        </w:rPr>
        <w:t>contour was selected as</w:t>
      </w:r>
      <w:r>
        <w:rPr>
          <w:szCs w:val="24"/>
        </w:rPr>
        <w:t xml:space="preserve"> the high </w:t>
      </w:r>
      <w:r w:rsidRPr="0021796A">
        <w:rPr>
          <w:szCs w:val="24"/>
        </w:rPr>
        <w:t xml:space="preserve">exposure area, the medium exposure area is defined by households located in the 60-64 dB noise contour, and households located in the 59 dB and less noise contour are assigned to the low exposure area. </w:t>
      </w:r>
      <w:bookmarkStart w:id="148" w:name="_Ref350404852"/>
      <w:bookmarkEnd w:id="146"/>
    </w:p>
    <w:p w:rsidR="00A327E6" w:rsidRPr="0021796A" w:rsidRDefault="00A327E6" w:rsidP="00E44AAF">
      <w:pPr>
        <w:pStyle w:val="Caption"/>
        <w:spacing w:before="100" w:beforeAutospacing="1" w:after="0" w:line="400" w:lineRule="atLeast"/>
        <w:rPr>
          <w:szCs w:val="24"/>
        </w:rPr>
      </w:pPr>
      <w:bookmarkStart w:id="149" w:name="_Toc386796336"/>
      <w:r w:rsidRPr="0021796A">
        <w:rPr>
          <w:szCs w:val="24"/>
        </w:rPr>
        <w:t xml:space="preserve">Figure </w:t>
      </w:r>
      <w:r>
        <w:rPr>
          <w:szCs w:val="24"/>
        </w:rPr>
        <w:fldChar w:fldCharType="begin"/>
      </w:r>
      <w:r>
        <w:rPr>
          <w:szCs w:val="24"/>
        </w:rPr>
        <w:instrText xml:space="preserve"> STYLEREF 1 \s </w:instrText>
      </w:r>
      <w:r>
        <w:rPr>
          <w:szCs w:val="24"/>
        </w:rPr>
        <w:fldChar w:fldCharType="separate"/>
      </w:r>
      <w:r>
        <w:rPr>
          <w:noProof/>
          <w:szCs w:val="24"/>
        </w:rPr>
        <w:t>4</w:t>
      </w:r>
      <w:r>
        <w:rPr>
          <w:szCs w:val="24"/>
        </w:rPr>
        <w:fldChar w:fldCharType="end"/>
      </w:r>
      <w:r>
        <w:rPr>
          <w:szCs w:val="24"/>
        </w:rPr>
        <w:noBreakHyphen/>
      </w:r>
      <w:r>
        <w:rPr>
          <w:szCs w:val="24"/>
        </w:rPr>
        <w:fldChar w:fldCharType="begin"/>
      </w:r>
      <w:r>
        <w:rPr>
          <w:szCs w:val="24"/>
        </w:rPr>
        <w:instrText xml:space="preserve"> SEQ Figure \* ARABIC \s 1 </w:instrText>
      </w:r>
      <w:r>
        <w:rPr>
          <w:szCs w:val="24"/>
        </w:rPr>
        <w:fldChar w:fldCharType="separate"/>
      </w:r>
      <w:r>
        <w:rPr>
          <w:noProof/>
          <w:szCs w:val="24"/>
        </w:rPr>
        <w:t>7</w:t>
      </w:r>
      <w:r>
        <w:rPr>
          <w:szCs w:val="24"/>
        </w:rPr>
        <w:fldChar w:fldCharType="end"/>
      </w:r>
      <w:bookmarkEnd w:id="148"/>
      <w:r>
        <w:rPr>
          <w:noProof/>
          <w:szCs w:val="24"/>
        </w:rPr>
        <w:t>.</w:t>
      </w:r>
      <w:r w:rsidRPr="0021796A">
        <w:rPr>
          <w:szCs w:val="24"/>
        </w:rPr>
        <w:t xml:space="preserve"> </w:t>
      </w:r>
      <w:r>
        <w:rPr>
          <w:szCs w:val="24"/>
        </w:rPr>
        <w:t xml:space="preserve"> </w:t>
      </w:r>
      <w:r w:rsidRPr="0021796A">
        <w:rPr>
          <w:szCs w:val="24"/>
        </w:rPr>
        <w:t>Massport DNL Contours for 2005 Operations at Logan Airport</w:t>
      </w:r>
      <w:bookmarkEnd w:id="149"/>
    </w:p>
    <w:p w:rsidR="00A327E6" w:rsidRPr="0021796A" w:rsidRDefault="00A327E6" w:rsidP="00E44AAF">
      <w:pPr>
        <w:pStyle w:val="Caption"/>
        <w:spacing w:before="100" w:beforeAutospacing="1" w:after="100" w:afterAutospacing="1" w:line="400" w:lineRule="atLeast"/>
        <w:jc w:val="center"/>
        <w:rPr>
          <w:rFonts w:cs="Calibri"/>
          <w:szCs w:val="24"/>
        </w:rPr>
      </w:pPr>
      <w:r w:rsidRPr="00415FA2">
        <w:rPr>
          <w:noProof/>
          <w:szCs w:val="24"/>
          <w:lang w:eastAsia="zh-TW"/>
        </w:rPr>
        <w:pict>
          <v:shape id="Picture 4" o:spid="_x0000_i1035" type="#_x0000_t75" alt="Map of the DNL noise contours for 75 dB, 70 dB, 65 dB, and 60 dB in the study area. " style="width:463.2pt;height:351.6pt;visibility:visible">
            <v:imagedata r:id="rId24" o:title=""/>
          </v:shape>
        </w:pict>
      </w:r>
      <w:bookmarkEnd w:id="147"/>
    </w:p>
    <w:p w:rsidR="00A327E6" w:rsidRPr="0021796A" w:rsidRDefault="00A327E6" w:rsidP="00E44AAF">
      <w:pPr>
        <w:pStyle w:val="Heading1"/>
        <w:spacing w:before="100" w:beforeAutospacing="1" w:after="100" w:afterAutospacing="1" w:line="400" w:lineRule="atLeast"/>
        <w:rPr>
          <w:sz w:val="24"/>
          <w:szCs w:val="24"/>
        </w:rPr>
        <w:sectPr w:rsidR="00A327E6" w:rsidRPr="0021796A" w:rsidSect="00D73D51">
          <w:headerReference w:type="default" r:id="rId25"/>
          <w:footerReference w:type="even" r:id="rId26"/>
          <w:footerReference w:type="default" r:id="rId27"/>
          <w:headerReference w:type="first" r:id="rId28"/>
          <w:pgSz w:w="12240" w:h="15840"/>
          <w:pgMar w:top="1440" w:right="1440" w:bottom="1440" w:left="1440" w:header="720" w:footer="720" w:gutter="0"/>
          <w:cols w:space="720"/>
          <w:docGrid w:linePitch="360"/>
        </w:sectPr>
      </w:pPr>
      <w:bookmarkStart w:id="150" w:name="_Toc350413074"/>
      <w:bookmarkEnd w:id="0"/>
      <w:bookmarkEnd w:id="1"/>
      <w:bookmarkEnd w:id="2"/>
      <w:bookmarkEnd w:id="3"/>
    </w:p>
    <w:p w:rsidR="00A327E6" w:rsidRDefault="00A327E6" w:rsidP="00E44AAF">
      <w:pPr>
        <w:pStyle w:val="Heading1"/>
        <w:spacing w:before="0" w:line="400" w:lineRule="atLeast"/>
        <w:rPr>
          <w:sz w:val="24"/>
          <w:szCs w:val="24"/>
        </w:rPr>
      </w:pPr>
      <w:bookmarkStart w:id="151" w:name="_Toc388543104"/>
      <w:r w:rsidRPr="0021796A">
        <w:rPr>
          <w:sz w:val="24"/>
          <w:szCs w:val="24"/>
        </w:rPr>
        <w:t>DATA ANALYSIS</w:t>
      </w:r>
      <w:bookmarkEnd w:id="150"/>
      <w:bookmarkEnd w:id="151"/>
    </w:p>
    <w:p w:rsidR="00A327E6" w:rsidRPr="0021796A" w:rsidRDefault="00A327E6" w:rsidP="00E44AAF">
      <w:pPr>
        <w:pStyle w:val="Heading2"/>
        <w:spacing w:line="400" w:lineRule="atLeast"/>
      </w:pPr>
      <w:bookmarkStart w:id="152" w:name="_Toc191269838"/>
      <w:bookmarkStart w:id="153" w:name="_Toc336343159"/>
      <w:bookmarkStart w:id="154" w:name="_Toc344363003"/>
      <w:bookmarkStart w:id="155" w:name="_Toc344476477"/>
      <w:bookmarkStart w:id="156" w:name="_Toc350413075"/>
      <w:bookmarkStart w:id="157" w:name="_Toc388543105"/>
      <w:r w:rsidRPr="0021796A">
        <w:t>Overview</w:t>
      </w:r>
      <w:bookmarkEnd w:id="152"/>
      <w:bookmarkEnd w:id="153"/>
      <w:bookmarkEnd w:id="154"/>
      <w:bookmarkEnd w:id="155"/>
      <w:bookmarkEnd w:id="156"/>
      <w:bookmarkEnd w:id="157"/>
    </w:p>
    <w:p w:rsidR="00A327E6" w:rsidRPr="0021796A" w:rsidRDefault="00A327E6" w:rsidP="00517414">
      <w:pPr>
        <w:pStyle w:val="NormalIndent"/>
        <w:spacing w:before="100" w:beforeAutospacing="1" w:after="100" w:afterAutospacing="1" w:line="400" w:lineRule="atLeast"/>
        <w:rPr>
          <w:szCs w:val="24"/>
        </w:rPr>
      </w:pPr>
      <w:r w:rsidRPr="0021796A">
        <w:rPr>
          <w:szCs w:val="24"/>
        </w:rPr>
        <w:t>Three main classes of health outcomes (respiratory, cardiovascular, and auditory) were evaluated among adults.  For children, health outcomes evaluated included respiratory and auditory effects</w:t>
      </w:r>
      <w:r>
        <w:rPr>
          <w:szCs w:val="24"/>
        </w:rPr>
        <w:t xml:space="preserve">.  </w:t>
      </w:r>
      <w:r w:rsidRPr="0021796A">
        <w:rPr>
          <w:szCs w:val="24"/>
        </w:rPr>
        <w:t>Univariate analyses were used to describe unadjusted associations between prevalence estimates of specific health outcomes and the distribution of social, demographic, and other characteristics of the study population</w:t>
      </w:r>
      <w:r>
        <w:rPr>
          <w:szCs w:val="24"/>
        </w:rPr>
        <w:t xml:space="preserve">.  </w:t>
      </w:r>
      <w:r w:rsidRPr="0021796A">
        <w:rPr>
          <w:szCs w:val="24"/>
        </w:rPr>
        <w:t>Univariate analyses also identified potentially important covariates that were considered in subsequent multivariate analyses.</w:t>
      </w:r>
    </w:p>
    <w:p w:rsidR="00A327E6" w:rsidRPr="0021796A" w:rsidRDefault="00A327E6" w:rsidP="00517414">
      <w:pPr>
        <w:pStyle w:val="NormalIndent"/>
        <w:spacing w:before="100" w:beforeAutospacing="1" w:after="100" w:afterAutospacing="1" w:line="400" w:lineRule="atLeast"/>
        <w:rPr>
          <w:szCs w:val="24"/>
        </w:rPr>
      </w:pPr>
      <w:r w:rsidRPr="0021796A">
        <w:rPr>
          <w:szCs w:val="24"/>
        </w:rPr>
        <w:t xml:space="preserve">Multivariate analysis (multiple logistic regression) was used to determine possible associations between the prevalence of targeted health outcomes and residence in </w:t>
      </w:r>
      <w:r>
        <w:rPr>
          <w:szCs w:val="24"/>
        </w:rPr>
        <w:t>low</w:t>
      </w:r>
      <w:r w:rsidRPr="0021796A">
        <w:rPr>
          <w:szCs w:val="24"/>
        </w:rPr>
        <w:t xml:space="preserve">, medium, or high exposure areas while adjusting for potentially confounding factors.  In addition, dose-response analyses were conducted to determine the significance of observed trends of increased prevalence of targeted health outcomes across exposure areas. </w:t>
      </w:r>
    </w:p>
    <w:p w:rsidR="00A327E6" w:rsidRDefault="00A327E6" w:rsidP="00517414">
      <w:pPr>
        <w:pStyle w:val="NormalIndent"/>
        <w:spacing w:before="100" w:beforeAutospacing="1" w:after="100" w:afterAutospacing="1" w:line="400" w:lineRule="atLeast"/>
        <w:rPr>
          <w:szCs w:val="24"/>
        </w:rPr>
      </w:pPr>
      <w:r w:rsidRPr="0021796A">
        <w:rPr>
          <w:szCs w:val="24"/>
        </w:rPr>
        <w:t xml:space="preserve">All analyses were conducted using SUDAAN, a statistical package designed for use with complex sampling methodologies, which incorporates weighting and variance calculations associated with the complex RDD sample design. </w:t>
      </w:r>
    </w:p>
    <w:p w:rsidR="00A327E6" w:rsidRPr="0021796A" w:rsidRDefault="00A327E6" w:rsidP="00E44AAF">
      <w:pPr>
        <w:pStyle w:val="Heading2"/>
        <w:spacing w:line="400" w:lineRule="atLeast"/>
      </w:pPr>
      <w:bookmarkStart w:id="158" w:name="_Toc344363004"/>
      <w:bookmarkStart w:id="159" w:name="_Toc344476478"/>
      <w:bookmarkStart w:id="160" w:name="_Toc350413076"/>
      <w:bookmarkStart w:id="161" w:name="_Toc388543106"/>
      <w:r w:rsidRPr="0021796A">
        <w:t xml:space="preserve">Survey Data </w:t>
      </w:r>
      <w:bookmarkEnd w:id="158"/>
      <w:bookmarkEnd w:id="159"/>
      <w:r w:rsidRPr="0021796A">
        <w:t>Preparation</w:t>
      </w:r>
      <w:bookmarkEnd w:id="160"/>
      <w:bookmarkEnd w:id="161"/>
    </w:p>
    <w:p w:rsidR="00A327E6" w:rsidRPr="0021796A" w:rsidRDefault="00A327E6" w:rsidP="00E44AAF">
      <w:pPr>
        <w:spacing w:before="100" w:beforeAutospacing="1" w:after="100" w:afterAutospacing="1" w:line="400" w:lineRule="atLeast"/>
        <w:rPr>
          <w:rStyle w:val="Emphasis"/>
          <w:b/>
          <w:szCs w:val="24"/>
        </w:rPr>
      </w:pPr>
      <w:bookmarkStart w:id="162" w:name="_Toc350413077"/>
      <w:bookmarkStart w:id="163" w:name="_Toc336343165"/>
      <w:bookmarkStart w:id="164" w:name="_Toc344363010"/>
      <w:bookmarkStart w:id="165" w:name="_Toc344476482"/>
      <w:r w:rsidRPr="0021796A">
        <w:rPr>
          <w:rStyle w:val="Emphasis"/>
          <w:b/>
          <w:szCs w:val="24"/>
        </w:rPr>
        <w:t>Handling of Missing Values</w:t>
      </w:r>
      <w:bookmarkEnd w:id="162"/>
    </w:p>
    <w:p w:rsidR="00A327E6" w:rsidRPr="0021796A" w:rsidRDefault="00A327E6" w:rsidP="00517414">
      <w:pPr>
        <w:pStyle w:val="NormalIndent"/>
        <w:spacing w:before="100" w:beforeAutospacing="1" w:after="100" w:afterAutospacing="1" w:line="400" w:lineRule="atLeast"/>
        <w:rPr>
          <w:szCs w:val="24"/>
        </w:rPr>
      </w:pPr>
      <w:r w:rsidRPr="0021796A">
        <w:rPr>
          <w:szCs w:val="24"/>
        </w:rPr>
        <w:t>In instances where survey respondents refused to answer or did not know the answer to a particular question, missing values were present in the data set</w:t>
      </w:r>
      <w:r>
        <w:rPr>
          <w:szCs w:val="24"/>
        </w:rPr>
        <w:t xml:space="preserve">.  </w:t>
      </w:r>
      <w:r w:rsidRPr="0021796A">
        <w:rPr>
          <w:szCs w:val="24"/>
        </w:rPr>
        <w:t>To avoid the exclusion of these individuals in the analysis, missing values on key demographic variables (age, sex, race, ethnicity, and household income) were replaced through imputation</w:t>
      </w:r>
      <w:r>
        <w:rPr>
          <w:szCs w:val="24"/>
        </w:rPr>
        <w:t xml:space="preserve">.  </w:t>
      </w:r>
      <w:r w:rsidRPr="0021796A">
        <w:rPr>
          <w:szCs w:val="24"/>
        </w:rPr>
        <w:t>Data imputation is a standard procedure in RDD surveys that determines the likely value of a given variable based upon other known characteristics, either of the respondent or of another respondent with similar characteristics</w:t>
      </w:r>
      <w:r>
        <w:rPr>
          <w:szCs w:val="24"/>
        </w:rPr>
        <w:t xml:space="preserve">.  </w:t>
      </w:r>
      <w:r w:rsidRPr="0021796A">
        <w:rPr>
          <w:szCs w:val="24"/>
        </w:rPr>
        <w:t>All missing values for sex and some missing values for race and ethnicity were logically imputed</w:t>
      </w:r>
      <w:r>
        <w:rPr>
          <w:szCs w:val="24"/>
        </w:rPr>
        <w:t xml:space="preserve">.  </w:t>
      </w:r>
      <w:r w:rsidRPr="0021796A">
        <w:rPr>
          <w:szCs w:val="24"/>
        </w:rPr>
        <w:t>The remaining missing values for race and ethnicity were replaced using the “hot deck” method in which a missing value is replaced with the value reported by a similar respondent</w:t>
      </w:r>
      <w:r>
        <w:rPr>
          <w:szCs w:val="24"/>
        </w:rPr>
        <w:t xml:space="preserve">.  </w:t>
      </w:r>
      <w:r w:rsidRPr="0021796A">
        <w:rPr>
          <w:szCs w:val="24"/>
        </w:rPr>
        <w:t xml:space="preserve">Lastly, regression-based imputation was used to fill in missing values for age and household income. </w:t>
      </w:r>
    </w:p>
    <w:p w:rsidR="00A327E6" w:rsidRPr="0021796A" w:rsidRDefault="00A327E6" w:rsidP="00517414">
      <w:pPr>
        <w:pStyle w:val="NormalIndent"/>
        <w:spacing w:before="100" w:beforeAutospacing="1" w:after="100" w:afterAutospacing="1" w:line="400" w:lineRule="atLeast"/>
        <w:rPr>
          <w:szCs w:val="24"/>
        </w:rPr>
      </w:pPr>
      <w:r w:rsidRPr="0021796A">
        <w:rPr>
          <w:szCs w:val="24"/>
        </w:rPr>
        <w:t>With the exception of household income, which was missing for 13.6 % (n=828) of respondents, the rate of missing values was less than 5% for the five key demographic variables (sex = 7 (0.1%), race = 149 (2.5%), ethnicity = 51 (0.8%), age = 303 (5.0%))</w:t>
      </w:r>
      <w:r>
        <w:rPr>
          <w:szCs w:val="24"/>
        </w:rPr>
        <w:t xml:space="preserve">.  </w:t>
      </w:r>
      <w:r w:rsidRPr="0021796A">
        <w:rPr>
          <w:szCs w:val="24"/>
        </w:rPr>
        <w:t>A sensitivity analysis using both the imputed and non-imputed variables for comparison was conducted to ensure reliability of the results.</w:t>
      </w:r>
    </w:p>
    <w:p w:rsidR="00A327E6" w:rsidRPr="0021796A" w:rsidRDefault="00A327E6" w:rsidP="00517414">
      <w:pPr>
        <w:pStyle w:val="NormalIndent"/>
        <w:spacing w:before="100" w:beforeAutospacing="1" w:after="100" w:afterAutospacing="1" w:line="400" w:lineRule="atLeast"/>
        <w:rPr>
          <w:szCs w:val="24"/>
        </w:rPr>
      </w:pPr>
      <w:r w:rsidRPr="0021796A">
        <w:rPr>
          <w:szCs w:val="24"/>
        </w:rPr>
        <w:t>Missing values for variables other than age, sex, race, ethnicity, and household income were not replaced</w:t>
      </w:r>
      <w:r>
        <w:rPr>
          <w:szCs w:val="24"/>
        </w:rPr>
        <w:t xml:space="preserve">.  </w:t>
      </w:r>
      <w:r w:rsidRPr="0021796A">
        <w:rPr>
          <w:szCs w:val="24"/>
        </w:rPr>
        <w:t>However, a few variables did have higher rates of missing values</w:t>
      </w:r>
      <w:r>
        <w:rPr>
          <w:szCs w:val="24"/>
        </w:rPr>
        <w:t xml:space="preserve">.  </w:t>
      </w:r>
      <w:r w:rsidRPr="0021796A">
        <w:rPr>
          <w:szCs w:val="24"/>
        </w:rPr>
        <w:t>For example, body weight (and, therefore, BMI) was missing for 13% of adults and household size (and, therefore, poverty income ratio or PRI) was missing for 14% of adults.  For these and other important categorical covariates with sizable amounts of missing data, an extra category was added to indicate a missing response and retain individuals with missing data in multivariate analyses.</w:t>
      </w:r>
    </w:p>
    <w:p w:rsidR="00A327E6" w:rsidRPr="0021796A" w:rsidRDefault="00A327E6" w:rsidP="00E44AAF">
      <w:pPr>
        <w:spacing w:before="100" w:beforeAutospacing="1" w:after="100" w:afterAutospacing="1" w:line="400" w:lineRule="atLeast"/>
        <w:rPr>
          <w:rStyle w:val="Emphasis"/>
          <w:b/>
          <w:szCs w:val="24"/>
        </w:rPr>
      </w:pPr>
      <w:bookmarkStart w:id="166" w:name="_Toc336343139"/>
      <w:bookmarkStart w:id="167" w:name="_Toc344363054"/>
      <w:bookmarkStart w:id="168" w:name="_Toc344476528"/>
      <w:bookmarkStart w:id="169" w:name="_Toc350413078"/>
      <w:r w:rsidRPr="0021796A">
        <w:rPr>
          <w:rStyle w:val="Emphasis"/>
          <w:b/>
          <w:szCs w:val="24"/>
        </w:rPr>
        <w:t>Survey Weighting Methodology</w:t>
      </w:r>
      <w:bookmarkEnd w:id="166"/>
      <w:bookmarkEnd w:id="167"/>
      <w:bookmarkEnd w:id="168"/>
      <w:bookmarkEnd w:id="169"/>
    </w:p>
    <w:p w:rsidR="00A327E6" w:rsidRPr="0021796A" w:rsidRDefault="00A327E6" w:rsidP="00517414">
      <w:pPr>
        <w:pStyle w:val="NormalIndent"/>
        <w:spacing w:before="100" w:beforeAutospacing="1" w:after="100" w:afterAutospacing="1" w:line="400" w:lineRule="atLeast"/>
        <w:rPr>
          <w:szCs w:val="24"/>
        </w:rPr>
      </w:pPr>
      <w:r w:rsidRPr="0021796A">
        <w:rPr>
          <w:szCs w:val="24"/>
        </w:rPr>
        <w:t>To account for complex survey designs, such as over-sampling of particular parts of a study area, survey data are often weighted</w:t>
      </w:r>
      <w:r>
        <w:rPr>
          <w:szCs w:val="24"/>
        </w:rPr>
        <w:t xml:space="preserve">.  </w:t>
      </w:r>
      <w:r w:rsidRPr="0021796A">
        <w:rPr>
          <w:szCs w:val="24"/>
        </w:rPr>
        <w:t>Weighting helps to prevent any biases that might occur because of differences between respondents and non-respondents (including those that weren’t available for interview such as those without a working home telephone)</w:t>
      </w:r>
      <w:r>
        <w:rPr>
          <w:szCs w:val="24"/>
        </w:rPr>
        <w:t xml:space="preserve">.  </w:t>
      </w:r>
      <w:r w:rsidRPr="0021796A">
        <w:rPr>
          <w:szCs w:val="24"/>
        </w:rPr>
        <w:t>The probability of being selected for the study varies for different people</w:t>
      </w:r>
      <w:r>
        <w:rPr>
          <w:szCs w:val="24"/>
        </w:rPr>
        <w:t xml:space="preserve">.  </w:t>
      </w:r>
      <w:r w:rsidRPr="0021796A">
        <w:rPr>
          <w:szCs w:val="24"/>
        </w:rPr>
        <w:t>For example, households with more than one telephone number have a higher probability of being selected into the sample</w:t>
      </w:r>
      <w:r>
        <w:rPr>
          <w:szCs w:val="24"/>
        </w:rPr>
        <w:t xml:space="preserve">.  </w:t>
      </w:r>
      <w:r w:rsidRPr="0021796A">
        <w:rPr>
          <w:szCs w:val="24"/>
        </w:rPr>
        <w:t>Therefore, weights are created to adjust the survey data so that it reflects a random sample of residents living in the study area and so the results can be considered a valid representation of the entire study area population.</w:t>
      </w:r>
    </w:p>
    <w:p w:rsidR="00A327E6" w:rsidRPr="0021796A" w:rsidRDefault="00A327E6" w:rsidP="00517414">
      <w:pPr>
        <w:pStyle w:val="NormalIndent"/>
        <w:spacing w:before="100" w:beforeAutospacing="1" w:after="100" w:afterAutospacing="1" w:line="400" w:lineRule="atLeast"/>
        <w:rPr>
          <w:szCs w:val="24"/>
        </w:rPr>
      </w:pPr>
      <w:r w:rsidRPr="0021796A">
        <w:rPr>
          <w:szCs w:val="24"/>
        </w:rPr>
        <w:t>Sampling weights for each person were created to include three types of adjustments. The “base weight” component accounts for the size of the overall survey sam</w:t>
      </w:r>
      <w:r>
        <w:rPr>
          <w:szCs w:val="24"/>
        </w:rPr>
        <w:t xml:space="preserve">ple and the sizes of the “high, </w:t>
      </w:r>
      <w:r w:rsidRPr="0021796A">
        <w:rPr>
          <w:szCs w:val="24"/>
        </w:rPr>
        <w:t>and “medium” exposure area oversamples relative to the overall population of the study area.  The “non-response weight” component takes into account the probability of being selected into the study based on the probabilities of various events occurring at each step during the survey process</w:t>
      </w:r>
      <w:r>
        <w:rPr>
          <w:szCs w:val="24"/>
        </w:rPr>
        <w:t xml:space="preserve">.  </w:t>
      </w:r>
      <w:r w:rsidRPr="0021796A">
        <w:rPr>
          <w:szCs w:val="24"/>
        </w:rPr>
        <w:t>These events include the probability of having a working home telephone number, of having one’s telephone number be included among the working residential numbers dialed as part of the RDD sample of telephone numbers, of being the randomly selected adult in a contacted household, and of being able and available to complete the survey.  During the survey interview, some questions are designed to collect information needed to calculate the non-response component of the sampling weights</w:t>
      </w:r>
      <w:r>
        <w:rPr>
          <w:szCs w:val="24"/>
        </w:rPr>
        <w:t xml:space="preserve">.  </w:t>
      </w:r>
      <w:r w:rsidRPr="0021796A">
        <w:rPr>
          <w:szCs w:val="24"/>
        </w:rPr>
        <w:t>Answers to certain questions, for instance, enable an estimation of the rate of telephone service interruption in the study area.</w:t>
      </w:r>
    </w:p>
    <w:p w:rsidR="00A327E6" w:rsidRPr="0021796A" w:rsidRDefault="00A327E6" w:rsidP="00517414">
      <w:pPr>
        <w:pStyle w:val="NormalIndent"/>
        <w:spacing w:before="100" w:beforeAutospacing="1" w:after="100" w:afterAutospacing="1" w:line="400" w:lineRule="atLeast"/>
        <w:rPr>
          <w:szCs w:val="24"/>
        </w:rPr>
      </w:pPr>
      <w:r w:rsidRPr="0021796A">
        <w:rPr>
          <w:szCs w:val="24"/>
        </w:rPr>
        <w:t>The final component of the sampling weights, referred to as a “post-stratification weight,” is designed to correct for differences in certain characteristics (age, sex, race, ethnicity) among survey respondents compared to the study area population as a whole.  This adjustment normalizes the demographic data of the survey sample to match the actual demographic characteristics of the study area population</w:t>
      </w:r>
      <w:r>
        <w:rPr>
          <w:szCs w:val="24"/>
        </w:rPr>
        <w:t xml:space="preserve">.  </w:t>
      </w:r>
      <w:r w:rsidRPr="0021796A">
        <w:rPr>
          <w:szCs w:val="24"/>
        </w:rPr>
        <w:t>To ensure that differences in demographics across the study area were accurately represented by the post-stratification weighting, the study area was divided, by zip code, into 18 smaller sections so that no sub-section contained fewer than 20 cases.  Using 2000 US Census data, weights were created to adjust demographics in each of the 18 sub-sections to the actual demographics of the populations within those zip codes.  Adjustments were made for age (18-34, 35-49, 50-64, 65+), sex (male, female), race (white, black, other), and ethnicity (Hispanic, non-Hispanic).</w:t>
      </w:r>
    </w:p>
    <w:p w:rsidR="00A327E6" w:rsidRPr="0021796A" w:rsidRDefault="00A327E6" w:rsidP="00517414">
      <w:pPr>
        <w:pStyle w:val="NormalIndent"/>
        <w:spacing w:before="100" w:beforeAutospacing="1" w:after="100" w:afterAutospacing="1" w:line="400" w:lineRule="atLeast"/>
        <w:rPr>
          <w:szCs w:val="24"/>
        </w:rPr>
      </w:pPr>
      <w:r w:rsidRPr="0021796A">
        <w:rPr>
          <w:szCs w:val="24"/>
        </w:rPr>
        <w:t>Finally, in order to reduce inflated design effects caused by extreme values in the distribution of survey weights, a weight-trimming procedure was performed</w:t>
      </w:r>
      <w:r>
        <w:rPr>
          <w:szCs w:val="24"/>
        </w:rPr>
        <w:t xml:space="preserve">.  </w:t>
      </w:r>
      <w:r w:rsidRPr="0021796A">
        <w:rPr>
          <w:szCs w:val="24"/>
        </w:rPr>
        <w:t>Weights larger than the chosen cut-off value of 4 times the mean of the sampling weights were trimmed at the cut-off value</w:t>
      </w:r>
      <w:r>
        <w:rPr>
          <w:szCs w:val="24"/>
        </w:rPr>
        <w:t xml:space="preserve">.  </w:t>
      </w:r>
      <w:r w:rsidRPr="0021796A">
        <w:rPr>
          <w:szCs w:val="24"/>
        </w:rPr>
        <w:t>The trimmed weights were then re-distributed across the sample to maintain the total weighted population size</w:t>
      </w:r>
      <w:r>
        <w:rPr>
          <w:szCs w:val="24"/>
        </w:rPr>
        <w:t xml:space="preserve">.  </w:t>
      </w:r>
      <w:r w:rsidRPr="0021796A">
        <w:rPr>
          <w:szCs w:val="24"/>
        </w:rPr>
        <w:t>This procedure resulted in weights being trimmed for only a small number of subjects; 168 adults (2.8%) and 30 children (1.4%).</w:t>
      </w:r>
    </w:p>
    <w:p w:rsidR="00A327E6" w:rsidRPr="0021796A" w:rsidRDefault="00A327E6" w:rsidP="00E44AAF">
      <w:pPr>
        <w:pStyle w:val="Heading2"/>
        <w:spacing w:line="400" w:lineRule="atLeast"/>
      </w:pPr>
      <w:bookmarkStart w:id="170" w:name="_Toc350413079"/>
      <w:bookmarkStart w:id="171" w:name="_Toc388543107"/>
      <w:r w:rsidRPr="0021796A">
        <w:t>Health Outcome Definitions</w:t>
      </w:r>
      <w:bookmarkEnd w:id="163"/>
      <w:bookmarkEnd w:id="164"/>
      <w:bookmarkEnd w:id="165"/>
      <w:bookmarkEnd w:id="170"/>
      <w:bookmarkEnd w:id="171"/>
    </w:p>
    <w:p w:rsidR="00A327E6" w:rsidRPr="0021796A" w:rsidRDefault="00A327E6" w:rsidP="00E44AAF">
      <w:pPr>
        <w:spacing w:before="100" w:beforeAutospacing="1" w:after="100" w:afterAutospacing="1" w:line="400" w:lineRule="atLeast"/>
        <w:rPr>
          <w:rStyle w:val="Emphasis"/>
          <w:b/>
          <w:szCs w:val="24"/>
        </w:rPr>
      </w:pPr>
      <w:bookmarkStart w:id="172" w:name="_Toc350413080"/>
      <w:r w:rsidRPr="0021796A">
        <w:rPr>
          <w:rStyle w:val="Emphasis"/>
          <w:b/>
          <w:szCs w:val="24"/>
        </w:rPr>
        <w:t>Respiratory</w:t>
      </w:r>
      <w:bookmarkEnd w:id="172"/>
    </w:p>
    <w:p w:rsidR="00A327E6" w:rsidRPr="0021796A" w:rsidRDefault="00A327E6" w:rsidP="00517414">
      <w:pPr>
        <w:pStyle w:val="NormalIndent"/>
        <w:spacing w:before="100" w:beforeAutospacing="1" w:after="100" w:afterAutospacing="1" w:line="400" w:lineRule="atLeast"/>
        <w:rPr>
          <w:szCs w:val="24"/>
        </w:rPr>
      </w:pPr>
      <w:r w:rsidRPr="0021796A">
        <w:rPr>
          <w:szCs w:val="24"/>
        </w:rPr>
        <w:t xml:space="preserve">Using information gathered from the LAHS survey instrument, the prevalence of asthma and respiratory symptoms were evaluated in a number of ways designed to capture varying degrees of illness and the presence of diagnosed and un-diagnosed asthma. </w:t>
      </w:r>
    </w:p>
    <w:p w:rsidR="00A327E6" w:rsidRPr="0021796A" w:rsidRDefault="00A327E6" w:rsidP="00E44AAF">
      <w:pPr>
        <w:pStyle w:val="NormalIndent"/>
        <w:numPr>
          <w:ilvl w:val="0"/>
          <w:numId w:val="7"/>
        </w:numPr>
        <w:spacing w:before="100" w:beforeAutospacing="1" w:after="100" w:afterAutospacing="1" w:line="400" w:lineRule="atLeast"/>
        <w:rPr>
          <w:szCs w:val="24"/>
        </w:rPr>
      </w:pPr>
      <w:r w:rsidRPr="0021796A">
        <w:rPr>
          <w:szCs w:val="24"/>
        </w:rPr>
        <w:t>Lifetime asthma: A “yes” response to the question, “Has a medical doctor ever told you that you have asthma?”</w:t>
      </w:r>
    </w:p>
    <w:p w:rsidR="00A327E6" w:rsidRPr="0021796A" w:rsidRDefault="00A327E6" w:rsidP="00E44AAF">
      <w:pPr>
        <w:pStyle w:val="NormalIndent"/>
        <w:numPr>
          <w:ilvl w:val="0"/>
          <w:numId w:val="7"/>
        </w:numPr>
        <w:spacing w:before="100" w:beforeAutospacing="1" w:after="100" w:afterAutospacing="1" w:line="400" w:lineRule="atLeast"/>
        <w:rPr>
          <w:szCs w:val="24"/>
        </w:rPr>
      </w:pPr>
      <w:r w:rsidRPr="0021796A">
        <w:rPr>
          <w:szCs w:val="24"/>
        </w:rPr>
        <w:t>Current asthma: Those with lifetime asthma who also replied “yes” to the question, “Do you still have asthma?”</w:t>
      </w:r>
    </w:p>
    <w:p w:rsidR="00A327E6" w:rsidRPr="0021796A" w:rsidRDefault="00A327E6" w:rsidP="00E44AAF">
      <w:pPr>
        <w:pStyle w:val="NormalIndent"/>
        <w:numPr>
          <w:ilvl w:val="0"/>
          <w:numId w:val="7"/>
        </w:numPr>
        <w:spacing w:before="100" w:beforeAutospacing="1" w:after="100" w:afterAutospacing="1" w:line="400" w:lineRule="atLeast"/>
        <w:rPr>
          <w:szCs w:val="24"/>
        </w:rPr>
      </w:pPr>
      <w:r w:rsidRPr="0021796A">
        <w:rPr>
          <w:szCs w:val="24"/>
        </w:rPr>
        <w:t>Current asthma with medication use: Those with current asthma, who replied “yes” to the question, “Are you currently using medications prescribed by a medical doctor for your asthma?”</w:t>
      </w:r>
    </w:p>
    <w:p w:rsidR="00A327E6" w:rsidRPr="0021796A" w:rsidRDefault="00A327E6" w:rsidP="00E44AAF">
      <w:pPr>
        <w:pStyle w:val="NormalIndent"/>
        <w:numPr>
          <w:ilvl w:val="0"/>
          <w:numId w:val="7"/>
        </w:numPr>
        <w:spacing w:before="100" w:beforeAutospacing="1" w:after="100" w:afterAutospacing="1" w:line="400" w:lineRule="atLeast"/>
        <w:rPr>
          <w:szCs w:val="24"/>
        </w:rPr>
      </w:pPr>
      <w:r w:rsidRPr="0021796A">
        <w:rPr>
          <w:szCs w:val="24"/>
        </w:rPr>
        <w:t>Probable asthma, adults: Those who reported never being diagnosed with asthma, but reported wheezing with dyspnea within the previous 12 months. Wheezing was asked as, “wheezing or whistling in your chest at any time” and dyspnea was asked as, “at all breathless when the wheezing noise was present.”</w:t>
      </w:r>
    </w:p>
    <w:p w:rsidR="00A327E6" w:rsidRPr="0021796A" w:rsidRDefault="00A327E6" w:rsidP="00E44AAF">
      <w:pPr>
        <w:pStyle w:val="NormalIndent"/>
        <w:numPr>
          <w:ilvl w:val="0"/>
          <w:numId w:val="7"/>
        </w:numPr>
        <w:spacing w:before="100" w:beforeAutospacing="1" w:after="100" w:afterAutospacing="1" w:line="400" w:lineRule="atLeast"/>
        <w:rPr>
          <w:szCs w:val="24"/>
        </w:rPr>
      </w:pPr>
      <w:r w:rsidRPr="0021796A">
        <w:rPr>
          <w:szCs w:val="24"/>
        </w:rPr>
        <w:t>Probable asthma, children: Those who reported never being diagnosed with asthma, but were reported to have experienced “wheeze or whistle in the chest” in the previous 12 months AND either “a dry cough at night apart from a cough associated with a cold or chest infection” or having “sounded wheezy during or after exercise.”</w:t>
      </w:r>
    </w:p>
    <w:p w:rsidR="00A327E6" w:rsidRPr="0021796A" w:rsidRDefault="00A327E6" w:rsidP="00E44AAF">
      <w:pPr>
        <w:pStyle w:val="NormalIndent"/>
        <w:numPr>
          <w:ilvl w:val="0"/>
          <w:numId w:val="7"/>
        </w:numPr>
        <w:spacing w:before="100" w:beforeAutospacing="1" w:after="100" w:afterAutospacing="1" w:line="400" w:lineRule="atLeast"/>
        <w:rPr>
          <w:szCs w:val="24"/>
        </w:rPr>
      </w:pPr>
      <w:r w:rsidRPr="0021796A">
        <w:rPr>
          <w:szCs w:val="24"/>
        </w:rPr>
        <w:t>Asthma hospitalization: Those with current asthma were asked to report the number of times during the previous 12 months that they either a) visited an emergency room or urgent care center or b) were hospitalized overnight for asthma</w:t>
      </w:r>
      <w:r>
        <w:rPr>
          <w:szCs w:val="24"/>
        </w:rPr>
        <w:t xml:space="preserve">.  </w:t>
      </w:r>
      <w:r w:rsidRPr="0021796A">
        <w:rPr>
          <w:szCs w:val="24"/>
        </w:rPr>
        <w:t>Those who reported at least one incident of either are considered to be positive for this outcome.</w:t>
      </w:r>
    </w:p>
    <w:p w:rsidR="00A327E6" w:rsidRPr="00536C34" w:rsidRDefault="00A327E6" w:rsidP="00517414">
      <w:pPr>
        <w:pStyle w:val="NormalIndent"/>
        <w:spacing w:before="100" w:beforeAutospacing="1" w:after="100" w:afterAutospacing="1" w:line="400" w:lineRule="atLeast"/>
        <w:rPr>
          <w:rStyle w:val="Emphasis"/>
          <w:caps w:val="0"/>
          <w:color w:val="auto"/>
          <w:spacing w:val="0"/>
          <w:szCs w:val="24"/>
        </w:rPr>
      </w:pPr>
      <w:r w:rsidRPr="0021796A">
        <w:rPr>
          <w:szCs w:val="24"/>
        </w:rPr>
        <w:t>Individual respiratory symptoms such as wheezing, chest tightness, and shortness of breath were also evaluated</w:t>
      </w:r>
      <w:r>
        <w:rPr>
          <w:szCs w:val="24"/>
        </w:rPr>
        <w:t xml:space="preserve">.  Children were considered to have chronic bronchitis and/or chest infections if they were reported to have been diagnosed with bronchitis or a chest infection by a doctor on two or more occasions in the previous 12 months.  </w:t>
      </w:r>
      <w:r w:rsidRPr="0021796A">
        <w:rPr>
          <w:szCs w:val="24"/>
        </w:rPr>
        <w:t>Lastly, the prevalence of chronic obstructive pulmonary disease (COPD) was evaluated in adults</w:t>
      </w:r>
      <w:r>
        <w:rPr>
          <w:szCs w:val="24"/>
        </w:rPr>
        <w:t xml:space="preserve">.  </w:t>
      </w:r>
      <w:r w:rsidRPr="0021796A">
        <w:rPr>
          <w:szCs w:val="24"/>
        </w:rPr>
        <w:t>A person was considered to have COPD if they reported ever being told by a medical doctor that they have COPD, em</w:t>
      </w:r>
      <w:bookmarkStart w:id="173" w:name="_Toc350413081"/>
      <w:r>
        <w:rPr>
          <w:szCs w:val="24"/>
        </w:rPr>
        <w:t>physema, or chronic bronchitis.</w:t>
      </w:r>
    </w:p>
    <w:p w:rsidR="00A327E6" w:rsidRPr="0021796A" w:rsidRDefault="00A327E6" w:rsidP="00E44AAF">
      <w:pPr>
        <w:spacing w:before="100" w:beforeAutospacing="1" w:after="100" w:afterAutospacing="1" w:line="400" w:lineRule="atLeast"/>
        <w:rPr>
          <w:rStyle w:val="Emphasis"/>
          <w:b/>
          <w:szCs w:val="24"/>
        </w:rPr>
      </w:pPr>
      <w:r w:rsidRPr="0021796A">
        <w:rPr>
          <w:rStyle w:val="Emphasis"/>
          <w:b/>
          <w:szCs w:val="24"/>
        </w:rPr>
        <w:t>Cardiovascular</w:t>
      </w:r>
      <w:bookmarkEnd w:id="173"/>
    </w:p>
    <w:p w:rsidR="00A327E6" w:rsidRPr="0021796A" w:rsidRDefault="00A327E6" w:rsidP="00517414">
      <w:pPr>
        <w:pStyle w:val="NormalIndent"/>
        <w:spacing w:before="100" w:beforeAutospacing="1" w:after="100" w:afterAutospacing="1" w:line="400" w:lineRule="atLeast"/>
        <w:rPr>
          <w:szCs w:val="24"/>
        </w:rPr>
      </w:pPr>
      <w:r w:rsidRPr="0021796A">
        <w:rPr>
          <w:szCs w:val="24"/>
        </w:rPr>
        <w:t>The prevalence of two cardiovascular outcomes was evaluated in adults, myocardial infarction (MI) and coronary heart disease (CHD)</w:t>
      </w:r>
      <w:r>
        <w:rPr>
          <w:szCs w:val="24"/>
        </w:rPr>
        <w:t xml:space="preserve">.  </w:t>
      </w:r>
      <w:r w:rsidRPr="0021796A">
        <w:rPr>
          <w:szCs w:val="24"/>
        </w:rPr>
        <w:t>For MI, survey respondents were asked to report having ever been told by a medical doctor that they had a “heart attack or myocardial infarction.” For CHD, they were asked whether they had ever been told by a medical doctor that they have “angina or coronary heart disease.”</w:t>
      </w:r>
    </w:p>
    <w:p w:rsidR="00A327E6" w:rsidRPr="0021796A" w:rsidRDefault="00A327E6" w:rsidP="00E44AAF">
      <w:pPr>
        <w:spacing w:before="100" w:beforeAutospacing="1" w:after="100" w:afterAutospacing="1" w:line="400" w:lineRule="atLeast"/>
        <w:rPr>
          <w:rStyle w:val="Emphasis"/>
          <w:b/>
          <w:szCs w:val="24"/>
        </w:rPr>
      </w:pPr>
      <w:bookmarkStart w:id="174" w:name="_Toc350413082"/>
      <w:r w:rsidRPr="0021796A">
        <w:rPr>
          <w:rStyle w:val="Emphasis"/>
          <w:b/>
          <w:szCs w:val="24"/>
        </w:rPr>
        <w:t>Auditory</w:t>
      </w:r>
      <w:bookmarkEnd w:id="174"/>
    </w:p>
    <w:p w:rsidR="00A327E6" w:rsidRDefault="00A327E6" w:rsidP="00517414">
      <w:pPr>
        <w:pStyle w:val="NormalIndent"/>
        <w:spacing w:before="100" w:beforeAutospacing="1" w:after="100" w:afterAutospacing="1" w:line="400" w:lineRule="atLeast"/>
        <w:rPr>
          <w:szCs w:val="24"/>
        </w:rPr>
      </w:pPr>
      <w:r w:rsidRPr="0021796A">
        <w:rPr>
          <w:szCs w:val="24"/>
        </w:rPr>
        <w:t>For adults, auditory outcome questions included a follow-up component to ascertain age at diagnosis, and only diagnoses at or after age 18 were evaluated</w:t>
      </w:r>
      <w:r>
        <w:rPr>
          <w:szCs w:val="24"/>
        </w:rPr>
        <w:t xml:space="preserve">.  </w:t>
      </w:r>
      <w:r w:rsidRPr="0021796A">
        <w:rPr>
          <w:szCs w:val="24"/>
        </w:rPr>
        <w:t>First, adults were asked if a medical doctor had ever told them that they have a “hearing impairment.” Those who reported having a hearing impairment were then asked if they currently use a hearing aid that they began using at or after age 18</w:t>
      </w:r>
      <w:r>
        <w:rPr>
          <w:szCs w:val="24"/>
        </w:rPr>
        <w:t xml:space="preserve">.  </w:t>
      </w:r>
      <w:r w:rsidRPr="0021796A">
        <w:rPr>
          <w:szCs w:val="24"/>
        </w:rPr>
        <w:t>Lastly, those with tinnitus were defined as persons who reported being told by a medical doctor that they have “tinnitus or ringing in the ears.” For children, those with a hearing impairment were defined by a “yes” answer to the question of a medical doctor ever having diagnosed the child with a hearing impairment.</w:t>
      </w:r>
    </w:p>
    <w:p w:rsidR="00A327E6" w:rsidRPr="0021796A" w:rsidRDefault="00A327E6" w:rsidP="00E44AAF">
      <w:pPr>
        <w:pStyle w:val="NormalIndent"/>
        <w:spacing w:before="100" w:beforeAutospacing="1" w:after="100" w:afterAutospacing="1" w:line="400" w:lineRule="atLeast"/>
        <w:ind w:firstLine="547"/>
        <w:rPr>
          <w:szCs w:val="24"/>
        </w:rPr>
      </w:pPr>
    </w:p>
    <w:p w:rsidR="00A327E6" w:rsidRPr="0021796A" w:rsidRDefault="00A327E6" w:rsidP="00E44AAF">
      <w:pPr>
        <w:pStyle w:val="Heading2"/>
        <w:spacing w:line="400" w:lineRule="atLeast"/>
      </w:pPr>
      <w:bookmarkStart w:id="175" w:name="_Toc344363013"/>
      <w:bookmarkStart w:id="176" w:name="_Toc344476485"/>
      <w:bookmarkStart w:id="177" w:name="_Toc350413083"/>
      <w:bookmarkStart w:id="178" w:name="_Toc388543108"/>
      <w:r w:rsidRPr="0021796A">
        <w:t>Covariate Definitions and Classifications</w:t>
      </w:r>
      <w:bookmarkEnd w:id="175"/>
      <w:bookmarkEnd w:id="176"/>
      <w:bookmarkEnd w:id="177"/>
      <w:bookmarkEnd w:id="178"/>
    </w:p>
    <w:p w:rsidR="00A327E6" w:rsidRPr="0021796A" w:rsidRDefault="00A327E6" w:rsidP="00E44AAF">
      <w:pPr>
        <w:spacing w:before="100" w:beforeAutospacing="1" w:after="100" w:afterAutospacing="1" w:line="400" w:lineRule="atLeast"/>
        <w:rPr>
          <w:rStyle w:val="Emphasis"/>
          <w:b/>
          <w:szCs w:val="24"/>
        </w:rPr>
      </w:pPr>
      <w:bookmarkStart w:id="179" w:name="_Toc344476486"/>
      <w:bookmarkStart w:id="180" w:name="_Toc350413084"/>
      <w:r w:rsidRPr="0021796A">
        <w:rPr>
          <w:rStyle w:val="Emphasis"/>
          <w:b/>
          <w:szCs w:val="24"/>
        </w:rPr>
        <w:t>covariates in health survey</w:t>
      </w:r>
      <w:bookmarkEnd w:id="179"/>
      <w:bookmarkEnd w:id="180"/>
    </w:p>
    <w:p w:rsidR="00A327E6" w:rsidRPr="0021796A" w:rsidRDefault="00A327E6" w:rsidP="00517414">
      <w:pPr>
        <w:pStyle w:val="NormalIndent"/>
        <w:spacing w:before="100" w:beforeAutospacing="1" w:after="100" w:afterAutospacing="1" w:line="400" w:lineRule="atLeast"/>
        <w:rPr>
          <w:szCs w:val="24"/>
        </w:rPr>
      </w:pPr>
      <w:r w:rsidRPr="0021796A">
        <w:rPr>
          <w:szCs w:val="24"/>
        </w:rPr>
        <w:t xml:space="preserve">The survey instrument was designed to collect information on as many factors, or  covariates, as possible that have been identified in previous studies as being possibly related to the health outcomes of concern (i.e., respiratory, cardiovascular, and auditory). </w:t>
      </w:r>
    </w:p>
    <w:p w:rsidR="00A327E6" w:rsidRPr="0021796A" w:rsidRDefault="00A327E6" w:rsidP="00517414">
      <w:pPr>
        <w:pStyle w:val="NormalIndent"/>
        <w:spacing w:before="100" w:beforeAutospacing="1" w:after="100" w:afterAutospacing="1" w:line="400" w:lineRule="atLeast"/>
        <w:rPr>
          <w:szCs w:val="24"/>
        </w:rPr>
      </w:pPr>
      <w:r w:rsidRPr="0021796A">
        <w:rPr>
          <w:szCs w:val="24"/>
        </w:rPr>
        <w:t>Basic demographic factors that were considered include sex (male or female), age (18-39, 40-69, 70+), race (black, white, other), ethnicity (Hispanic, non-Hispanic), and Poverty Income Ratio (PIR) which is a measure of one’s household income relative to the federal poverty guideline for one’s household size</w:t>
      </w:r>
      <w:r>
        <w:rPr>
          <w:szCs w:val="24"/>
        </w:rPr>
        <w:t xml:space="preserve">.  </w:t>
      </w:r>
      <w:r w:rsidRPr="0021796A">
        <w:rPr>
          <w:szCs w:val="24"/>
        </w:rPr>
        <w:t>If a PIR is less than 1.0 then the household’s income is below the federal poverty guideline</w:t>
      </w:r>
      <w:r>
        <w:rPr>
          <w:szCs w:val="24"/>
        </w:rPr>
        <w:t xml:space="preserve">.  </w:t>
      </w:r>
      <w:r w:rsidRPr="0021796A">
        <w:rPr>
          <w:szCs w:val="24"/>
        </w:rPr>
        <w:t>If a PIR is 2.0 then the household’s income is twice the federal poverty guideline</w:t>
      </w:r>
      <w:r>
        <w:rPr>
          <w:szCs w:val="24"/>
        </w:rPr>
        <w:t xml:space="preserve">.  </w:t>
      </w:r>
      <w:r w:rsidRPr="0021796A">
        <w:rPr>
          <w:szCs w:val="24"/>
        </w:rPr>
        <w:t>PIR was categorized as follows: &lt;1, 1-1.99, 2-3.5, 3.5+</w:t>
      </w:r>
      <w:r>
        <w:rPr>
          <w:szCs w:val="24"/>
        </w:rPr>
        <w:t xml:space="preserve">.  </w:t>
      </w:r>
      <w:r w:rsidRPr="0021796A">
        <w:rPr>
          <w:szCs w:val="24"/>
        </w:rPr>
        <w:t xml:space="preserve">Other characteristics considered include educational attainment, marital status, body mass index (BMI), smoking status (current, former, or never), </w:t>
      </w:r>
      <w:r>
        <w:rPr>
          <w:szCs w:val="24"/>
        </w:rPr>
        <w:t xml:space="preserve">gastro-esophageal reflux disease (GERD), </w:t>
      </w:r>
      <w:r w:rsidRPr="0021796A">
        <w:rPr>
          <w:szCs w:val="24"/>
        </w:rPr>
        <w:t>alcohol intake, and binge drinking, which was defined as having five or more drinks on any one occasion during the previous 30 days.</w:t>
      </w:r>
    </w:p>
    <w:p w:rsidR="00A327E6" w:rsidRPr="008F509F" w:rsidRDefault="00A327E6" w:rsidP="00517414">
      <w:pPr>
        <w:pStyle w:val="NormalIndent"/>
        <w:spacing w:before="100" w:beforeAutospacing="1" w:after="100" w:afterAutospacing="1" w:line="400" w:lineRule="atLeast"/>
        <w:rPr>
          <w:szCs w:val="24"/>
        </w:rPr>
      </w:pPr>
      <w:r w:rsidRPr="008F509F">
        <w:rPr>
          <w:szCs w:val="24"/>
        </w:rPr>
        <w:t>Two occupational exposure measures were considered: reported current workplace exposure to dust, gas, or chemical fumes and reported lifetime exposure to loud noise at work for a duration of 3 months or more</w:t>
      </w:r>
      <w:r>
        <w:rPr>
          <w:szCs w:val="24"/>
        </w:rPr>
        <w:t xml:space="preserve">.  </w:t>
      </w:r>
      <w:r w:rsidRPr="008F509F">
        <w:rPr>
          <w:szCs w:val="24"/>
        </w:rPr>
        <w:t>A number of variables were considered that measure potential exposure in the home to various respiratory irritants</w:t>
      </w:r>
      <w:r>
        <w:rPr>
          <w:szCs w:val="24"/>
        </w:rPr>
        <w:t xml:space="preserve">.  </w:t>
      </w:r>
      <w:r w:rsidRPr="008F509F">
        <w:rPr>
          <w:szCs w:val="24"/>
        </w:rPr>
        <w:t>These include potential exposure in the home to: secondhand smoke; NO</w:t>
      </w:r>
      <w:r w:rsidRPr="0021796A">
        <w:rPr>
          <w:szCs w:val="24"/>
          <w:vertAlign w:val="subscript"/>
        </w:rPr>
        <w:t>2</w:t>
      </w:r>
      <w:r w:rsidRPr="008F509F">
        <w:rPr>
          <w:szCs w:val="24"/>
        </w:rPr>
        <w:t xml:space="preserve"> from gas stoves, fireplaces, kerosene space heaters, etc.; mold; allergens from the presence of pets or cockroaches; and chemicals such as pesticides, paint, paint stripping, or polyurethane</w:t>
      </w:r>
      <w:r>
        <w:rPr>
          <w:szCs w:val="24"/>
        </w:rPr>
        <w:t xml:space="preserve">.  </w:t>
      </w:r>
      <w:r w:rsidRPr="008F509F">
        <w:rPr>
          <w:szCs w:val="24"/>
        </w:rPr>
        <w:t>Respondents were also asked about the presence of Massport soundproofing on their homes</w:t>
      </w:r>
      <w:r>
        <w:rPr>
          <w:szCs w:val="24"/>
        </w:rPr>
        <w:t xml:space="preserve">.  </w:t>
      </w:r>
      <w:r w:rsidRPr="008F509F">
        <w:rPr>
          <w:szCs w:val="24"/>
        </w:rPr>
        <w:t>Several cardiovascular risk factors were considered including high cholesterol, high blood pressure, diabetes, and family history of heart disease.</w:t>
      </w:r>
    </w:p>
    <w:p w:rsidR="00A327E6" w:rsidRPr="0021796A" w:rsidRDefault="00A327E6" w:rsidP="00517414">
      <w:pPr>
        <w:pStyle w:val="NormalIndent"/>
        <w:spacing w:before="100" w:beforeAutospacing="1" w:after="100" w:afterAutospacing="1" w:line="400" w:lineRule="atLeast"/>
        <w:rPr>
          <w:szCs w:val="24"/>
        </w:rPr>
      </w:pPr>
      <w:r w:rsidRPr="0021796A">
        <w:rPr>
          <w:szCs w:val="24"/>
        </w:rPr>
        <w:t>Lastly, a 10-year residential history was taken in order to provide some measure of each respondent’s length of residency in the area</w:t>
      </w:r>
      <w:r>
        <w:rPr>
          <w:szCs w:val="24"/>
        </w:rPr>
        <w:t xml:space="preserve">.  </w:t>
      </w:r>
      <w:r w:rsidRPr="0021796A">
        <w:rPr>
          <w:szCs w:val="24"/>
        </w:rPr>
        <w:t>Respondents were asked to give the location and year of move-in for their current residence and each previous residence in which they had lived since at least 1995</w:t>
      </w:r>
      <w:r>
        <w:rPr>
          <w:szCs w:val="24"/>
        </w:rPr>
        <w:t xml:space="preserve">.  </w:t>
      </w:r>
      <w:bookmarkStart w:id="181" w:name="_Toc344363014"/>
      <w:r w:rsidRPr="0021796A">
        <w:rPr>
          <w:szCs w:val="24"/>
        </w:rPr>
        <w:t>Notably, this section of the survey was one of the least completed sections as many people expressed reservations about providing residential location information</w:t>
      </w:r>
      <w:r>
        <w:rPr>
          <w:szCs w:val="24"/>
        </w:rPr>
        <w:t xml:space="preserve">.  </w:t>
      </w:r>
      <w:r w:rsidRPr="0021796A">
        <w:rPr>
          <w:szCs w:val="24"/>
        </w:rPr>
        <w:t>However, we were able to consider length of residence in the current home for 98% of respondents</w:t>
      </w:r>
      <w:r>
        <w:rPr>
          <w:szCs w:val="24"/>
        </w:rPr>
        <w:t xml:space="preserve">.  </w:t>
      </w:r>
      <w:r w:rsidRPr="0021796A">
        <w:rPr>
          <w:szCs w:val="24"/>
        </w:rPr>
        <w:t>In sensitivity analyses, final regression models were re-run after excluding residents who reported having lived in their current exposure area (based on current and previous residential address) for less than 1, 3, 5, and 10 years.</w:t>
      </w:r>
    </w:p>
    <w:p w:rsidR="00A327E6" w:rsidRPr="0021796A" w:rsidRDefault="00A327E6" w:rsidP="00E44AAF">
      <w:pPr>
        <w:pStyle w:val="Heading2"/>
        <w:spacing w:line="400" w:lineRule="atLeast"/>
      </w:pPr>
      <w:bookmarkStart w:id="182" w:name="_Toc350413085"/>
      <w:bookmarkStart w:id="183" w:name="_Toc388543109"/>
      <w:bookmarkStart w:id="184" w:name="_Toc344363016"/>
      <w:bookmarkStart w:id="185" w:name="_Toc344476490"/>
      <w:bookmarkEnd w:id="181"/>
      <w:r w:rsidRPr="0021796A">
        <w:t xml:space="preserve">Statistical </w:t>
      </w:r>
      <w:r>
        <w:t>A</w:t>
      </w:r>
      <w:r w:rsidRPr="0021796A">
        <w:t>nalyses</w:t>
      </w:r>
      <w:bookmarkEnd w:id="182"/>
      <w:bookmarkEnd w:id="183"/>
    </w:p>
    <w:p w:rsidR="00A327E6" w:rsidRPr="0021796A" w:rsidRDefault="00A327E6" w:rsidP="00E44AAF">
      <w:pPr>
        <w:spacing w:before="100" w:beforeAutospacing="1" w:after="100" w:afterAutospacing="1" w:line="400" w:lineRule="atLeast"/>
        <w:rPr>
          <w:rStyle w:val="Emphasis"/>
          <w:b/>
          <w:szCs w:val="24"/>
        </w:rPr>
      </w:pPr>
      <w:bookmarkStart w:id="186" w:name="_Toc350413086"/>
      <w:r w:rsidRPr="0021796A">
        <w:rPr>
          <w:rStyle w:val="Emphasis"/>
          <w:b/>
          <w:szCs w:val="24"/>
        </w:rPr>
        <w:t>Descriptive Statistics</w:t>
      </w:r>
      <w:bookmarkEnd w:id="184"/>
      <w:bookmarkEnd w:id="185"/>
      <w:bookmarkEnd w:id="186"/>
    </w:p>
    <w:p w:rsidR="00A327E6" w:rsidRPr="0021796A" w:rsidRDefault="00A327E6" w:rsidP="00517414">
      <w:pPr>
        <w:pStyle w:val="NormalIndent"/>
        <w:spacing w:before="100" w:beforeAutospacing="1" w:after="100" w:afterAutospacing="1" w:line="400" w:lineRule="atLeast"/>
        <w:rPr>
          <w:szCs w:val="24"/>
        </w:rPr>
      </w:pPr>
      <w:r w:rsidRPr="0021796A">
        <w:rPr>
          <w:szCs w:val="24"/>
        </w:rPr>
        <w:t>Descriptive analyses were conducted separately for adults and children to assess the frequencies (percent of the population) with various socio-demographic characteristics</w:t>
      </w:r>
      <w:r>
        <w:rPr>
          <w:szCs w:val="24"/>
        </w:rPr>
        <w:t xml:space="preserve">.  </w:t>
      </w:r>
      <w:r w:rsidRPr="0021796A">
        <w:rPr>
          <w:szCs w:val="24"/>
        </w:rPr>
        <w:t xml:space="preserve"> The prevalence of other potential factors (covariates) that may be associated with each specific outcome among adults and children were also estimated</w:t>
      </w:r>
      <w:r>
        <w:rPr>
          <w:szCs w:val="24"/>
        </w:rPr>
        <w:t xml:space="preserve">.  </w:t>
      </w:r>
      <w:r w:rsidRPr="0021796A">
        <w:rPr>
          <w:szCs w:val="24"/>
        </w:rPr>
        <w:t xml:space="preserve"> </w:t>
      </w:r>
    </w:p>
    <w:p w:rsidR="00A327E6" w:rsidRPr="0021796A" w:rsidRDefault="00A327E6" w:rsidP="00E44AAF">
      <w:pPr>
        <w:spacing w:before="100" w:beforeAutospacing="1" w:after="100" w:afterAutospacing="1" w:line="400" w:lineRule="atLeast"/>
        <w:rPr>
          <w:rStyle w:val="Emphasis"/>
          <w:b/>
          <w:szCs w:val="24"/>
        </w:rPr>
      </w:pPr>
      <w:bookmarkStart w:id="187" w:name="_Toc350413087"/>
      <w:r w:rsidRPr="0021796A">
        <w:rPr>
          <w:rStyle w:val="Emphasis"/>
          <w:b/>
          <w:szCs w:val="24"/>
        </w:rPr>
        <w:t>Univariate Analyses</w:t>
      </w:r>
      <w:bookmarkEnd w:id="187"/>
    </w:p>
    <w:p w:rsidR="00A327E6" w:rsidRPr="00536C34" w:rsidRDefault="00A327E6" w:rsidP="00517414">
      <w:pPr>
        <w:pStyle w:val="NormalIndent"/>
        <w:spacing w:before="100" w:beforeAutospacing="1" w:after="100" w:afterAutospacing="1" w:line="400" w:lineRule="atLeast"/>
        <w:rPr>
          <w:rStyle w:val="Emphasis"/>
          <w:caps w:val="0"/>
          <w:color w:val="auto"/>
          <w:spacing w:val="0"/>
          <w:szCs w:val="24"/>
        </w:rPr>
      </w:pPr>
      <w:r w:rsidRPr="0021796A">
        <w:rPr>
          <w:szCs w:val="24"/>
        </w:rPr>
        <w:t xml:space="preserve">The prevalence of each </w:t>
      </w:r>
      <w:r>
        <w:rPr>
          <w:szCs w:val="24"/>
        </w:rPr>
        <w:t xml:space="preserve">health </w:t>
      </w:r>
      <w:r w:rsidRPr="0021796A">
        <w:rPr>
          <w:szCs w:val="24"/>
        </w:rPr>
        <w:t>outcome of interest was examined in the total population and among those living in each category of estimated airport-related air or noise pollution exposure</w:t>
      </w:r>
      <w:r>
        <w:rPr>
          <w:szCs w:val="24"/>
        </w:rPr>
        <w:t xml:space="preserve">.  </w:t>
      </w:r>
      <w:r w:rsidRPr="0021796A">
        <w:rPr>
          <w:szCs w:val="24"/>
        </w:rPr>
        <w:t>Differences across exposure areas for the crude, unadjusted, prevalence of each outcome were examined by chi-square tests, which were calculated using SUDAAN survey procedures to account for complex sur</w:t>
      </w:r>
      <w:bookmarkStart w:id="188" w:name="_Toc350413088"/>
      <w:r>
        <w:rPr>
          <w:szCs w:val="24"/>
        </w:rPr>
        <w:t>vey design and sample weighting.</w:t>
      </w:r>
    </w:p>
    <w:p w:rsidR="00A327E6" w:rsidRPr="0021796A" w:rsidRDefault="00A327E6" w:rsidP="00E44AAF">
      <w:pPr>
        <w:spacing w:before="100" w:beforeAutospacing="1" w:after="100" w:afterAutospacing="1" w:line="400" w:lineRule="atLeast"/>
        <w:rPr>
          <w:rStyle w:val="Emphasis"/>
          <w:b/>
          <w:szCs w:val="24"/>
        </w:rPr>
      </w:pPr>
      <w:r w:rsidRPr="0021796A">
        <w:rPr>
          <w:rStyle w:val="Emphasis"/>
          <w:b/>
          <w:szCs w:val="24"/>
        </w:rPr>
        <w:t>Multivariate Analyses</w:t>
      </w:r>
      <w:r>
        <w:rPr>
          <w:rStyle w:val="Emphasis"/>
          <w:b/>
          <w:szCs w:val="24"/>
        </w:rPr>
        <w:t xml:space="preserve"> </w:t>
      </w:r>
      <w:r w:rsidRPr="0021796A">
        <w:rPr>
          <w:rStyle w:val="Emphasis"/>
          <w:b/>
          <w:szCs w:val="24"/>
        </w:rPr>
        <w:t>/</w:t>
      </w:r>
      <w:r>
        <w:rPr>
          <w:rStyle w:val="Emphasis"/>
          <w:b/>
          <w:szCs w:val="24"/>
        </w:rPr>
        <w:t xml:space="preserve"> </w:t>
      </w:r>
      <w:r w:rsidRPr="0021796A">
        <w:rPr>
          <w:rStyle w:val="Emphasis"/>
          <w:b/>
          <w:szCs w:val="24"/>
        </w:rPr>
        <w:t>Model-building</w:t>
      </w:r>
      <w:bookmarkEnd w:id="188"/>
    </w:p>
    <w:p w:rsidR="00A327E6" w:rsidRPr="0021796A" w:rsidRDefault="00A327E6" w:rsidP="00517414">
      <w:pPr>
        <w:pStyle w:val="NormalIndent"/>
        <w:spacing w:before="100" w:beforeAutospacing="1" w:after="100" w:afterAutospacing="1" w:line="400" w:lineRule="atLeast"/>
        <w:rPr>
          <w:szCs w:val="24"/>
        </w:rPr>
      </w:pPr>
      <w:r w:rsidRPr="0021796A">
        <w:rPr>
          <w:szCs w:val="24"/>
        </w:rPr>
        <w:t>Multiple logistic regression analyses were conducted to examine the associations between each health outcome of interest and exposure to airport-related air or noise pollution while controlling for potentially confounding variables</w:t>
      </w:r>
      <w:r>
        <w:rPr>
          <w:szCs w:val="24"/>
        </w:rPr>
        <w:t xml:space="preserve">.  </w:t>
      </w:r>
      <w:r w:rsidRPr="0021796A">
        <w:rPr>
          <w:szCs w:val="24"/>
        </w:rPr>
        <w:t>Regression models were developed to adjust for covariates known to be strong predictors of the health outcome being investigated and/or those found to have a meaningful impact on the exposure-disease association (defined as a change in the odds ratio (OR) of 10% or more)</w:t>
      </w:r>
      <w:r>
        <w:rPr>
          <w:szCs w:val="24"/>
        </w:rPr>
        <w:t xml:space="preserve">.  </w:t>
      </w:r>
      <w:r w:rsidRPr="0021796A">
        <w:rPr>
          <w:szCs w:val="24"/>
        </w:rPr>
        <w:t xml:space="preserve">By including these additional factors in the regression models, </w:t>
      </w:r>
      <w:r>
        <w:rPr>
          <w:szCs w:val="24"/>
        </w:rPr>
        <w:t xml:space="preserve">results were adjusted for </w:t>
      </w:r>
      <w:r w:rsidRPr="0021796A">
        <w:rPr>
          <w:szCs w:val="24"/>
        </w:rPr>
        <w:t>potential confounding and the influence other factors may have on any potential relationship</w:t>
      </w:r>
      <w:r>
        <w:rPr>
          <w:szCs w:val="24"/>
        </w:rPr>
        <w:t>s</w:t>
      </w:r>
      <w:r w:rsidRPr="0021796A">
        <w:rPr>
          <w:szCs w:val="24"/>
        </w:rPr>
        <w:t xml:space="preserve"> between exposure and a particular health outcome w</w:t>
      </w:r>
      <w:r>
        <w:rPr>
          <w:szCs w:val="24"/>
        </w:rPr>
        <w:t>as</w:t>
      </w:r>
      <w:r w:rsidRPr="0021796A">
        <w:rPr>
          <w:szCs w:val="24"/>
        </w:rPr>
        <w:t xml:space="preserve"> removed.</w:t>
      </w:r>
    </w:p>
    <w:p w:rsidR="00A327E6" w:rsidRPr="008F509F" w:rsidRDefault="00A327E6" w:rsidP="00517414">
      <w:pPr>
        <w:pStyle w:val="NormalIndent"/>
        <w:spacing w:before="100" w:beforeAutospacing="1" w:after="100" w:afterAutospacing="1" w:line="400" w:lineRule="atLeast"/>
        <w:rPr>
          <w:szCs w:val="24"/>
        </w:rPr>
      </w:pPr>
      <w:r w:rsidRPr="008F509F">
        <w:rPr>
          <w:szCs w:val="24"/>
        </w:rPr>
        <w:t>All adult respiratory, cardiovascular, and auditory models were adjusted for age, sex, race, ethnicity, PIR, educational attainment, and smoking status</w:t>
      </w:r>
      <w:r>
        <w:rPr>
          <w:szCs w:val="24"/>
        </w:rPr>
        <w:t xml:space="preserve">.  </w:t>
      </w:r>
      <w:r w:rsidRPr="008F509F">
        <w:rPr>
          <w:szCs w:val="24"/>
        </w:rPr>
        <w:t>Respiratory and cardiovascular outcome models were also adjusted for estimated non-airport-related residential PM</w:t>
      </w:r>
      <w:r>
        <w:rPr>
          <w:szCs w:val="24"/>
          <w:vertAlign w:val="subscript"/>
        </w:rPr>
        <w:t>2.5</w:t>
      </w:r>
      <w:r w:rsidRPr="008F509F">
        <w:rPr>
          <w:szCs w:val="24"/>
        </w:rPr>
        <w:t xml:space="preserve"> concentrations and residential proximity (&lt;200 meters) to a major road (see Section 4.4 for more details)</w:t>
      </w:r>
      <w:r>
        <w:rPr>
          <w:szCs w:val="24"/>
        </w:rPr>
        <w:t xml:space="preserve">.  </w:t>
      </w:r>
      <w:r w:rsidRPr="008F509F">
        <w:rPr>
          <w:szCs w:val="24"/>
        </w:rPr>
        <w:t>Additionally, respiratory outcome analyses were adjusted for household indoor smoking, and cardiovascular outcome analyses were adjusted for family history of heart disease, high blood cholesterol, hypertension, and diabetes</w:t>
      </w:r>
      <w:r>
        <w:rPr>
          <w:szCs w:val="24"/>
        </w:rPr>
        <w:t xml:space="preserve">.  </w:t>
      </w:r>
      <w:r w:rsidRPr="008F509F">
        <w:rPr>
          <w:szCs w:val="24"/>
        </w:rPr>
        <w:t xml:space="preserve">These variables were chosen </w:t>
      </w:r>
      <w:r w:rsidRPr="0021796A">
        <w:rPr>
          <w:i/>
          <w:szCs w:val="24"/>
        </w:rPr>
        <w:t>a priori</w:t>
      </w:r>
      <w:r w:rsidRPr="008F509F">
        <w:rPr>
          <w:szCs w:val="24"/>
        </w:rPr>
        <w:t xml:space="preserve"> based on information in the scientific literature regarding demographic predictors and risk factors of respiratory, cardiovascular, and auditory diseases.</w:t>
      </w:r>
    </w:p>
    <w:p w:rsidR="00A327E6" w:rsidRDefault="00A327E6" w:rsidP="00517414">
      <w:pPr>
        <w:pStyle w:val="NormalIndent"/>
        <w:spacing w:before="100" w:beforeAutospacing="1" w:after="100" w:afterAutospacing="1" w:line="400" w:lineRule="atLeast"/>
        <w:rPr>
          <w:szCs w:val="24"/>
        </w:rPr>
      </w:pPr>
      <w:r w:rsidRPr="0021796A">
        <w:rPr>
          <w:szCs w:val="24"/>
        </w:rPr>
        <w:t>Additional covariates were also examined in a backwards elimination confounding assessment performed as follows</w:t>
      </w:r>
      <w:r>
        <w:rPr>
          <w:szCs w:val="24"/>
        </w:rPr>
        <w:t xml:space="preserve">.  </w:t>
      </w:r>
      <w:r w:rsidRPr="0021796A">
        <w:rPr>
          <w:szCs w:val="24"/>
        </w:rPr>
        <w:t xml:space="preserve">The association between exposure and disease was assessed in regression models adjusting for all base model variables (those selected a priori) and all </w:t>
      </w:r>
      <w:r>
        <w:rPr>
          <w:szCs w:val="24"/>
        </w:rPr>
        <w:t xml:space="preserve">potential confounders.  </w:t>
      </w:r>
      <w:r w:rsidRPr="0021796A">
        <w:rPr>
          <w:szCs w:val="24"/>
        </w:rPr>
        <w:t>Next, each potential confounder was removed, one-by-one, from the full model and the resulting OR for the association between exposure and disease was compared to the OR from the full model</w:t>
      </w:r>
      <w:r>
        <w:rPr>
          <w:szCs w:val="24"/>
        </w:rPr>
        <w:t xml:space="preserve">.  </w:t>
      </w:r>
      <w:r w:rsidRPr="0021796A">
        <w:rPr>
          <w:szCs w:val="24"/>
        </w:rPr>
        <w:t>The potential confounder whose removal was found to cause the least change in the OR (up to a maximum of 10%) was removed and the process was begun again, this time using the reduced model as the “full” model in the test</w:t>
      </w:r>
      <w:r>
        <w:rPr>
          <w:szCs w:val="24"/>
        </w:rPr>
        <w:t xml:space="preserve">.  </w:t>
      </w:r>
      <w:r w:rsidRPr="0021796A">
        <w:rPr>
          <w:szCs w:val="24"/>
        </w:rPr>
        <w:t xml:space="preserve">This process was repeated until only those variables causing a change in </w:t>
      </w:r>
      <w:r>
        <w:rPr>
          <w:szCs w:val="24"/>
        </w:rPr>
        <w:t>effect of 10% or more remained.</w:t>
      </w:r>
    </w:p>
    <w:p w:rsidR="00A327E6" w:rsidRPr="0021796A" w:rsidRDefault="00A327E6" w:rsidP="00517414">
      <w:pPr>
        <w:pStyle w:val="NormalIndent"/>
        <w:spacing w:before="100" w:beforeAutospacing="1" w:after="100" w:afterAutospacing="1" w:line="400" w:lineRule="atLeast"/>
        <w:rPr>
          <w:szCs w:val="24"/>
        </w:rPr>
      </w:pPr>
      <w:r w:rsidRPr="0021796A">
        <w:rPr>
          <w:szCs w:val="24"/>
        </w:rPr>
        <w:t>The confounding assessment resulted in the inclusion of binge drinking in both cardiovascular outcome models; the inclusion of BMI, alcohol intake, GERD, and potential exposure to household chemicals in the asthma hospitalization models; the inclusion of potential exposure to household chemicals in COPD models; and the inclusion of occupational noise exposure in auditory outcome models.  Massport soundproofing was evaluated as a confounder in adult auditory analyses but was not found to be influential.</w:t>
      </w:r>
    </w:p>
    <w:p w:rsidR="00A327E6" w:rsidRPr="008F509F" w:rsidRDefault="00A327E6" w:rsidP="00517414">
      <w:pPr>
        <w:pStyle w:val="NormalIndent"/>
        <w:spacing w:before="100" w:beforeAutospacing="1" w:after="100" w:afterAutospacing="1" w:line="400" w:lineRule="atLeast"/>
        <w:rPr>
          <w:szCs w:val="24"/>
        </w:rPr>
      </w:pPr>
      <w:r w:rsidRPr="008F509F">
        <w:rPr>
          <w:szCs w:val="24"/>
        </w:rPr>
        <w:t xml:space="preserve">Variables included </w:t>
      </w:r>
      <w:r>
        <w:rPr>
          <w:i/>
          <w:szCs w:val="24"/>
        </w:rPr>
        <w:t xml:space="preserve">a </w:t>
      </w:r>
      <w:r w:rsidRPr="0021796A">
        <w:rPr>
          <w:i/>
          <w:szCs w:val="24"/>
        </w:rPr>
        <w:t>priori</w:t>
      </w:r>
      <w:r w:rsidRPr="008F509F">
        <w:rPr>
          <w:szCs w:val="24"/>
        </w:rPr>
        <w:t xml:space="preserve"> for all children’s respiratory and hearing impairment models were age, sex, PIR, maternal education, and household indoor smoking.  Respiratory outcome models were also adjusted for estimated non-airport-related residential PM</w:t>
      </w:r>
      <w:r>
        <w:rPr>
          <w:szCs w:val="24"/>
          <w:vertAlign w:val="subscript"/>
        </w:rPr>
        <w:t>2.5</w:t>
      </w:r>
      <w:r w:rsidRPr="008F509F">
        <w:rPr>
          <w:szCs w:val="24"/>
        </w:rPr>
        <w:t xml:space="preserve"> concentrations and residential proximity (&lt;200 meters) to a major road (see Section 4.4 for more details)</w:t>
      </w:r>
      <w:r>
        <w:rPr>
          <w:szCs w:val="24"/>
        </w:rPr>
        <w:t xml:space="preserve">.  </w:t>
      </w:r>
      <w:r w:rsidRPr="008F509F">
        <w:rPr>
          <w:szCs w:val="24"/>
        </w:rPr>
        <w:t>The confounding assessment performed as described above resulted in respiratory models being adjusted for the presence of household NO</w:t>
      </w:r>
      <w:r w:rsidRPr="0021796A">
        <w:rPr>
          <w:szCs w:val="24"/>
          <w:vertAlign w:val="subscript"/>
        </w:rPr>
        <w:t>2</w:t>
      </w:r>
      <w:r w:rsidRPr="008F509F">
        <w:rPr>
          <w:szCs w:val="24"/>
        </w:rPr>
        <w:t xml:space="preserve"> sources, household allergens, and household mold and the children’s hearing impairment model being adjusted for household mold and Massport soundproofing.</w:t>
      </w:r>
    </w:p>
    <w:p w:rsidR="00A327E6" w:rsidRPr="0021796A" w:rsidRDefault="00A327E6" w:rsidP="00517414">
      <w:pPr>
        <w:pStyle w:val="NormalIndent"/>
        <w:spacing w:before="100" w:beforeAutospacing="1" w:after="100" w:afterAutospacing="1" w:line="400" w:lineRule="atLeast"/>
        <w:rPr>
          <w:szCs w:val="24"/>
        </w:rPr>
      </w:pPr>
      <w:r>
        <w:rPr>
          <w:szCs w:val="24"/>
        </w:rPr>
        <w:t>Statistical significance was evaluated at the α=0.05 level (i.e., p-values &lt;0.05).  Results with p-values between 0.05 and 0.20 were considered to be borderline statistically significant.  Borderline statistically significant results are noted particularly in cases where estimates show a consistent effect in one direction or another across several analyses or among similar health outcomes, suggesting a consistent effect.</w:t>
      </w:r>
    </w:p>
    <w:p w:rsidR="00A327E6" w:rsidRPr="0021796A" w:rsidRDefault="00A327E6" w:rsidP="00E44AAF">
      <w:pPr>
        <w:spacing w:before="100" w:beforeAutospacing="1" w:after="100" w:afterAutospacing="1" w:line="400" w:lineRule="atLeast"/>
        <w:rPr>
          <w:rStyle w:val="Emphasis"/>
          <w:b/>
          <w:szCs w:val="24"/>
        </w:rPr>
      </w:pPr>
      <w:bookmarkStart w:id="189" w:name="_Toc344363018"/>
      <w:bookmarkStart w:id="190" w:name="_Toc344476492"/>
      <w:bookmarkStart w:id="191" w:name="_Toc350413089"/>
      <w:r w:rsidRPr="0021796A">
        <w:rPr>
          <w:rStyle w:val="Emphasis"/>
          <w:b/>
          <w:szCs w:val="24"/>
        </w:rPr>
        <w:t>Trend Analyses</w:t>
      </w:r>
      <w:bookmarkEnd w:id="189"/>
      <w:bookmarkEnd w:id="190"/>
      <w:bookmarkEnd w:id="191"/>
    </w:p>
    <w:p w:rsidR="00A327E6" w:rsidRPr="0021796A" w:rsidRDefault="00A327E6" w:rsidP="00517414">
      <w:pPr>
        <w:pStyle w:val="NormalIndent"/>
        <w:spacing w:before="100" w:beforeAutospacing="1" w:after="100" w:afterAutospacing="1" w:line="400" w:lineRule="atLeast"/>
        <w:rPr>
          <w:szCs w:val="24"/>
        </w:rPr>
      </w:pPr>
      <w:r w:rsidRPr="0021796A">
        <w:rPr>
          <w:szCs w:val="24"/>
        </w:rPr>
        <w:t xml:space="preserve">As described above, multivariate logistic regression models were used to examine the likelihood of having a particular health outcome among residents in the </w:t>
      </w:r>
      <w:r>
        <w:rPr>
          <w:szCs w:val="24"/>
        </w:rPr>
        <w:t>low</w:t>
      </w:r>
      <w:r w:rsidRPr="0021796A">
        <w:rPr>
          <w:szCs w:val="24"/>
        </w:rPr>
        <w:t xml:space="preserve"> exposure area compared to those in the medium and high exposure areas</w:t>
      </w:r>
      <w:r>
        <w:rPr>
          <w:szCs w:val="24"/>
        </w:rPr>
        <w:t xml:space="preserve">.  </w:t>
      </w:r>
      <w:r w:rsidRPr="0021796A">
        <w:rPr>
          <w:szCs w:val="24"/>
        </w:rPr>
        <w:t xml:space="preserve">Additionally, trend analyses were performed to evaluate the possibility of a linear pattern in the likelihood of having a particular health outcome as the potential for airport-related air pollution exposure increases across the </w:t>
      </w:r>
      <w:r>
        <w:rPr>
          <w:szCs w:val="24"/>
        </w:rPr>
        <w:t>low</w:t>
      </w:r>
      <w:r w:rsidRPr="0021796A">
        <w:rPr>
          <w:szCs w:val="24"/>
        </w:rPr>
        <w:t>, medium, and high exposure areas</w:t>
      </w:r>
      <w:r>
        <w:rPr>
          <w:szCs w:val="24"/>
        </w:rPr>
        <w:t xml:space="preserve">.  </w:t>
      </w:r>
      <w:r w:rsidRPr="0021796A">
        <w:rPr>
          <w:szCs w:val="24"/>
        </w:rPr>
        <w:t xml:space="preserve">Linear trends were evaluated for each health outcome by modeling the categorical airport-related air pollution variable as a continuous variable in each final, multivariate logistic regression model based on the average relative increase in air pollution concentrations that was assigned to respondents within each exposure area. </w:t>
      </w:r>
    </w:p>
    <w:p w:rsidR="00A327E6" w:rsidRDefault="00A327E6" w:rsidP="00517414">
      <w:pPr>
        <w:pStyle w:val="NormalIndent"/>
        <w:spacing w:before="100" w:beforeAutospacing="1" w:after="100" w:afterAutospacing="1" w:line="400" w:lineRule="atLeast"/>
        <w:rPr>
          <w:szCs w:val="24"/>
        </w:rPr>
      </w:pPr>
      <w:r w:rsidRPr="0021796A">
        <w:rPr>
          <w:szCs w:val="24"/>
        </w:rPr>
        <w:t>To account for the exponential distribution of air pollution concentrations across the study area, exposure values for trend analyses were assigned as follows</w:t>
      </w:r>
      <w:r>
        <w:rPr>
          <w:szCs w:val="24"/>
        </w:rPr>
        <w:t xml:space="preserve">.  </w:t>
      </w:r>
      <w:r w:rsidRPr="0021796A">
        <w:rPr>
          <w:szCs w:val="24"/>
        </w:rPr>
        <w:t>First, the median concentration of each of the five air pollutants was calculated for each exposure area</w:t>
      </w:r>
      <w:r>
        <w:rPr>
          <w:szCs w:val="24"/>
        </w:rPr>
        <w:t xml:space="preserve">.  </w:t>
      </w:r>
      <w:r w:rsidRPr="0021796A">
        <w:rPr>
          <w:szCs w:val="24"/>
        </w:rPr>
        <w:t xml:space="preserve">Second, the relative increase in concentration was calculated for each pollutant across the three exposure areas moving from </w:t>
      </w:r>
      <w:r>
        <w:rPr>
          <w:szCs w:val="24"/>
        </w:rPr>
        <w:t xml:space="preserve">low </w:t>
      </w:r>
      <w:r w:rsidRPr="0021796A">
        <w:rPr>
          <w:szCs w:val="24"/>
        </w:rPr>
        <w:t xml:space="preserve">to medium to </w:t>
      </w:r>
      <w:r>
        <w:rPr>
          <w:szCs w:val="24"/>
        </w:rPr>
        <w:t>high</w:t>
      </w:r>
      <w:r w:rsidRPr="0021796A">
        <w:rPr>
          <w:szCs w:val="24"/>
        </w:rPr>
        <w:t xml:space="preserve"> and the average relative increase was assigned for each exposure category</w:t>
      </w:r>
      <w:r>
        <w:rPr>
          <w:szCs w:val="24"/>
        </w:rPr>
        <w:t xml:space="preserve">.  </w:t>
      </w:r>
      <w:r w:rsidRPr="0021796A">
        <w:rPr>
          <w:szCs w:val="24"/>
        </w:rPr>
        <w:t>Thus, the resulting values of 1, 3.09, and 12.56 were assigned in this analysis</w:t>
      </w:r>
      <w:r>
        <w:rPr>
          <w:szCs w:val="24"/>
        </w:rPr>
        <w:t xml:space="preserve">.  </w:t>
      </w:r>
      <w:r w:rsidRPr="0021796A">
        <w:rPr>
          <w:szCs w:val="24"/>
        </w:rPr>
        <w:t>A trend was considered significant if the p-value for this exposure variable, modeled continuously, was less than 0.05 in final, multivariate logistic regression models.</w:t>
      </w:r>
    </w:p>
    <w:p w:rsidR="00A327E6" w:rsidRPr="0021796A" w:rsidRDefault="00A327E6" w:rsidP="00283B22">
      <w:pPr>
        <w:spacing w:before="0" w:after="0" w:line="240" w:lineRule="auto"/>
        <w:rPr>
          <w:szCs w:val="24"/>
        </w:rPr>
      </w:pPr>
      <w:r>
        <w:rPr>
          <w:szCs w:val="24"/>
        </w:rPr>
        <w:br w:type="page"/>
      </w:r>
    </w:p>
    <w:p w:rsidR="00A327E6" w:rsidRPr="00283B22" w:rsidRDefault="00A327E6" w:rsidP="00E44AAF">
      <w:pPr>
        <w:pStyle w:val="Heading1"/>
        <w:spacing w:before="0" w:line="400" w:lineRule="atLeast"/>
        <w:rPr>
          <w:sz w:val="24"/>
          <w:szCs w:val="24"/>
        </w:rPr>
      </w:pPr>
      <w:bookmarkStart w:id="192" w:name="_Toc388543110"/>
      <w:r>
        <w:rPr>
          <w:sz w:val="24"/>
          <w:szCs w:val="24"/>
        </w:rPr>
        <w:t>RESULTS</w:t>
      </w:r>
      <w:bookmarkEnd w:id="192"/>
    </w:p>
    <w:p w:rsidR="00A327E6" w:rsidRPr="0021796A" w:rsidRDefault="00A327E6" w:rsidP="00E44AAF">
      <w:pPr>
        <w:pStyle w:val="Heading2"/>
        <w:spacing w:line="400" w:lineRule="atLeast"/>
      </w:pPr>
      <w:bookmarkStart w:id="193" w:name="_Toc344363020"/>
      <w:bookmarkStart w:id="194" w:name="_Toc344476494"/>
      <w:bookmarkStart w:id="195" w:name="_Toc350413091"/>
      <w:bookmarkStart w:id="196" w:name="_Toc388543111"/>
      <w:bookmarkStart w:id="197" w:name="_Toc336343172"/>
      <w:r w:rsidRPr="0021796A">
        <w:t>Survey Response Rates</w:t>
      </w:r>
      <w:bookmarkEnd w:id="193"/>
      <w:bookmarkEnd w:id="194"/>
      <w:bookmarkEnd w:id="195"/>
      <w:bookmarkEnd w:id="196"/>
    </w:p>
    <w:p w:rsidR="00A327E6" w:rsidRPr="0021796A" w:rsidRDefault="00A327E6" w:rsidP="00517414">
      <w:pPr>
        <w:pStyle w:val="NormalIndent"/>
        <w:spacing w:before="100" w:beforeAutospacing="1" w:after="100" w:afterAutospacing="1" w:line="400" w:lineRule="atLeast"/>
        <w:rPr>
          <w:szCs w:val="24"/>
        </w:rPr>
      </w:pPr>
      <w:r w:rsidRPr="0021796A">
        <w:rPr>
          <w:szCs w:val="24"/>
        </w:rPr>
        <w:t>The response rate of a telephone survey is the proportion of eligible households in the sample that actually complete the survey</w:t>
      </w:r>
      <w:r>
        <w:rPr>
          <w:szCs w:val="24"/>
        </w:rPr>
        <w:t xml:space="preserve">.  </w:t>
      </w:r>
      <w:r w:rsidRPr="0021796A">
        <w:rPr>
          <w:szCs w:val="24"/>
        </w:rPr>
        <w:t>Response rates for the LAHS were calculated using standardized methods established by the American Association of Public Opinion Research (AAPOR</w:t>
      </w:r>
      <w:r>
        <w:rPr>
          <w:szCs w:val="24"/>
        </w:rPr>
        <w:t>,</w:t>
      </w:r>
      <w:r w:rsidRPr="0021796A">
        <w:rPr>
          <w:szCs w:val="24"/>
        </w:rPr>
        <w:t xml:space="preserve"> 2008).  A total of 37670 telephone numbers were selected by RDD methodology for inclusion in the study</w:t>
      </w:r>
      <w:r>
        <w:rPr>
          <w:szCs w:val="24"/>
        </w:rPr>
        <w:t xml:space="preserve">.  </w:t>
      </w:r>
      <w:r w:rsidRPr="0021796A">
        <w:rPr>
          <w:szCs w:val="24"/>
        </w:rPr>
        <w:t>Of those, 10091 (26.8%) were identified as eligible households; 17294 (45.9%) were determined to be ineligible either as a non-residential number (16745) or an ineligible household (549); and 10285 (27.3%) were classified as being either residences of unknown eligibility (5443) or numbers that were always busy, never answered, or only answered by a machine that did not indicate whether or not the number belonged to a residence (4842).</w:t>
      </w:r>
    </w:p>
    <w:p w:rsidR="00A327E6" w:rsidRPr="0021796A" w:rsidRDefault="00A327E6" w:rsidP="00517414">
      <w:pPr>
        <w:pStyle w:val="NormalIndent"/>
        <w:spacing w:before="100" w:beforeAutospacing="1" w:after="100" w:afterAutospacing="1" w:line="400" w:lineRule="atLeast"/>
        <w:rPr>
          <w:szCs w:val="24"/>
        </w:rPr>
      </w:pPr>
      <w:r w:rsidRPr="0021796A">
        <w:rPr>
          <w:szCs w:val="24"/>
        </w:rPr>
        <w:t>The challenge in calculating response rates is to estimate how many telephone numbers of unknown eligibility actually belong to eligible households.  There are many methods of estimating this figure (Smith</w:t>
      </w:r>
      <w:r>
        <w:rPr>
          <w:szCs w:val="24"/>
        </w:rPr>
        <w:t>,</w:t>
      </w:r>
      <w:r w:rsidRPr="0021796A">
        <w:rPr>
          <w:szCs w:val="24"/>
        </w:rPr>
        <w:t xml:space="preserve"> 2009), but for the purposes of the LAHS we chose to apply what is known as the Council of American Survey Research Organizations (CASRO) or proportional allocation method, which formed the basis of and is equivalent to AAPOR’s Response Rate 3 (RR3)</w:t>
      </w:r>
      <w:r>
        <w:rPr>
          <w:szCs w:val="24"/>
        </w:rPr>
        <w:t xml:space="preserve">.  </w:t>
      </w:r>
      <w:r w:rsidRPr="0021796A">
        <w:rPr>
          <w:szCs w:val="24"/>
        </w:rPr>
        <w:t>The proportional allocation method assumes that the proportion of eligible to ineligible telephone numbers is the same among those that were successfully classified as it is among those that were unable to be classified</w:t>
      </w:r>
      <w:r>
        <w:rPr>
          <w:szCs w:val="24"/>
        </w:rPr>
        <w:t xml:space="preserve">.  </w:t>
      </w:r>
      <w:r w:rsidRPr="0021796A">
        <w:rPr>
          <w:szCs w:val="24"/>
        </w:rPr>
        <w:t>The CASRO or AAPOR RR3 method is known to be a conservative approach that generally produces underestimates of a study’s response rate, but it is also the most widely used and allows for comparison across studies</w:t>
      </w:r>
      <w:r>
        <w:rPr>
          <w:szCs w:val="24"/>
        </w:rPr>
        <w:t xml:space="preserve">.  </w:t>
      </w:r>
      <w:r w:rsidRPr="0021796A">
        <w:rPr>
          <w:szCs w:val="24"/>
        </w:rPr>
        <w:t>Based on this method, the LAHS survey response rate was calculated to be 35%</w:t>
      </w:r>
      <w:r>
        <w:rPr>
          <w:szCs w:val="24"/>
        </w:rPr>
        <w:t xml:space="preserve">.  </w:t>
      </w:r>
      <w:r w:rsidRPr="0021796A">
        <w:rPr>
          <w:szCs w:val="24"/>
        </w:rPr>
        <w:t>To provide what can be considered an upper-bound estimate of the response rate, we also calculated the AAPOR Response Rate 6 (RR6), which simply assumes that none of the unresolved telephone numbers belonged to eligible households</w:t>
      </w:r>
      <w:r>
        <w:rPr>
          <w:szCs w:val="24"/>
        </w:rPr>
        <w:t xml:space="preserve">.  </w:t>
      </w:r>
      <w:r w:rsidRPr="0021796A">
        <w:rPr>
          <w:szCs w:val="24"/>
        </w:rPr>
        <w:t>Using this method, the LAHS survey response rate would be 60%</w:t>
      </w:r>
      <w:r>
        <w:rPr>
          <w:szCs w:val="24"/>
        </w:rPr>
        <w:t xml:space="preserve">.  </w:t>
      </w:r>
      <w:r w:rsidRPr="0021796A">
        <w:rPr>
          <w:szCs w:val="24"/>
        </w:rPr>
        <w:t>The true response rate is believed to fall between the two estimates.</w:t>
      </w:r>
    </w:p>
    <w:p w:rsidR="00A327E6" w:rsidRPr="0021796A" w:rsidRDefault="00A327E6" w:rsidP="00E44AAF">
      <w:pPr>
        <w:pStyle w:val="Heading2"/>
        <w:spacing w:line="400" w:lineRule="atLeast"/>
      </w:pPr>
      <w:bookmarkStart w:id="198" w:name="_Toc344363021"/>
      <w:bookmarkStart w:id="199" w:name="_Toc344476495"/>
      <w:bookmarkStart w:id="200" w:name="_Toc350413092"/>
      <w:bookmarkStart w:id="201" w:name="_Toc388543112"/>
      <w:r w:rsidRPr="0021796A">
        <w:t>Population Characteristics</w:t>
      </w:r>
      <w:bookmarkEnd w:id="198"/>
      <w:bookmarkEnd w:id="199"/>
      <w:bookmarkEnd w:id="200"/>
      <w:bookmarkEnd w:id="201"/>
    </w:p>
    <w:p w:rsidR="00A327E6" w:rsidRPr="0021796A" w:rsidRDefault="00A327E6" w:rsidP="00E44AAF">
      <w:pPr>
        <w:spacing w:before="100" w:beforeAutospacing="1" w:after="100" w:afterAutospacing="1" w:line="400" w:lineRule="atLeast"/>
        <w:rPr>
          <w:rStyle w:val="Emphasis"/>
          <w:b/>
          <w:szCs w:val="24"/>
        </w:rPr>
      </w:pPr>
      <w:bookmarkStart w:id="202" w:name="_Toc350413093"/>
      <w:bookmarkEnd w:id="197"/>
      <w:r w:rsidRPr="0021796A">
        <w:rPr>
          <w:rStyle w:val="Emphasis"/>
          <w:b/>
          <w:szCs w:val="24"/>
        </w:rPr>
        <w:t>Adults</w:t>
      </w:r>
      <w:bookmarkEnd w:id="202"/>
    </w:p>
    <w:p w:rsidR="00A327E6" w:rsidRPr="0021796A" w:rsidRDefault="00A327E6" w:rsidP="00517414">
      <w:pPr>
        <w:pStyle w:val="NormalIndent"/>
        <w:spacing w:before="100" w:beforeAutospacing="1" w:after="100" w:afterAutospacing="1" w:line="400" w:lineRule="atLeast"/>
        <w:rPr>
          <w:szCs w:val="24"/>
        </w:rPr>
      </w:pPr>
      <w:r w:rsidRPr="0021796A">
        <w:rPr>
          <w:szCs w:val="24"/>
        </w:rPr>
        <w:t>Demographic characteristics are presented in Table 6-1 for the 6072 adults in the LAHS survey sample, for the study area as a whole based on survey data weighted to be representative of the overall population, and for MA statewide based on 2010 US Census data</w:t>
      </w:r>
      <w:r>
        <w:rPr>
          <w:szCs w:val="24"/>
        </w:rPr>
        <w:t xml:space="preserve">.  </w:t>
      </w:r>
      <w:r w:rsidRPr="0021796A">
        <w:rPr>
          <w:szCs w:val="24"/>
        </w:rPr>
        <w:t>The majority of survey respondents were white (85%) and non-Hispanic (87%)</w:t>
      </w:r>
      <w:r>
        <w:rPr>
          <w:szCs w:val="24"/>
        </w:rPr>
        <w:t xml:space="preserve">.  </w:t>
      </w:r>
      <w:r w:rsidRPr="0021796A">
        <w:rPr>
          <w:szCs w:val="24"/>
        </w:rPr>
        <w:t>Ten percent (10%) of respondents were Black or African-American, and 5% classified their race as Asian, Pacific Islander, Native Hawaiian, American Indian, or another race</w:t>
      </w:r>
      <w:r>
        <w:rPr>
          <w:szCs w:val="24"/>
        </w:rPr>
        <w:t xml:space="preserve">.  </w:t>
      </w:r>
      <w:r w:rsidRPr="0021796A">
        <w:rPr>
          <w:szCs w:val="24"/>
        </w:rPr>
        <w:t>Thirteen percent (13%) of respondents identified as Hispanic or Latino</w:t>
      </w:r>
      <w:r>
        <w:rPr>
          <w:szCs w:val="24"/>
        </w:rPr>
        <w:t xml:space="preserve">.  </w:t>
      </w:r>
      <w:r w:rsidRPr="0021796A">
        <w:rPr>
          <w:szCs w:val="24"/>
        </w:rPr>
        <w:t>Compared to the MA population statewide, the study area population has a proportionally greater numbers of Black or African American residents (12% vs. 6%) and fewer White residents (76% vs. 82%).</w:t>
      </w:r>
    </w:p>
    <w:p w:rsidR="00A327E6" w:rsidRDefault="00A327E6" w:rsidP="00517414">
      <w:pPr>
        <w:pStyle w:val="NormalIndent"/>
        <w:spacing w:before="100" w:beforeAutospacing="1" w:after="100" w:afterAutospacing="1" w:line="400" w:lineRule="atLeast"/>
        <w:rPr>
          <w:szCs w:val="24"/>
        </w:rPr>
      </w:pPr>
      <w:r w:rsidRPr="0021796A">
        <w:rPr>
          <w:szCs w:val="24"/>
        </w:rPr>
        <w:t>More women than men responded to the survey (64% vs. 36%).  The population is more evenly distributed between women and men in the study area overall (56% vs. 44%) and statewide (52% vs. 48%)</w:t>
      </w:r>
      <w:r>
        <w:rPr>
          <w:szCs w:val="24"/>
        </w:rPr>
        <w:t xml:space="preserve">.  </w:t>
      </w:r>
      <w:r w:rsidRPr="0021796A">
        <w:rPr>
          <w:szCs w:val="24"/>
        </w:rPr>
        <w:t>A little more than half (54%) of the adults surveyed were between the ages of 40 and 69 years; 31% were aged 18-39 years; and about 15% were aged 70 years or above</w:t>
      </w:r>
      <w:r>
        <w:rPr>
          <w:szCs w:val="24"/>
        </w:rPr>
        <w:t xml:space="preserve">.  </w:t>
      </w:r>
      <w:r w:rsidRPr="0021796A">
        <w:rPr>
          <w:szCs w:val="24"/>
        </w:rPr>
        <w:t>The study area population overall is somewhat younger than that of the state with 46% vs. 38% of residents being aged 18-39</w:t>
      </w:r>
      <w:r>
        <w:rPr>
          <w:szCs w:val="24"/>
        </w:rPr>
        <w:t xml:space="preserve">.  </w:t>
      </w:r>
      <w:r w:rsidRPr="0021796A">
        <w:rPr>
          <w:szCs w:val="24"/>
        </w:rPr>
        <w:t>One third (32%) of adults in the study area lived in households with incomes less than twice the 2005 federal poverty guideline</w:t>
      </w:r>
      <w:r>
        <w:rPr>
          <w:szCs w:val="24"/>
        </w:rPr>
        <w:t xml:space="preserve">.  </w:t>
      </w:r>
      <w:r w:rsidRPr="0021796A">
        <w:rPr>
          <w:szCs w:val="24"/>
        </w:rPr>
        <w:t>Fourteen percent (14%) had household incomes below federal poverty guidelines compared to 11% statewide</w:t>
      </w:r>
      <w:r>
        <w:rPr>
          <w:szCs w:val="24"/>
        </w:rPr>
        <w:t xml:space="preserve">.  </w:t>
      </w:r>
      <w:r w:rsidRPr="0021796A">
        <w:rPr>
          <w:szCs w:val="24"/>
        </w:rPr>
        <w:t>Almost 90% of respondents had a high-school diploma or GED; 62% reported educational attainment of at least some college; and 42% had earned a bachelor’s degree or higher.  In the study population overall there was a somewhat higher degree of educational attainment compared to the state as a whole.</w:t>
      </w:r>
    </w:p>
    <w:p w:rsidR="00A327E6" w:rsidRDefault="00A327E6" w:rsidP="00283B22">
      <w:pPr>
        <w:pStyle w:val="Caption"/>
        <w:spacing w:before="0" w:after="0" w:line="240" w:lineRule="auto"/>
        <w:rPr>
          <w:szCs w:val="24"/>
        </w:rPr>
      </w:pPr>
    </w:p>
    <w:p w:rsidR="00A327E6" w:rsidRDefault="00A327E6" w:rsidP="00283B22">
      <w:pPr>
        <w:pStyle w:val="Caption"/>
        <w:spacing w:before="0" w:after="0" w:line="240" w:lineRule="auto"/>
        <w:rPr>
          <w:szCs w:val="24"/>
        </w:rPr>
      </w:pPr>
    </w:p>
    <w:p w:rsidR="00A327E6" w:rsidRDefault="00A327E6" w:rsidP="00283B22">
      <w:pPr>
        <w:pStyle w:val="Caption"/>
        <w:spacing w:before="0" w:after="0" w:line="240" w:lineRule="auto"/>
        <w:rPr>
          <w:szCs w:val="24"/>
        </w:rPr>
      </w:pPr>
    </w:p>
    <w:p w:rsidR="00A327E6" w:rsidRDefault="00A327E6" w:rsidP="00932A53">
      <w:pPr>
        <w:pStyle w:val="Caption"/>
        <w:spacing w:before="0" w:after="0" w:line="240" w:lineRule="auto"/>
      </w:pPr>
      <w:bookmarkStart w:id="203" w:name="_Toc386796294"/>
    </w:p>
    <w:p w:rsidR="00A327E6" w:rsidRPr="00FF6373" w:rsidRDefault="00A327E6" w:rsidP="00FF6373">
      <w:pPr>
        <w:pStyle w:val="Caption"/>
        <w:keepNext/>
      </w:pPr>
      <w:r>
        <w:t xml:space="preserve">Table </w:t>
      </w:r>
      <w:fldSimple w:instr=" STYLEREF 1 \s ">
        <w:r>
          <w:rPr>
            <w:noProof/>
          </w:rPr>
          <w:t>6</w:t>
        </w:r>
      </w:fldSimple>
      <w:r>
        <w:noBreakHyphen/>
      </w:r>
      <w:fldSimple w:instr=" SEQ Table \* ARABIC \s 1 ">
        <w:r>
          <w:rPr>
            <w:noProof/>
          </w:rPr>
          <w:t>1</w:t>
        </w:r>
      </w:fldSimple>
      <w:r>
        <w:t xml:space="preserve">. </w:t>
      </w:r>
      <w:r w:rsidRPr="0038730A">
        <w:rPr>
          <w:szCs w:val="24"/>
        </w:rPr>
        <w:t>Basic Demographic Characteristics for the 6072 Adult Participants of the Logan Airport Health Study (LAHS) Survey, Study Area Population, and Statewide</w:t>
      </w:r>
      <w:bookmarkEnd w:id="203"/>
      <w:r w:rsidRPr="0038730A">
        <w:rPr>
          <w:szCs w:val="24"/>
        </w:rPr>
        <w:t xml:space="preserve"> </w:t>
      </w:r>
    </w:p>
    <w:tbl>
      <w:tblPr>
        <w:tblW w:w="9000" w:type="dxa"/>
        <w:tblInd w:w="108" w:type="dxa"/>
        <w:tblBorders>
          <w:top w:val="single" w:sz="8" w:space="0" w:color="4F81BD"/>
          <w:left w:val="single" w:sz="8" w:space="0" w:color="4F81BD"/>
          <w:bottom w:val="single" w:sz="8" w:space="0" w:color="4F81BD"/>
          <w:right w:val="single" w:sz="8" w:space="0" w:color="4F81BD"/>
        </w:tblBorders>
        <w:tblLook w:val="00A0"/>
      </w:tblPr>
      <w:tblGrid>
        <w:gridCol w:w="3690"/>
        <w:gridCol w:w="1707"/>
        <w:gridCol w:w="1980"/>
        <w:gridCol w:w="1623"/>
      </w:tblGrid>
      <w:tr w:rsidR="00A327E6" w:rsidRPr="0038730A" w:rsidTr="00415FA2">
        <w:trPr>
          <w:trHeight w:val="362"/>
        </w:trPr>
        <w:tc>
          <w:tcPr>
            <w:tcW w:w="3690" w:type="dxa"/>
            <w:tcBorders>
              <w:top w:val="single" w:sz="8" w:space="0" w:color="4F81BD"/>
            </w:tcBorders>
            <w:shd w:val="clear" w:color="auto" w:fill="4F81BD"/>
            <w:noWrap/>
            <w:vAlign w:val="bottom"/>
          </w:tcPr>
          <w:p w:rsidR="00A327E6" w:rsidRPr="00415FA2" w:rsidRDefault="00A327E6" w:rsidP="00415FA2">
            <w:pPr>
              <w:spacing w:before="0" w:after="0" w:line="400" w:lineRule="atLeast"/>
              <w:rPr>
                <w:b/>
                <w:bCs/>
                <w:color w:val="FFFFFF"/>
                <w:szCs w:val="24"/>
                <w:lang w:eastAsia="zh-TW"/>
              </w:rPr>
            </w:pPr>
          </w:p>
        </w:tc>
        <w:tc>
          <w:tcPr>
            <w:tcW w:w="1617" w:type="dxa"/>
            <w:tcBorders>
              <w:top w:val="single" w:sz="8" w:space="0" w:color="4F81BD"/>
            </w:tcBorders>
            <w:shd w:val="clear" w:color="auto" w:fill="4F81BD"/>
            <w:noWrap/>
          </w:tcPr>
          <w:p w:rsidR="00A327E6" w:rsidRPr="00415FA2" w:rsidRDefault="00A327E6" w:rsidP="00415FA2">
            <w:pPr>
              <w:spacing w:before="0" w:after="0" w:line="240" w:lineRule="auto"/>
              <w:jc w:val="center"/>
              <w:rPr>
                <w:b/>
                <w:bCs/>
                <w:color w:val="FFFFFF"/>
                <w:szCs w:val="24"/>
                <w:lang w:eastAsia="zh-TW"/>
              </w:rPr>
            </w:pPr>
            <w:r w:rsidRPr="00415FA2">
              <w:rPr>
                <w:b/>
                <w:bCs/>
                <w:color w:val="FFFFFF"/>
                <w:szCs w:val="24"/>
                <w:lang w:eastAsia="zh-TW"/>
              </w:rPr>
              <w:t>Survey Respondents,</w:t>
            </w:r>
          </w:p>
        </w:tc>
        <w:tc>
          <w:tcPr>
            <w:tcW w:w="1980" w:type="dxa"/>
            <w:tcBorders>
              <w:top w:val="single" w:sz="8" w:space="0" w:color="4F81BD"/>
            </w:tcBorders>
            <w:shd w:val="clear" w:color="auto" w:fill="4F81BD"/>
            <w:noWrap/>
          </w:tcPr>
          <w:p w:rsidR="00A327E6" w:rsidRPr="00415FA2" w:rsidRDefault="00A327E6" w:rsidP="00415FA2">
            <w:pPr>
              <w:spacing w:before="0" w:after="0" w:line="240" w:lineRule="auto"/>
              <w:jc w:val="center"/>
              <w:rPr>
                <w:b/>
                <w:bCs/>
                <w:color w:val="FFFFFF"/>
                <w:szCs w:val="24"/>
                <w:lang w:eastAsia="zh-TW"/>
              </w:rPr>
            </w:pPr>
            <w:r w:rsidRPr="00415FA2">
              <w:rPr>
                <w:b/>
                <w:bCs/>
                <w:color w:val="FFFFFF"/>
                <w:szCs w:val="24"/>
                <w:lang w:eastAsia="zh-TW"/>
              </w:rPr>
              <w:t>Study Area Population</w:t>
            </w:r>
            <w:r w:rsidRPr="00415FA2">
              <w:rPr>
                <w:b/>
                <w:bCs/>
                <w:color w:val="FFFFFF"/>
                <w:szCs w:val="24"/>
                <w:vertAlign w:val="superscript"/>
                <w:lang w:eastAsia="zh-TW"/>
              </w:rPr>
              <w:t>b</w:t>
            </w:r>
            <w:r w:rsidRPr="00415FA2">
              <w:rPr>
                <w:b/>
                <w:bCs/>
                <w:color w:val="FFFFFF"/>
                <w:szCs w:val="24"/>
                <w:lang w:eastAsia="zh-TW"/>
              </w:rPr>
              <w:t>,</w:t>
            </w:r>
          </w:p>
        </w:tc>
        <w:tc>
          <w:tcPr>
            <w:tcW w:w="1713" w:type="dxa"/>
            <w:tcBorders>
              <w:top w:val="single" w:sz="8" w:space="0" w:color="4F81BD"/>
            </w:tcBorders>
            <w:shd w:val="clear" w:color="auto" w:fill="4F81BD"/>
          </w:tcPr>
          <w:p w:rsidR="00A327E6" w:rsidRPr="00415FA2" w:rsidRDefault="00A327E6" w:rsidP="00415FA2">
            <w:pPr>
              <w:spacing w:before="0" w:after="0" w:line="240" w:lineRule="auto"/>
              <w:jc w:val="center"/>
              <w:rPr>
                <w:b/>
                <w:bCs/>
                <w:color w:val="FFFFFF"/>
                <w:szCs w:val="24"/>
                <w:lang w:eastAsia="zh-TW"/>
              </w:rPr>
            </w:pPr>
            <w:r w:rsidRPr="00415FA2">
              <w:rPr>
                <w:b/>
                <w:bCs/>
                <w:color w:val="FFFFFF"/>
                <w:szCs w:val="24"/>
                <w:lang w:eastAsia="zh-TW"/>
              </w:rPr>
              <w:t>Statewide</w:t>
            </w:r>
          </w:p>
          <w:p w:rsidR="00A327E6" w:rsidRPr="00415FA2" w:rsidRDefault="00A327E6" w:rsidP="00415FA2">
            <w:pPr>
              <w:spacing w:before="0" w:after="0" w:line="240" w:lineRule="auto"/>
              <w:jc w:val="center"/>
              <w:rPr>
                <w:b/>
                <w:bCs/>
                <w:color w:val="FFFFFF"/>
                <w:szCs w:val="24"/>
                <w:lang w:eastAsia="zh-TW"/>
              </w:rPr>
            </w:pPr>
            <w:r w:rsidRPr="00415FA2">
              <w:rPr>
                <w:b/>
                <w:bCs/>
                <w:color w:val="FFFFFF"/>
                <w:szCs w:val="24"/>
                <w:lang w:eastAsia="zh-TW"/>
              </w:rPr>
              <w:t>Population</w:t>
            </w:r>
            <w:r w:rsidRPr="00415FA2">
              <w:rPr>
                <w:b/>
                <w:bCs/>
                <w:color w:val="FFFFFF"/>
                <w:szCs w:val="24"/>
                <w:vertAlign w:val="superscript"/>
                <w:lang w:eastAsia="zh-TW"/>
              </w:rPr>
              <w:t>c</w:t>
            </w:r>
            <w:r w:rsidRPr="00415FA2">
              <w:rPr>
                <w:b/>
                <w:bCs/>
                <w:color w:val="FFFFFF"/>
                <w:szCs w:val="24"/>
                <w:lang w:eastAsia="zh-TW"/>
              </w:rPr>
              <w:t>,</w:t>
            </w:r>
          </w:p>
        </w:tc>
      </w:tr>
      <w:tr w:rsidR="00A327E6" w:rsidRPr="0038730A" w:rsidTr="00415FA2">
        <w:trPr>
          <w:trHeight w:val="362"/>
        </w:trPr>
        <w:tc>
          <w:tcPr>
            <w:tcW w:w="3690" w:type="dxa"/>
            <w:tcBorders>
              <w:top w:val="single" w:sz="8" w:space="0" w:color="4F81BD"/>
              <w:bottom w:val="nil"/>
            </w:tcBorders>
            <w:shd w:val="clear" w:color="auto" w:fill="4F81BD"/>
            <w:noWrap/>
            <w:vAlign w:val="center"/>
          </w:tcPr>
          <w:p w:rsidR="00A327E6" w:rsidRPr="00415FA2" w:rsidRDefault="00A327E6" w:rsidP="00415FA2">
            <w:pPr>
              <w:spacing w:before="0" w:after="0" w:line="400" w:lineRule="atLeast"/>
              <w:rPr>
                <w:b/>
                <w:bCs/>
                <w:color w:val="FFFFFF"/>
                <w:szCs w:val="24"/>
                <w:vertAlign w:val="superscript"/>
                <w:lang w:eastAsia="zh-TW"/>
              </w:rPr>
            </w:pPr>
            <w:r w:rsidRPr="00415FA2">
              <w:rPr>
                <w:b/>
                <w:bCs/>
                <w:color w:val="FFFFFF"/>
                <w:szCs w:val="24"/>
                <w:lang w:eastAsia="zh-TW"/>
              </w:rPr>
              <w:t>Characteristic</w:t>
            </w:r>
            <w:r w:rsidRPr="00415FA2">
              <w:rPr>
                <w:b/>
                <w:bCs/>
                <w:color w:val="FFFFFF"/>
                <w:szCs w:val="24"/>
                <w:vertAlign w:val="superscript"/>
                <w:lang w:eastAsia="zh-TW"/>
              </w:rPr>
              <w:t>a</w:t>
            </w:r>
          </w:p>
        </w:tc>
        <w:tc>
          <w:tcPr>
            <w:tcW w:w="1617" w:type="dxa"/>
            <w:tcBorders>
              <w:top w:val="single" w:sz="8" w:space="0" w:color="4F81BD"/>
              <w:left w:val="single" w:sz="8" w:space="0" w:color="4F81BD"/>
              <w:bottom w:val="nil"/>
              <w:right w:val="single" w:sz="8" w:space="0" w:color="4F81BD"/>
            </w:tcBorders>
            <w:shd w:val="clear" w:color="auto" w:fill="4F81BD"/>
            <w:noWrap/>
          </w:tcPr>
          <w:p w:rsidR="00A327E6" w:rsidRPr="00415FA2" w:rsidRDefault="00A327E6" w:rsidP="00415FA2">
            <w:pPr>
              <w:spacing w:before="0" w:after="0" w:line="240" w:lineRule="auto"/>
              <w:jc w:val="center"/>
              <w:rPr>
                <w:b/>
                <w:color w:val="FFFFFF"/>
                <w:szCs w:val="24"/>
                <w:lang w:eastAsia="zh-TW"/>
              </w:rPr>
            </w:pPr>
            <w:r w:rsidRPr="00415FA2">
              <w:rPr>
                <w:b/>
                <w:color w:val="FFFFFF"/>
                <w:szCs w:val="24"/>
                <w:lang w:eastAsia="zh-TW"/>
              </w:rPr>
              <w:t>Percent (%)</w:t>
            </w:r>
          </w:p>
        </w:tc>
        <w:tc>
          <w:tcPr>
            <w:tcW w:w="1980" w:type="dxa"/>
            <w:tcBorders>
              <w:top w:val="single" w:sz="8" w:space="0" w:color="4F81BD"/>
              <w:bottom w:val="nil"/>
            </w:tcBorders>
            <w:shd w:val="clear" w:color="auto" w:fill="4F81BD"/>
            <w:noWrap/>
          </w:tcPr>
          <w:p w:rsidR="00A327E6" w:rsidRPr="00415FA2" w:rsidRDefault="00A327E6" w:rsidP="00415FA2">
            <w:pPr>
              <w:spacing w:before="0" w:after="0" w:line="240" w:lineRule="auto"/>
              <w:jc w:val="center"/>
              <w:rPr>
                <w:b/>
                <w:color w:val="FFFFFF"/>
                <w:szCs w:val="24"/>
                <w:lang w:eastAsia="zh-TW"/>
              </w:rPr>
            </w:pPr>
            <w:r w:rsidRPr="00415FA2">
              <w:rPr>
                <w:b/>
                <w:color w:val="FFFFFF"/>
                <w:szCs w:val="24"/>
                <w:lang w:eastAsia="zh-TW"/>
              </w:rPr>
              <w:t>Percent (%)</w:t>
            </w:r>
          </w:p>
        </w:tc>
        <w:tc>
          <w:tcPr>
            <w:tcW w:w="1713" w:type="dxa"/>
            <w:tcBorders>
              <w:top w:val="single" w:sz="8" w:space="0" w:color="4F81BD"/>
              <w:left w:val="single" w:sz="8" w:space="0" w:color="4F81BD"/>
              <w:bottom w:val="nil"/>
            </w:tcBorders>
            <w:shd w:val="clear" w:color="auto" w:fill="4F81BD"/>
          </w:tcPr>
          <w:p w:rsidR="00A327E6" w:rsidRPr="00415FA2" w:rsidRDefault="00A327E6" w:rsidP="00415FA2">
            <w:pPr>
              <w:spacing w:before="0" w:after="0" w:line="240" w:lineRule="auto"/>
              <w:jc w:val="center"/>
              <w:rPr>
                <w:b/>
                <w:color w:val="FFFFFF"/>
                <w:szCs w:val="24"/>
                <w:lang w:eastAsia="zh-TW"/>
              </w:rPr>
            </w:pPr>
            <w:r w:rsidRPr="00415FA2">
              <w:rPr>
                <w:b/>
                <w:color w:val="FFFFFF"/>
                <w:szCs w:val="24"/>
                <w:lang w:eastAsia="zh-TW"/>
              </w:rPr>
              <w:t>Percent (%)</w:t>
            </w:r>
          </w:p>
        </w:tc>
      </w:tr>
      <w:tr w:rsidR="00A327E6" w:rsidRPr="0038730A" w:rsidTr="00415FA2">
        <w:trPr>
          <w:trHeight w:val="23"/>
        </w:trPr>
        <w:tc>
          <w:tcPr>
            <w:tcW w:w="3690" w:type="dxa"/>
            <w:tcBorders>
              <w:top w:val="nil"/>
              <w:bottom w:val="nil"/>
            </w:tcBorders>
            <w:noWrap/>
            <w:vAlign w:val="center"/>
          </w:tcPr>
          <w:p w:rsidR="00A327E6" w:rsidRPr="00415FA2" w:rsidRDefault="00A327E6" w:rsidP="00415FA2">
            <w:pPr>
              <w:spacing w:before="0" w:after="0" w:line="240" w:lineRule="auto"/>
              <w:rPr>
                <w:b/>
                <w:bCs/>
                <w:szCs w:val="24"/>
                <w:lang w:eastAsia="zh-TW"/>
              </w:rPr>
            </w:pPr>
            <w:r w:rsidRPr="00415FA2">
              <w:rPr>
                <w:b/>
                <w:bCs/>
                <w:szCs w:val="24"/>
                <w:lang w:eastAsia="zh-TW"/>
              </w:rPr>
              <w:t>Race</w:t>
            </w:r>
          </w:p>
        </w:tc>
        <w:tc>
          <w:tcPr>
            <w:tcW w:w="1617" w:type="dxa"/>
            <w:tcBorders>
              <w:top w:val="nil"/>
              <w:bottom w:val="nil"/>
            </w:tcBorders>
            <w:noWrap/>
          </w:tcPr>
          <w:p w:rsidR="00A327E6" w:rsidRPr="00415FA2" w:rsidRDefault="00A327E6" w:rsidP="00415FA2">
            <w:pPr>
              <w:spacing w:before="0" w:after="0" w:line="240" w:lineRule="auto"/>
              <w:jc w:val="center"/>
              <w:rPr>
                <w:szCs w:val="24"/>
                <w:lang w:eastAsia="zh-TW"/>
              </w:rPr>
            </w:pPr>
          </w:p>
        </w:tc>
        <w:tc>
          <w:tcPr>
            <w:tcW w:w="1980" w:type="dxa"/>
            <w:tcBorders>
              <w:top w:val="nil"/>
              <w:bottom w:val="nil"/>
            </w:tcBorders>
            <w:noWrap/>
          </w:tcPr>
          <w:p w:rsidR="00A327E6" w:rsidRPr="00415FA2" w:rsidRDefault="00A327E6" w:rsidP="00415FA2">
            <w:pPr>
              <w:spacing w:before="0" w:after="0" w:line="240" w:lineRule="auto"/>
              <w:jc w:val="center"/>
              <w:rPr>
                <w:szCs w:val="24"/>
                <w:lang w:eastAsia="zh-TW"/>
              </w:rPr>
            </w:pPr>
          </w:p>
        </w:tc>
        <w:tc>
          <w:tcPr>
            <w:tcW w:w="1713" w:type="dxa"/>
            <w:tcBorders>
              <w:top w:val="nil"/>
              <w:bottom w:val="nil"/>
            </w:tcBorders>
          </w:tcPr>
          <w:p w:rsidR="00A327E6" w:rsidRPr="00415FA2" w:rsidRDefault="00A327E6" w:rsidP="00415FA2">
            <w:pPr>
              <w:spacing w:before="0" w:after="0" w:line="240" w:lineRule="auto"/>
              <w:jc w:val="center"/>
              <w:rPr>
                <w:szCs w:val="24"/>
                <w:lang w:eastAsia="zh-TW"/>
              </w:rPr>
            </w:pPr>
          </w:p>
        </w:tc>
      </w:tr>
      <w:tr w:rsidR="00A327E6" w:rsidRPr="0038730A" w:rsidTr="00415FA2">
        <w:trPr>
          <w:trHeight w:val="23"/>
        </w:trPr>
        <w:tc>
          <w:tcPr>
            <w:tcW w:w="3690" w:type="dxa"/>
            <w:tcBorders>
              <w:top w:val="nil"/>
              <w:bottom w:val="nil"/>
            </w:tcBorders>
            <w:noWrap/>
            <w:vAlign w:val="center"/>
          </w:tcPr>
          <w:p w:rsidR="00A327E6" w:rsidRPr="00415FA2" w:rsidRDefault="00A327E6" w:rsidP="00D92952">
            <w:pPr>
              <w:spacing w:before="0" w:after="0" w:line="240" w:lineRule="auto"/>
              <w:ind w:firstLineChars="200" w:firstLine="480"/>
              <w:rPr>
                <w:b/>
                <w:bCs/>
                <w:color w:val="104E8B"/>
                <w:szCs w:val="24"/>
                <w:lang w:eastAsia="zh-TW"/>
              </w:rPr>
            </w:pPr>
            <w:r w:rsidRPr="00415FA2">
              <w:rPr>
                <w:b/>
                <w:bCs/>
                <w:szCs w:val="24"/>
                <w:lang w:eastAsia="zh-TW"/>
              </w:rPr>
              <w:t>White</w:t>
            </w:r>
          </w:p>
        </w:tc>
        <w:tc>
          <w:tcPr>
            <w:tcW w:w="1617" w:type="dxa"/>
            <w:tcBorders>
              <w:top w:val="nil"/>
              <w:bottom w:val="nil"/>
            </w:tcBorders>
            <w:noWrap/>
            <w:vAlign w:val="center"/>
          </w:tcPr>
          <w:p w:rsidR="00A327E6" w:rsidRPr="00415FA2" w:rsidRDefault="00A327E6" w:rsidP="00415FA2">
            <w:pPr>
              <w:spacing w:before="0" w:after="0" w:line="240" w:lineRule="auto"/>
              <w:jc w:val="center"/>
              <w:rPr>
                <w:color w:val="000000"/>
                <w:szCs w:val="24"/>
                <w:lang w:eastAsia="zh-TW"/>
              </w:rPr>
            </w:pPr>
            <w:r w:rsidRPr="00415FA2">
              <w:rPr>
                <w:color w:val="000000"/>
                <w:szCs w:val="24"/>
                <w:lang w:eastAsia="zh-TW"/>
              </w:rPr>
              <w:t>85</w:t>
            </w:r>
          </w:p>
        </w:tc>
        <w:tc>
          <w:tcPr>
            <w:tcW w:w="1980" w:type="dxa"/>
            <w:tcBorders>
              <w:top w:val="nil"/>
              <w:bottom w:val="nil"/>
            </w:tcBorders>
            <w:noWrap/>
            <w:vAlign w:val="center"/>
          </w:tcPr>
          <w:p w:rsidR="00A327E6" w:rsidRPr="00415FA2" w:rsidRDefault="00A327E6" w:rsidP="00415FA2">
            <w:pPr>
              <w:spacing w:before="0" w:after="0" w:line="240" w:lineRule="auto"/>
              <w:jc w:val="center"/>
              <w:rPr>
                <w:color w:val="000000"/>
                <w:szCs w:val="24"/>
                <w:lang w:eastAsia="zh-TW"/>
              </w:rPr>
            </w:pPr>
            <w:r w:rsidRPr="00415FA2">
              <w:rPr>
                <w:color w:val="000000"/>
                <w:szCs w:val="24"/>
                <w:lang w:eastAsia="zh-TW"/>
              </w:rPr>
              <w:t>76</w:t>
            </w:r>
          </w:p>
        </w:tc>
        <w:tc>
          <w:tcPr>
            <w:tcW w:w="1713" w:type="dxa"/>
            <w:tcBorders>
              <w:top w:val="nil"/>
              <w:bottom w:val="nil"/>
            </w:tcBorders>
            <w:vAlign w:val="center"/>
          </w:tcPr>
          <w:p w:rsidR="00A327E6" w:rsidRPr="00415FA2" w:rsidRDefault="00A327E6" w:rsidP="00415FA2">
            <w:pPr>
              <w:spacing w:before="0" w:after="0" w:line="240" w:lineRule="auto"/>
              <w:jc w:val="center"/>
              <w:rPr>
                <w:color w:val="000000"/>
                <w:szCs w:val="24"/>
                <w:lang w:eastAsia="zh-TW"/>
              </w:rPr>
            </w:pPr>
            <w:r w:rsidRPr="00415FA2">
              <w:rPr>
                <w:color w:val="000000"/>
                <w:szCs w:val="24"/>
                <w:lang w:eastAsia="zh-TW"/>
              </w:rPr>
              <w:t>82</w:t>
            </w:r>
          </w:p>
        </w:tc>
      </w:tr>
      <w:tr w:rsidR="00A327E6" w:rsidRPr="0038730A" w:rsidTr="00415FA2">
        <w:trPr>
          <w:trHeight w:val="23"/>
        </w:trPr>
        <w:tc>
          <w:tcPr>
            <w:tcW w:w="3690" w:type="dxa"/>
            <w:tcBorders>
              <w:top w:val="nil"/>
              <w:bottom w:val="nil"/>
            </w:tcBorders>
            <w:noWrap/>
            <w:vAlign w:val="center"/>
          </w:tcPr>
          <w:p w:rsidR="00A327E6" w:rsidRPr="00415FA2" w:rsidRDefault="00A327E6" w:rsidP="00D92952">
            <w:pPr>
              <w:spacing w:before="0" w:after="0" w:line="240" w:lineRule="auto"/>
              <w:ind w:firstLineChars="200" w:firstLine="480"/>
              <w:rPr>
                <w:b/>
                <w:bCs/>
                <w:color w:val="000000"/>
                <w:szCs w:val="24"/>
                <w:lang w:eastAsia="zh-TW"/>
              </w:rPr>
            </w:pPr>
            <w:r w:rsidRPr="00415FA2">
              <w:rPr>
                <w:b/>
                <w:bCs/>
                <w:color w:val="000000"/>
                <w:szCs w:val="24"/>
                <w:lang w:eastAsia="zh-TW"/>
              </w:rPr>
              <w:t>Black</w:t>
            </w:r>
          </w:p>
        </w:tc>
        <w:tc>
          <w:tcPr>
            <w:tcW w:w="1617" w:type="dxa"/>
            <w:tcBorders>
              <w:top w:val="nil"/>
              <w:bottom w:val="nil"/>
            </w:tcBorders>
            <w:noWrap/>
            <w:vAlign w:val="center"/>
          </w:tcPr>
          <w:p w:rsidR="00A327E6" w:rsidRPr="00415FA2" w:rsidRDefault="00A327E6" w:rsidP="00415FA2">
            <w:pPr>
              <w:spacing w:before="0" w:after="0" w:line="240" w:lineRule="auto"/>
              <w:jc w:val="center"/>
              <w:rPr>
                <w:color w:val="000000"/>
                <w:szCs w:val="24"/>
                <w:lang w:eastAsia="zh-TW"/>
              </w:rPr>
            </w:pPr>
            <w:r w:rsidRPr="00415FA2">
              <w:rPr>
                <w:color w:val="000000"/>
                <w:szCs w:val="24"/>
                <w:lang w:eastAsia="zh-TW"/>
              </w:rPr>
              <w:t>10</w:t>
            </w:r>
          </w:p>
        </w:tc>
        <w:tc>
          <w:tcPr>
            <w:tcW w:w="1980" w:type="dxa"/>
            <w:tcBorders>
              <w:top w:val="nil"/>
              <w:bottom w:val="nil"/>
            </w:tcBorders>
            <w:noWrap/>
            <w:vAlign w:val="center"/>
          </w:tcPr>
          <w:p w:rsidR="00A327E6" w:rsidRPr="00415FA2" w:rsidRDefault="00A327E6" w:rsidP="00415FA2">
            <w:pPr>
              <w:spacing w:before="0" w:after="0" w:line="240" w:lineRule="auto"/>
              <w:jc w:val="center"/>
              <w:rPr>
                <w:color w:val="000000"/>
                <w:szCs w:val="24"/>
                <w:lang w:eastAsia="zh-TW"/>
              </w:rPr>
            </w:pPr>
            <w:r w:rsidRPr="00415FA2">
              <w:rPr>
                <w:color w:val="000000"/>
                <w:szCs w:val="24"/>
                <w:lang w:eastAsia="zh-TW"/>
              </w:rPr>
              <w:t>12</w:t>
            </w:r>
          </w:p>
        </w:tc>
        <w:tc>
          <w:tcPr>
            <w:tcW w:w="1713" w:type="dxa"/>
            <w:tcBorders>
              <w:top w:val="nil"/>
              <w:bottom w:val="nil"/>
            </w:tcBorders>
            <w:vAlign w:val="center"/>
          </w:tcPr>
          <w:p w:rsidR="00A327E6" w:rsidRPr="00415FA2" w:rsidRDefault="00A327E6" w:rsidP="00415FA2">
            <w:pPr>
              <w:spacing w:before="0" w:after="0" w:line="240" w:lineRule="auto"/>
              <w:jc w:val="center"/>
              <w:rPr>
                <w:color w:val="000000"/>
                <w:szCs w:val="24"/>
                <w:lang w:eastAsia="zh-TW"/>
              </w:rPr>
            </w:pPr>
            <w:r w:rsidRPr="00415FA2">
              <w:rPr>
                <w:color w:val="000000"/>
                <w:szCs w:val="24"/>
                <w:lang w:eastAsia="zh-TW"/>
              </w:rPr>
              <w:t>6</w:t>
            </w:r>
          </w:p>
        </w:tc>
      </w:tr>
      <w:tr w:rsidR="00A327E6" w:rsidRPr="0038730A" w:rsidTr="00415FA2">
        <w:trPr>
          <w:trHeight w:val="23"/>
        </w:trPr>
        <w:tc>
          <w:tcPr>
            <w:tcW w:w="3690" w:type="dxa"/>
            <w:tcBorders>
              <w:top w:val="nil"/>
              <w:bottom w:val="single" w:sz="8" w:space="0" w:color="4F81BD"/>
            </w:tcBorders>
            <w:noWrap/>
            <w:vAlign w:val="center"/>
          </w:tcPr>
          <w:p w:rsidR="00A327E6" w:rsidRPr="00415FA2" w:rsidRDefault="00A327E6" w:rsidP="00D92952">
            <w:pPr>
              <w:spacing w:before="0" w:after="0" w:line="240" w:lineRule="auto"/>
              <w:ind w:firstLineChars="200" w:firstLine="480"/>
              <w:rPr>
                <w:b/>
                <w:bCs/>
                <w:color w:val="104E8B"/>
                <w:szCs w:val="24"/>
                <w:lang w:eastAsia="zh-TW"/>
              </w:rPr>
            </w:pPr>
            <w:r w:rsidRPr="00415FA2">
              <w:rPr>
                <w:b/>
                <w:bCs/>
                <w:szCs w:val="24"/>
                <w:lang w:eastAsia="zh-TW"/>
              </w:rPr>
              <w:t>Other</w:t>
            </w:r>
          </w:p>
        </w:tc>
        <w:tc>
          <w:tcPr>
            <w:tcW w:w="1617" w:type="dxa"/>
            <w:tcBorders>
              <w:top w:val="nil"/>
              <w:bottom w:val="single" w:sz="8" w:space="0" w:color="4F81BD"/>
            </w:tcBorders>
            <w:noWrap/>
            <w:vAlign w:val="center"/>
          </w:tcPr>
          <w:p w:rsidR="00A327E6" w:rsidRPr="00415FA2" w:rsidRDefault="00A327E6" w:rsidP="00415FA2">
            <w:pPr>
              <w:spacing w:before="0" w:after="0" w:line="240" w:lineRule="auto"/>
              <w:jc w:val="center"/>
              <w:rPr>
                <w:color w:val="000000"/>
                <w:szCs w:val="24"/>
                <w:lang w:eastAsia="zh-TW"/>
              </w:rPr>
            </w:pPr>
            <w:r w:rsidRPr="00415FA2">
              <w:rPr>
                <w:color w:val="000000"/>
                <w:szCs w:val="24"/>
                <w:lang w:eastAsia="zh-TW"/>
              </w:rPr>
              <w:t>5</w:t>
            </w:r>
          </w:p>
        </w:tc>
        <w:tc>
          <w:tcPr>
            <w:tcW w:w="1980" w:type="dxa"/>
            <w:tcBorders>
              <w:top w:val="nil"/>
              <w:bottom w:val="single" w:sz="8" w:space="0" w:color="4F81BD"/>
            </w:tcBorders>
            <w:noWrap/>
            <w:vAlign w:val="center"/>
          </w:tcPr>
          <w:p w:rsidR="00A327E6" w:rsidRPr="00415FA2" w:rsidRDefault="00A327E6" w:rsidP="00415FA2">
            <w:pPr>
              <w:spacing w:before="0" w:after="0" w:line="240" w:lineRule="auto"/>
              <w:jc w:val="center"/>
              <w:rPr>
                <w:color w:val="000000"/>
                <w:szCs w:val="24"/>
                <w:lang w:eastAsia="zh-TW"/>
              </w:rPr>
            </w:pPr>
            <w:r w:rsidRPr="00415FA2">
              <w:rPr>
                <w:color w:val="000000"/>
                <w:szCs w:val="24"/>
                <w:lang w:eastAsia="zh-TW"/>
              </w:rPr>
              <w:t>12</w:t>
            </w:r>
          </w:p>
        </w:tc>
        <w:tc>
          <w:tcPr>
            <w:tcW w:w="1713" w:type="dxa"/>
            <w:tcBorders>
              <w:top w:val="nil"/>
              <w:bottom w:val="single" w:sz="8" w:space="0" w:color="4F81BD"/>
            </w:tcBorders>
            <w:vAlign w:val="center"/>
          </w:tcPr>
          <w:p w:rsidR="00A327E6" w:rsidRPr="00415FA2" w:rsidRDefault="00A327E6" w:rsidP="00415FA2">
            <w:pPr>
              <w:spacing w:before="0" w:after="0" w:line="240" w:lineRule="auto"/>
              <w:jc w:val="center"/>
              <w:rPr>
                <w:color w:val="000000"/>
                <w:szCs w:val="24"/>
                <w:lang w:eastAsia="zh-TW"/>
              </w:rPr>
            </w:pPr>
            <w:r w:rsidRPr="00415FA2">
              <w:rPr>
                <w:color w:val="000000"/>
                <w:szCs w:val="24"/>
                <w:lang w:eastAsia="zh-TW"/>
              </w:rPr>
              <w:t>12</w:t>
            </w:r>
          </w:p>
        </w:tc>
      </w:tr>
      <w:tr w:rsidR="00A327E6" w:rsidRPr="0038730A" w:rsidTr="00415FA2">
        <w:trPr>
          <w:trHeight w:val="23"/>
        </w:trPr>
        <w:tc>
          <w:tcPr>
            <w:tcW w:w="3690" w:type="dxa"/>
            <w:tcBorders>
              <w:top w:val="single" w:sz="8" w:space="0" w:color="4F81BD"/>
              <w:bottom w:val="nil"/>
            </w:tcBorders>
            <w:noWrap/>
            <w:vAlign w:val="center"/>
          </w:tcPr>
          <w:p w:rsidR="00A327E6" w:rsidRPr="00415FA2" w:rsidRDefault="00A327E6" w:rsidP="00415FA2">
            <w:pPr>
              <w:spacing w:before="0" w:after="0" w:line="240" w:lineRule="auto"/>
              <w:rPr>
                <w:b/>
                <w:bCs/>
                <w:szCs w:val="24"/>
                <w:lang w:eastAsia="zh-TW"/>
              </w:rPr>
            </w:pPr>
            <w:r w:rsidRPr="00415FA2">
              <w:rPr>
                <w:b/>
                <w:bCs/>
                <w:szCs w:val="24"/>
                <w:lang w:eastAsia="zh-TW"/>
              </w:rPr>
              <w:t>Ethnicity</w:t>
            </w:r>
          </w:p>
        </w:tc>
        <w:tc>
          <w:tcPr>
            <w:tcW w:w="1617" w:type="dxa"/>
            <w:tcBorders>
              <w:top w:val="single" w:sz="8" w:space="0" w:color="4F81BD"/>
              <w:bottom w:val="nil"/>
            </w:tcBorders>
            <w:noWrap/>
            <w:vAlign w:val="center"/>
          </w:tcPr>
          <w:p w:rsidR="00A327E6" w:rsidRPr="00415FA2" w:rsidRDefault="00A327E6" w:rsidP="00415FA2">
            <w:pPr>
              <w:spacing w:before="0" w:after="0" w:line="240" w:lineRule="auto"/>
              <w:jc w:val="center"/>
              <w:rPr>
                <w:color w:val="000000"/>
                <w:szCs w:val="24"/>
                <w:lang w:eastAsia="zh-TW"/>
              </w:rPr>
            </w:pPr>
          </w:p>
        </w:tc>
        <w:tc>
          <w:tcPr>
            <w:tcW w:w="1980" w:type="dxa"/>
            <w:tcBorders>
              <w:top w:val="single" w:sz="8" w:space="0" w:color="4F81BD"/>
              <w:bottom w:val="nil"/>
            </w:tcBorders>
            <w:noWrap/>
            <w:vAlign w:val="center"/>
          </w:tcPr>
          <w:p w:rsidR="00A327E6" w:rsidRPr="00415FA2" w:rsidRDefault="00A327E6" w:rsidP="00415FA2">
            <w:pPr>
              <w:spacing w:before="0" w:after="0" w:line="240" w:lineRule="auto"/>
              <w:jc w:val="center"/>
              <w:rPr>
                <w:color w:val="000000"/>
                <w:szCs w:val="24"/>
                <w:lang w:eastAsia="zh-TW"/>
              </w:rPr>
            </w:pPr>
          </w:p>
        </w:tc>
        <w:tc>
          <w:tcPr>
            <w:tcW w:w="1713" w:type="dxa"/>
            <w:tcBorders>
              <w:top w:val="single" w:sz="8" w:space="0" w:color="4F81BD"/>
              <w:bottom w:val="nil"/>
            </w:tcBorders>
            <w:vAlign w:val="center"/>
          </w:tcPr>
          <w:p w:rsidR="00A327E6" w:rsidRPr="00415FA2" w:rsidRDefault="00A327E6" w:rsidP="00415FA2">
            <w:pPr>
              <w:spacing w:before="0" w:after="0" w:line="240" w:lineRule="auto"/>
              <w:jc w:val="center"/>
              <w:rPr>
                <w:color w:val="000000"/>
                <w:szCs w:val="24"/>
                <w:lang w:eastAsia="zh-TW"/>
              </w:rPr>
            </w:pPr>
          </w:p>
        </w:tc>
      </w:tr>
      <w:tr w:rsidR="00A327E6" w:rsidRPr="0038730A" w:rsidTr="00415FA2">
        <w:trPr>
          <w:trHeight w:val="23"/>
        </w:trPr>
        <w:tc>
          <w:tcPr>
            <w:tcW w:w="3690" w:type="dxa"/>
            <w:tcBorders>
              <w:top w:val="nil"/>
              <w:bottom w:val="nil"/>
            </w:tcBorders>
            <w:noWrap/>
            <w:vAlign w:val="center"/>
          </w:tcPr>
          <w:p w:rsidR="00A327E6" w:rsidRPr="00415FA2" w:rsidRDefault="00A327E6" w:rsidP="00D92952">
            <w:pPr>
              <w:spacing w:before="0" w:after="0" w:line="240" w:lineRule="auto"/>
              <w:ind w:firstLineChars="200" w:firstLine="480"/>
              <w:rPr>
                <w:b/>
                <w:bCs/>
                <w:color w:val="104E8B"/>
                <w:szCs w:val="24"/>
                <w:lang w:eastAsia="zh-TW"/>
              </w:rPr>
            </w:pPr>
            <w:r w:rsidRPr="00415FA2">
              <w:rPr>
                <w:b/>
                <w:bCs/>
                <w:szCs w:val="24"/>
                <w:lang w:eastAsia="zh-TW"/>
              </w:rPr>
              <w:t>Non-Hispanic</w:t>
            </w:r>
          </w:p>
        </w:tc>
        <w:tc>
          <w:tcPr>
            <w:tcW w:w="1617" w:type="dxa"/>
            <w:tcBorders>
              <w:top w:val="nil"/>
              <w:bottom w:val="nil"/>
            </w:tcBorders>
            <w:noWrap/>
            <w:vAlign w:val="center"/>
          </w:tcPr>
          <w:p w:rsidR="00A327E6" w:rsidRPr="00415FA2" w:rsidRDefault="00A327E6" w:rsidP="00415FA2">
            <w:pPr>
              <w:spacing w:before="0" w:after="0" w:line="240" w:lineRule="auto"/>
              <w:jc w:val="center"/>
              <w:rPr>
                <w:color w:val="000000"/>
                <w:szCs w:val="24"/>
                <w:lang w:eastAsia="zh-TW"/>
              </w:rPr>
            </w:pPr>
            <w:r w:rsidRPr="00415FA2">
              <w:rPr>
                <w:color w:val="000000"/>
                <w:szCs w:val="24"/>
                <w:lang w:eastAsia="zh-TW"/>
              </w:rPr>
              <w:t>87</w:t>
            </w:r>
          </w:p>
        </w:tc>
        <w:tc>
          <w:tcPr>
            <w:tcW w:w="1980" w:type="dxa"/>
            <w:tcBorders>
              <w:top w:val="nil"/>
              <w:bottom w:val="nil"/>
            </w:tcBorders>
            <w:noWrap/>
            <w:vAlign w:val="center"/>
          </w:tcPr>
          <w:p w:rsidR="00A327E6" w:rsidRPr="00415FA2" w:rsidRDefault="00A327E6" w:rsidP="00415FA2">
            <w:pPr>
              <w:spacing w:before="0" w:after="0" w:line="240" w:lineRule="auto"/>
              <w:jc w:val="center"/>
              <w:rPr>
                <w:color w:val="000000"/>
                <w:szCs w:val="24"/>
                <w:lang w:eastAsia="zh-TW"/>
              </w:rPr>
            </w:pPr>
            <w:r w:rsidRPr="00415FA2">
              <w:rPr>
                <w:color w:val="000000"/>
                <w:szCs w:val="24"/>
                <w:lang w:eastAsia="zh-TW"/>
              </w:rPr>
              <w:t>90</w:t>
            </w:r>
          </w:p>
        </w:tc>
        <w:tc>
          <w:tcPr>
            <w:tcW w:w="1713" w:type="dxa"/>
            <w:tcBorders>
              <w:top w:val="nil"/>
              <w:bottom w:val="nil"/>
            </w:tcBorders>
            <w:vAlign w:val="center"/>
          </w:tcPr>
          <w:p w:rsidR="00A327E6" w:rsidRPr="00415FA2" w:rsidRDefault="00A327E6" w:rsidP="00415FA2">
            <w:pPr>
              <w:spacing w:before="0" w:after="0" w:line="240" w:lineRule="auto"/>
              <w:jc w:val="center"/>
              <w:rPr>
                <w:color w:val="000000"/>
                <w:szCs w:val="24"/>
                <w:lang w:eastAsia="zh-TW"/>
              </w:rPr>
            </w:pPr>
            <w:r w:rsidRPr="00415FA2">
              <w:rPr>
                <w:color w:val="000000"/>
                <w:szCs w:val="24"/>
                <w:lang w:eastAsia="zh-TW"/>
              </w:rPr>
              <w:t>92</w:t>
            </w:r>
          </w:p>
        </w:tc>
      </w:tr>
      <w:tr w:rsidR="00A327E6" w:rsidRPr="0038730A" w:rsidTr="00415FA2">
        <w:trPr>
          <w:trHeight w:val="23"/>
        </w:trPr>
        <w:tc>
          <w:tcPr>
            <w:tcW w:w="3690" w:type="dxa"/>
            <w:tcBorders>
              <w:top w:val="nil"/>
              <w:bottom w:val="single" w:sz="8" w:space="0" w:color="4F81BD"/>
            </w:tcBorders>
            <w:noWrap/>
            <w:vAlign w:val="center"/>
          </w:tcPr>
          <w:p w:rsidR="00A327E6" w:rsidRPr="00415FA2" w:rsidRDefault="00A327E6" w:rsidP="00D92952">
            <w:pPr>
              <w:spacing w:before="0" w:after="0" w:line="240" w:lineRule="auto"/>
              <w:ind w:firstLineChars="200" w:firstLine="480"/>
              <w:rPr>
                <w:b/>
                <w:bCs/>
                <w:color w:val="000000"/>
                <w:szCs w:val="24"/>
                <w:lang w:eastAsia="zh-TW"/>
              </w:rPr>
            </w:pPr>
            <w:r w:rsidRPr="00415FA2">
              <w:rPr>
                <w:b/>
                <w:bCs/>
                <w:color w:val="000000"/>
                <w:szCs w:val="24"/>
                <w:lang w:eastAsia="zh-TW"/>
              </w:rPr>
              <w:t>Hispanic</w:t>
            </w:r>
          </w:p>
        </w:tc>
        <w:tc>
          <w:tcPr>
            <w:tcW w:w="1617" w:type="dxa"/>
            <w:tcBorders>
              <w:top w:val="nil"/>
              <w:bottom w:val="single" w:sz="8" w:space="0" w:color="4F81BD"/>
            </w:tcBorders>
            <w:noWrap/>
            <w:vAlign w:val="center"/>
          </w:tcPr>
          <w:p w:rsidR="00A327E6" w:rsidRPr="00415FA2" w:rsidRDefault="00A327E6" w:rsidP="00415FA2">
            <w:pPr>
              <w:spacing w:before="0" w:after="0" w:line="240" w:lineRule="auto"/>
              <w:jc w:val="center"/>
              <w:rPr>
                <w:color w:val="000000"/>
                <w:szCs w:val="24"/>
                <w:lang w:eastAsia="zh-TW"/>
              </w:rPr>
            </w:pPr>
            <w:r w:rsidRPr="00415FA2">
              <w:rPr>
                <w:color w:val="000000"/>
                <w:szCs w:val="24"/>
                <w:lang w:eastAsia="zh-TW"/>
              </w:rPr>
              <w:t>13</w:t>
            </w:r>
          </w:p>
        </w:tc>
        <w:tc>
          <w:tcPr>
            <w:tcW w:w="1980" w:type="dxa"/>
            <w:tcBorders>
              <w:top w:val="nil"/>
              <w:bottom w:val="single" w:sz="8" w:space="0" w:color="4F81BD"/>
            </w:tcBorders>
            <w:noWrap/>
            <w:vAlign w:val="center"/>
          </w:tcPr>
          <w:p w:rsidR="00A327E6" w:rsidRPr="00415FA2" w:rsidRDefault="00A327E6" w:rsidP="00415FA2">
            <w:pPr>
              <w:spacing w:before="0" w:after="0" w:line="240" w:lineRule="auto"/>
              <w:jc w:val="center"/>
              <w:rPr>
                <w:color w:val="000000"/>
                <w:szCs w:val="24"/>
                <w:lang w:eastAsia="zh-TW"/>
              </w:rPr>
            </w:pPr>
            <w:r w:rsidRPr="00415FA2">
              <w:rPr>
                <w:color w:val="000000"/>
                <w:szCs w:val="24"/>
                <w:lang w:eastAsia="zh-TW"/>
              </w:rPr>
              <w:t>10</w:t>
            </w:r>
          </w:p>
        </w:tc>
        <w:tc>
          <w:tcPr>
            <w:tcW w:w="1713" w:type="dxa"/>
            <w:tcBorders>
              <w:top w:val="nil"/>
              <w:bottom w:val="single" w:sz="8" w:space="0" w:color="4F81BD"/>
            </w:tcBorders>
            <w:vAlign w:val="center"/>
          </w:tcPr>
          <w:p w:rsidR="00A327E6" w:rsidRPr="00415FA2" w:rsidRDefault="00A327E6" w:rsidP="00415FA2">
            <w:pPr>
              <w:spacing w:before="0" w:after="0" w:line="240" w:lineRule="auto"/>
              <w:jc w:val="center"/>
              <w:rPr>
                <w:color w:val="000000"/>
                <w:szCs w:val="24"/>
                <w:lang w:eastAsia="zh-TW"/>
              </w:rPr>
            </w:pPr>
            <w:r w:rsidRPr="00415FA2">
              <w:rPr>
                <w:color w:val="000000"/>
                <w:szCs w:val="24"/>
                <w:lang w:eastAsia="zh-TW"/>
              </w:rPr>
              <w:t>8</w:t>
            </w:r>
          </w:p>
        </w:tc>
      </w:tr>
      <w:tr w:rsidR="00A327E6" w:rsidRPr="0038730A" w:rsidTr="00415FA2">
        <w:trPr>
          <w:trHeight w:val="23"/>
        </w:trPr>
        <w:tc>
          <w:tcPr>
            <w:tcW w:w="3690" w:type="dxa"/>
            <w:tcBorders>
              <w:top w:val="single" w:sz="8" w:space="0" w:color="4F81BD"/>
              <w:bottom w:val="nil"/>
            </w:tcBorders>
            <w:noWrap/>
            <w:vAlign w:val="center"/>
          </w:tcPr>
          <w:p w:rsidR="00A327E6" w:rsidRPr="00415FA2" w:rsidRDefault="00A327E6" w:rsidP="00415FA2">
            <w:pPr>
              <w:spacing w:before="0" w:after="0" w:line="240" w:lineRule="auto"/>
              <w:rPr>
                <w:b/>
                <w:bCs/>
                <w:szCs w:val="24"/>
                <w:lang w:eastAsia="zh-TW"/>
              </w:rPr>
            </w:pPr>
            <w:r w:rsidRPr="00415FA2">
              <w:rPr>
                <w:b/>
                <w:bCs/>
                <w:szCs w:val="24"/>
                <w:lang w:eastAsia="zh-TW"/>
              </w:rPr>
              <w:t>Sex</w:t>
            </w:r>
          </w:p>
        </w:tc>
        <w:tc>
          <w:tcPr>
            <w:tcW w:w="1617" w:type="dxa"/>
            <w:tcBorders>
              <w:top w:val="single" w:sz="8" w:space="0" w:color="4F81BD"/>
              <w:bottom w:val="nil"/>
            </w:tcBorders>
            <w:noWrap/>
            <w:vAlign w:val="center"/>
          </w:tcPr>
          <w:p w:rsidR="00A327E6" w:rsidRPr="00415FA2" w:rsidRDefault="00A327E6" w:rsidP="00415FA2">
            <w:pPr>
              <w:spacing w:before="0" w:after="0" w:line="240" w:lineRule="auto"/>
              <w:jc w:val="center"/>
              <w:rPr>
                <w:color w:val="000000"/>
                <w:szCs w:val="24"/>
                <w:lang w:eastAsia="zh-TW"/>
              </w:rPr>
            </w:pPr>
          </w:p>
        </w:tc>
        <w:tc>
          <w:tcPr>
            <w:tcW w:w="1980" w:type="dxa"/>
            <w:tcBorders>
              <w:top w:val="single" w:sz="8" w:space="0" w:color="4F81BD"/>
              <w:bottom w:val="nil"/>
            </w:tcBorders>
            <w:noWrap/>
            <w:vAlign w:val="center"/>
          </w:tcPr>
          <w:p w:rsidR="00A327E6" w:rsidRPr="00415FA2" w:rsidRDefault="00A327E6" w:rsidP="00415FA2">
            <w:pPr>
              <w:spacing w:before="0" w:after="0" w:line="240" w:lineRule="auto"/>
              <w:jc w:val="center"/>
              <w:rPr>
                <w:color w:val="000000"/>
                <w:szCs w:val="24"/>
                <w:lang w:eastAsia="zh-TW"/>
              </w:rPr>
            </w:pPr>
          </w:p>
        </w:tc>
        <w:tc>
          <w:tcPr>
            <w:tcW w:w="1713" w:type="dxa"/>
            <w:tcBorders>
              <w:top w:val="single" w:sz="8" w:space="0" w:color="4F81BD"/>
              <w:bottom w:val="nil"/>
            </w:tcBorders>
            <w:vAlign w:val="center"/>
          </w:tcPr>
          <w:p w:rsidR="00A327E6" w:rsidRPr="00415FA2" w:rsidRDefault="00A327E6" w:rsidP="00415FA2">
            <w:pPr>
              <w:spacing w:before="0" w:after="0" w:line="240" w:lineRule="auto"/>
              <w:jc w:val="center"/>
              <w:rPr>
                <w:color w:val="000000"/>
                <w:szCs w:val="24"/>
                <w:lang w:eastAsia="zh-TW"/>
              </w:rPr>
            </w:pPr>
          </w:p>
        </w:tc>
      </w:tr>
      <w:tr w:rsidR="00A327E6" w:rsidRPr="0038730A" w:rsidTr="00415FA2">
        <w:trPr>
          <w:trHeight w:val="23"/>
        </w:trPr>
        <w:tc>
          <w:tcPr>
            <w:tcW w:w="3690" w:type="dxa"/>
            <w:tcBorders>
              <w:top w:val="nil"/>
              <w:bottom w:val="nil"/>
            </w:tcBorders>
            <w:noWrap/>
            <w:vAlign w:val="center"/>
          </w:tcPr>
          <w:p w:rsidR="00A327E6" w:rsidRPr="00415FA2" w:rsidRDefault="00A327E6" w:rsidP="00D92952">
            <w:pPr>
              <w:spacing w:before="0" w:after="0" w:line="240" w:lineRule="auto"/>
              <w:ind w:firstLineChars="200" w:firstLine="480"/>
              <w:rPr>
                <w:b/>
                <w:bCs/>
                <w:color w:val="104E8B"/>
                <w:szCs w:val="24"/>
                <w:lang w:eastAsia="zh-TW"/>
              </w:rPr>
            </w:pPr>
            <w:r w:rsidRPr="00415FA2">
              <w:rPr>
                <w:b/>
                <w:bCs/>
                <w:szCs w:val="24"/>
                <w:lang w:eastAsia="zh-TW"/>
              </w:rPr>
              <w:t>Male</w:t>
            </w:r>
          </w:p>
        </w:tc>
        <w:tc>
          <w:tcPr>
            <w:tcW w:w="1617" w:type="dxa"/>
            <w:tcBorders>
              <w:top w:val="nil"/>
              <w:bottom w:val="nil"/>
            </w:tcBorders>
            <w:noWrap/>
            <w:vAlign w:val="center"/>
          </w:tcPr>
          <w:p w:rsidR="00A327E6" w:rsidRPr="00415FA2" w:rsidRDefault="00A327E6" w:rsidP="00415FA2">
            <w:pPr>
              <w:spacing w:before="0" w:after="0" w:line="240" w:lineRule="auto"/>
              <w:jc w:val="center"/>
              <w:rPr>
                <w:color w:val="000000"/>
                <w:szCs w:val="24"/>
                <w:lang w:eastAsia="zh-TW"/>
              </w:rPr>
            </w:pPr>
            <w:r w:rsidRPr="00415FA2">
              <w:rPr>
                <w:color w:val="000000"/>
                <w:szCs w:val="24"/>
                <w:lang w:eastAsia="zh-TW"/>
              </w:rPr>
              <w:t>36</w:t>
            </w:r>
          </w:p>
        </w:tc>
        <w:tc>
          <w:tcPr>
            <w:tcW w:w="1980" w:type="dxa"/>
            <w:tcBorders>
              <w:top w:val="nil"/>
              <w:bottom w:val="nil"/>
            </w:tcBorders>
            <w:noWrap/>
            <w:vAlign w:val="center"/>
          </w:tcPr>
          <w:p w:rsidR="00A327E6" w:rsidRPr="00415FA2" w:rsidRDefault="00A327E6" w:rsidP="00415FA2">
            <w:pPr>
              <w:spacing w:before="0" w:after="0" w:line="240" w:lineRule="auto"/>
              <w:jc w:val="center"/>
              <w:rPr>
                <w:color w:val="000000"/>
                <w:szCs w:val="24"/>
                <w:lang w:eastAsia="zh-TW"/>
              </w:rPr>
            </w:pPr>
            <w:r w:rsidRPr="00415FA2">
              <w:rPr>
                <w:color w:val="000000"/>
                <w:szCs w:val="24"/>
                <w:lang w:eastAsia="zh-TW"/>
              </w:rPr>
              <w:t>44</w:t>
            </w:r>
          </w:p>
        </w:tc>
        <w:tc>
          <w:tcPr>
            <w:tcW w:w="1713" w:type="dxa"/>
            <w:tcBorders>
              <w:top w:val="nil"/>
              <w:bottom w:val="nil"/>
            </w:tcBorders>
            <w:vAlign w:val="center"/>
          </w:tcPr>
          <w:p w:rsidR="00A327E6" w:rsidRPr="00415FA2" w:rsidRDefault="00A327E6" w:rsidP="00415FA2">
            <w:pPr>
              <w:spacing w:before="0" w:after="0" w:line="240" w:lineRule="auto"/>
              <w:jc w:val="center"/>
              <w:rPr>
                <w:color w:val="000000"/>
                <w:szCs w:val="24"/>
                <w:lang w:eastAsia="zh-TW"/>
              </w:rPr>
            </w:pPr>
            <w:r w:rsidRPr="00415FA2">
              <w:rPr>
                <w:color w:val="000000"/>
                <w:szCs w:val="24"/>
                <w:lang w:eastAsia="zh-TW"/>
              </w:rPr>
              <w:t>48</w:t>
            </w:r>
          </w:p>
        </w:tc>
      </w:tr>
      <w:tr w:rsidR="00A327E6" w:rsidRPr="0038730A" w:rsidTr="00415FA2">
        <w:trPr>
          <w:trHeight w:val="23"/>
        </w:trPr>
        <w:tc>
          <w:tcPr>
            <w:tcW w:w="3690" w:type="dxa"/>
            <w:tcBorders>
              <w:top w:val="nil"/>
              <w:bottom w:val="single" w:sz="8" w:space="0" w:color="4F81BD"/>
            </w:tcBorders>
            <w:noWrap/>
            <w:vAlign w:val="center"/>
          </w:tcPr>
          <w:p w:rsidR="00A327E6" w:rsidRPr="00415FA2" w:rsidRDefault="00A327E6" w:rsidP="00D92952">
            <w:pPr>
              <w:spacing w:before="0" w:after="0" w:line="240" w:lineRule="auto"/>
              <w:ind w:firstLineChars="200" w:firstLine="480"/>
              <w:rPr>
                <w:b/>
                <w:bCs/>
                <w:color w:val="000000"/>
                <w:szCs w:val="24"/>
                <w:lang w:eastAsia="zh-TW"/>
              </w:rPr>
            </w:pPr>
            <w:r w:rsidRPr="00415FA2">
              <w:rPr>
                <w:b/>
                <w:bCs/>
                <w:color w:val="000000"/>
                <w:szCs w:val="24"/>
                <w:lang w:eastAsia="zh-TW"/>
              </w:rPr>
              <w:t>Female</w:t>
            </w:r>
          </w:p>
        </w:tc>
        <w:tc>
          <w:tcPr>
            <w:tcW w:w="1617" w:type="dxa"/>
            <w:tcBorders>
              <w:top w:val="nil"/>
              <w:bottom w:val="single" w:sz="8" w:space="0" w:color="4F81BD"/>
            </w:tcBorders>
            <w:noWrap/>
            <w:vAlign w:val="center"/>
          </w:tcPr>
          <w:p w:rsidR="00A327E6" w:rsidRPr="00415FA2" w:rsidRDefault="00A327E6" w:rsidP="00415FA2">
            <w:pPr>
              <w:spacing w:before="0" w:after="0" w:line="240" w:lineRule="auto"/>
              <w:jc w:val="center"/>
              <w:rPr>
                <w:color w:val="000000"/>
                <w:szCs w:val="24"/>
                <w:lang w:eastAsia="zh-TW"/>
              </w:rPr>
            </w:pPr>
            <w:r w:rsidRPr="00415FA2">
              <w:rPr>
                <w:color w:val="000000"/>
                <w:szCs w:val="24"/>
                <w:lang w:eastAsia="zh-TW"/>
              </w:rPr>
              <w:t>64</w:t>
            </w:r>
          </w:p>
        </w:tc>
        <w:tc>
          <w:tcPr>
            <w:tcW w:w="1980" w:type="dxa"/>
            <w:tcBorders>
              <w:top w:val="nil"/>
              <w:bottom w:val="single" w:sz="8" w:space="0" w:color="4F81BD"/>
            </w:tcBorders>
            <w:noWrap/>
            <w:vAlign w:val="center"/>
          </w:tcPr>
          <w:p w:rsidR="00A327E6" w:rsidRPr="00415FA2" w:rsidRDefault="00A327E6" w:rsidP="00415FA2">
            <w:pPr>
              <w:spacing w:before="0" w:after="0" w:line="240" w:lineRule="auto"/>
              <w:jc w:val="center"/>
              <w:rPr>
                <w:color w:val="000000"/>
                <w:szCs w:val="24"/>
                <w:lang w:eastAsia="zh-TW"/>
              </w:rPr>
            </w:pPr>
            <w:r w:rsidRPr="00415FA2">
              <w:rPr>
                <w:color w:val="000000"/>
                <w:szCs w:val="24"/>
                <w:lang w:eastAsia="zh-TW"/>
              </w:rPr>
              <w:t>56</w:t>
            </w:r>
          </w:p>
        </w:tc>
        <w:tc>
          <w:tcPr>
            <w:tcW w:w="1713" w:type="dxa"/>
            <w:tcBorders>
              <w:top w:val="nil"/>
              <w:bottom w:val="single" w:sz="8" w:space="0" w:color="4F81BD"/>
            </w:tcBorders>
            <w:vAlign w:val="center"/>
          </w:tcPr>
          <w:p w:rsidR="00A327E6" w:rsidRPr="00415FA2" w:rsidRDefault="00A327E6" w:rsidP="00415FA2">
            <w:pPr>
              <w:spacing w:before="0" w:after="0" w:line="240" w:lineRule="auto"/>
              <w:jc w:val="center"/>
              <w:rPr>
                <w:color w:val="000000"/>
                <w:szCs w:val="24"/>
                <w:lang w:eastAsia="zh-TW"/>
              </w:rPr>
            </w:pPr>
            <w:r w:rsidRPr="00415FA2">
              <w:rPr>
                <w:color w:val="000000"/>
                <w:szCs w:val="24"/>
                <w:lang w:eastAsia="zh-TW"/>
              </w:rPr>
              <w:t>52</w:t>
            </w:r>
          </w:p>
        </w:tc>
      </w:tr>
      <w:tr w:rsidR="00A327E6" w:rsidRPr="0038730A" w:rsidTr="00415FA2">
        <w:trPr>
          <w:trHeight w:val="23"/>
        </w:trPr>
        <w:tc>
          <w:tcPr>
            <w:tcW w:w="3690" w:type="dxa"/>
            <w:tcBorders>
              <w:top w:val="single" w:sz="8" w:space="0" w:color="4F81BD"/>
              <w:bottom w:val="nil"/>
            </w:tcBorders>
            <w:noWrap/>
            <w:vAlign w:val="center"/>
          </w:tcPr>
          <w:p w:rsidR="00A327E6" w:rsidRPr="00415FA2" w:rsidRDefault="00A327E6" w:rsidP="00415FA2">
            <w:pPr>
              <w:spacing w:before="0" w:after="0" w:line="240" w:lineRule="auto"/>
              <w:rPr>
                <w:b/>
                <w:bCs/>
                <w:szCs w:val="24"/>
                <w:lang w:eastAsia="zh-TW"/>
              </w:rPr>
            </w:pPr>
            <w:r w:rsidRPr="00415FA2">
              <w:rPr>
                <w:b/>
                <w:bCs/>
                <w:szCs w:val="24"/>
                <w:lang w:eastAsia="zh-TW"/>
              </w:rPr>
              <w:t>Age</w:t>
            </w:r>
          </w:p>
        </w:tc>
        <w:tc>
          <w:tcPr>
            <w:tcW w:w="1617" w:type="dxa"/>
            <w:tcBorders>
              <w:top w:val="single" w:sz="8" w:space="0" w:color="4F81BD"/>
              <w:bottom w:val="nil"/>
            </w:tcBorders>
            <w:noWrap/>
            <w:vAlign w:val="center"/>
          </w:tcPr>
          <w:p w:rsidR="00A327E6" w:rsidRPr="00415FA2" w:rsidRDefault="00A327E6" w:rsidP="00415FA2">
            <w:pPr>
              <w:spacing w:before="0" w:after="0" w:line="240" w:lineRule="auto"/>
              <w:jc w:val="center"/>
              <w:rPr>
                <w:color w:val="000000"/>
                <w:szCs w:val="24"/>
                <w:lang w:eastAsia="zh-TW"/>
              </w:rPr>
            </w:pPr>
          </w:p>
        </w:tc>
        <w:tc>
          <w:tcPr>
            <w:tcW w:w="1980" w:type="dxa"/>
            <w:tcBorders>
              <w:top w:val="single" w:sz="8" w:space="0" w:color="4F81BD"/>
              <w:bottom w:val="nil"/>
            </w:tcBorders>
            <w:noWrap/>
            <w:vAlign w:val="center"/>
          </w:tcPr>
          <w:p w:rsidR="00A327E6" w:rsidRPr="00415FA2" w:rsidRDefault="00A327E6" w:rsidP="00415FA2">
            <w:pPr>
              <w:spacing w:before="0" w:after="0" w:line="240" w:lineRule="auto"/>
              <w:jc w:val="center"/>
              <w:rPr>
                <w:color w:val="000000"/>
                <w:szCs w:val="24"/>
                <w:lang w:eastAsia="zh-TW"/>
              </w:rPr>
            </w:pPr>
          </w:p>
        </w:tc>
        <w:tc>
          <w:tcPr>
            <w:tcW w:w="1713" w:type="dxa"/>
            <w:tcBorders>
              <w:top w:val="single" w:sz="8" w:space="0" w:color="4F81BD"/>
              <w:bottom w:val="nil"/>
            </w:tcBorders>
            <w:vAlign w:val="center"/>
          </w:tcPr>
          <w:p w:rsidR="00A327E6" w:rsidRPr="00415FA2" w:rsidRDefault="00A327E6" w:rsidP="00415FA2">
            <w:pPr>
              <w:spacing w:before="0" w:after="0" w:line="240" w:lineRule="auto"/>
              <w:jc w:val="center"/>
              <w:rPr>
                <w:color w:val="000000"/>
                <w:szCs w:val="24"/>
                <w:lang w:eastAsia="zh-TW"/>
              </w:rPr>
            </w:pPr>
          </w:p>
        </w:tc>
      </w:tr>
      <w:tr w:rsidR="00A327E6" w:rsidRPr="0038730A" w:rsidTr="00415FA2">
        <w:trPr>
          <w:trHeight w:val="23"/>
        </w:trPr>
        <w:tc>
          <w:tcPr>
            <w:tcW w:w="3690" w:type="dxa"/>
            <w:tcBorders>
              <w:top w:val="nil"/>
              <w:bottom w:val="nil"/>
            </w:tcBorders>
            <w:noWrap/>
            <w:vAlign w:val="center"/>
          </w:tcPr>
          <w:p w:rsidR="00A327E6" w:rsidRPr="00415FA2" w:rsidRDefault="00A327E6" w:rsidP="00D92952">
            <w:pPr>
              <w:spacing w:before="0" w:after="0" w:line="240" w:lineRule="auto"/>
              <w:ind w:firstLineChars="200" w:firstLine="480"/>
              <w:rPr>
                <w:b/>
                <w:bCs/>
                <w:color w:val="104E8B"/>
                <w:szCs w:val="24"/>
                <w:lang w:eastAsia="zh-TW"/>
              </w:rPr>
            </w:pPr>
            <w:r w:rsidRPr="00415FA2">
              <w:rPr>
                <w:b/>
                <w:bCs/>
                <w:szCs w:val="24"/>
                <w:lang w:eastAsia="zh-TW"/>
              </w:rPr>
              <w:t>18-39</w:t>
            </w:r>
          </w:p>
        </w:tc>
        <w:tc>
          <w:tcPr>
            <w:tcW w:w="1617" w:type="dxa"/>
            <w:tcBorders>
              <w:top w:val="nil"/>
              <w:bottom w:val="nil"/>
            </w:tcBorders>
            <w:noWrap/>
            <w:vAlign w:val="center"/>
          </w:tcPr>
          <w:p w:rsidR="00A327E6" w:rsidRPr="00415FA2" w:rsidRDefault="00A327E6" w:rsidP="00415FA2">
            <w:pPr>
              <w:spacing w:before="0" w:after="0" w:line="240" w:lineRule="auto"/>
              <w:jc w:val="center"/>
              <w:rPr>
                <w:color w:val="000000"/>
                <w:szCs w:val="24"/>
                <w:lang w:eastAsia="zh-TW"/>
              </w:rPr>
            </w:pPr>
            <w:r w:rsidRPr="00415FA2">
              <w:rPr>
                <w:color w:val="000000"/>
                <w:szCs w:val="24"/>
                <w:lang w:eastAsia="zh-TW"/>
              </w:rPr>
              <w:t>31</w:t>
            </w:r>
          </w:p>
        </w:tc>
        <w:tc>
          <w:tcPr>
            <w:tcW w:w="1980" w:type="dxa"/>
            <w:tcBorders>
              <w:top w:val="nil"/>
              <w:bottom w:val="nil"/>
            </w:tcBorders>
            <w:noWrap/>
            <w:vAlign w:val="center"/>
          </w:tcPr>
          <w:p w:rsidR="00A327E6" w:rsidRPr="00415FA2" w:rsidRDefault="00A327E6" w:rsidP="00415FA2">
            <w:pPr>
              <w:spacing w:before="0" w:after="0" w:line="240" w:lineRule="auto"/>
              <w:jc w:val="center"/>
              <w:rPr>
                <w:color w:val="000000"/>
                <w:szCs w:val="24"/>
                <w:lang w:eastAsia="zh-TW"/>
              </w:rPr>
            </w:pPr>
            <w:r w:rsidRPr="00415FA2">
              <w:rPr>
                <w:color w:val="000000"/>
                <w:szCs w:val="24"/>
                <w:lang w:eastAsia="zh-TW"/>
              </w:rPr>
              <w:t>46</w:t>
            </w:r>
          </w:p>
        </w:tc>
        <w:tc>
          <w:tcPr>
            <w:tcW w:w="1713" w:type="dxa"/>
            <w:tcBorders>
              <w:top w:val="nil"/>
              <w:bottom w:val="nil"/>
            </w:tcBorders>
            <w:vAlign w:val="center"/>
          </w:tcPr>
          <w:p w:rsidR="00A327E6" w:rsidRPr="00415FA2" w:rsidRDefault="00A327E6" w:rsidP="00415FA2">
            <w:pPr>
              <w:spacing w:before="0" w:after="0" w:line="240" w:lineRule="auto"/>
              <w:jc w:val="center"/>
              <w:rPr>
                <w:color w:val="000000"/>
                <w:szCs w:val="24"/>
                <w:lang w:eastAsia="zh-TW"/>
              </w:rPr>
            </w:pPr>
            <w:r w:rsidRPr="00415FA2">
              <w:rPr>
                <w:color w:val="000000"/>
                <w:szCs w:val="24"/>
                <w:lang w:eastAsia="zh-TW"/>
              </w:rPr>
              <w:t>38</w:t>
            </w:r>
          </w:p>
        </w:tc>
      </w:tr>
      <w:tr w:rsidR="00A327E6" w:rsidRPr="0038730A" w:rsidTr="00415FA2">
        <w:trPr>
          <w:trHeight w:val="23"/>
        </w:trPr>
        <w:tc>
          <w:tcPr>
            <w:tcW w:w="3690" w:type="dxa"/>
            <w:tcBorders>
              <w:top w:val="nil"/>
              <w:bottom w:val="nil"/>
            </w:tcBorders>
            <w:noWrap/>
            <w:vAlign w:val="center"/>
          </w:tcPr>
          <w:p w:rsidR="00A327E6" w:rsidRPr="00415FA2" w:rsidRDefault="00A327E6" w:rsidP="00D92952">
            <w:pPr>
              <w:spacing w:before="0" w:after="0" w:line="240" w:lineRule="auto"/>
              <w:ind w:firstLineChars="200" w:firstLine="480"/>
              <w:rPr>
                <w:b/>
                <w:bCs/>
                <w:color w:val="000000"/>
                <w:szCs w:val="24"/>
                <w:lang w:eastAsia="zh-TW"/>
              </w:rPr>
            </w:pPr>
            <w:r w:rsidRPr="00415FA2">
              <w:rPr>
                <w:b/>
                <w:bCs/>
                <w:color w:val="000000"/>
                <w:szCs w:val="24"/>
                <w:lang w:eastAsia="zh-TW"/>
              </w:rPr>
              <w:t>40-69</w:t>
            </w:r>
          </w:p>
        </w:tc>
        <w:tc>
          <w:tcPr>
            <w:tcW w:w="1617" w:type="dxa"/>
            <w:tcBorders>
              <w:top w:val="nil"/>
              <w:bottom w:val="nil"/>
            </w:tcBorders>
            <w:noWrap/>
            <w:vAlign w:val="center"/>
          </w:tcPr>
          <w:p w:rsidR="00A327E6" w:rsidRPr="00415FA2" w:rsidRDefault="00A327E6" w:rsidP="00415FA2">
            <w:pPr>
              <w:spacing w:before="0" w:after="0" w:line="240" w:lineRule="auto"/>
              <w:jc w:val="center"/>
              <w:rPr>
                <w:color w:val="000000"/>
                <w:szCs w:val="24"/>
                <w:lang w:eastAsia="zh-TW"/>
              </w:rPr>
            </w:pPr>
            <w:r w:rsidRPr="00415FA2">
              <w:rPr>
                <w:color w:val="000000"/>
                <w:szCs w:val="24"/>
                <w:lang w:eastAsia="zh-TW"/>
              </w:rPr>
              <w:t>54</w:t>
            </w:r>
          </w:p>
        </w:tc>
        <w:tc>
          <w:tcPr>
            <w:tcW w:w="1980" w:type="dxa"/>
            <w:tcBorders>
              <w:top w:val="nil"/>
              <w:bottom w:val="nil"/>
            </w:tcBorders>
            <w:noWrap/>
            <w:vAlign w:val="center"/>
          </w:tcPr>
          <w:p w:rsidR="00A327E6" w:rsidRPr="00415FA2" w:rsidRDefault="00A327E6" w:rsidP="00415FA2">
            <w:pPr>
              <w:spacing w:before="0" w:after="0" w:line="240" w:lineRule="auto"/>
              <w:jc w:val="center"/>
              <w:rPr>
                <w:color w:val="000000"/>
                <w:szCs w:val="24"/>
                <w:lang w:eastAsia="zh-TW"/>
              </w:rPr>
            </w:pPr>
            <w:r w:rsidRPr="00415FA2">
              <w:rPr>
                <w:color w:val="000000"/>
                <w:szCs w:val="24"/>
                <w:lang w:eastAsia="zh-TW"/>
              </w:rPr>
              <w:t>42</w:t>
            </w:r>
          </w:p>
        </w:tc>
        <w:tc>
          <w:tcPr>
            <w:tcW w:w="1713" w:type="dxa"/>
            <w:tcBorders>
              <w:top w:val="nil"/>
              <w:bottom w:val="nil"/>
            </w:tcBorders>
            <w:vAlign w:val="center"/>
          </w:tcPr>
          <w:p w:rsidR="00A327E6" w:rsidRPr="00415FA2" w:rsidRDefault="00A327E6" w:rsidP="00415FA2">
            <w:pPr>
              <w:spacing w:before="0" w:after="0" w:line="240" w:lineRule="auto"/>
              <w:jc w:val="center"/>
              <w:rPr>
                <w:color w:val="000000"/>
                <w:szCs w:val="24"/>
                <w:lang w:eastAsia="zh-TW"/>
              </w:rPr>
            </w:pPr>
            <w:r w:rsidRPr="00415FA2">
              <w:rPr>
                <w:color w:val="000000"/>
                <w:szCs w:val="24"/>
                <w:lang w:eastAsia="zh-TW"/>
              </w:rPr>
              <w:t>50</w:t>
            </w:r>
          </w:p>
        </w:tc>
      </w:tr>
      <w:tr w:rsidR="00A327E6" w:rsidRPr="0038730A" w:rsidTr="00415FA2">
        <w:trPr>
          <w:trHeight w:val="23"/>
        </w:trPr>
        <w:tc>
          <w:tcPr>
            <w:tcW w:w="3690" w:type="dxa"/>
            <w:tcBorders>
              <w:top w:val="nil"/>
              <w:bottom w:val="single" w:sz="8" w:space="0" w:color="4F81BD"/>
            </w:tcBorders>
            <w:noWrap/>
            <w:vAlign w:val="center"/>
          </w:tcPr>
          <w:p w:rsidR="00A327E6" w:rsidRPr="00415FA2" w:rsidRDefault="00A327E6" w:rsidP="00D92952">
            <w:pPr>
              <w:spacing w:before="0" w:after="0" w:line="240" w:lineRule="auto"/>
              <w:ind w:firstLineChars="200" w:firstLine="480"/>
              <w:rPr>
                <w:b/>
                <w:bCs/>
                <w:color w:val="104E8B"/>
                <w:szCs w:val="24"/>
                <w:lang w:eastAsia="zh-TW"/>
              </w:rPr>
            </w:pPr>
            <w:r w:rsidRPr="00415FA2">
              <w:rPr>
                <w:b/>
                <w:bCs/>
                <w:szCs w:val="24"/>
                <w:lang w:eastAsia="zh-TW"/>
              </w:rPr>
              <w:t>70+</w:t>
            </w:r>
          </w:p>
        </w:tc>
        <w:tc>
          <w:tcPr>
            <w:tcW w:w="1617" w:type="dxa"/>
            <w:tcBorders>
              <w:top w:val="nil"/>
              <w:bottom w:val="single" w:sz="8" w:space="0" w:color="4F81BD"/>
            </w:tcBorders>
            <w:noWrap/>
            <w:vAlign w:val="center"/>
          </w:tcPr>
          <w:p w:rsidR="00A327E6" w:rsidRPr="00415FA2" w:rsidRDefault="00A327E6" w:rsidP="00415FA2">
            <w:pPr>
              <w:spacing w:before="0" w:after="0" w:line="240" w:lineRule="auto"/>
              <w:jc w:val="center"/>
              <w:rPr>
                <w:color w:val="000000"/>
                <w:szCs w:val="24"/>
                <w:lang w:eastAsia="zh-TW"/>
              </w:rPr>
            </w:pPr>
            <w:r w:rsidRPr="00415FA2">
              <w:rPr>
                <w:color w:val="000000"/>
                <w:szCs w:val="24"/>
                <w:lang w:eastAsia="zh-TW"/>
              </w:rPr>
              <w:t>15</w:t>
            </w:r>
          </w:p>
        </w:tc>
        <w:tc>
          <w:tcPr>
            <w:tcW w:w="1980" w:type="dxa"/>
            <w:tcBorders>
              <w:top w:val="nil"/>
              <w:bottom w:val="single" w:sz="8" w:space="0" w:color="4F81BD"/>
            </w:tcBorders>
            <w:noWrap/>
            <w:vAlign w:val="center"/>
          </w:tcPr>
          <w:p w:rsidR="00A327E6" w:rsidRPr="00415FA2" w:rsidRDefault="00A327E6" w:rsidP="00415FA2">
            <w:pPr>
              <w:spacing w:before="0" w:after="0" w:line="240" w:lineRule="auto"/>
              <w:jc w:val="center"/>
              <w:rPr>
                <w:color w:val="000000"/>
                <w:szCs w:val="24"/>
                <w:lang w:eastAsia="zh-TW"/>
              </w:rPr>
            </w:pPr>
            <w:r w:rsidRPr="00415FA2">
              <w:rPr>
                <w:color w:val="000000"/>
                <w:szCs w:val="24"/>
                <w:lang w:eastAsia="zh-TW"/>
              </w:rPr>
              <w:t>12</w:t>
            </w:r>
          </w:p>
        </w:tc>
        <w:tc>
          <w:tcPr>
            <w:tcW w:w="1713" w:type="dxa"/>
            <w:tcBorders>
              <w:top w:val="nil"/>
              <w:bottom w:val="single" w:sz="8" w:space="0" w:color="4F81BD"/>
            </w:tcBorders>
            <w:vAlign w:val="center"/>
          </w:tcPr>
          <w:p w:rsidR="00A327E6" w:rsidRPr="00415FA2" w:rsidRDefault="00A327E6" w:rsidP="00415FA2">
            <w:pPr>
              <w:spacing w:before="0" w:after="0" w:line="240" w:lineRule="auto"/>
              <w:jc w:val="center"/>
              <w:rPr>
                <w:color w:val="000000"/>
                <w:szCs w:val="24"/>
                <w:lang w:eastAsia="zh-TW"/>
              </w:rPr>
            </w:pPr>
            <w:r w:rsidRPr="00415FA2">
              <w:rPr>
                <w:color w:val="000000"/>
                <w:szCs w:val="24"/>
                <w:lang w:eastAsia="zh-TW"/>
              </w:rPr>
              <w:t>12</w:t>
            </w:r>
          </w:p>
        </w:tc>
      </w:tr>
      <w:tr w:rsidR="00A327E6" w:rsidRPr="0038730A" w:rsidTr="00415FA2">
        <w:trPr>
          <w:trHeight w:val="23"/>
        </w:trPr>
        <w:tc>
          <w:tcPr>
            <w:tcW w:w="3690" w:type="dxa"/>
            <w:tcBorders>
              <w:top w:val="single" w:sz="8" w:space="0" w:color="4F81BD"/>
              <w:bottom w:val="nil"/>
            </w:tcBorders>
            <w:noWrap/>
            <w:vAlign w:val="center"/>
          </w:tcPr>
          <w:p w:rsidR="00A327E6" w:rsidRPr="00415FA2" w:rsidRDefault="00A327E6" w:rsidP="00415FA2">
            <w:pPr>
              <w:spacing w:before="0" w:after="0" w:line="240" w:lineRule="auto"/>
              <w:rPr>
                <w:b/>
                <w:bCs/>
                <w:szCs w:val="24"/>
                <w:lang w:eastAsia="zh-TW"/>
              </w:rPr>
            </w:pPr>
            <w:r w:rsidRPr="00415FA2">
              <w:rPr>
                <w:b/>
                <w:bCs/>
                <w:szCs w:val="24"/>
                <w:lang w:eastAsia="zh-TW"/>
              </w:rPr>
              <w:t>Poverty Index Ratio</w:t>
            </w:r>
          </w:p>
        </w:tc>
        <w:tc>
          <w:tcPr>
            <w:tcW w:w="1617" w:type="dxa"/>
            <w:tcBorders>
              <w:top w:val="single" w:sz="8" w:space="0" w:color="4F81BD"/>
              <w:bottom w:val="nil"/>
            </w:tcBorders>
            <w:noWrap/>
            <w:vAlign w:val="center"/>
          </w:tcPr>
          <w:p w:rsidR="00A327E6" w:rsidRPr="00415FA2" w:rsidRDefault="00A327E6" w:rsidP="00415FA2">
            <w:pPr>
              <w:spacing w:before="0" w:after="0" w:line="240" w:lineRule="auto"/>
              <w:jc w:val="center"/>
              <w:rPr>
                <w:color w:val="000000"/>
                <w:szCs w:val="24"/>
                <w:lang w:eastAsia="zh-TW"/>
              </w:rPr>
            </w:pPr>
          </w:p>
        </w:tc>
        <w:tc>
          <w:tcPr>
            <w:tcW w:w="1980" w:type="dxa"/>
            <w:tcBorders>
              <w:top w:val="single" w:sz="8" w:space="0" w:color="4F81BD"/>
              <w:bottom w:val="nil"/>
            </w:tcBorders>
            <w:noWrap/>
            <w:vAlign w:val="center"/>
          </w:tcPr>
          <w:p w:rsidR="00A327E6" w:rsidRPr="00415FA2" w:rsidRDefault="00A327E6" w:rsidP="00415FA2">
            <w:pPr>
              <w:spacing w:before="0" w:after="0" w:line="240" w:lineRule="auto"/>
              <w:jc w:val="center"/>
              <w:rPr>
                <w:color w:val="000000"/>
                <w:szCs w:val="24"/>
                <w:lang w:eastAsia="zh-TW"/>
              </w:rPr>
            </w:pPr>
          </w:p>
        </w:tc>
        <w:tc>
          <w:tcPr>
            <w:tcW w:w="1713" w:type="dxa"/>
            <w:tcBorders>
              <w:top w:val="single" w:sz="8" w:space="0" w:color="4F81BD"/>
              <w:bottom w:val="nil"/>
            </w:tcBorders>
            <w:vAlign w:val="center"/>
          </w:tcPr>
          <w:p w:rsidR="00A327E6" w:rsidRPr="00415FA2" w:rsidRDefault="00A327E6" w:rsidP="00415FA2">
            <w:pPr>
              <w:spacing w:before="0" w:after="0" w:line="240" w:lineRule="auto"/>
              <w:jc w:val="center"/>
              <w:rPr>
                <w:color w:val="000000"/>
                <w:szCs w:val="24"/>
                <w:lang w:eastAsia="zh-TW"/>
              </w:rPr>
            </w:pPr>
          </w:p>
        </w:tc>
      </w:tr>
      <w:tr w:rsidR="00A327E6" w:rsidRPr="0038730A" w:rsidTr="00415FA2">
        <w:trPr>
          <w:trHeight w:val="23"/>
        </w:trPr>
        <w:tc>
          <w:tcPr>
            <w:tcW w:w="3690" w:type="dxa"/>
            <w:tcBorders>
              <w:top w:val="nil"/>
              <w:bottom w:val="nil"/>
            </w:tcBorders>
            <w:noWrap/>
            <w:vAlign w:val="center"/>
          </w:tcPr>
          <w:p w:rsidR="00A327E6" w:rsidRPr="00415FA2" w:rsidRDefault="00A327E6" w:rsidP="00D92952">
            <w:pPr>
              <w:spacing w:before="0" w:after="0" w:line="240" w:lineRule="auto"/>
              <w:ind w:firstLineChars="200" w:firstLine="480"/>
              <w:rPr>
                <w:b/>
                <w:bCs/>
                <w:color w:val="104E8B"/>
                <w:szCs w:val="24"/>
                <w:lang w:eastAsia="zh-TW"/>
              </w:rPr>
            </w:pPr>
            <w:r w:rsidRPr="00415FA2">
              <w:rPr>
                <w:b/>
                <w:bCs/>
                <w:szCs w:val="24"/>
                <w:lang w:eastAsia="zh-TW"/>
              </w:rPr>
              <w:t>&lt; 1</w:t>
            </w:r>
          </w:p>
        </w:tc>
        <w:tc>
          <w:tcPr>
            <w:tcW w:w="1617" w:type="dxa"/>
            <w:tcBorders>
              <w:top w:val="nil"/>
              <w:bottom w:val="nil"/>
            </w:tcBorders>
            <w:noWrap/>
            <w:vAlign w:val="center"/>
          </w:tcPr>
          <w:p w:rsidR="00A327E6" w:rsidRPr="00415FA2" w:rsidRDefault="00A327E6" w:rsidP="00415FA2">
            <w:pPr>
              <w:spacing w:before="0" w:after="0" w:line="240" w:lineRule="auto"/>
              <w:jc w:val="center"/>
              <w:rPr>
                <w:color w:val="000000"/>
                <w:szCs w:val="24"/>
                <w:lang w:eastAsia="zh-TW"/>
              </w:rPr>
            </w:pPr>
            <w:r w:rsidRPr="00415FA2">
              <w:rPr>
                <w:color w:val="000000"/>
                <w:szCs w:val="24"/>
                <w:lang w:eastAsia="zh-TW"/>
              </w:rPr>
              <w:t>15</w:t>
            </w:r>
          </w:p>
        </w:tc>
        <w:tc>
          <w:tcPr>
            <w:tcW w:w="1980" w:type="dxa"/>
            <w:tcBorders>
              <w:top w:val="nil"/>
              <w:bottom w:val="nil"/>
            </w:tcBorders>
            <w:noWrap/>
            <w:vAlign w:val="center"/>
          </w:tcPr>
          <w:p w:rsidR="00A327E6" w:rsidRPr="00415FA2" w:rsidRDefault="00A327E6" w:rsidP="00415FA2">
            <w:pPr>
              <w:spacing w:before="0" w:after="0" w:line="240" w:lineRule="auto"/>
              <w:jc w:val="center"/>
              <w:rPr>
                <w:color w:val="000000"/>
                <w:szCs w:val="24"/>
                <w:lang w:eastAsia="zh-TW"/>
              </w:rPr>
            </w:pPr>
            <w:r w:rsidRPr="00415FA2">
              <w:rPr>
                <w:color w:val="000000"/>
                <w:szCs w:val="24"/>
                <w:lang w:eastAsia="zh-TW"/>
              </w:rPr>
              <w:t>14</w:t>
            </w:r>
          </w:p>
        </w:tc>
        <w:tc>
          <w:tcPr>
            <w:tcW w:w="1713" w:type="dxa"/>
            <w:tcBorders>
              <w:top w:val="nil"/>
              <w:bottom w:val="nil"/>
            </w:tcBorders>
            <w:vAlign w:val="center"/>
          </w:tcPr>
          <w:p w:rsidR="00A327E6" w:rsidRPr="00415FA2" w:rsidRDefault="00A327E6" w:rsidP="00415FA2">
            <w:pPr>
              <w:spacing w:before="0" w:after="0" w:line="240" w:lineRule="auto"/>
              <w:jc w:val="center"/>
              <w:rPr>
                <w:color w:val="000000"/>
                <w:szCs w:val="24"/>
                <w:lang w:eastAsia="zh-TW"/>
              </w:rPr>
            </w:pPr>
            <w:r w:rsidRPr="00415FA2">
              <w:rPr>
                <w:color w:val="000000"/>
                <w:szCs w:val="24"/>
                <w:lang w:eastAsia="zh-TW"/>
              </w:rPr>
              <w:t>11</w:t>
            </w:r>
          </w:p>
        </w:tc>
      </w:tr>
      <w:tr w:rsidR="00A327E6" w:rsidRPr="0038730A" w:rsidTr="00415FA2">
        <w:trPr>
          <w:trHeight w:val="23"/>
        </w:trPr>
        <w:tc>
          <w:tcPr>
            <w:tcW w:w="3690" w:type="dxa"/>
            <w:tcBorders>
              <w:top w:val="nil"/>
              <w:bottom w:val="nil"/>
            </w:tcBorders>
            <w:noWrap/>
            <w:vAlign w:val="center"/>
          </w:tcPr>
          <w:p w:rsidR="00A327E6" w:rsidRPr="00415FA2" w:rsidRDefault="00A327E6" w:rsidP="00D92952">
            <w:pPr>
              <w:spacing w:before="0" w:after="0" w:line="240" w:lineRule="auto"/>
              <w:ind w:firstLineChars="200" w:firstLine="480"/>
              <w:rPr>
                <w:b/>
                <w:bCs/>
                <w:color w:val="000000"/>
                <w:szCs w:val="24"/>
                <w:lang w:eastAsia="zh-TW"/>
              </w:rPr>
            </w:pPr>
            <w:r w:rsidRPr="00415FA2">
              <w:rPr>
                <w:b/>
                <w:bCs/>
                <w:color w:val="000000"/>
                <w:szCs w:val="24"/>
                <w:lang w:eastAsia="zh-TW"/>
              </w:rPr>
              <w:t>1-1.99</w:t>
            </w:r>
          </w:p>
        </w:tc>
        <w:tc>
          <w:tcPr>
            <w:tcW w:w="1617" w:type="dxa"/>
            <w:tcBorders>
              <w:top w:val="nil"/>
              <w:bottom w:val="nil"/>
            </w:tcBorders>
            <w:noWrap/>
            <w:vAlign w:val="center"/>
          </w:tcPr>
          <w:p w:rsidR="00A327E6" w:rsidRPr="00415FA2" w:rsidRDefault="00A327E6" w:rsidP="00415FA2">
            <w:pPr>
              <w:spacing w:before="0" w:after="0" w:line="240" w:lineRule="auto"/>
              <w:jc w:val="center"/>
              <w:rPr>
                <w:color w:val="000000"/>
                <w:szCs w:val="24"/>
                <w:lang w:eastAsia="zh-TW"/>
              </w:rPr>
            </w:pPr>
            <w:r w:rsidRPr="00415FA2">
              <w:rPr>
                <w:color w:val="000000"/>
                <w:szCs w:val="24"/>
                <w:lang w:eastAsia="zh-TW"/>
              </w:rPr>
              <w:t>19</w:t>
            </w:r>
          </w:p>
        </w:tc>
        <w:tc>
          <w:tcPr>
            <w:tcW w:w="1980" w:type="dxa"/>
            <w:tcBorders>
              <w:top w:val="nil"/>
              <w:bottom w:val="nil"/>
            </w:tcBorders>
            <w:noWrap/>
            <w:vAlign w:val="center"/>
          </w:tcPr>
          <w:p w:rsidR="00A327E6" w:rsidRPr="00415FA2" w:rsidRDefault="00A327E6" w:rsidP="00415FA2">
            <w:pPr>
              <w:spacing w:before="0" w:after="0" w:line="240" w:lineRule="auto"/>
              <w:jc w:val="center"/>
              <w:rPr>
                <w:color w:val="000000"/>
                <w:szCs w:val="24"/>
                <w:lang w:eastAsia="zh-TW"/>
              </w:rPr>
            </w:pPr>
            <w:r w:rsidRPr="00415FA2">
              <w:rPr>
                <w:color w:val="000000"/>
                <w:szCs w:val="24"/>
                <w:lang w:eastAsia="zh-TW"/>
              </w:rPr>
              <w:t>18</w:t>
            </w:r>
          </w:p>
        </w:tc>
        <w:tc>
          <w:tcPr>
            <w:tcW w:w="1713" w:type="dxa"/>
            <w:tcBorders>
              <w:top w:val="nil"/>
              <w:bottom w:val="nil"/>
            </w:tcBorders>
            <w:vAlign w:val="center"/>
          </w:tcPr>
          <w:p w:rsidR="00A327E6" w:rsidRPr="00415FA2" w:rsidRDefault="00A327E6" w:rsidP="00415FA2">
            <w:pPr>
              <w:spacing w:before="0" w:after="0" w:line="240" w:lineRule="auto"/>
              <w:jc w:val="center"/>
              <w:rPr>
                <w:color w:val="000000"/>
                <w:szCs w:val="24"/>
                <w:lang w:eastAsia="zh-TW"/>
              </w:rPr>
            </w:pPr>
            <w:r w:rsidRPr="00415FA2">
              <w:rPr>
                <w:color w:val="000000"/>
                <w:szCs w:val="24"/>
                <w:lang w:eastAsia="zh-TW"/>
              </w:rPr>
              <w:t>13</w:t>
            </w:r>
          </w:p>
        </w:tc>
      </w:tr>
      <w:tr w:rsidR="00A327E6" w:rsidRPr="0038730A" w:rsidTr="00415FA2">
        <w:trPr>
          <w:trHeight w:val="23"/>
        </w:trPr>
        <w:tc>
          <w:tcPr>
            <w:tcW w:w="3690" w:type="dxa"/>
            <w:tcBorders>
              <w:top w:val="nil"/>
              <w:bottom w:val="nil"/>
            </w:tcBorders>
            <w:noWrap/>
            <w:vAlign w:val="center"/>
          </w:tcPr>
          <w:p w:rsidR="00A327E6" w:rsidRPr="00415FA2" w:rsidRDefault="00A327E6" w:rsidP="00D92952">
            <w:pPr>
              <w:spacing w:before="0" w:after="0" w:line="240" w:lineRule="auto"/>
              <w:ind w:firstLineChars="200" w:firstLine="480"/>
              <w:rPr>
                <w:b/>
                <w:bCs/>
                <w:color w:val="104E8B"/>
                <w:szCs w:val="24"/>
                <w:lang w:eastAsia="zh-TW"/>
              </w:rPr>
            </w:pPr>
            <w:r w:rsidRPr="00415FA2">
              <w:rPr>
                <w:b/>
                <w:bCs/>
                <w:szCs w:val="24"/>
                <w:lang w:eastAsia="zh-TW"/>
              </w:rPr>
              <w:t>2-3.5</w:t>
            </w:r>
          </w:p>
        </w:tc>
        <w:tc>
          <w:tcPr>
            <w:tcW w:w="1617" w:type="dxa"/>
            <w:tcBorders>
              <w:top w:val="nil"/>
              <w:bottom w:val="nil"/>
            </w:tcBorders>
            <w:noWrap/>
            <w:vAlign w:val="center"/>
          </w:tcPr>
          <w:p w:rsidR="00A327E6" w:rsidRPr="00415FA2" w:rsidRDefault="00A327E6" w:rsidP="00415FA2">
            <w:pPr>
              <w:spacing w:before="0" w:after="0" w:line="240" w:lineRule="auto"/>
              <w:jc w:val="center"/>
              <w:rPr>
                <w:color w:val="000000"/>
                <w:szCs w:val="24"/>
                <w:lang w:eastAsia="zh-TW"/>
              </w:rPr>
            </w:pPr>
            <w:r w:rsidRPr="00415FA2">
              <w:rPr>
                <w:color w:val="000000"/>
                <w:szCs w:val="24"/>
                <w:lang w:eastAsia="zh-TW"/>
              </w:rPr>
              <w:t>23</w:t>
            </w:r>
          </w:p>
        </w:tc>
        <w:tc>
          <w:tcPr>
            <w:tcW w:w="1980" w:type="dxa"/>
            <w:tcBorders>
              <w:top w:val="nil"/>
              <w:bottom w:val="nil"/>
            </w:tcBorders>
            <w:noWrap/>
            <w:vAlign w:val="center"/>
          </w:tcPr>
          <w:p w:rsidR="00A327E6" w:rsidRPr="00415FA2" w:rsidRDefault="00A327E6" w:rsidP="00415FA2">
            <w:pPr>
              <w:spacing w:before="0" w:after="0" w:line="240" w:lineRule="auto"/>
              <w:jc w:val="center"/>
              <w:rPr>
                <w:color w:val="000000"/>
                <w:szCs w:val="24"/>
                <w:lang w:eastAsia="zh-TW"/>
              </w:rPr>
            </w:pPr>
            <w:r w:rsidRPr="00415FA2">
              <w:rPr>
                <w:color w:val="000000"/>
                <w:szCs w:val="24"/>
                <w:lang w:eastAsia="zh-TW"/>
              </w:rPr>
              <w:t>23</w:t>
            </w:r>
          </w:p>
        </w:tc>
        <w:tc>
          <w:tcPr>
            <w:tcW w:w="1713" w:type="dxa"/>
            <w:tcBorders>
              <w:top w:val="nil"/>
              <w:bottom w:val="nil"/>
            </w:tcBorders>
            <w:vAlign w:val="center"/>
          </w:tcPr>
          <w:p w:rsidR="00A327E6" w:rsidRPr="00415FA2" w:rsidRDefault="00A327E6" w:rsidP="00415FA2">
            <w:pPr>
              <w:spacing w:before="0" w:after="0" w:line="240" w:lineRule="auto"/>
              <w:jc w:val="center"/>
              <w:rPr>
                <w:color w:val="000000"/>
                <w:szCs w:val="24"/>
                <w:lang w:eastAsia="zh-TW"/>
              </w:rPr>
            </w:pPr>
            <w:r w:rsidRPr="00415FA2">
              <w:rPr>
                <w:color w:val="000000"/>
                <w:szCs w:val="24"/>
                <w:lang w:eastAsia="zh-TW"/>
              </w:rPr>
              <w:t>n/a</w:t>
            </w:r>
          </w:p>
        </w:tc>
      </w:tr>
      <w:tr w:rsidR="00A327E6" w:rsidRPr="0038730A" w:rsidTr="00415FA2">
        <w:trPr>
          <w:trHeight w:val="23"/>
        </w:trPr>
        <w:tc>
          <w:tcPr>
            <w:tcW w:w="3690" w:type="dxa"/>
            <w:tcBorders>
              <w:top w:val="nil"/>
              <w:bottom w:val="nil"/>
            </w:tcBorders>
            <w:noWrap/>
            <w:vAlign w:val="center"/>
          </w:tcPr>
          <w:p w:rsidR="00A327E6" w:rsidRPr="00415FA2" w:rsidRDefault="00A327E6" w:rsidP="00D92952">
            <w:pPr>
              <w:spacing w:before="0" w:after="0" w:line="240" w:lineRule="auto"/>
              <w:ind w:firstLineChars="200" w:firstLine="480"/>
              <w:rPr>
                <w:b/>
                <w:bCs/>
                <w:color w:val="104E8B"/>
                <w:szCs w:val="24"/>
                <w:lang w:eastAsia="zh-TW"/>
              </w:rPr>
            </w:pPr>
            <w:r w:rsidRPr="00415FA2">
              <w:rPr>
                <w:b/>
                <w:bCs/>
                <w:szCs w:val="24"/>
                <w:lang w:eastAsia="zh-TW"/>
              </w:rPr>
              <w:t>3.5+</w:t>
            </w:r>
          </w:p>
        </w:tc>
        <w:tc>
          <w:tcPr>
            <w:tcW w:w="1617" w:type="dxa"/>
            <w:tcBorders>
              <w:top w:val="nil"/>
              <w:bottom w:val="nil"/>
            </w:tcBorders>
            <w:noWrap/>
            <w:vAlign w:val="center"/>
          </w:tcPr>
          <w:p w:rsidR="00A327E6" w:rsidRPr="00415FA2" w:rsidRDefault="00A327E6" w:rsidP="00415FA2">
            <w:pPr>
              <w:spacing w:before="0" w:after="0" w:line="240" w:lineRule="auto"/>
              <w:jc w:val="center"/>
              <w:rPr>
                <w:color w:val="000000"/>
                <w:szCs w:val="24"/>
                <w:lang w:eastAsia="zh-TW"/>
              </w:rPr>
            </w:pPr>
            <w:r w:rsidRPr="00415FA2">
              <w:rPr>
                <w:color w:val="000000"/>
                <w:szCs w:val="24"/>
                <w:lang w:eastAsia="zh-TW"/>
              </w:rPr>
              <w:t>41</w:t>
            </w:r>
          </w:p>
        </w:tc>
        <w:tc>
          <w:tcPr>
            <w:tcW w:w="1980" w:type="dxa"/>
            <w:tcBorders>
              <w:top w:val="nil"/>
              <w:bottom w:val="nil"/>
            </w:tcBorders>
            <w:noWrap/>
            <w:vAlign w:val="center"/>
          </w:tcPr>
          <w:p w:rsidR="00A327E6" w:rsidRPr="00415FA2" w:rsidRDefault="00A327E6" w:rsidP="00415FA2">
            <w:pPr>
              <w:spacing w:before="0" w:after="0" w:line="240" w:lineRule="auto"/>
              <w:jc w:val="center"/>
              <w:rPr>
                <w:color w:val="000000"/>
                <w:szCs w:val="24"/>
                <w:lang w:eastAsia="zh-TW"/>
              </w:rPr>
            </w:pPr>
            <w:r w:rsidRPr="00415FA2">
              <w:rPr>
                <w:color w:val="000000"/>
                <w:szCs w:val="24"/>
                <w:lang w:eastAsia="zh-TW"/>
              </w:rPr>
              <w:t>44</w:t>
            </w:r>
          </w:p>
        </w:tc>
        <w:tc>
          <w:tcPr>
            <w:tcW w:w="1713" w:type="dxa"/>
            <w:tcBorders>
              <w:top w:val="nil"/>
              <w:bottom w:val="nil"/>
            </w:tcBorders>
            <w:vAlign w:val="center"/>
          </w:tcPr>
          <w:p w:rsidR="00A327E6" w:rsidRPr="00415FA2" w:rsidRDefault="00A327E6" w:rsidP="00415FA2">
            <w:pPr>
              <w:spacing w:before="0" w:after="0" w:line="240" w:lineRule="auto"/>
              <w:jc w:val="center"/>
              <w:rPr>
                <w:color w:val="000000"/>
                <w:szCs w:val="24"/>
                <w:lang w:eastAsia="zh-TW"/>
              </w:rPr>
            </w:pPr>
            <w:r w:rsidRPr="00415FA2">
              <w:rPr>
                <w:color w:val="000000"/>
                <w:szCs w:val="24"/>
                <w:lang w:eastAsia="zh-TW"/>
              </w:rPr>
              <w:t>n/a</w:t>
            </w:r>
          </w:p>
        </w:tc>
      </w:tr>
      <w:tr w:rsidR="00A327E6" w:rsidRPr="0038730A" w:rsidTr="00415FA2">
        <w:trPr>
          <w:trHeight w:val="23"/>
        </w:trPr>
        <w:tc>
          <w:tcPr>
            <w:tcW w:w="3690" w:type="dxa"/>
            <w:tcBorders>
              <w:top w:val="nil"/>
              <w:bottom w:val="single" w:sz="8" w:space="0" w:color="4F81BD"/>
            </w:tcBorders>
            <w:noWrap/>
            <w:vAlign w:val="center"/>
          </w:tcPr>
          <w:p w:rsidR="00A327E6" w:rsidRPr="00415FA2" w:rsidRDefault="00A327E6" w:rsidP="00D92952">
            <w:pPr>
              <w:spacing w:before="0" w:after="0" w:line="240" w:lineRule="auto"/>
              <w:ind w:firstLineChars="200" w:firstLine="480"/>
              <w:rPr>
                <w:b/>
                <w:bCs/>
                <w:color w:val="104E8B"/>
                <w:szCs w:val="24"/>
                <w:lang w:eastAsia="zh-TW"/>
              </w:rPr>
            </w:pPr>
            <w:r w:rsidRPr="00415FA2">
              <w:rPr>
                <w:b/>
                <w:bCs/>
                <w:szCs w:val="24"/>
                <w:lang w:eastAsia="zh-TW"/>
              </w:rPr>
              <w:t>Missing</w:t>
            </w:r>
          </w:p>
        </w:tc>
        <w:tc>
          <w:tcPr>
            <w:tcW w:w="1617" w:type="dxa"/>
            <w:tcBorders>
              <w:top w:val="nil"/>
              <w:bottom w:val="single" w:sz="8" w:space="0" w:color="4F81BD"/>
            </w:tcBorders>
            <w:noWrap/>
            <w:vAlign w:val="center"/>
          </w:tcPr>
          <w:p w:rsidR="00A327E6" w:rsidRPr="00415FA2" w:rsidRDefault="00A327E6" w:rsidP="00415FA2">
            <w:pPr>
              <w:spacing w:before="0" w:after="0" w:line="240" w:lineRule="auto"/>
              <w:jc w:val="center"/>
              <w:rPr>
                <w:color w:val="000000"/>
                <w:szCs w:val="24"/>
                <w:lang w:eastAsia="zh-TW"/>
              </w:rPr>
            </w:pPr>
            <w:r w:rsidRPr="00415FA2">
              <w:rPr>
                <w:color w:val="000000"/>
                <w:szCs w:val="24"/>
                <w:lang w:eastAsia="zh-TW"/>
              </w:rPr>
              <w:t>1</w:t>
            </w:r>
          </w:p>
        </w:tc>
        <w:tc>
          <w:tcPr>
            <w:tcW w:w="1980" w:type="dxa"/>
            <w:tcBorders>
              <w:top w:val="nil"/>
              <w:bottom w:val="single" w:sz="8" w:space="0" w:color="4F81BD"/>
            </w:tcBorders>
            <w:noWrap/>
            <w:vAlign w:val="center"/>
          </w:tcPr>
          <w:p w:rsidR="00A327E6" w:rsidRPr="00415FA2" w:rsidRDefault="00A327E6" w:rsidP="00415FA2">
            <w:pPr>
              <w:spacing w:before="0" w:after="0" w:line="240" w:lineRule="auto"/>
              <w:jc w:val="center"/>
              <w:rPr>
                <w:color w:val="000000"/>
                <w:szCs w:val="24"/>
                <w:lang w:eastAsia="zh-TW"/>
              </w:rPr>
            </w:pPr>
            <w:r w:rsidRPr="00415FA2">
              <w:rPr>
                <w:color w:val="000000"/>
                <w:szCs w:val="24"/>
                <w:lang w:eastAsia="zh-TW"/>
              </w:rPr>
              <w:t>1</w:t>
            </w:r>
          </w:p>
        </w:tc>
        <w:tc>
          <w:tcPr>
            <w:tcW w:w="1713" w:type="dxa"/>
            <w:tcBorders>
              <w:top w:val="nil"/>
              <w:bottom w:val="single" w:sz="8" w:space="0" w:color="4F81BD"/>
            </w:tcBorders>
            <w:vAlign w:val="center"/>
          </w:tcPr>
          <w:p w:rsidR="00A327E6" w:rsidRPr="00415FA2" w:rsidRDefault="00A327E6" w:rsidP="00415FA2">
            <w:pPr>
              <w:spacing w:before="0" w:after="0" w:line="240" w:lineRule="auto"/>
              <w:jc w:val="center"/>
              <w:rPr>
                <w:color w:val="000000"/>
                <w:szCs w:val="24"/>
                <w:lang w:eastAsia="zh-TW"/>
              </w:rPr>
            </w:pPr>
            <w:r w:rsidRPr="00415FA2">
              <w:rPr>
                <w:color w:val="000000"/>
                <w:szCs w:val="24"/>
                <w:lang w:eastAsia="zh-TW"/>
              </w:rPr>
              <w:t>-</w:t>
            </w:r>
          </w:p>
        </w:tc>
      </w:tr>
      <w:tr w:rsidR="00A327E6" w:rsidRPr="0038730A" w:rsidTr="00415FA2">
        <w:trPr>
          <w:trHeight w:val="23"/>
        </w:trPr>
        <w:tc>
          <w:tcPr>
            <w:tcW w:w="3690" w:type="dxa"/>
            <w:tcBorders>
              <w:top w:val="single" w:sz="8" w:space="0" w:color="4F81BD"/>
              <w:bottom w:val="nil"/>
            </w:tcBorders>
            <w:noWrap/>
            <w:vAlign w:val="center"/>
          </w:tcPr>
          <w:p w:rsidR="00A327E6" w:rsidRPr="00415FA2" w:rsidRDefault="00A327E6" w:rsidP="00415FA2">
            <w:pPr>
              <w:spacing w:before="0" w:after="0" w:line="240" w:lineRule="auto"/>
              <w:rPr>
                <w:b/>
                <w:bCs/>
                <w:szCs w:val="24"/>
                <w:lang w:eastAsia="zh-TW"/>
              </w:rPr>
            </w:pPr>
            <w:r w:rsidRPr="00415FA2">
              <w:rPr>
                <w:b/>
                <w:bCs/>
                <w:szCs w:val="24"/>
                <w:lang w:eastAsia="zh-TW"/>
              </w:rPr>
              <w:t>Education</w:t>
            </w:r>
          </w:p>
        </w:tc>
        <w:tc>
          <w:tcPr>
            <w:tcW w:w="1617" w:type="dxa"/>
            <w:tcBorders>
              <w:top w:val="single" w:sz="8" w:space="0" w:color="4F81BD"/>
              <w:bottom w:val="nil"/>
            </w:tcBorders>
            <w:noWrap/>
            <w:vAlign w:val="center"/>
          </w:tcPr>
          <w:p w:rsidR="00A327E6" w:rsidRPr="00415FA2" w:rsidRDefault="00A327E6" w:rsidP="00415FA2">
            <w:pPr>
              <w:spacing w:before="0" w:after="0" w:line="240" w:lineRule="auto"/>
              <w:jc w:val="center"/>
              <w:rPr>
                <w:color w:val="000000"/>
                <w:szCs w:val="24"/>
                <w:lang w:eastAsia="zh-TW"/>
              </w:rPr>
            </w:pPr>
          </w:p>
        </w:tc>
        <w:tc>
          <w:tcPr>
            <w:tcW w:w="1980" w:type="dxa"/>
            <w:tcBorders>
              <w:top w:val="single" w:sz="8" w:space="0" w:color="4F81BD"/>
              <w:bottom w:val="nil"/>
            </w:tcBorders>
            <w:noWrap/>
            <w:vAlign w:val="center"/>
          </w:tcPr>
          <w:p w:rsidR="00A327E6" w:rsidRPr="00415FA2" w:rsidRDefault="00A327E6" w:rsidP="00415FA2">
            <w:pPr>
              <w:spacing w:before="0" w:after="0" w:line="240" w:lineRule="auto"/>
              <w:jc w:val="center"/>
              <w:rPr>
                <w:color w:val="000000"/>
                <w:szCs w:val="24"/>
                <w:lang w:eastAsia="zh-TW"/>
              </w:rPr>
            </w:pPr>
          </w:p>
        </w:tc>
        <w:tc>
          <w:tcPr>
            <w:tcW w:w="1713" w:type="dxa"/>
            <w:tcBorders>
              <w:top w:val="single" w:sz="8" w:space="0" w:color="4F81BD"/>
              <w:bottom w:val="nil"/>
            </w:tcBorders>
            <w:vAlign w:val="center"/>
          </w:tcPr>
          <w:p w:rsidR="00A327E6" w:rsidRPr="00415FA2" w:rsidRDefault="00A327E6" w:rsidP="00415FA2">
            <w:pPr>
              <w:spacing w:before="0" w:after="0" w:line="240" w:lineRule="auto"/>
              <w:jc w:val="center"/>
              <w:rPr>
                <w:color w:val="000000"/>
                <w:szCs w:val="24"/>
                <w:lang w:eastAsia="zh-TW"/>
              </w:rPr>
            </w:pPr>
          </w:p>
        </w:tc>
      </w:tr>
      <w:tr w:rsidR="00A327E6" w:rsidRPr="0038730A" w:rsidTr="00415FA2">
        <w:trPr>
          <w:trHeight w:val="23"/>
        </w:trPr>
        <w:tc>
          <w:tcPr>
            <w:tcW w:w="3690" w:type="dxa"/>
            <w:tcBorders>
              <w:top w:val="nil"/>
              <w:bottom w:val="nil"/>
            </w:tcBorders>
            <w:noWrap/>
            <w:vAlign w:val="center"/>
          </w:tcPr>
          <w:p w:rsidR="00A327E6" w:rsidRPr="00415FA2" w:rsidRDefault="00A327E6" w:rsidP="00D92952">
            <w:pPr>
              <w:spacing w:before="0" w:after="0" w:line="240" w:lineRule="auto"/>
              <w:ind w:firstLineChars="200" w:firstLine="480"/>
              <w:rPr>
                <w:b/>
                <w:bCs/>
                <w:color w:val="104E8B"/>
                <w:szCs w:val="24"/>
                <w:lang w:eastAsia="zh-TW"/>
              </w:rPr>
            </w:pPr>
            <w:r w:rsidRPr="00415FA2">
              <w:rPr>
                <w:b/>
                <w:bCs/>
                <w:szCs w:val="24"/>
                <w:lang w:eastAsia="zh-TW"/>
              </w:rPr>
              <w:t>Less than high-school</w:t>
            </w:r>
          </w:p>
        </w:tc>
        <w:tc>
          <w:tcPr>
            <w:tcW w:w="1617" w:type="dxa"/>
            <w:tcBorders>
              <w:top w:val="nil"/>
              <w:bottom w:val="nil"/>
            </w:tcBorders>
            <w:noWrap/>
            <w:vAlign w:val="center"/>
          </w:tcPr>
          <w:p w:rsidR="00A327E6" w:rsidRPr="00415FA2" w:rsidRDefault="00A327E6" w:rsidP="00415FA2">
            <w:pPr>
              <w:spacing w:before="0" w:after="0" w:line="240" w:lineRule="auto"/>
              <w:jc w:val="center"/>
              <w:rPr>
                <w:color w:val="000000"/>
                <w:szCs w:val="24"/>
                <w:lang w:eastAsia="zh-TW"/>
              </w:rPr>
            </w:pPr>
            <w:r w:rsidRPr="00415FA2">
              <w:rPr>
                <w:color w:val="000000"/>
                <w:szCs w:val="24"/>
                <w:lang w:eastAsia="zh-TW"/>
              </w:rPr>
              <w:t>10</w:t>
            </w:r>
          </w:p>
        </w:tc>
        <w:tc>
          <w:tcPr>
            <w:tcW w:w="1980" w:type="dxa"/>
            <w:tcBorders>
              <w:top w:val="nil"/>
              <w:bottom w:val="nil"/>
            </w:tcBorders>
            <w:noWrap/>
            <w:vAlign w:val="center"/>
          </w:tcPr>
          <w:p w:rsidR="00A327E6" w:rsidRPr="00415FA2" w:rsidRDefault="00A327E6" w:rsidP="00415FA2">
            <w:pPr>
              <w:spacing w:before="0" w:after="0" w:line="240" w:lineRule="auto"/>
              <w:jc w:val="center"/>
              <w:rPr>
                <w:color w:val="000000"/>
                <w:szCs w:val="24"/>
                <w:lang w:eastAsia="zh-TW"/>
              </w:rPr>
            </w:pPr>
            <w:r w:rsidRPr="00415FA2">
              <w:rPr>
                <w:color w:val="000000"/>
                <w:szCs w:val="24"/>
                <w:lang w:eastAsia="zh-TW"/>
              </w:rPr>
              <w:t>8</w:t>
            </w:r>
          </w:p>
        </w:tc>
        <w:tc>
          <w:tcPr>
            <w:tcW w:w="1713" w:type="dxa"/>
            <w:tcBorders>
              <w:top w:val="nil"/>
              <w:bottom w:val="nil"/>
            </w:tcBorders>
            <w:vAlign w:val="center"/>
          </w:tcPr>
          <w:p w:rsidR="00A327E6" w:rsidRPr="00415FA2" w:rsidRDefault="00A327E6" w:rsidP="00415FA2">
            <w:pPr>
              <w:spacing w:before="0" w:after="0" w:line="240" w:lineRule="auto"/>
              <w:jc w:val="center"/>
              <w:rPr>
                <w:color w:val="000000"/>
                <w:szCs w:val="24"/>
                <w:lang w:eastAsia="zh-TW"/>
              </w:rPr>
            </w:pPr>
            <w:r w:rsidRPr="00415FA2">
              <w:rPr>
                <w:color w:val="000000"/>
                <w:szCs w:val="24"/>
                <w:lang w:eastAsia="zh-TW"/>
              </w:rPr>
              <w:t>12</w:t>
            </w:r>
          </w:p>
        </w:tc>
      </w:tr>
      <w:tr w:rsidR="00A327E6" w:rsidRPr="0038730A" w:rsidTr="00415FA2">
        <w:trPr>
          <w:trHeight w:val="23"/>
        </w:trPr>
        <w:tc>
          <w:tcPr>
            <w:tcW w:w="3690" w:type="dxa"/>
            <w:tcBorders>
              <w:top w:val="nil"/>
              <w:bottom w:val="nil"/>
            </w:tcBorders>
            <w:noWrap/>
            <w:vAlign w:val="center"/>
          </w:tcPr>
          <w:p w:rsidR="00A327E6" w:rsidRPr="00415FA2" w:rsidRDefault="00A327E6" w:rsidP="00D92952">
            <w:pPr>
              <w:spacing w:before="0" w:after="0" w:line="240" w:lineRule="auto"/>
              <w:ind w:firstLineChars="200" w:firstLine="480"/>
              <w:rPr>
                <w:b/>
                <w:bCs/>
                <w:color w:val="000000"/>
                <w:szCs w:val="24"/>
                <w:lang w:eastAsia="zh-TW"/>
              </w:rPr>
            </w:pPr>
            <w:r w:rsidRPr="00415FA2">
              <w:rPr>
                <w:b/>
                <w:bCs/>
                <w:color w:val="000000"/>
                <w:szCs w:val="24"/>
                <w:lang w:eastAsia="zh-TW"/>
              </w:rPr>
              <w:t>High-school grad/GED</w:t>
            </w:r>
          </w:p>
        </w:tc>
        <w:tc>
          <w:tcPr>
            <w:tcW w:w="1617" w:type="dxa"/>
            <w:tcBorders>
              <w:top w:val="nil"/>
              <w:bottom w:val="nil"/>
            </w:tcBorders>
            <w:noWrap/>
            <w:vAlign w:val="center"/>
          </w:tcPr>
          <w:p w:rsidR="00A327E6" w:rsidRPr="00415FA2" w:rsidRDefault="00A327E6" w:rsidP="00415FA2">
            <w:pPr>
              <w:spacing w:before="0" w:after="0" w:line="240" w:lineRule="auto"/>
              <w:jc w:val="center"/>
              <w:rPr>
                <w:color w:val="000000"/>
                <w:szCs w:val="24"/>
                <w:lang w:eastAsia="zh-TW"/>
              </w:rPr>
            </w:pPr>
            <w:r w:rsidRPr="00415FA2">
              <w:rPr>
                <w:color w:val="000000"/>
                <w:szCs w:val="24"/>
                <w:lang w:eastAsia="zh-TW"/>
              </w:rPr>
              <w:t>27</w:t>
            </w:r>
          </w:p>
        </w:tc>
        <w:tc>
          <w:tcPr>
            <w:tcW w:w="1980" w:type="dxa"/>
            <w:tcBorders>
              <w:top w:val="nil"/>
              <w:bottom w:val="nil"/>
            </w:tcBorders>
            <w:noWrap/>
            <w:vAlign w:val="center"/>
          </w:tcPr>
          <w:p w:rsidR="00A327E6" w:rsidRPr="00415FA2" w:rsidRDefault="00A327E6" w:rsidP="00415FA2">
            <w:pPr>
              <w:spacing w:before="0" w:after="0" w:line="240" w:lineRule="auto"/>
              <w:jc w:val="center"/>
              <w:rPr>
                <w:color w:val="000000"/>
                <w:szCs w:val="24"/>
                <w:lang w:eastAsia="zh-TW"/>
              </w:rPr>
            </w:pPr>
            <w:r w:rsidRPr="00415FA2">
              <w:rPr>
                <w:color w:val="000000"/>
                <w:szCs w:val="24"/>
                <w:lang w:eastAsia="zh-TW"/>
              </w:rPr>
              <w:t>22</w:t>
            </w:r>
          </w:p>
        </w:tc>
        <w:tc>
          <w:tcPr>
            <w:tcW w:w="1713" w:type="dxa"/>
            <w:tcBorders>
              <w:top w:val="nil"/>
              <w:bottom w:val="nil"/>
            </w:tcBorders>
            <w:vAlign w:val="center"/>
          </w:tcPr>
          <w:p w:rsidR="00A327E6" w:rsidRPr="00415FA2" w:rsidRDefault="00A327E6" w:rsidP="00415FA2">
            <w:pPr>
              <w:spacing w:before="0" w:after="0" w:line="240" w:lineRule="auto"/>
              <w:jc w:val="center"/>
              <w:rPr>
                <w:color w:val="000000"/>
                <w:szCs w:val="24"/>
                <w:lang w:eastAsia="zh-TW"/>
              </w:rPr>
            </w:pPr>
            <w:r w:rsidRPr="00415FA2">
              <w:rPr>
                <w:color w:val="000000"/>
                <w:szCs w:val="24"/>
                <w:lang w:eastAsia="zh-TW"/>
              </w:rPr>
              <w:t>28</w:t>
            </w:r>
          </w:p>
        </w:tc>
      </w:tr>
      <w:tr w:rsidR="00A327E6" w:rsidRPr="0038730A" w:rsidTr="00415FA2">
        <w:trPr>
          <w:trHeight w:val="23"/>
        </w:trPr>
        <w:tc>
          <w:tcPr>
            <w:tcW w:w="3690" w:type="dxa"/>
            <w:tcBorders>
              <w:top w:val="nil"/>
              <w:bottom w:val="nil"/>
            </w:tcBorders>
            <w:noWrap/>
            <w:vAlign w:val="center"/>
          </w:tcPr>
          <w:p w:rsidR="00A327E6" w:rsidRPr="00415FA2" w:rsidRDefault="00A327E6" w:rsidP="00D92952">
            <w:pPr>
              <w:spacing w:before="0" w:after="0" w:line="240" w:lineRule="auto"/>
              <w:ind w:firstLineChars="200" w:firstLine="480"/>
              <w:rPr>
                <w:b/>
                <w:bCs/>
                <w:color w:val="104E8B"/>
                <w:szCs w:val="24"/>
                <w:lang w:eastAsia="zh-TW"/>
              </w:rPr>
            </w:pPr>
            <w:r w:rsidRPr="00415FA2">
              <w:rPr>
                <w:b/>
                <w:bCs/>
                <w:szCs w:val="24"/>
                <w:lang w:eastAsia="zh-TW"/>
              </w:rPr>
              <w:t>Some college/tech school</w:t>
            </w:r>
          </w:p>
        </w:tc>
        <w:tc>
          <w:tcPr>
            <w:tcW w:w="1617" w:type="dxa"/>
            <w:tcBorders>
              <w:top w:val="nil"/>
              <w:bottom w:val="nil"/>
            </w:tcBorders>
            <w:noWrap/>
            <w:vAlign w:val="center"/>
          </w:tcPr>
          <w:p w:rsidR="00A327E6" w:rsidRPr="00415FA2" w:rsidRDefault="00A327E6" w:rsidP="00415FA2">
            <w:pPr>
              <w:spacing w:before="0" w:after="0" w:line="240" w:lineRule="auto"/>
              <w:jc w:val="center"/>
              <w:rPr>
                <w:color w:val="000000"/>
                <w:szCs w:val="24"/>
                <w:lang w:eastAsia="zh-TW"/>
              </w:rPr>
            </w:pPr>
            <w:r w:rsidRPr="00415FA2">
              <w:rPr>
                <w:color w:val="000000"/>
                <w:szCs w:val="24"/>
                <w:lang w:eastAsia="zh-TW"/>
              </w:rPr>
              <w:t>20</w:t>
            </w:r>
          </w:p>
        </w:tc>
        <w:tc>
          <w:tcPr>
            <w:tcW w:w="1980" w:type="dxa"/>
            <w:tcBorders>
              <w:top w:val="nil"/>
              <w:bottom w:val="nil"/>
            </w:tcBorders>
            <w:noWrap/>
            <w:vAlign w:val="center"/>
          </w:tcPr>
          <w:p w:rsidR="00A327E6" w:rsidRPr="00415FA2" w:rsidRDefault="00A327E6" w:rsidP="00415FA2">
            <w:pPr>
              <w:spacing w:before="0" w:after="0" w:line="240" w:lineRule="auto"/>
              <w:jc w:val="center"/>
              <w:rPr>
                <w:color w:val="000000"/>
                <w:szCs w:val="24"/>
                <w:lang w:eastAsia="zh-TW"/>
              </w:rPr>
            </w:pPr>
            <w:r w:rsidRPr="00415FA2">
              <w:rPr>
                <w:color w:val="000000"/>
                <w:szCs w:val="24"/>
                <w:lang w:eastAsia="zh-TW"/>
              </w:rPr>
              <w:t>20</w:t>
            </w:r>
          </w:p>
        </w:tc>
        <w:tc>
          <w:tcPr>
            <w:tcW w:w="1713" w:type="dxa"/>
            <w:tcBorders>
              <w:top w:val="nil"/>
              <w:bottom w:val="nil"/>
            </w:tcBorders>
            <w:vAlign w:val="center"/>
          </w:tcPr>
          <w:p w:rsidR="00A327E6" w:rsidRPr="00415FA2" w:rsidRDefault="00A327E6" w:rsidP="00415FA2">
            <w:pPr>
              <w:spacing w:before="0" w:after="0" w:line="240" w:lineRule="auto"/>
              <w:jc w:val="center"/>
              <w:rPr>
                <w:color w:val="000000"/>
                <w:szCs w:val="24"/>
                <w:lang w:eastAsia="zh-TW"/>
              </w:rPr>
            </w:pPr>
            <w:r w:rsidRPr="00415FA2">
              <w:rPr>
                <w:color w:val="000000"/>
                <w:szCs w:val="24"/>
                <w:lang w:eastAsia="zh-TW"/>
              </w:rPr>
              <w:t>18</w:t>
            </w:r>
          </w:p>
        </w:tc>
      </w:tr>
      <w:tr w:rsidR="00A327E6" w:rsidRPr="0038730A" w:rsidTr="00415FA2">
        <w:trPr>
          <w:trHeight w:val="23"/>
        </w:trPr>
        <w:tc>
          <w:tcPr>
            <w:tcW w:w="3690" w:type="dxa"/>
            <w:tcBorders>
              <w:top w:val="nil"/>
              <w:bottom w:val="nil"/>
            </w:tcBorders>
            <w:noWrap/>
            <w:vAlign w:val="center"/>
          </w:tcPr>
          <w:p w:rsidR="00A327E6" w:rsidRPr="00415FA2" w:rsidRDefault="00A327E6" w:rsidP="00D92952">
            <w:pPr>
              <w:spacing w:before="0" w:after="0" w:line="240" w:lineRule="auto"/>
              <w:ind w:firstLineChars="200" w:firstLine="480"/>
              <w:rPr>
                <w:b/>
                <w:bCs/>
                <w:color w:val="104E8B"/>
                <w:szCs w:val="24"/>
                <w:lang w:eastAsia="zh-TW"/>
              </w:rPr>
            </w:pPr>
            <w:r w:rsidRPr="00415FA2">
              <w:rPr>
                <w:b/>
                <w:bCs/>
                <w:szCs w:val="24"/>
                <w:lang w:eastAsia="zh-TW"/>
              </w:rPr>
              <w:t>Bachelor’s degree</w:t>
            </w:r>
          </w:p>
        </w:tc>
        <w:tc>
          <w:tcPr>
            <w:tcW w:w="1617" w:type="dxa"/>
            <w:tcBorders>
              <w:top w:val="nil"/>
              <w:bottom w:val="nil"/>
            </w:tcBorders>
            <w:noWrap/>
            <w:vAlign w:val="center"/>
          </w:tcPr>
          <w:p w:rsidR="00A327E6" w:rsidRPr="00415FA2" w:rsidRDefault="00A327E6" w:rsidP="00415FA2">
            <w:pPr>
              <w:spacing w:before="0" w:after="0" w:line="240" w:lineRule="auto"/>
              <w:jc w:val="center"/>
              <w:rPr>
                <w:color w:val="000000"/>
                <w:szCs w:val="24"/>
                <w:lang w:eastAsia="zh-TW"/>
              </w:rPr>
            </w:pPr>
            <w:r w:rsidRPr="00415FA2">
              <w:rPr>
                <w:color w:val="000000"/>
                <w:szCs w:val="24"/>
                <w:lang w:eastAsia="zh-TW"/>
              </w:rPr>
              <w:t>23</w:t>
            </w:r>
          </w:p>
        </w:tc>
        <w:tc>
          <w:tcPr>
            <w:tcW w:w="1980" w:type="dxa"/>
            <w:tcBorders>
              <w:top w:val="nil"/>
              <w:bottom w:val="nil"/>
            </w:tcBorders>
            <w:noWrap/>
            <w:vAlign w:val="center"/>
          </w:tcPr>
          <w:p w:rsidR="00A327E6" w:rsidRPr="00415FA2" w:rsidRDefault="00A327E6" w:rsidP="00415FA2">
            <w:pPr>
              <w:spacing w:before="0" w:after="0" w:line="240" w:lineRule="auto"/>
              <w:jc w:val="center"/>
              <w:rPr>
                <w:color w:val="000000"/>
                <w:szCs w:val="24"/>
                <w:lang w:eastAsia="zh-TW"/>
              </w:rPr>
            </w:pPr>
            <w:r w:rsidRPr="00415FA2">
              <w:rPr>
                <w:color w:val="000000"/>
                <w:szCs w:val="24"/>
                <w:lang w:eastAsia="zh-TW"/>
              </w:rPr>
              <w:t>26</w:t>
            </w:r>
          </w:p>
        </w:tc>
        <w:tc>
          <w:tcPr>
            <w:tcW w:w="1713" w:type="dxa"/>
            <w:tcBorders>
              <w:top w:val="nil"/>
              <w:bottom w:val="nil"/>
            </w:tcBorders>
            <w:vAlign w:val="center"/>
          </w:tcPr>
          <w:p w:rsidR="00A327E6" w:rsidRPr="00415FA2" w:rsidRDefault="00A327E6" w:rsidP="00415FA2">
            <w:pPr>
              <w:spacing w:before="0" w:after="0" w:line="240" w:lineRule="auto"/>
              <w:jc w:val="center"/>
              <w:rPr>
                <w:color w:val="000000"/>
                <w:szCs w:val="24"/>
                <w:lang w:eastAsia="zh-TW"/>
              </w:rPr>
            </w:pPr>
            <w:r w:rsidRPr="00415FA2">
              <w:rPr>
                <w:color w:val="000000"/>
                <w:szCs w:val="24"/>
                <w:lang w:eastAsia="zh-TW"/>
              </w:rPr>
              <w:t>24</w:t>
            </w:r>
          </w:p>
        </w:tc>
      </w:tr>
      <w:tr w:rsidR="00A327E6" w:rsidRPr="0038730A" w:rsidTr="00415FA2">
        <w:trPr>
          <w:trHeight w:val="23"/>
        </w:trPr>
        <w:tc>
          <w:tcPr>
            <w:tcW w:w="3690" w:type="dxa"/>
            <w:tcBorders>
              <w:top w:val="nil"/>
              <w:bottom w:val="nil"/>
            </w:tcBorders>
            <w:noWrap/>
            <w:vAlign w:val="center"/>
          </w:tcPr>
          <w:p w:rsidR="00A327E6" w:rsidRPr="00415FA2" w:rsidRDefault="00A327E6" w:rsidP="00D92952">
            <w:pPr>
              <w:spacing w:before="0" w:after="0" w:line="240" w:lineRule="auto"/>
              <w:ind w:firstLineChars="200" w:firstLine="480"/>
              <w:rPr>
                <w:b/>
                <w:bCs/>
                <w:color w:val="000000"/>
                <w:szCs w:val="24"/>
                <w:lang w:eastAsia="zh-TW"/>
              </w:rPr>
            </w:pPr>
            <w:r w:rsidRPr="00415FA2">
              <w:rPr>
                <w:b/>
                <w:bCs/>
                <w:color w:val="000000"/>
                <w:szCs w:val="24"/>
                <w:lang w:eastAsia="zh-TW"/>
              </w:rPr>
              <w:t>Graduate school</w:t>
            </w:r>
          </w:p>
        </w:tc>
        <w:tc>
          <w:tcPr>
            <w:tcW w:w="1617" w:type="dxa"/>
            <w:tcBorders>
              <w:top w:val="nil"/>
              <w:bottom w:val="nil"/>
            </w:tcBorders>
            <w:noWrap/>
            <w:vAlign w:val="center"/>
          </w:tcPr>
          <w:p w:rsidR="00A327E6" w:rsidRPr="00415FA2" w:rsidRDefault="00A327E6" w:rsidP="00415FA2">
            <w:pPr>
              <w:spacing w:before="0" w:after="0" w:line="240" w:lineRule="auto"/>
              <w:jc w:val="center"/>
              <w:rPr>
                <w:color w:val="000000"/>
                <w:szCs w:val="24"/>
                <w:lang w:eastAsia="zh-TW"/>
              </w:rPr>
            </w:pPr>
            <w:r w:rsidRPr="00415FA2">
              <w:rPr>
                <w:color w:val="000000"/>
                <w:szCs w:val="24"/>
                <w:lang w:eastAsia="zh-TW"/>
              </w:rPr>
              <w:t>19</w:t>
            </w:r>
          </w:p>
        </w:tc>
        <w:tc>
          <w:tcPr>
            <w:tcW w:w="1980" w:type="dxa"/>
            <w:tcBorders>
              <w:top w:val="nil"/>
              <w:bottom w:val="nil"/>
            </w:tcBorders>
            <w:noWrap/>
            <w:vAlign w:val="center"/>
          </w:tcPr>
          <w:p w:rsidR="00A327E6" w:rsidRPr="00415FA2" w:rsidRDefault="00A327E6" w:rsidP="00415FA2">
            <w:pPr>
              <w:spacing w:before="0" w:after="0" w:line="240" w:lineRule="auto"/>
              <w:jc w:val="center"/>
              <w:rPr>
                <w:color w:val="000000"/>
                <w:szCs w:val="24"/>
                <w:lang w:eastAsia="zh-TW"/>
              </w:rPr>
            </w:pPr>
            <w:r w:rsidRPr="00415FA2">
              <w:rPr>
                <w:color w:val="000000"/>
                <w:szCs w:val="24"/>
                <w:lang w:eastAsia="zh-TW"/>
              </w:rPr>
              <w:t>23</w:t>
            </w:r>
          </w:p>
        </w:tc>
        <w:tc>
          <w:tcPr>
            <w:tcW w:w="1713" w:type="dxa"/>
            <w:tcBorders>
              <w:top w:val="nil"/>
              <w:bottom w:val="nil"/>
            </w:tcBorders>
            <w:vAlign w:val="center"/>
          </w:tcPr>
          <w:p w:rsidR="00A327E6" w:rsidRPr="00415FA2" w:rsidRDefault="00A327E6" w:rsidP="00415FA2">
            <w:pPr>
              <w:spacing w:before="0" w:after="0" w:line="240" w:lineRule="auto"/>
              <w:jc w:val="center"/>
              <w:rPr>
                <w:color w:val="000000"/>
                <w:szCs w:val="24"/>
                <w:lang w:eastAsia="zh-TW"/>
              </w:rPr>
            </w:pPr>
            <w:r w:rsidRPr="00415FA2">
              <w:rPr>
                <w:color w:val="000000"/>
                <w:szCs w:val="24"/>
                <w:lang w:eastAsia="zh-TW"/>
              </w:rPr>
              <w:t>18</w:t>
            </w:r>
          </w:p>
        </w:tc>
      </w:tr>
      <w:tr w:rsidR="00A327E6" w:rsidRPr="0038730A" w:rsidTr="00415FA2">
        <w:trPr>
          <w:trHeight w:val="23"/>
        </w:trPr>
        <w:tc>
          <w:tcPr>
            <w:tcW w:w="3690" w:type="dxa"/>
            <w:tcBorders>
              <w:top w:val="nil"/>
              <w:bottom w:val="single" w:sz="8" w:space="0" w:color="4F81BD"/>
            </w:tcBorders>
            <w:noWrap/>
            <w:vAlign w:val="center"/>
          </w:tcPr>
          <w:p w:rsidR="00A327E6" w:rsidRPr="00415FA2" w:rsidRDefault="00A327E6" w:rsidP="00D92952">
            <w:pPr>
              <w:spacing w:before="0" w:after="0" w:line="240" w:lineRule="auto"/>
              <w:ind w:firstLineChars="200" w:firstLine="480"/>
              <w:rPr>
                <w:b/>
                <w:bCs/>
                <w:color w:val="000000"/>
                <w:szCs w:val="24"/>
                <w:lang w:eastAsia="zh-TW"/>
              </w:rPr>
            </w:pPr>
            <w:r w:rsidRPr="00415FA2">
              <w:rPr>
                <w:b/>
                <w:bCs/>
                <w:color w:val="000000"/>
                <w:szCs w:val="24"/>
                <w:lang w:eastAsia="zh-TW"/>
              </w:rPr>
              <w:t>Missing</w:t>
            </w:r>
          </w:p>
        </w:tc>
        <w:tc>
          <w:tcPr>
            <w:tcW w:w="1617" w:type="dxa"/>
            <w:tcBorders>
              <w:top w:val="nil"/>
              <w:bottom w:val="single" w:sz="8" w:space="0" w:color="4F81BD"/>
            </w:tcBorders>
            <w:noWrap/>
            <w:vAlign w:val="center"/>
          </w:tcPr>
          <w:p w:rsidR="00A327E6" w:rsidRPr="00415FA2" w:rsidRDefault="00A327E6" w:rsidP="00415FA2">
            <w:pPr>
              <w:spacing w:before="0" w:after="0" w:line="240" w:lineRule="auto"/>
              <w:jc w:val="center"/>
              <w:rPr>
                <w:color w:val="000000"/>
                <w:szCs w:val="24"/>
                <w:lang w:eastAsia="zh-TW"/>
              </w:rPr>
            </w:pPr>
            <w:r w:rsidRPr="00415FA2">
              <w:rPr>
                <w:color w:val="000000"/>
                <w:szCs w:val="24"/>
                <w:lang w:eastAsia="zh-TW"/>
              </w:rPr>
              <w:t>1</w:t>
            </w:r>
          </w:p>
        </w:tc>
        <w:tc>
          <w:tcPr>
            <w:tcW w:w="1980" w:type="dxa"/>
            <w:tcBorders>
              <w:top w:val="nil"/>
              <w:bottom w:val="single" w:sz="8" w:space="0" w:color="4F81BD"/>
            </w:tcBorders>
            <w:noWrap/>
            <w:vAlign w:val="center"/>
          </w:tcPr>
          <w:p w:rsidR="00A327E6" w:rsidRPr="00415FA2" w:rsidRDefault="00A327E6" w:rsidP="00415FA2">
            <w:pPr>
              <w:spacing w:before="0" w:after="0" w:line="240" w:lineRule="auto"/>
              <w:jc w:val="center"/>
              <w:rPr>
                <w:color w:val="000000"/>
                <w:szCs w:val="24"/>
                <w:lang w:eastAsia="zh-TW"/>
              </w:rPr>
            </w:pPr>
            <w:r w:rsidRPr="00415FA2">
              <w:rPr>
                <w:color w:val="000000"/>
                <w:szCs w:val="24"/>
                <w:lang w:eastAsia="zh-TW"/>
              </w:rPr>
              <w:t>1</w:t>
            </w:r>
          </w:p>
        </w:tc>
        <w:tc>
          <w:tcPr>
            <w:tcW w:w="1713" w:type="dxa"/>
            <w:tcBorders>
              <w:top w:val="nil"/>
              <w:bottom w:val="single" w:sz="8" w:space="0" w:color="4F81BD"/>
            </w:tcBorders>
            <w:vAlign w:val="center"/>
          </w:tcPr>
          <w:p w:rsidR="00A327E6" w:rsidRPr="00415FA2" w:rsidRDefault="00A327E6" w:rsidP="00415FA2">
            <w:pPr>
              <w:spacing w:before="0" w:after="0" w:line="240" w:lineRule="auto"/>
              <w:jc w:val="center"/>
              <w:rPr>
                <w:color w:val="000000"/>
                <w:szCs w:val="24"/>
                <w:lang w:eastAsia="zh-TW"/>
              </w:rPr>
            </w:pPr>
            <w:r w:rsidRPr="00415FA2">
              <w:rPr>
                <w:color w:val="000000"/>
                <w:szCs w:val="24"/>
                <w:lang w:eastAsia="zh-TW"/>
              </w:rPr>
              <w:t>-</w:t>
            </w:r>
          </w:p>
        </w:tc>
      </w:tr>
      <w:tr w:rsidR="00A327E6" w:rsidRPr="0038730A" w:rsidTr="00415FA2">
        <w:trPr>
          <w:trHeight w:val="362"/>
        </w:trPr>
        <w:tc>
          <w:tcPr>
            <w:tcW w:w="9000" w:type="dxa"/>
            <w:gridSpan w:val="4"/>
            <w:tcBorders>
              <w:top w:val="single" w:sz="8" w:space="0" w:color="4F81BD"/>
              <w:bottom w:val="single" w:sz="8" w:space="0" w:color="4F81BD"/>
            </w:tcBorders>
          </w:tcPr>
          <w:p w:rsidR="00A327E6" w:rsidRPr="00415FA2" w:rsidRDefault="00A327E6" w:rsidP="00415FA2">
            <w:pPr>
              <w:pStyle w:val="NormalIndent"/>
              <w:spacing w:before="0" w:after="0" w:line="240" w:lineRule="auto"/>
              <w:ind w:right="-43" w:firstLine="0"/>
              <w:rPr>
                <w:b/>
                <w:bCs/>
                <w:color w:val="000000"/>
                <w:szCs w:val="24"/>
              </w:rPr>
            </w:pPr>
            <w:r w:rsidRPr="00415FA2">
              <w:rPr>
                <w:bCs/>
                <w:color w:val="000000"/>
                <w:szCs w:val="24"/>
                <w:vertAlign w:val="superscript"/>
              </w:rPr>
              <w:t>a</w:t>
            </w:r>
            <w:r w:rsidRPr="00415FA2">
              <w:rPr>
                <w:bCs/>
                <w:color w:val="000000"/>
                <w:szCs w:val="24"/>
              </w:rPr>
              <w:t>Missing values for age, sex, race, ethnicity, and household income were imputed. Poverty Income Ratio (PIR) was calculated using household income and household size; due to missing information on household size, some PIR values are missing. See Chapter 5, Data Analysis, for more information on missing values and imputation.</w:t>
            </w:r>
          </w:p>
          <w:p w:rsidR="00A327E6" w:rsidRPr="00415FA2" w:rsidRDefault="00A327E6" w:rsidP="00415FA2">
            <w:pPr>
              <w:pStyle w:val="NormalIndent"/>
              <w:spacing w:before="0" w:after="0" w:line="240" w:lineRule="auto"/>
              <w:ind w:right="-43" w:firstLine="0"/>
              <w:rPr>
                <w:b/>
                <w:bCs/>
                <w:color w:val="000000"/>
                <w:szCs w:val="24"/>
              </w:rPr>
            </w:pPr>
            <w:r w:rsidRPr="00415FA2">
              <w:rPr>
                <w:bCs/>
                <w:color w:val="000000"/>
                <w:szCs w:val="24"/>
                <w:vertAlign w:val="superscript"/>
              </w:rPr>
              <w:t>b</w:t>
            </w:r>
            <w:r w:rsidRPr="00415FA2">
              <w:rPr>
                <w:bCs/>
                <w:color w:val="000000"/>
                <w:szCs w:val="24"/>
              </w:rPr>
              <w:t>Study area population estimates were calculated using survey data weighted to be representative of the study area in terms of race, ethnicity, age, sex, and household income</w:t>
            </w:r>
            <w:r w:rsidRPr="00415FA2">
              <w:rPr>
                <w:bCs/>
                <w:szCs w:val="24"/>
              </w:rPr>
              <w:t>.</w:t>
            </w:r>
          </w:p>
          <w:p w:rsidR="00A327E6" w:rsidRPr="00415FA2" w:rsidRDefault="00A327E6" w:rsidP="00415FA2">
            <w:pPr>
              <w:pStyle w:val="NormalIndent"/>
              <w:spacing w:before="0" w:after="0" w:line="240" w:lineRule="auto"/>
              <w:ind w:right="-43" w:firstLine="0"/>
              <w:rPr>
                <w:b/>
                <w:bCs/>
                <w:color w:val="000000"/>
                <w:szCs w:val="24"/>
                <w:vertAlign w:val="superscript"/>
              </w:rPr>
            </w:pPr>
            <w:r w:rsidRPr="00415FA2">
              <w:rPr>
                <w:bCs/>
                <w:color w:val="000000"/>
                <w:szCs w:val="24"/>
                <w:vertAlign w:val="superscript"/>
              </w:rPr>
              <w:t>c</w:t>
            </w:r>
            <w:r w:rsidRPr="00415FA2">
              <w:rPr>
                <w:bCs/>
                <w:color w:val="000000"/>
                <w:szCs w:val="24"/>
              </w:rPr>
              <w:t>Statewide demographics are from the 2010 US Census, which does not calculate PIR prevalence for the same ranges used in this study. PIR statewide prevalence for adults in MA: 2.00-2.99=13%; 3.00-3.99=13%; 4.00+=50%.</w:t>
            </w:r>
          </w:p>
        </w:tc>
      </w:tr>
    </w:tbl>
    <w:p w:rsidR="00A327E6" w:rsidRPr="0021796A" w:rsidRDefault="00A327E6" w:rsidP="00E44AAF">
      <w:pPr>
        <w:spacing w:before="100" w:beforeAutospacing="1" w:after="100" w:afterAutospacing="1" w:line="400" w:lineRule="atLeast"/>
        <w:rPr>
          <w:rStyle w:val="Emphasis"/>
          <w:b/>
          <w:szCs w:val="24"/>
        </w:rPr>
      </w:pPr>
      <w:bookmarkStart w:id="204" w:name="_Toc350413094"/>
      <w:r w:rsidRPr="0021796A">
        <w:rPr>
          <w:rStyle w:val="Emphasis"/>
          <w:b/>
          <w:szCs w:val="24"/>
        </w:rPr>
        <w:t>Children</w:t>
      </w:r>
      <w:bookmarkEnd w:id="204"/>
    </w:p>
    <w:p w:rsidR="00A327E6" w:rsidRDefault="00A327E6" w:rsidP="00517414">
      <w:pPr>
        <w:pStyle w:val="NormalIndent"/>
        <w:spacing w:before="100" w:beforeAutospacing="1" w:after="100" w:afterAutospacing="1" w:line="400" w:lineRule="atLeast"/>
        <w:rPr>
          <w:szCs w:val="24"/>
        </w:rPr>
      </w:pPr>
      <w:r w:rsidRPr="0021796A">
        <w:rPr>
          <w:szCs w:val="24"/>
        </w:rPr>
        <w:t>The sample population in the LAHS comprised 2215 children aged 3-17 years living in 1379 of the 6072 participating households</w:t>
      </w:r>
      <w:r>
        <w:rPr>
          <w:szCs w:val="24"/>
        </w:rPr>
        <w:t xml:space="preserve">.  </w:t>
      </w:r>
      <w:r w:rsidRPr="0021796A">
        <w:rPr>
          <w:szCs w:val="24"/>
        </w:rPr>
        <w:t>Information about the children was reported by adult survey responders</w:t>
      </w:r>
      <w:r>
        <w:rPr>
          <w:szCs w:val="24"/>
        </w:rPr>
        <w:t xml:space="preserve">.  </w:t>
      </w:r>
      <w:r w:rsidRPr="0021796A">
        <w:rPr>
          <w:szCs w:val="24"/>
        </w:rPr>
        <w:t xml:space="preserve">Presented in </w:t>
      </w:r>
      <w:r>
        <w:rPr>
          <w:szCs w:val="24"/>
        </w:rPr>
        <w:t>Table 6-2</w:t>
      </w:r>
      <w:r w:rsidRPr="0021796A">
        <w:rPr>
          <w:szCs w:val="24"/>
        </w:rPr>
        <w:t xml:space="preserve"> are demographic characteristics for children in the LAHS survey sample, in the study area as a whole based on survey data weighted to be representative of the overall population, and in MA statewi</w:t>
      </w:r>
      <w:r>
        <w:rPr>
          <w:szCs w:val="24"/>
        </w:rPr>
        <w:t xml:space="preserve">de based on 2010 US Census data. </w:t>
      </w:r>
    </w:p>
    <w:p w:rsidR="00A327E6" w:rsidRPr="00DE3E13" w:rsidRDefault="00A327E6" w:rsidP="00517414">
      <w:pPr>
        <w:pStyle w:val="NormalIndent"/>
        <w:spacing w:before="100" w:beforeAutospacing="1" w:after="100" w:afterAutospacing="1" w:line="400" w:lineRule="atLeast"/>
        <w:rPr>
          <w:szCs w:val="24"/>
        </w:rPr>
      </w:pPr>
      <w:r w:rsidRPr="008F509F">
        <w:rPr>
          <w:szCs w:val="24"/>
        </w:rPr>
        <w:t>Slightly more males than females (53% to 47%) were a part of the study’s sample of children, although in the study area overall and in MA statewide the proportion is 51% male to 49% female</w:t>
      </w:r>
      <w:r>
        <w:rPr>
          <w:szCs w:val="24"/>
        </w:rPr>
        <w:t xml:space="preserve">.  </w:t>
      </w:r>
      <w:r w:rsidRPr="008F509F">
        <w:rPr>
          <w:szCs w:val="24"/>
        </w:rPr>
        <w:t>A little more than half (56%) of the survey children were aged 3-11 years, while the remaining 44% were aged 12-17 years</w:t>
      </w:r>
      <w:r>
        <w:rPr>
          <w:szCs w:val="24"/>
        </w:rPr>
        <w:t xml:space="preserve">.  </w:t>
      </w:r>
      <w:r w:rsidRPr="008F509F">
        <w:rPr>
          <w:szCs w:val="24"/>
        </w:rPr>
        <w:t>In the survey area overall and in MA statewide, the proportion of younger children is slightly higher (61% and 58%, respectively)</w:t>
      </w:r>
      <w:r>
        <w:rPr>
          <w:szCs w:val="24"/>
        </w:rPr>
        <w:t xml:space="preserve">.  </w:t>
      </w:r>
      <w:r w:rsidRPr="008F509F">
        <w:rPr>
          <w:szCs w:val="24"/>
        </w:rPr>
        <w:t>Almost half (48%) of survey children lived in households with incomes less than twice the 2005 federal poverty guideline</w:t>
      </w:r>
      <w:r>
        <w:rPr>
          <w:szCs w:val="24"/>
        </w:rPr>
        <w:t xml:space="preserve">.  </w:t>
      </w:r>
      <w:r w:rsidRPr="008F509F">
        <w:rPr>
          <w:szCs w:val="24"/>
        </w:rPr>
        <w:t>Twenty-three percent (23%) had household incomes below federal poverty guidelines</w:t>
      </w:r>
      <w:r>
        <w:rPr>
          <w:szCs w:val="24"/>
        </w:rPr>
        <w:t xml:space="preserve">.  </w:t>
      </w:r>
      <w:r w:rsidRPr="008F509F">
        <w:rPr>
          <w:szCs w:val="24"/>
        </w:rPr>
        <w:t>These figures match those of the study population, in general, but are higher than the proportion of MA children living in households with incomes less than two times the poverty, which was 29% in 2005</w:t>
      </w:r>
      <w:r>
        <w:rPr>
          <w:szCs w:val="24"/>
        </w:rPr>
        <w:t xml:space="preserve">.  </w:t>
      </w:r>
      <w:r w:rsidRPr="008F509F">
        <w:rPr>
          <w:szCs w:val="24"/>
        </w:rPr>
        <w:t>The mothers of 81% of survey children had a high-school diploma or GED; 57% reported educational attainment of at least some college; and 36% had earned at least a bachelor’s degree</w:t>
      </w:r>
      <w:r>
        <w:rPr>
          <w:szCs w:val="24"/>
        </w:rPr>
        <w:t xml:space="preserve">.  </w:t>
      </w:r>
      <w:r w:rsidRPr="008F509F">
        <w:rPr>
          <w:szCs w:val="24"/>
        </w:rPr>
        <w:t>These educational attainment figures were similar for the study area population overall and for the state of MA.</w:t>
      </w:r>
      <w:bookmarkStart w:id="205" w:name="_Ref349919024"/>
      <w:r w:rsidRPr="008F509F">
        <w:rPr>
          <w:szCs w:val="24"/>
        </w:rPr>
        <w:br w:type="page"/>
      </w:r>
      <w:bookmarkEnd w:id="205"/>
    </w:p>
    <w:tbl>
      <w:tblPr>
        <w:tblpPr w:leftFromText="187" w:rightFromText="187" w:vertAnchor="text" w:horzAnchor="margin" w:tblpY="1305"/>
        <w:tblW w:w="9018" w:type="dxa"/>
        <w:tblBorders>
          <w:top w:val="single" w:sz="8" w:space="0" w:color="4F81BD"/>
          <w:left w:val="single" w:sz="8" w:space="0" w:color="4F81BD"/>
          <w:bottom w:val="single" w:sz="8" w:space="0" w:color="4F81BD"/>
          <w:right w:val="single" w:sz="8" w:space="0" w:color="4F81BD"/>
        </w:tblBorders>
        <w:tblLook w:val="00A0"/>
      </w:tblPr>
      <w:tblGrid>
        <w:gridCol w:w="3528"/>
        <w:gridCol w:w="1707"/>
        <w:gridCol w:w="1886"/>
        <w:gridCol w:w="1897"/>
      </w:tblGrid>
      <w:tr w:rsidR="00A327E6" w:rsidRPr="00015F16" w:rsidTr="00415FA2">
        <w:trPr>
          <w:trHeight w:val="317"/>
        </w:trPr>
        <w:tc>
          <w:tcPr>
            <w:tcW w:w="3528" w:type="dxa"/>
            <w:tcBorders>
              <w:top w:val="single" w:sz="8" w:space="0" w:color="4F81BD"/>
            </w:tcBorders>
            <w:shd w:val="clear" w:color="auto" w:fill="4F81BD"/>
            <w:noWrap/>
          </w:tcPr>
          <w:p w:rsidR="00A327E6" w:rsidRPr="00415FA2" w:rsidRDefault="00A327E6" w:rsidP="00415FA2">
            <w:pPr>
              <w:spacing w:before="0" w:after="0" w:line="320" w:lineRule="atLeast"/>
              <w:jc w:val="center"/>
              <w:rPr>
                <w:b/>
                <w:bCs/>
                <w:color w:val="FFFFFF"/>
                <w:szCs w:val="24"/>
                <w:lang w:eastAsia="zh-TW"/>
              </w:rPr>
            </w:pPr>
          </w:p>
        </w:tc>
        <w:tc>
          <w:tcPr>
            <w:tcW w:w="1707" w:type="dxa"/>
            <w:tcBorders>
              <w:top w:val="single" w:sz="8" w:space="0" w:color="4F81BD"/>
            </w:tcBorders>
            <w:shd w:val="clear" w:color="auto" w:fill="4F81BD"/>
            <w:noWrap/>
          </w:tcPr>
          <w:p w:rsidR="00A327E6" w:rsidRPr="00415FA2" w:rsidRDefault="00A327E6" w:rsidP="00415FA2">
            <w:pPr>
              <w:spacing w:before="0" w:after="0" w:line="240" w:lineRule="auto"/>
              <w:jc w:val="center"/>
              <w:rPr>
                <w:b/>
                <w:bCs/>
                <w:color w:val="FFFFFF"/>
                <w:szCs w:val="24"/>
                <w:lang w:eastAsia="zh-TW"/>
              </w:rPr>
            </w:pPr>
            <w:r w:rsidRPr="00415FA2">
              <w:rPr>
                <w:b/>
                <w:bCs/>
                <w:color w:val="FFFFFF"/>
                <w:szCs w:val="24"/>
                <w:lang w:eastAsia="zh-TW"/>
              </w:rPr>
              <w:t>Survey Respondents,</w:t>
            </w:r>
          </w:p>
        </w:tc>
        <w:tc>
          <w:tcPr>
            <w:tcW w:w="1886" w:type="dxa"/>
            <w:tcBorders>
              <w:top w:val="single" w:sz="8" w:space="0" w:color="4F81BD"/>
            </w:tcBorders>
            <w:shd w:val="clear" w:color="auto" w:fill="4F81BD"/>
            <w:noWrap/>
          </w:tcPr>
          <w:p w:rsidR="00A327E6" w:rsidRPr="00415FA2" w:rsidRDefault="00A327E6" w:rsidP="00415FA2">
            <w:pPr>
              <w:spacing w:before="0" w:after="0" w:line="240" w:lineRule="auto"/>
              <w:jc w:val="center"/>
              <w:rPr>
                <w:b/>
                <w:bCs/>
                <w:color w:val="FFFFFF"/>
                <w:szCs w:val="24"/>
                <w:lang w:eastAsia="zh-TW"/>
              </w:rPr>
            </w:pPr>
            <w:r w:rsidRPr="00415FA2">
              <w:rPr>
                <w:b/>
                <w:bCs/>
                <w:color w:val="FFFFFF"/>
                <w:szCs w:val="24"/>
                <w:lang w:eastAsia="zh-TW"/>
              </w:rPr>
              <w:t>Study Area Population</w:t>
            </w:r>
            <w:r w:rsidRPr="00415FA2">
              <w:rPr>
                <w:rFonts w:cs="Calibri"/>
                <w:b/>
                <w:bCs/>
                <w:color w:val="FFFFFF"/>
                <w:szCs w:val="24"/>
                <w:vertAlign w:val="superscript"/>
                <w:lang w:eastAsia="zh-TW"/>
              </w:rPr>
              <w:t>b</w:t>
            </w:r>
            <w:r w:rsidRPr="00415FA2">
              <w:rPr>
                <w:rFonts w:cs="Calibri"/>
                <w:b/>
                <w:bCs/>
                <w:color w:val="FFFFFF"/>
                <w:szCs w:val="24"/>
                <w:lang w:eastAsia="zh-TW"/>
              </w:rPr>
              <w:t>,</w:t>
            </w:r>
          </w:p>
        </w:tc>
        <w:tc>
          <w:tcPr>
            <w:tcW w:w="1897" w:type="dxa"/>
            <w:tcBorders>
              <w:top w:val="single" w:sz="8" w:space="0" w:color="4F81BD"/>
            </w:tcBorders>
            <w:shd w:val="clear" w:color="auto" w:fill="4F81BD"/>
          </w:tcPr>
          <w:p w:rsidR="00A327E6" w:rsidRPr="00415FA2" w:rsidRDefault="00A327E6" w:rsidP="00415FA2">
            <w:pPr>
              <w:spacing w:before="0" w:after="0" w:line="240" w:lineRule="auto"/>
              <w:jc w:val="center"/>
              <w:rPr>
                <w:b/>
                <w:bCs/>
                <w:color w:val="FFFFFF"/>
                <w:szCs w:val="24"/>
                <w:lang w:eastAsia="zh-TW"/>
              </w:rPr>
            </w:pPr>
            <w:r w:rsidRPr="00415FA2">
              <w:rPr>
                <w:b/>
                <w:bCs/>
                <w:color w:val="FFFFFF"/>
                <w:szCs w:val="24"/>
                <w:lang w:eastAsia="zh-TW"/>
              </w:rPr>
              <w:t>Statewide</w:t>
            </w:r>
          </w:p>
          <w:p w:rsidR="00A327E6" w:rsidRPr="00415FA2" w:rsidRDefault="00A327E6" w:rsidP="00415FA2">
            <w:pPr>
              <w:spacing w:before="0" w:after="0" w:line="240" w:lineRule="auto"/>
              <w:jc w:val="center"/>
              <w:rPr>
                <w:b/>
                <w:bCs/>
                <w:color w:val="FFFFFF"/>
                <w:szCs w:val="24"/>
                <w:lang w:eastAsia="zh-TW"/>
              </w:rPr>
            </w:pPr>
            <w:r w:rsidRPr="00415FA2">
              <w:rPr>
                <w:b/>
                <w:bCs/>
                <w:color w:val="FFFFFF"/>
                <w:szCs w:val="24"/>
                <w:lang w:eastAsia="zh-TW"/>
              </w:rPr>
              <w:t>Population</w:t>
            </w:r>
            <w:r w:rsidRPr="00415FA2">
              <w:rPr>
                <w:b/>
                <w:bCs/>
                <w:color w:val="FFFFFF"/>
                <w:szCs w:val="24"/>
                <w:vertAlign w:val="superscript"/>
                <w:lang w:eastAsia="zh-TW"/>
              </w:rPr>
              <w:t>c</w:t>
            </w:r>
            <w:r w:rsidRPr="00415FA2">
              <w:rPr>
                <w:b/>
                <w:bCs/>
                <w:color w:val="FFFFFF"/>
                <w:szCs w:val="24"/>
                <w:lang w:eastAsia="zh-TW"/>
              </w:rPr>
              <w:t>,</w:t>
            </w:r>
          </w:p>
        </w:tc>
      </w:tr>
      <w:tr w:rsidR="00A327E6" w:rsidRPr="00015F16" w:rsidTr="00415FA2">
        <w:trPr>
          <w:trHeight w:val="317"/>
        </w:trPr>
        <w:tc>
          <w:tcPr>
            <w:tcW w:w="3528" w:type="dxa"/>
            <w:tcBorders>
              <w:top w:val="single" w:sz="8" w:space="0" w:color="4F81BD"/>
              <w:bottom w:val="single" w:sz="8" w:space="0" w:color="4F81BD"/>
            </w:tcBorders>
            <w:shd w:val="clear" w:color="auto" w:fill="4F81BD"/>
            <w:noWrap/>
            <w:vAlign w:val="center"/>
          </w:tcPr>
          <w:p w:rsidR="00A327E6" w:rsidRPr="00415FA2" w:rsidRDefault="00A327E6" w:rsidP="00415FA2">
            <w:pPr>
              <w:spacing w:before="0" w:after="0" w:line="320" w:lineRule="atLeast"/>
              <w:rPr>
                <w:b/>
                <w:bCs/>
                <w:color w:val="FFFFFF"/>
                <w:szCs w:val="24"/>
                <w:lang w:eastAsia="zh-TW"/>
              </w:rPr>
            </w:pPr>
            <w:r w:rsidRPr="00415FA2">
              <w:rPr>
                <w:b/>
                <w:bCs/>
                <w:color w:val="FFFFFF"/>
                <w:szCs w:val="24"/>
                <w:lang w:eastAsia="zh-TW"/>
              </w:rPr>
              <w:t>Characteristic</w:t>
            </w:r>
            <w:r w:rsidRPr="00415FA2">
              <w:rPr>
                <w:rFonts w:cs="Calibri"/>
                <w:b/>
                <w:bCs/>
                <w:color w:val="FFFFFF"/>
                <w:szCs w:val="24"/>
                <w:vertAlign w:val="superscript"/>
                <w:lang w:eastAsia="zh-TW"/>
              </w:rPr>
              <w:t>a</w:t>
            </w:r>
          </w:p>
        </w:tc>
        <w:tc>
          <w:tcPr>
            <w:tcW w:w="1707" w:type="dxa"/>
            <w:tcBorders>
              <w:top w:val="single" w:sz="8" w:space="0" w:color="4F81BD"/>
              <w:left w:val="single" w:sz="8" w:space="0" w:color="4F81BD"/>
              <w:bottom w:val="single" w:sz="8" w:space="0" w:color="4F81BD"/>
              <w:right w:val="single" w:sz="8" w:space="0" w:color="4F81BD"/>
            </w:tcBorders>
            <w:shd w:val="clear" w:color="auto" w:fill="4F81BD"/>
            <w:noWrap/>
          </w:tcPr>
          <w:p w:rsidR="00A327E6" w:rsidRPr="00415FA2" w:rsidRDefault="00A327E6" w:rsidP="00415FA2">
            <w:pPr>
              <w:spacing w:before="0" w:after="0" w:line="320" w:lineRule="atLeast"/>
              <w:jc w:val="center"/>
              <w:rPr>
                <w:b/>
                <w:color w:val="FFFFFF"/>
                <w:szCs w:val="24"/>
                <w:lang w:eastAsia="zh-TW"/>
              </w:rPr>
            </w:pPr>
            <w:r w:rsidRPr="00415FA2">
              <w:rPr>
                <w:b/>
                <w:color w:val="FFFFFF"/>
                <w:szCs w:val="24"/>
                <w:lang w:eastAsia="zh-TW"/>
              </w:rPr>
              <w:t>Percent (%)</w:t>
            </w:r>
          </w:p>
        </w:tc>
        <w:tc>
          <w:tcPr>
            <w:tcW w:w="1886" w:type="dxa"/>
            <w:tcBorders>
              <w:top w:val="single" w:sz="8" w:space="0" w:color="4F81BD"/>
              <w:bottom w:val="single" w:sz="8" w:space="0" w:color="4F81BD"/>
            </w:tcBorders>
            <w:shd w:val="clear" w:color="auto" w:fill="4F81BD"/>
            <w:noWrap/>
          </w:tcPr>
          <w:p w:rsidR="00A327E6" w:rsidRPr="00415FA2" w:rsidRDefault="00A327E6" w:rsidP="00415FA2">
            <w:pPr>
              <w:spacing w:before="0" w:after="0" w:line="320" w:lineRule="atLeast"/>
              <w:jc w:val="center"/>
              <w:rPr>
                <w:b/>
                <w:color w:val="FFFFFF"/>
                <w:szCs w:val="24"/>
                <w:lang w:eastAsia="zh-TW"/>
              </w:rPr>
            </w:pPr>
            <w:r w:rsidRPr="00415FA2">
              <w:rPr>
                <w:b/>
                <w:color w:val="FFFFFF"/>
                <w:szCs w:val="24"/>
                <w:lang w:eastAsia="zh-TW"/>
              </w:rPr>
              <w:t>Percent (%)</w:t>
            </w:r>
          </w:p>
        </w:tc>
        <w:tc>
          <w:tcPr>
            <w:tcW w:w="1897" w:type="dxa"/>
            <w:tcBorders>
              <w:top w:val="single" w:sz="8" w:space="0" w:color="4F81BD"/>
              <w:left w:val="single" w:sz="8" w:space="0" w:color="4F81BD"/>
              <w:bottom w:val="single" w:sz="8" w:space="0" w:color="4F81BD"/>
            </w:tcBorders>
            <w:shd w:val="clear" w:color="auto" w:fill="4F81BD"/>
          </w:tcPr>
          <w:p w:rsidR="00A327E6" w:rsidRPr="00415FA2" w:rsidRDefault="00A327E6" w:rsidP="00415FA2">
            <w:pPr>
              <w:spacing w:before="0" w:after="0" w:line="320" w:lineRule="atLeast"/>
              <w:jc w:val="center"/>
              <w:rPr>
                <w:b/>
                <w:color w:val="FFFFFF"/>
                <w:szCs w:val="24"/>
                <w:lang w:eastAsia="zh-TW"/>
              </w:rPr>
            </w:pPr>
            <w:r w:rsidRPr="00415FA2">
              <w:rPr>
                <w:b/>
                <w:color w:val="FFFFFF"/>
                <w:szCs w:val="24"/>
                <w:lang w:eastAsia="zh-TW"/>
              </w:rPr>
              <w:t>Percent (%)</w:t>
            </w:r>
          </w:p>
        </w:tc>
      </w:tr>
      <w:tr w:rsidR="00A327E6" w:rsidRPr="0021796A" w:rsidTr="00415FA2">
        <w:trPr>
          <w:trHeight w:val="20"/>
        </w:trPr>
        <w:tc>
          <w:tcPr>
            <w:tcW w:w="3528" w:type="dxa"/>
            <w:noWrap/>
            <w:vAlign w:val="center"/>
          </w:tcPr>
          <w:p w:rsidR="00A327E6" w:rsidRPr="00415FA2" w:rsidRDefault="00A327E6" w:rsidP="00415FA2">
            <w:pPr>
              <w:spacing w:before="0" w:after="0" w:line="320" w:lineRule="atLeast"/>
              <w:rPr>
                <w:b/>
                <w:bCs/>
                <w:szCs w:val="24"/>
                <w:lang w:eastAsia="zh-TW"/>
              </w:rPr>
            </w:pPr>
            <w:r w:rsidRPr="00415FA2">
              <w:rPr>
                <w:b/>
                <w:bCs/>
                <w:szCs w:val="24"/>
                <w:lang w:eastAsia="zh-TW"/>
              </w:rPr>
              <w:t>Sex</w:t>
            </w:r>
          </w:p>
        </w:tc>
        <w:tc>
          <w:tcPr>
            <w:tcW w:w="1707" w:type="dxa"/>
            <w:noWrap/>
            <w:vAlign w:val="center"/>
          </w:tcPr>
          <w:p w:rsidR="00A327E6" w:rsidRPr="00415FA2" w:rsidRDefault="00A327E6" w:rsidP="00415FA2">
            <w:pPr>
              <w:spacing w:before="0" w:after="0" w:line="320" w:lineRule="atLeast"/>
              <w:jc w:val="center"/>
              <w:rPr>
                <w:szCs w:val="24"/>
                <w:lang w:eastAsia="zh-TW"/>
              </w:rPr>
            </w:pPr>
          </w:p>
        </w:tc>
        <w:tc>
          <w:tcPr>
            <w:tcW w:w="1886" w:type="dxa"/>
            <w:noWrap/>
            <w:vAlign w:val="center"/>
          </w:tcPr>
          <w:p w:rsidR="00A327E6" w:rsidRPr="00415FA2" w:rsidRDefault="00A327E6" w:rsidP="00415FA2">
            <w:pPr>
              <w:spacing w:before="0" w:after="0" w:line="320" w:lineRule="atLeast"/>
              <w:jc w:val="center"/>
              <w:rPr>
                <w:szCs w:val="24"/>
                <w:lang w:eastAsia="zh-TW"/>
              </w:rPr>
            </w:pPr>
          </w:p>
        </w:tc>
        <w:tc>
          <w:tcPr>
            <w:tcW w:w="1897" w:type="dxa"/>
            <w:vAlign w:val="center"/>
          </w:tcPr>
          <w:p w:rsidR="00A327E6" w:rsidRPr="00415FA2" w:rsidRDefault="00A327E6" w:rsidP="00415FA2">
            <w:pPr>
              <w:spacing w:before="0" w:after="0" w:line="320" w:lineRule="atLeast"/>
              <w:jc w:val="center"/>
              <w:rPr>
                <w:szCs w:val="24"/>
                <w:lang w:eastAsia="zh-TW"/>
              </w:rPr>
            </w:pPr>
          </w:p>
        </w:tc>
      </w:tr>
      <w:tr w:rsidR="00A327E6" w:rsidRPr="0021796A" w:rsidTr="00415FA2">
        <w:trPr>
          <w:trHeight w:val="20"/>
        </w:trPr>
        <w:tc>
          <w:tcPr>
            <w:tcW w:w="3528" w:type="dxa"/>
            <w:noWrap/>
            <w:vAlign w:val="center"/>
          </w:tcPr>
          <w:p w:rsidR="00A327E6" w:rsidRPr="00415FA2" w:rsidRDefault="00A327E6" w:rsidP="00D92952">
            <w:pPr>
              <w:spacing w:before="0" w:after="0" w:line="320" w:lineRule="atLeast"/>
              <w:ind w:firstLineChars="200" w:firstLine="480"/>
              <w:rPr>
                <w:b/>
                <w:bCs/>
                <w:color w:val="104E8B"/>
                <w:szCs w:val="24"/>
                <w:lang w:eastAsia="zh-TW"/>
              </w:rPr>
            </w:pPr>
            <w:r w:rsidRPr="00415FA2">
              <w:rPr>
                <w:b/>
                <w:bCs/>
                <w:szCs w:val="24"/>
                <w:lang w:eastAsia="zh-TW"/>
              </w:rPr>
              <w:t>Male</w:t>
            </w:r>
          </w:p>
        </w:tc>
        <w:tc>
          <w:tcPr>
            <w:tcW w:w="1707" w:type="dxa"/>
            <w:noWrap/>
            <w:vAlign w:val="center"/>
          </w:tcPr>
          <w:p w:rsidR="00A327E6" w:rsidRPr="00415FA2" w:rsidRDefault="00A327E6" w:rsidP="00415FA2">
            <w:pPr>
              <w:spacing w:before="0" w:after="0" w:line="320" w:lineRule="atLeast"/>
              <w:jc w:val="center"/>
              <w:rPr>
                <w:rFonts w:cs="Calibri"/>
                <w:color w:val="000000"/>
                <w:szCs w:val="24"/>
                <w:lang w:eastAsia="zh-TW"/>
              </w:rPr>
            </w:pPr>
            <w:r w:rsidRPr="00415FA2">
              <w:rPr>
                <w:rFonts w:cs="Calibri"/>
                <w:color w:val="000000"/>
                <w:szCs w:val="24"/>
                <w:lang w:eastAsia="zh-TW"/>
              </w:rPr>
              <w:t>53</w:t>
            </w:r>
          </w:p>
        </w:tc>
        <w:tc>
          <w:tcPr>
            <w:tcW w:w="1886" w:type="dxa"/>
            <w:noWrap/>
            <w:vAlign w:val="center"/>
          </w:tcPr>
          <w:p w:rsidR="00A327E6" w:rsidRPr="00415FA2" w:rsidRDefault="00A327E6" w:rsidP="00415FA2">
            <w:pPr>
              <w:spacing w:before="0" w:after="0" w:line="320" w:lineRule="atLeast"/>
              <w:jc w:val="center"/>
              <w:rPr>
                <w:rFonts w:cs="Calibri"/>
                <w:color w:val="000000"/>
                <w:szCs w:val="24"/>
                <w:lang w:eastAsia="zh-TW"/>
              </w:rPr>
            </w:pPr>
            <w:r w:rsidRPr="00415FA2">
              <w:rPr>
                <w:rFonts w:cs="Calibri"/>
                <w:color w:val="000000"/>
                <w:szCs w:val="24"/>
                <w:lang w:eastAsia="zh-TW"/>
              </w:rPr>
              <w:t>51</w:t>
            </w:r>
          </w:p>
        </w:tc>
        <w:tc>
          <w:tcPr>
            <w:tcW w:w="1897" w:type="dxa"/>
            <w:vAlign w:val="center"/>
          </w:tcPr>
          <w:p w:rsidR="00A327E6" w:rsidRPr="00415FA2" w:rsidRDefault="00A327E6" w:rsidP="00415FA2">
            <w:pPr>
              <w:spacing w:before="0" w:after="0" w:line="320" w:lineRule="atLeast"/>
              <w:jc w:val="center"/>
              <w:rPr>
                <w:rFonts w:cs="Calibri"/>
                <w:color w:val="000000"/>
                <w:szCs w:val="24"/>
                <w:lang w:eastAsia="zh-TW"/>
              </w:rPr>
            </w:pPr>
            <w:r w:rsidRPr="00415FA2">
              <w:rPr>
                <w:rFonts w:cs="Calibri"/>
                <w:color w:val="000000"/>
                <w:szCs w:val="24"/>
                <w:lang w:eastAsia="zh-TW"/>
              </w:rPr>
              <w:t>51</w:t>
            </w:r>
          </w:p>
        </w:tc>
      </w:tr>
      <w:tr w:rsidR="00A327E6" w:rsidRPr="0021796A" w:rsidTr="00415FA2">
        <w:trPr>
          <w:trHeight w:val="20"/>
        </w:trPr>
        <w:tc>
          <w:tcPr>
            <w:tcW w:w="3528" w:type="dxa"/>
            <w:tcBorders>
              <w:bottom w:val="single" w:sz="8" w:space="0" w:color="4F81BD"/>
            </w:tcBorders>
            <w:noWrap/>
            <w:vAlign w:val="center"/>
          </w:tcPr>
          <w:p w:rsidR="00A327E6" w:rsidRPr="00415FA2" w:rsidRDefault="00A327E6" w:rsidP="00D92952">
            <w:pPr>
              <w:spacing w:before="0" w:after="0" w:line="320" w:lineRule="atLeast"/>
              <w:ind w:firstLineChars="200" w:firstLine="480"/>
              <w:rPr>
                <w:b/>
                <w:bCs/>
                <w:color w:val="000000"/>
                <w:szCs w:val="24"/>
                <w:lang w:eastAsia="zh-TW"/>
              </w:rPr>
            </w:pPr>
            <w:r w:rsidRPr="00415FA2">
              <w:rPr>
                <w:b/>
                <w:bCs/>
                <w:color w:val="000000"/>
                <w:szCs w:val="24"/>
                <w:lang w:eastAsia="zh-TW"/>
              </w:rPr>
              <w:t>Female</w:t>
            </w:r>
          </w:p>
        </w:tc>
        <w:tc>
          <w:tcPr>
            <w:tcW w:w="1707" w:type="dxa"/>
            <w:tcBorders>
              <w:bottom w:val="single" w:sz="8" w:space="0" w:color="4F81BD"/>
            </w:tcBorders>
            <w:noWrap/>
            <w:vAlign w:val="center"/>
          </w:tcPr>
          <w:p w:rsidR="00A327E6" w:rsidRPr="00415FA2" w:rsidRDefault="00A327E6" w:rsidP="00415FA2">
            <w:pPr>
              <w:spacing w:before="0" w:after="0" w:line="320" w:lineRule="atLeast"/>
              <w:jc w:val="center"/>
              <w:rPr>
                <w:rFonts w:cs="Calibri"/>
                <w:color w:val="000000"/>
                <w:szCs w:val="24"/>
                <w:lang w:eastAsia="zh-TW"/>
              </w:rPr>
            </w:pPr>
            <w:r w:rsidRPr="00415FA2">
              <w:rPr>
                <w:rFonts w:cs="Calibri"/>
                <w:color w:val="000000"/>
                <w:szCs w:val="24"/>
                <w:lang w:eastAsia="zh-TW"/>
              </w:rPr>
              <w:t>47</w:t>
            </w:r>
          </w:p>
        </w:tc>
        <w:tc>
          <w:tcPr>
            <w:tcW w:w="1886" w:type="dxa"/>
            <w:tcBorders>
              <w:bottom w:val="single" w:sz="8" w:space="0" w:color="4F81BD"/>
            </w:tcBorders>
            <w:noWrap/>
            <w:vAlign w:val="center"/>
          </w:tcPr>
          <w:p w:rsidR="00A327E6" w:rsidRPr="00415FA2" w:rsidRDefault="00A327E6" w:rsidP="00415FA2">
            <w:pPr>
              <w:spacing w:before="0" w:after="0" w:line="320" w:lineRule="atLeast"/>
              <w:jc w:val="center"/>
              <w:rPr>
                <w:rFonts w:cs="Calibri"/>
                <w:color w:val="000000"/>
                <w:szCs w:val="24"/>
                <w:lang w:eastAsia="zh-TW"/>
              </w:rPr>
            </w:pPr>
            <w:r w:rsidRPr="00415FA2">
              <w:rPr>
                <w:rFonts w:cs="Calibri"/>
                <w:color w:val="000000"/>
                <w:szCs w:val="24"/>
                <w:lang w:eastAsia="zh-TW"/>
              </w:rPr>
              <w:t>49</w:t>
            </w:r>
          </w:p>
        </w:tc>
        <w:tc>
          <w:tcPr>
            <w:tcW w:w="1897" w:type="dxa"/>
            <w:tcBorders>
              <w:bottom w:val="single" w:sz="8" w:space="0" w:color="4F81BD"/>
            </w:tcBorders>
            <w:vAlign w:val="center"/>
          </w:tcPr>
          <w:p w:rsidR="00A327E6" w:rsidRPr="00415FA2" w:rsidRDefault="00A327E6" w:rsidP="00415FA2">
            <w:pPr>
              <w:spacing w:before="0" w:after="0" w:line="320" w:lineRule="atLeast"/>
              <w:jc w:val="center"/>
              <w:rPr>
                <w:rFonts w:cs="Calibri"/>
                <w:color w:val="000000"/>
                <w:szCs w:val="24"/>
                <w:lang w:eastAsia="zh-TW"/>
              </w:rPr>
            </w:pPr>
            <w:r w:rsidRPr="00415FA2">
              <w:rPr>
                <w:rFonts w:cs="Calibri"/>
                <w:color w:val="000000"/>
                <w:szCs w:val="24"/>
                <w:lang w:eastAsia="zh-TW"/>
              </w:rPr>
              <w:t>49</w:t>
            </w:r>
          </w:p>
        </w:tc>
      </w:tr>
      <w:tr w:rsidR="00A327E6" w:rsidRPr="0021796A" w:rsidTr="00415FA2">
        <w:trPr>
          <w:trHeight w:val="20"/>
        </w:trPr>
        <w:tc>
          <w:tcPr>
            <w:tcW w:w="3528" w:type="dxa"/>
            <w:tcBorders>
              <w:top w:val="single" w:sz="8" w:space="0" w:color="4F81BD"/>
              <w:bottom w:val="nil"/>
            </w:tcBorders>
            <w:noWrap/>
            <w:vAlign w:val="center"/>
          </w:tcPr>
          <w:p w:rsidR="00A327E6" w:rsidRPr="00415FA2" w:rsidRDefault="00A327E6" w:rsidP="00415FA2">
            <w:pPr>
              <w:spacing w:before="0" w:after="0" w:line="320" w:lineRule="atLeast"/>
              <w:rPr>
                <w:b/>
                <w:bCs/>
                <w:szCs w:val="24"/>
                <w:lang w:eastAsia="zh-TW"/>
              </w:rPr>
            </w:pPr>
            <w:r w:rsidRPr="00415FA2">
              <w:rPr>
                <w:b/>
                <w:bCs/>
                <w:szCs w:val="24"/>
                <w:lang w:eastAsia="zh-TW"/>
              </w:rPr>
              <w:t>Age</w:t>
            </w:r>
          </w:p>
        </w:tc>
        <w:tc>
          <w:tcPr>
            <w:tcW w:w="1707" w:type="dxa"/>
            <w:tcBorders>
              <w:top w:val="single" w:sz="8" w:space="0" w:color="4F81BD"/>
              <w:bottom w:val="nil"/>
            </w:tcBorders>
            <w:noWrap/>
            <w:vAlign w:val="center"/>
          </w:tcPr>
          <w:p w:rsidR="00A327E6" w:rsidRPr="00415FA2" w:rsidRDefault="00A327E6" w:rsidP="00415FA2">
            <w:pPr>
              <w:spacing w:before="0" w:after="0" w:line="320" w:lineRule="atLeast"/>
              <w:jc w:val="center"/>
              <w:rPr>
                <w:szCs w:val="24"/>
                <w:lang w:eastAsia="zh-TW"/>
              </w:rPr>
            </w:pPr>
          </w:p>
        </w:tc>
        <w:tc>
          <w:tcPr>
            <w:tcW w:w="1886" w:type="dxa"/>
            <w:tcBorders>
              <w:top w:val="single" w:sz="8" w:space="0" w:color="4F81BD"/>
              <w:bottom w:val="nil"/>
            </w:tcBorders>
            <w:noWrap/>
            <w:vAlign w:val="center"/>
          </w:tcPr>
          <w:p w:rsidR="00A327E6" w:rsidRPr="00415FA2" w:rsidRDefault="00A327E6" w:rsidP="00415FA2">
            <w:pPr>
              <w:spacing w:before="0" w:after="0" w:line="320" w:lineRule="atLeast"/>
              <w:jc w:val="center"/>
              <w:rPr>
                <w:szCs w:val="24"/>
                <w:lang w:eastAsia="zh-TW"/>
              </w:rPr>
            </w:pPr>
          </w:p>
        </w:tc>
        <w:tc>
          <w:tcPr>
            <w:tcW w:w="1897" w:type="dxa"/>
            <w:tcBorders>
              <w:top w:val="single" w:sz="8" w:space="0" w:color="4F81BD"/>
              <w:bottom w:val="nil"/>
            </w:tcBorders>
            <w:vAlign w:val="center"/>
          </w:tcPr>
          <w:p w:rsidR="00A327E6" w:rsidRPr="00415FA2" w:rsidRDefault="00A327E6" w:rsidP="00415FA2">
            <w:pPr>
              <w:spacing w:before="0" w:after="0" w:line="320" w:lineRule="atLeast"/>
              <w:jc w:val="center"/>
              <w:rPr>
                <w:szCs w:val="24"/>
                <w:lang w:eastAsia="zh-TW"/>
              </w:rPr>
            </w:pPr>
          </w:p>
        </w:tc>
      </w:tr>
      <w:tr w:rsidR="00A327E6" w:rsidRPr="0021796A" w:rsidTr="00415FA2">
        <w:trPr>
          <w:trHeight w:val="20"/>
        </w:trPr>
        <w:tc>
          <w:tcPr>
            <w:tcW w:w="3528" w:type="dxa"/>
            <w:tcBorders>
              <w:top w:val="nil"/>
            </w:tcBorders>
            <w:noWrap/>
            <w:vAlign w:val="center"/>
          </w:tcPr>
          <w:p w:rsidR="00A327E6" w:rsidRPr="00415FA2" w:rsidRDefault="00A327E6" w:rsidP="00D92952">
            <w:pPr>
              <w:spacing w:before="0" w:after="0" w:line="320" w:lineRule="atLeast"/>
              <w:ind w:firstLineChars="200" w:firstLine="480"/>
              <w:rPr>
                <w:b/>
                <w:bCs/>
                <w:color w:val="104E8B"/>
                <w:szCs w:val="24"/>
                <w:lang w:eastAsia="zh-TW"/>
              </w:rPr>
            </w:pPr>
            <w:r w:rsidRPr="00415FA2">
              <w:rPr>
                <w:b/>
                <w:bCs/>
                <w:szCs w:val="24"/>
                <w:lang w:eastAsia="zh-TW"/>
              </w:rPr>
              <w:t>3-11</w:t>
            </w:r>
          </w:p>
        </w:tc>
        <w:tc>
          <w:tcPr>
            <w:tcW w:w="1707" w:type="dxa"/>
            <w:tcBorders>
              <w:top w:val="nil"/>
            </w:tcBorders>
            <w:noWrap/>
            <w:vAlign w:val="center"/>
          </w:tcPr>
          <w:p w:rsidR="00A327E6" w:rsidRPr="00415FA2" w:rsidRDefault="00A327E6" w:rsidP="00415FA2">
            <w:pPr>
              <w:spacing w:before="0" w:after="0" w:line="320" w:lineRule="atLeast"/>
              <w:jc w:val="center"/>
              <w:rPr>
                <w:rFonts w:cs="Calibri"/>
                <w:color w:val="000000"/>
                <w:szCs w:val="24"/>
                <w:lang w:eastAsia="zh-TW"/>
              </w:rPr>
            </w:pPr>
            <w:r w:rsidRPr="00415FA2">
              <w:rPr>
                <w:rFonts w:cs="Calibri"/>
                <w:color w:val="000000"/>
                <w:szCs w:val="24"/>
                <w:lang w:eastAsia="zh-TW"/>
              </w:rPr>
              <w:t>56</w:t>
            </w:r>
          </w:p>
        </w:tc>
        <w:tc>
          <w:tcPr>
            <w:tcW w:w="1886" w:type="dxa"/>
            <w:tcBorders>
              <w:top w:val="nil"/>
            </w:tcBorders>
            <w:noWrap/>
            <w:vAlign w:val="center"/>
          </w:tcPr>
          <w:p w:rsidR="00A327E6" w:rsidRPr="00415FA2" w:rsidRDefault="00A327E6" w:rsidP="00415FA2">
            <w:pPr>
              <w:spacing w:before="0" w:after="0" w:line="320" w:lineRule="atLeast"/>
              <w:jc w:val="center"/>
              <w:rPr>
                <w:rFonts w:cs="Calibri"/>
                <w:color w:val="000000"/>
                <w:szCs w:val="24"/>
                <w:lang w:eastAsia="zh-TW"/>
              </w:rPr>
            </w:pPr>
            <w:r w:rsidRPr="00415FA2">
              <w:rPr>
                <w:rFonts w:cs="Calibri"/>
                <w:color w:val="000000"/>
                <w:szCs w:val="24"/>
                <w:lang w:eastAsia="zh-TW"/>
              </w:rPr>
              <w:t>61</w:t>
            </w:r>
          </w:p>
        </w:tc>
        <w:tc>
          <w:tcPr>
            <w:tcW w:w="1897" w:type="dxa"/>
            <w:tcBorders>
              <w:top w:val="nil"/>
            </w:tcBorders>
            <w:vAlign w:val="center"/>
          </w:tcPr>
          <w:p w:rsidR="00A327E6" w:rsidRPr="00415FA2" w:rsidRDefault="00A327E6" w:rsidP="00415FA2">
            <w:pPr>
              <w:spacing w:before="0" w:after="0" w:line="320" w:lineRule="atLeast"/>
              <w:jc w:val="center"/>
              <w:rPr>
                <w:rFonts w:cs="Calibri"/>
                <w:color w:val="000000"/>
                <w:szCs w:val="24"/>
                <w:lang w:eastAsia="zh-TW"/>
              </w:rPr>
            </w:pPr>
            <w:r w:rsidRPr="00415FA2">
              <w:rPr>
                <w:rFonts w:cs="Calibri"/>
                <w:color w:val="000000"/>
                <w:szCs w:val="24"/>
                <w:lang w:eastAsia="zh-TW"/>
              </w:rPr>
              <w:t>58</w:t>
            </w:r>
          </w:p>
        </w:tc>
      </w:tr>
      <w:tr w:rsidR="00A327E6" w:rsidRPr="0021796A" w:rsidTr="00415FA2">
        <w:trPr>
          <w:trHeight w:val="20"/>
        </w:trPr>
        <w:tc>
          <w:tcPr>
            <w:tcW w:w="3528" w:type="dxa"/>
            <w:tcBorders>
              <w:bottom w:val="single" w:sz="8" w:space="0" w:color="4F81BD"/>
            </w:tcBorders>
            <w:noWrap/>
            <w:vAlign w:val="center"/>
          </w:tcPr>
          <w:p w:rsidR="00A327E6" w:rsidRPr="00415FA2" w:rsidRDefault="00A327E6" w:rsidP="00D92952">
            <w:pPr>
              <w:spacing w:before="0" w:after="0" w:line="320" w:lineRule="atLeast"/>
              <w:ind w:firstLineChars="200" w:firstLine="480"/>
              <w:rPr>
                <w:b/>
                <w:bCs/>
                <w:color w:val="000000"/>
                <w:szCs w:val="24"/>
                <w:lang w:eastAsia="zh-TW"/>
              </w:rPr>
            </w:pPr>
            <w:r w:rsidRPr="00415FA2">
              <w:rPr>
                <w:b/>
                <w:bCs/>
                <w:color w:val="000000"/>
                <w:szCs w:val="24"/>
                <w:lang w:eastAsia="zh-TW"/>
              </w:rPr>
              <w:t>12-17</w:t>
            </w:r>
          </w:p>
        </w:tc>
        <w:tc>
          <w:tcPr>
            <w:tcW w:w="1707" w:type="dxa"/>
            <w:tcBorders>
              <w:bottom w:val="single" w:sz="8" w:space="0" w:color="4F81BD"/>
            </w:tcBorders>
            <w:noWrap/>
            <w:vAlign w:val="center"/>
          </w:tcPr>
          <w:p w:rsidR="00A327E6" w:rsidRPr="00415FA2" w:rsidRDefault="00A327E6" w:rsidP="00415FA2">
            <w:pPr>
              <w:spacing w:before="0" w:after="0" w:line="320" w:lineRule="atLeast"/>
              <w:jc w:val="center"/>
              <w:rPr>
                <w:rFonts w:cs="Calibri"/>
                <w:color w:val="000000"/>
                <w:szCs w:val="24"/>
                <w:lang w:eastAsia="zh-TW"/>
              </w:rPr>
            </w:pPr>
            <w:r w:rsidRPr="00415FA2">
              <w:rPr>
                <w:rFonts w:cs="Calibri"/>
                <w:color w:val="000000"/>
                <w:szCs w:val="24"/>
                <w:lang w:eastAsia="zh-TW"/>
              </w:rPr>
              <w:t>44</w:t>
            </w:r>
          </w:p>
        </w:tc>
        <w:tc>
          <w:tcPr>
            <w:tcW w:w="1886" w:type="dxa"/>
            <w:tcBorders>
              <w:bottom w:val="single" w:sz="8" w:space="0" w:color="4F81BD"/>
            </w:tcBorders>
            <w:noWrap/>
            <w:vAlign w:val="center"/>
          </w:tcPr>
          <w:p w:rsidR="00A327E6" w:rsidRPr="00415FA2" w:rsidRDefault="00A327E6" w:rsidP="00415FA2">
            <w:pPr>
              <w:spacing w:before="0" w:after="0" w:line="320" w:lineRule="atLeast"/>
              <w:jc w:val="center"/>
              <w:rPr>
                <w:rFonts w:cs="Calibri"/>
                <w:color w:val="000000"/>
                <w:szCs w:val="24"/>
                <w:lang w:eastAsia="zh-TW"/>
              </w:rPr>
            </w:pPr>
            <w:r w:rsidRPr="00415FA2">
              <w:rPr>
                <w:rFonts w:cs="Calibri"/>
                <w:color w:val="000000"/>
                <w:szCs w:val="24"/>
                <w:lang w:eastAsia="zh-TW"/>
              </w:rPr>
              <w:t>39</w:t>
            </w:r>
          </w:p>
        </w:tc>
        <w:tc>
          <w:tcPr>
            <w:tcW w:w="1897" w:type="dxa"/>
            <w:tcBorders>
              <w:bottom w:val="single" w:sz="8" w:space="0" w:color="4F81BD"/>
            </w:tcBorders>
            <w:vAlign w:val="center"/>
          </w:tcPr>
          <w:p w:rsidR="00A327E6" w:rsidRPr="00415FA2" w:rsidRDefault="00A327E6" w:rsidP="00415FA2">
            <w:pPr>
              <w:spacing w:before="0" w:after="0" w:line="320" w:lineRule="atLeast"/>
              <w:jc w:val="center"/>
              <w:rPr>
                <w:rFonts w:cs="Calibri"/>
                <w:color w:val="000000"/>
                <w:szCs w:val="24"/>
                <w:lang w:eastAsia="zh-TW"/>
              </w:rPr>
            </w:pPr>
            <w:r w:rsidRPr="00415FA2">
              <w:rPr>
                <w:rFonts w:cs="Calibri"/>
                <w:color w:val="000000"/>
                <w:szCs w:val="24"/>
                <w:lang w:eastAsia="zh-TW"/>
              </w:rPr>
              <w:t>42</w:t>
            </w:r>
          </w:p>
        </w:tc>
      </w:tr>
      <w:tr w:rsidR="00A327E6" w:rsidRPr="0021796A" w:rsidTr="00415FA2">
        <w:trPr>
          <w:trHeight w:val="20"/>
        </w:trPr>
        <w:tc>
          <w:tcPr>
            <w:tcW w:w="3528" w:type="dxa"/>
            <w:tcBorders>
              <w:top w:val="single" w:sz="8" w:space="0" w:color="4F81BD"/>
              <w:bottom w:val="nil"/>
            </w:tcBorders>
            <w:noWrap/>
            <w:vAlign w:val="center"/>
          </w:tcPr>
          <w:p w:rsidR="00A327E6" w:rsidRPr="00415FA2" w:rsidRDefault="00A327E6" w:rsidP="00415FA2">
            <w:pPr>
              <w:spacing w:before="0" w:after="0" w:line="320" w:lineRule="atLeast"/>
              <w:rPr>
                <w:b/>
                <w:bCs/>
                <w:szCs w:val="24"/>
                <w:lang w:eastAsia="zh-TW"/>
              </w:rPr>
            </w:pPr>
            <w:r w:rsidRPr="00415FA2">
              <w:rPr>
                <w:b/>
                <w:bCs/>
                <w:szCs w:val="24"/>
                <w:lang w:eastAsia="zh-TW"/>
              </w:rPr>
              <w:t>Poverty Index Ratio</w:t>
            </w:r>
          </w:p>
        </w:tc>
        <w:tc>
          <w:tcPr>
            <w:tcW w:w="1707" w:type="dxa"/>
            <w:tcBorders>
              <w:top w:val="single" w:sz="8" w:space="0" w:color="4F81BD"/>
              <w:bottom w:val="nil"/>
            </w:tcBorders>
            <w:noWrap/>
            <w:vAlign w:val="center"/>
          </w:tcPr>
          <w:p w:rsidR="00A327E6" w:rsidRPr="00415FA2" w:rsidRDefault="00A327E6" w:rsidP="00415FA2">
            <w:pPr>
              <w:spacing w:before="0" w:after="0" w:line="320" w:lineRule="atLeast"/>
              <w:jc w:val="center"/>
              <w:rPr>
                <w:szCs w:val="24"/>
                <w:lang w:eastAsia="zh-TW"/>
              </w:rPr>
            </w:pPr>
          </w:p>
        </w:tc>
        <w:tc>
          <w:tcPr>
            <w:tcW w:w="1886" w:type="dxa"/>
            <w:tcBorders>
              <w:top w:val="single" w:sz="8" w:space="0" w:color="4F81BD"/>
              <w:bottom w:val="nil"/>
            </w:tcBorders>
            <w:noWrap/>
            <w:vAlign w:val="center"/>
          </w:tcPr>
          <w:p w:rsidR="00A327E6" w:rsidRPr="00415FA2" w:rsidRDefault="00A327E6" w:rsidP="00415FA2">
            <w:pPr>
              <w:spacing w:before="0" w:after="0" w:line="320" w:lineRule="atLeast"/>
              <w:jc w:val="center"/>
              <w:rPr>
                <w:szCs w:val="24"/>
                <w:lang w:eastAsia="zh-TW"/>
              </w:rPr>
            </w:pPr>
          </w:p>
        </w:tc>
        <w:tc>
          <w:tcPr>
            <w:tcW w:w="1897" w:type="dxa"/>
            <w:tcBorders>
              <w:top w:val="single" w:sz="8" w:space="0" w:color="4F81BD"/>
              <w:bottom w:val="nil"/>
            </w:tcBorders>
            <w:vAlign w:val="center"/>
          </w:tcPr>
          <w:p w:rsidR="00A327E6" w:rsidRPr="00415FA2" w:rsidRDefault="00A327E6" w:rsidP="00415FA2">
            <w:pPr>
              <w:spacing w:before="0" w:after="0" w:line="320" w:lineRule="atLeast"/>
              <w:jc w:val="center"/>
              <w:rPr>
                <w:szCs w:val="24"/>
                <w:lang w:eastAsia="zh-TW"/>
              </w:rPr>
            </w:pPr>
          </w:p>
        </w:tc>
      </w:tr>
      <w:tr w:rsidR="00A327E6" w:rsidRPr="0021796A" w:rsidTr="00415FA2">
        <w:trPr>
          <w:trHeight w:val="20"/>
        </w:trPr>
        <w:tc>
          <w:tcPr>
            <w:tcW w:w="3528" w:type="dxa"/>
            <w:tcBorders>
              <w:top w:val="nil"/>
            </w:tcBorders>
            <w:noWrap/>
            <w:vAlign w:val="center"/>
          </w:tcPr>
          <w:p w:rsidR="00A327E6" w:rsidRPr="00415FA2" w:rsidRDefault="00A327E6" w:rsidP="00D92952">
            <w:pPr>
              <w:spacing w:before="0" w:after="0" w:line="320" w:lineRule="atLeast"/>
              <w:ind w:firstLineChars="200" w:firstLine="480"/>
              <w:rPr>
                <w:b/>
                <w:bCs/>
                <w:color w:val="104E8B"/>
                <w:szCs w:val="24"/>
                <w:lang w:eastAsia="zh-TW"/>
              </w:rPr>
            </w:pPr>
            <w:r w:rsidRPr="00415FA2">
              <w:rPr>
                <w:b/>
                <w:bCs/>
                <w:szCs w:val="24"/>
                <w:lang w:eastAsia="zh-TW"/>
              </w:rPr>
              <w:t>&lt; 1</w:t>
            </w:r>
          </w:p>
        </w:tc>
        <w:tc>
          <w:tcPr>
            <w:tcW w:w="1707" w:type="dxa"/>
            <w:tcBorders>
              <w:top w:val="nil"/>
            </w:tcBorders>
            <w:noWrap/>
            <w:vAlign w:val="center"/>
          </w:tcPr>
          <w:p w:rsidR="00A327E6" w:rsidRPr="00415FA2" w:rsidRDefault="00A327E6" w:rsidP="00415FA2">
            <w:pPr>
              <w:spacing w:before="0" w:after="0" w:line="320" w:lineRule="atLeast"/>
              <w:jc w:val="center"/>
              <w:rPr>
                <w:rFonts w:cs="Calibri"/>
                <w:color w:val="000000"/>
                <w:szCs w:val="24"/>
                <w:lang w:eastAsia="zh-TW"/>
              </w:rPr>
            </w:pPr>
            <w:r w:rsidRPr="00415FA2">
              <w:rPr>
                <w:rFonts w:cs="Calibri"/>
                <w:color w:val="000000"/>
                <w:szCs w:val="24"/>
                <w:lang w:eastAsia="zh-TW"/>
              </w:rPr>
              <w:t>23</w:t>
            </w:r>
          </w:p>
        </w:tc>
        <w:tc>
          <w:tcPr>
            <w:tcW w:w="1886" w:type="dxa"/>
            <w:tcBorders>
              <w:top w:val="nil"/>
            </w:tcBorders>
            <w:noWrap/>
            <w:vAlign w:val="center"/>
          </w:tcPr>
          <w:p w:rsidR="00A327E6" w:rsidRPr="00415FA2" w:rsidRDefault="00A327E6" w:rsidP="00415FA2">
            <w:pPr>
              <w:spacing w:before="0" w:after="0" w:line="320" w:lineRule="atLeast"/>
              <w:jc w:val="center"/>
              <w:rPr>
                <w:rFonts w:cs="Calibri"/>
                <w:color w:val="000000"/>
                <w:szCs w:val="24"/>
                <w:lang w:eastAsia="zh-TW"/>
              </w:rPr>
            </w:pPr>
            <w:r w:rsidRPr="00415FA2">
              <w:rPr>
                <w:rFonts w:cs="Calibri"/>
                <w:color w:val="000000"/>
                <w:szCs w:val="24"/>
                <w:lang w:eastAsia="zh-TW"/>
              </w:rPr>
              <w:t>24</w:t>
            </w:r>
          </w:p>
        </w:tc>
        <w:tc>
          <w:tcPr>
            <w:tcW w:w="1897" w:type="dxa"/>
            <w:tcBorders>
              <w:top w:val="nil"/>
            </w:tcBorders>
            <w:vAlign w:val="center"/>
          </w:tcPr>
          <w:p w:rsidR="00A327E6" w:rsidRPr="00415FA2" w:rsidRDefault="00A327E6" w:rsidP="00415FA2">
            <w:pPr>
              <w:spacing w:before="0" w:after="0" w:line="320" w:lineRule="atLeast"/>
              <w:jc w:val="center"/>
              <w:rPr>
                <w:rFonts w:cs="Calibri"/>
                <w:color w:val="000000"/>
                <w:szCs w:val="24"/>
                <w:lang w:eastAsia="zh-TW"/>
              </w:rPr>
            </w:pPr>
            <w:r w:rsidRPr="00415FA2">
              <w:rPr>
                <w:rFonts w:cs="Calibri"/>
                <w:color w:val="000000"/>
                <w:szCs w:val="24"/>
                <w:lang w:eastAsia="zh-TW"/>
              </w:rPr>
              <w:t>14</w:t>
            </w:r>
          </w:p>
        </w:tc>
      </w:tr>
      <w:tr w:rsidR="00A327E6" w:rsidRPr="0021796A" w:rsidTr="00415FA2">
        <w:trPr>
          <w:trHeight w:val="20"/>
        </w:trPr>
        <w:tc>
          <w:tcPr>
            <w:tcW w:w="3528" w:type="dxa"/>
            <w:noWrap/>
            <w:vAlign w:val="center"/>
          </w:tcPr>
          <w:p w:rsidR="00A327E6" w:rsidRPr="00415FA2" w:rsidRDefault="00A327E6" w:rsidP="00D92952">
            <w:pPr>
              <w:spacing w:before="0" w:after="0" w:line="320" w:lineRule="atLeast"/>
              <w:ind w:firstLineChars="200" w:firstLine="480"/>
              <w:rPr>
                <w:b/>
                <w:bCs/>
                <w:color w:val="000000"/>
                <w:szCs w:val="24"/>
                <w:lang w:eastAsia="zh-TW"/>
              </w:rPr>
            </w:pPr>
            <w:r w:rsidRPr="00415FA2">
              <w:rPr>
                <w:b/>
                <w:bCs/>
                <w:color w:val="000000"/>
                <w:szCs w:val="24"/>
                <w:lang w:eastAsia="zh-TW"/>
              </w:rPr>
              <w:t>1-1.99</w:t>
            </w:r>
          </w:p>
        </w:tc>
        <w:tc>
          <w:tcPr>
            <w:tcW w:w="1707" w:type="dxa"/>
            <w:noWrap/>
            <w:vAlign w:val="center"/>
          </w:tcPr>
          <w:p w:rsidR="00A327E6" w:rsidRPr="00415FA2" w:rsidRDefault="00A327E6" w:rsidP="00415FA2">
            <w:pPr>
              <w:spacing w:before="0" w:after="0" w:line="320" w:lineRule="atLeast"/>
              <w:jc w:val="center"/>
              <w:rPr>
                <w:rFonts w:cs="Calibri"/>
                <w:color w:val="000000"/>
                <w:szCs w:val="24"/>
                <w:lang w:eastAsia="zh-TW"/>
              </w:rPr>
            </w:pPr>
            <w:r w:rsidRPr="00415FA2">
              <w:rPr>
                <w:rFonts w:cs="Calibri"/>
                <w:color w:val="000000"/>
                <w:szCs w:val="24"/>
                <w:lang w:eastAsia="zh-TW"/>
              </w:rPr>
              <w:t>25</w:t>
            </w:r>
          </w:p>
        </w:tc>
        <w:tc>
          <w:tcPr>
            <w:tcW w:w="1886" w:type="dxa"/>
            <w:noWrap/>
            <w:vAlign w:val="center"/>
          </w:tcPr>
          <w:p w:rsidR="00A327E6" w:rsidRPr="00415FA2" w:rsidRDefault="00A327E6" w:rsidP="00415FA2">
            <w:pPr>
              <w:spacing w:before="0" w:after="0" w:line="320" w:lineRule="atLeast"/>
              <w:jc w:val="center"/>
              <w:rPr>
                <w:rFonts w:cs="Calibri"/>
                <w:color w:val="000000"/>
                <w:szCs w:val="24"/>
                <w:lang w:eastAsia="zh-TW"/>
              </w:rPr>
            </w:pPr>
            <w:r w:rsidRPr="00415FA2">
              <w:rPr>
                <w:rFonts w:cs="Calibri"/>
                <w:color w:val="000000"/>
                <w:szCs w:val="24"/>
                <w:lang w:eastAsia="zh-TW"/>
              </w:rPr>
              <w:t>25</w:t>
            </w:r>
          </w:p>
        </w:tc>
        <w:tc>
          <w:tcPr>
            <w:tcW w:w="1897" w:type="dxa"/>
            <w:vAlign w:val="center"/>
          </w:tcPr>
          <w:p w:rsidR="00A327E6" w:rsidRPr="00415FA2" w:rsidRDefault="00A327E6" w:rsidP="00415FA2">
            <w:pPr>
              <w:spacing w:before="0" w:after="0" w:line="320" w:lineRule="atLeast"/>
              <w:jc w:val="center"/>
              <w:rPr>
                <w:rFonts w:cs="Calibri"/>
                <w:color w:val="000000"/>
                <w:szCs w:val="24"/>
                <w:lang w:eastAsia="zh-TW"/>
              </w:rPr>
            </w:pPr>
            <w:r w:rsidRPr="00415FA2">
              <w:rPr>
                <w:rFonts w:cs="Calibri"/>
                <w:color w:val="000000"/>
                <w:szCs w:val="24"/>
                <w:lang w:eastAsia="zh-TW"/>
              </w:rPr>
              <w:t>15</w:t>
            </w:r>
          </w:p>
        </w:tc>
      </w:tr>
      <w:tr w:rsidR="00A327E6" w:rsidRPr="0021796A" w:rsidTr="00415FA2">
        <w:trPr>
          <w:trHeight w:val="20"/>
        </w:trPr>
        <w:tc>
          <w:tcPr>
            <w:tcW w:w="3528" w:type="dxa"/>
            <w:noWrap/>
            <w:vAlign w:val="center"/>
          </w:tcPr>
          <w:p w:rsidR="00A327E6" w:rsidRPr="00415FA2" w:rsidRDefault="00A327E6" w:rsidP="00D92952">
            <w:pPr>
              <w:spacing w:before="0" w:after="0" w:line="320" w:lineRule="atLeast"/>
              <w:ind w:firstLineChars="200" w:firstLine="480"/>
              <w:rPr>
                <w:b/>
                <w:bCs/>
                <w:color w:val="104E8B"/>
                <w:szCs w:val="24"/>
                <w:lang w:eastAsia="zh-TW"/>
              </w:rPr>
            </w:pPr>
            <w:r w:rsidRPr="00415FA2">
              <w:rPr>
                <w:b/>
                <w:bCs/>
                <w:szCs w:val="24"/>
                <w:lang w:eastAsia="zh-TW"/>
              </w:rPr>
              <w:t>2-3.5</w:t>
            </w:r>
          </w:p>
        </w:tc>
        <w:tc>
          <w:tcPr>
            <w:tcW w:w="1707" w:type="dxa"/>
            <w:noWrap/>
            <w:vAlign w:val="center"/>
          </w:tcPr>
          <w:p w:rsidR="00A327E6" w:rsidRPr="00415FA2" w:rsidRDefault="00A327E6" w:rsidP="00415FA2">
            <w:pPr>
              <w:spacing w:before="0" w:after="0" w:line="320" w:lineRule="atLeast"/>
              <w:jc w:val="center"/>
              <w:rPr>
                <w:rFonts w:cs="Calibri"/>
                <w:color w:val="000000"/>
                <w:szCs w:val="24"/>
                <w:lang w:eastAsia="zh-TW"/>
              </w:rPr>
            </w:pPr>
            <w:r w:rsidRPr="00415FA2">
              <w:rPr>
                <w:rFonts w:cs="Calibri"/>
                <w:color w:val="000000"/>
                <w:szCs w:val="24"/>
                <w:lang w:eastAsia="zh-TW"/>
              </w:rPr>
              <w:t>21</w:t>
            </w:r>
          </w:p>
        </w:tc>
        <w:tc>
          <w:tcPr>
            <w:tcW w:w="1886" w:type="dxa"/>
            <w:noWrap/>
            <w:vAlign w:val="center"/>
          </w:tcPr>
          <w:p w:rsidR="00A327E6" w:rsidRPr="00415FA2" w:rsidRDefault="00A327E6" w:rsidP="00415FA2">
            <w:pPr>
              <w:spacing w:before="0" w:after="0" w:line="320" w:lineRule="atLeast"/>
              <w:jc w:val="center"/>
              <w:rPr>
                <w:rFonts w:cs="Calibri"/>
                <w:color w:val="000000"/>
                <w:szCs w:val="24"/>
                <w:lang w:eastAsia="zh-TW"/>
              </w:rPr>
            </w:pPr>
            <w:r w:rsidRPr="00415FA2">
              <w:rPr>
                <w:rFonts w:cs="Calibri"/>
                <w:color w:val="000000"/>
                <w:szCs w:val="24"/>
                <w:lang w:eastAsia="zh-TW"/>
              </w:rPr>
              <w:t>18</w:t>
            </w:r>
          </w:p>
        </w:tc>
        <w:tc>
          <w:tcPr>
            <w:tcW w:w="1897" w:type="dxa"/>
            <w:vAlign w:val="center"/>
          </w:tcPr>
          <w:p w:rsidR="00A327E6" w:rsidRPr="00415FA2" w:rsidRDefault="00A327E6" w:rsidP="00415FA2">
            <w:pPr>
              <w:spacing w:before="0" w:after="0" w:line="320" w:lineRule="atLeast"/>
              <w:jc w:val="center"/>
              <w:rPr>
                <w:rFonts w:cs="Calibri"/>
                <w:color w:val="000000"/>
                <w:szCs w:val="24"/>
                <w:lang w:eastAsia="zh-TW"/>
              </w:rPr>
            </w:pPr>
            <w:r w:rsidRPr="00415FA2">
              <w:rPr>
                <w:rFonts w:cs="Calibri"/>
                <w:color w:val="000000"/>
                <w:szCs w:val="24"/>
                <w:lang w:eastAsia="zh-TW"/>
              </w:rPr>
              <w:t>n/a</w:t>
            </w:r>
          </w:p>
        </w:tc>
      </w:tr>
      <w:tr w:rsidR="00A327E6" w:rsidRPr="0021796A" w:rsidTr="00415FA2">
        <w:trPr>
          <w:trHeight w:val="20"/>
        </w:trPr>
        <w:tc>
          <w:tcPr>
            <w:tcW w:w="3528" w:type="dxa"/>
            <w:noWrap/>
            <w:vAlign w:val="center"/>
          </w:tcPr>
          <w:p w:rsidR="00A327E6" w:rsidRPr="00415FA2" w:rsidRDefault="00A327E6" w:rsidP="00D92952">
            <w:pPr>
              <w:spacing w:before="0" w:after="0" w:line="320" w:lineRule="atLeast"/>
              <w:ind w:firstLineChars="200" w:firstLine="480"/>
              <w:rPr>
                <w:b/>
                <w:bCs/>
                <w:color w:val="104E8B"/>
                <w:szCs w:val="24"/>
                <w:lang w:eastAsia="zh-TW"/>
              </w:rPr>
            </w:pPr>
            <w:r w:rsidRPr="00415FA2">
              <w:rPr>
                <w:b/>
                <w:bCs/>
                <w:szCs w:val="24"/>
                <w:lang w:eastAsia="zh-TW"/>
              </w:rPr>
              <w:t>3.5+</w:t>
            </w:r>
          </w:p>
        </w:tc>
        <w:tc>
          <w:tcPr>
            <w:tcW w:w="1707" w:type="dxa"/>
            <w:noWrap/>
            <w:vAlign w:val="center"/>
          </w:tcPr>
          <w:p w:rsidR="00A327E6" w:rsidRPr="00415FA2" w:rsidRDefault="00A327E6" w:rsidP="00415FA2">
            <w:pPr>
              <w:spacing w:before="0" w:after="0" w:line="320" w:lineRule="atLeast"/>
              <w:jc w:val="center"/>
              <w:rPr>
                <w:rFonts w:cs="Calibri"/>
                <w:color w:val="000000"/>
                <w:szCs w:val="24"/>
                <w:lang w:eastAsia="zh-TW"/>
              </w:rPr>
            </w:pPr>
            <w:r w:rsidRPr="00415FA2">
              <w:rPr>
                <w:rFonts w:cs="Calibri"/>
                <w:color w:val="000000"/>
                <w:szCs w:val="24"/>
                <w:lang w:eastAsia="zh-TW"/>
              </w:rPr>
              <w:t>31</w:t>
            </w:r>
          </w:p>
        </w:tc>
        <w:tc>
          <w:tcPr>
            <w:tcW w:w="1886" w:type="dxa"/>
            <w:noWrap/>
            <w:vAlign w:val="center"/>
          </w:tcPr>
          <w:p w:rsidR="00A327E6" w:rsidRPr="00415FA2" w:rsidRDefault="00A327E6" w:rsidP="00415FA2">
            <w:pPr>
              <w:spacing w:before="0" w:after="0" w:line="320" w:lineRule="atLeast"/>
              <w:jc w:val="center"/>
              <w:rPr>
                <w:rFonts w:cs="Calibri"/>
                <w:color w:val="000000"/>
                <w:szCs w:val="24"/>
                <w:lang w:eastAsia="zh-TW"/>
              </w:rPr>
            </w:pPr>
            <w:r w:rsidRPr="00415FA2">
              <w:rPr>
                <w:rFonts w:cs="Calibri"/>
                <w:color w:val="000000"/>
                <w:szCs w:val="24"/>
                <w:lang w:eastAsia="zh-TW"/>
              </w:rPr>
              <w:t>33</w:t>
            </w:r>
          </w:p>
        </w:tc>
        <w:tc>
          <w:tcPr>
            <w:tcW w:w="1897" w:type="dxa"/>
            <w:vAlign w:val="center"/>
          </w:tcPr>
          <w:p w:rsidR="00A327E6" w:rsidRPr="00415FA2" w:rsidRDefault="00A327E6" w:rsidP="00415FA2">
            <w:pPr>
              <w:spacing w:before="0" w:after="0" w:line="320" w:lineRule="atLeast"/>
              <w:jc w:val="center"/>
              <w:rPr>
                <w:rFonts w:cs="Calibri"/>
                <w:color w:val="000000"/>
                <w:szCs w:val="24"/>
                <w:lang w:eastAsia="zh-TW"/>
              </w:rPr>
            </w:pPr>
            <w:r w:rsidRPr="00415FA2">
              <w:rPr>
                <w:rFonts w:cs="Calibri"/>
                <w:color w:val="000000"/>
                <w:szCs w:val="24"/>
                <w:lang w:eastAsia="zh-TW"/>
              </w:rPr>
              <w:t>n/a</w:t>
            </w:r>
          </w:p>
        </w:tc>
      </w:tr>
      <w:tr w:rsidR="00A327E6" w:rsidRPr="0021796A" w:rsidTr="00415FA2">
        <w:trPr>
          <w:trHeight w:val="20"/>
        </w:trPr>
        <w:tc>
          <w:tcPr>
            <w:tcW w:w="3528" w:type="dxa"/>
            <w:tcBorders>
              <w:bottom w:val="single" w:sz="8" w:space="0" w:color="4F81BD"/>
            </w:tcBorders>
            <w:noWrap/>
            <w:vAlign w:val="center"/>
          </w:tcPr>
          <w:p w:rsidR="00A327E6" w:rsidRPr="00415FA2" w:rsidRDefault="00A327E6" w:rsidP="00D92952">
            <w:pPr>
              <w:spacing w:before="0" w:after="0" w:line="320" w:lineRule="atLeast"/>
              <w:ind w:firstLineChars="200" w:firstLine="480"/>
              <w:rPr>
                <w:b/>
                <w:bCs/>
                <w:color w:val="104E8B"/>
                <w:szCs w:val="24"/>
                <w:lang w:eastAsia="zh-TW"/>
              </w:rPr>
            </w:pPr>
            <w:r w:rsidRPr="00415FA2">
              <w:rPr>
                <w:b/>
                <w:bCs/>
                <w:szCs w:val="24"/>
                <w:lang w:eastAsia="zh-TW"/>
              </w:rPr>
              <w:t>Missing</w:t>
            </w:r>
          </w:p>
        </w:tc>
        <w:tc>
          <w:tcPr>
            <w:tcW w:w="1707" w:type="dxa"/>
            <w:tcBorders>
              <w:bottom w:val="single" w:sz="8" w:space="0" w:color="4F81BD"/>
            </w:tcBorders>
            <w:noWrap/>
            <w:vAlign w:val="center"/>
          </w:tcPr>
          <w:p w:rsidR="00A327E6" w:rsidRPr="00415FA2" w:rsidRDefault="00A327E6" w:rsidP="00415FA2">
            <w:pPr>
              <w:spacing w:before="0" w:after="0" w:line="320" w:lineRule="atLeast"/>
              <w:jc w:val="center"/>
              <w:rPr>
                <w:rFonts w:cs="Calibri"/>
                <w:color w:val="000000"/>
                <w:szCs w:val="24"/>
                <w:lang w:eastAsia="zh-TW"/>
              </w:rPr>
            </w:pPr>
            <w:r w:rsidRPr="00415FA2">
              <w:rPr>
                <w:rFonts w:cs="Calibri"/>
                <w:color w:val="000000"/>
                <w:szCs w:val="24"/>
                <w:lang w:eastAsia="zh-TW"/>
              </w:rPr>
              <w:t>0.1</w:t>
            </w:r>
          </w:p>
        </w:tc>
        <w:tc>
          <w:tcPr>
            <w:tcW w:w="1886" w:type="dxa"/>
            <w:tcBorders>
              <w:bottom w:val="single" w:sz="8" w:space="0" w:color="4F81BD"/>
            </w:tcBorders>
            <w:noWrap/>
            <w:vAlign w:val="center"/>
          </w:tcPr>
          <w:p w:rsidR="00A327E6" w:rsidRPr="00415FA2" w:rsidRDefault="00A327E6" w:rsidP="00415FA2">
            <w:pPr>
              <w:spacing w:before="0" w:after="0" w:line="320" w:lineRule="atLeast"/>
              <w:jc w:val="center"/>
              <w:rPr>
                <w:rFonts w:cs="Calibri"/>
                <w:color w:val="000000"/>
                <w:szCs w:val="24"/>
                <w:lang w:eastAsia="zh-TW"/>
              </w:rPr>
            </w:pPr>
            <w:r w:rsidRPr="00415FA2">
              <w:rPr>
                <w:rFonts w:cs="Calibri"/>
                <w:color w:val="000000"/>
                <w:szCs w:val="24"/>
                <w:lang w:eastAsia="zh-TW"/>
              </w:rPr>
              <w:t>0.03</w:t>
            </w:r>
          </w:p>
        </w:tc>
        <w:tc>
          <w:tcPr>
            <w:tcW w:w="1897" w:type="dxa"/>
            <w:tcBorders>
              <w:bottom w:val="single" w:sz="8" w:space="0" w:color="4F81BD"/>
            </w:tcBorders>
            <w:vAlign w:val="center"/>
          </w:tcPr>
          <w:p w:rsidR="00A327E6" w:rsidRPr="00415FA2" w:rsidRDefault="00A327E6" w:rsidP="00415FA2">
            <w:pPr>
              <w:spacing w:before="0" w:after="0" w:line="320" w:lineRule="atLeast"/>
              <w:jc w:val="center"/>
              <w:rPr>
                <w:rFonts w:cs="Calibri"/>
                <w:color w:val="000000"/>
                <w:szCs w:val="24"/>
                <w:lang w:eastAsia="zh-TW"/>
              </w:rPr>
            </w:pPr>
            <w:r w:rsidRPr="00415FA2">
              <w:rPr>
                <w:rFonts w:cs="Calibri"/>
                <w:color w:val="000000"/>
                <w:szCs w:val="24"/>
                <w:lang w:eastAsia="zh-TW"/>
              </w:rPr>
              <w:t>-</w:t>
            </w:r>
          </w:p>
        </w:tc>
      </w:tr>
      <w:tr w:rsidR="00A327E6" w:rsidRPr="0021796A" w:rsidTr="00415FA2">
        <w:trPr>
          <w:trHeight w:val="20"/>
        </w:trPr>
        <w:tc>
          <w:tcPr>
            <w:tcW w:w="3528" w:type="dxa"/>
            <w:tcBorders>
              <w:top w:val="single" w:sz="8" w:space="0" w:color="4F81BD"/>
              <w:bottom w:val="nil"/>
            </w:tcBorders>
            <w:noWrap/>
            <w:vAlign w:val="center"/>
          </w:tcPr>
          <w:p w:rsidR="00A327E6" w:rsidRPr="00415FA2" w:rsidRDefault="00A327E6" w:rsidP="00415FA2">
            <w:pPr>
              <w:spacing w:before="0" w:after="0" w:line="320" w:lineRule="atLeast"/>
              <w:rPr>
                <w:b/>
                <w:bCs/>
                <w:szCs w:val="24"/>
                <w:lang w:eastAsia="zh-TW"/>
              </w:rPr>
            </w:pPr>
            <w:r w:rsidRPr="00415FA2">
              <w:rPr>
                <w:b/>
                <w:bCs/>
                <w:szCs w:val="24"/>
                <w:lang w:eastAsia="zh-TW"/>
              </w:rPr>
              <w:t>Maternal Education</w:t>
            </w:r>
          </w:p>
        </w:tc>
        <w:tc>
          <w:tcPr>
            <w:tcW w:w="1707" w:type="dxa"/>
            <w:tcBorders>
              <w:top w:val="single" w:sz="8" w:space="0" w:color="4F81BD"/>
              <w:bottom w:val="nil"/>
            </w:tcBorders>
            <w:noWrap/>
            <w:vAlign w:val="center"/>
          </w:tcPr>
          <w:p w:rsidR="00A327E6" w:rsidRPr="00415FA2" w:rsidRDefault="00A327E6" w:rsidP="00415FA2">
            <w:pPr>
              <w:spacing w:before="0" w:after="0" w:line="320" w:lineRule="atLeast"/>
              <w:jc w:val="center"/>
              <w:rPr>
                <w:szCs w:val="24"/>
                <w:lang w:eastAsia="zh-TW"/>
              </w:rPr>
            </w:pPr>
          </w:p>
        </w:tc>
        <w:tc>
          <w:tcPr>
            <w:tcW w:w="1886" w:type="dxa"/>
            <w:tcBorders>
              <w:top w:val="single" w:sz="8" w:space="0" w:color="4F81BD"/>
              <w:bottom w:val="nil"/>
            </w:tcBorders>
            <w:noWrap/>
            <w:vAlign w:val="center"/>
          </w:tcPr>
          <w:p w:rsidR="00A327E6" w:rsidRPr="00415FA2" w:rsidRDefault="00A327E6" w:rsidP="00415FA2">
            <w:pPr>
              <w:spacing w:before="0" w:after="0" w:line="320" w:lineRule="atLeast"/>
              <w:jc w:val="center"/>
              <w:rPr>
                <w:szCs w:val="24"/>
                <w:lang w:eastAsia="zh-TW"/>
              </w:rPr>
            </w:pPr>
          </w:p>
        </w:tc>
        <w:tc>
          <w:tcPr>
            <w:tcW w:w="1897" w:type="dxa"/>
            <w:tcBorders>
              <w:top w:val="single" w:sz="8" w:space="0" w:color="4F81BD"/>
              <w:bottom w:val="nil"/>
            </w:tcBorders>
            <w:vAlign w:val="center"/>
          </w:tcPr>
          <w:p w:rsidR="00A327E6" w:rsidRPr="00415FA2" w:rsidRDefault="00A327E6" w:rsidP="00415FA2">
            <w:pPr>
              <w:spacing w:before="0" w:after="0" w:line="320" w:lineRule="atLeast"/>
              <w:jc w:val="center"/>
              <w:rPr>
                <w:szCs w:val="24"/>
                <w:lang w:eastAsia="zh-TW"/>
              </w:rPr>
            </w:pPr>
          </w:p>
        </w:tc>
      </w:tr>
      <w:tr w:rsidR="00A327E6" w:rsidRPr="0021796A" w:rsidTr="00415FA2">
        <w:trPr>
          <w:trHeight w:val="20"/>
        </w:trPr>
        <w:tc>
          <w:tcPr>
            <w:tcW w:w="3528" w:type="dxa"/>
            <w:tcBorders>
              <w:top w:val="nil"/>
            </w:tcBorders>
            <w:noWrap/>
            <w:vAlign w:val="center"/>
          </w:tcPr>
          <w:p w:rsidR="00A327E6" w:rsidRPr="00415FA2" w:rsidRDefault="00A327E6" w:rsidP="00D92952">
            <w:pPr>
              <w:spacing w:before="0" w:after="0" w:line="320" w:lineRule="atLeast"/>
              <w:ind w:firstLineChars="200" w:firstLine="480"/>
              <w:rPr>
                <w:b/>
                <w:bCs/>
                <w:color w:val="104E8B"/>
                <w:szCs w:val="24"/>
                <w:lang w:eastAsia="zh-TW"/>
              </w:rPr>
            </w:pPr>
            <w:r w:rsidRPr="00415FA2">
              <w:rPr>
                <w:b/>
                <w:bCs/>
                <w:szCs w:val="24"/>
                <w:lang w:eastAsia="zh-TW"/>
              </w:rPr>
              <w:t>Less than high-school</w:t>
            </w:r>
          </w:p>
        </w:tc>
        <w:tc>
          <w:tcPr>
            <w:tcW w:w="1707" w:type="dxa"/>
            <w:tcBorders>
              <w:top w:val="nil"/>
            </w:tcBorders>
            <w:noWrap/>
            <w:vAlign w:val="center"/>
          </w:tcPr>
          <w:p w:rsidR="00A327E6" w:rsidRPr="00415FA2" w:rsidRDefault="00A327E6" w:rsidP="00415FA2">
            <w:pPr>
              <w:spacing w:before="0" w:after="0" w:line="320" w:lineRule="atLeast"/>
              <w:jc w:val="center"/>
              <w:rPr>
                <w:rFonts w:cs="Calibri"/>
                <w:color w:val="000000"/>
                <w:szCs w:val="24"/>
                <w:lang w:eastAsia="zh-TW"/>
              </w:rPr>
            </w:pPr>
            <w:r w:rsidRPr="00415FA2">
              <w:rPr>
                <w:rFonts w:cs="Calibri"/>
                <w:color w:val="000000"/>
                <w:szCs w:val="24"/>
                <w:lang w:eastAsia="zh-TW"/>
              </w:rPr>
              <w:t>17</w:t>
            </w:r>
          </w:p>
        </w:tc>
        <w:tc>
          <w:tcPr>
            <w:tcW w:w="1886" w:type="dxa"/>
            <w:tcBorders>
              <w:top w:val="nil"/>
            </w:tcBorders>
            <w:noWrap/>
            <w:vAlign w:val="center"/>
          </w:tcPr>
          <w:p w:rsidR="00A327E6" w:rsidRPr="00415FA2" w:rsidRDefault="00A327E6" w:rsidP="00415FA2">
            <w:pPr>
              <w:spacing w:before="0" w:after="0" w:line="320" w:lineRule="atLeast"/>
              <w:jc w:val="center"/>
              <w:rPr>
                <w:rFonts w:cs="Calibri"/>
                <w:color w:val="000000"/>
                <w:szCs w:val="24"/>
                <w:lang w:eastAsia="zh-TW"/>
              </w:rPr>
            </w:pPr>
            <w:r w:rsidRPr="00415FA2">
              <w:rPr>
                <w:rFonts w:cs="Calibri"/>
                <w:color w:val="000000"/>
                <w:szCs w:val="24"/>
                <w:lang w:eastAsia="zh-TW"/>
              </w:rPr>
              <w:t>15</w:t>
            </w:r>
          </w:p>
        </w:tc>
        <w:tc>
          <w:tcPr>
            <w:tcW w:w="1897" w:type="dxa"/>
            <w:tcBorders>
              <w:top w:val="nil"/>
            </w:tcBorders>
            <w:vAlign w:val="center"/>
          </w:tcPr>
          <w:p w:rsidR="00A327E6" w:rsidRPr="00415FA2" w:rsidRDefault="00A327E6" w:rsidP="00415FA2">
            <w:pPr>
              <w:spacing w:before="0" w:after="0" w:line="320" w:lineRule="atLeast"/>
              <w:jc w:val="center"/>
              <w:rPr>
                <w:rFonts w:cs="Calibri"/>
                <w:color w:val="000000"/>
                <w:szCs w:val="24"/>
                <w:lang w:eastAsia="zh-TW"/>
              </w:rPr>
            </w:pPr>
            <w:r w:rsidRPr="00415FA2">
              <w:rPr>
                <w:rFonts w:cs="Calibri"/>
                <w:color w:val="000000"/>
                <w:szCs w:val="24"/>
                <w:lang w:eastAsia="zh-TW"/>
              </w:rPr>
              <w:t>14</w:t>
            </w:r>
          </w:p>
        </w:tc>
      </w:tr>
      <w:tr w:rsidR="00A327E6" w:rsidRPr="0021796A" w:rsidTr="00415FA2">
        <w:trPr>
          <w:trHeight w:val="20"/>
        </w:trPr>
        <w:tc>
          <w:tcPr>
            <w:tcW w:w="3528" w:type="dxa"/>
            <w:noWrap/>
            <w:vAlign w:val="center"/>
          </w:tcPr>
          <w:p w:rsidR="00A327E6" w:rsidRPr="00415FA2" w:rsidRDefault="00A327E6" w:rsidP="00D92952">
            <w:pPr>
              <w:spacing w:before="0" w:after="0" w:line="320" w:lineRule="atLeast"/>
              <w:ind w:firstLineChars="200" w:firstLine="480"/>
              <w:rPr>
                <w:b/>
                <w:bCs/>
                <w:color w:val="000000"/>
                <w:szCs w:val="24"/>
                <w:lang w:eastAsia="zh-TW"/>
              </w:rPr>
            </w:pPr>
            <w:r w:rsidRPr="00415FA2">
              <w:rPr>
                <w:b/>
                <w:bCs/>
                <w:color w:val="000000"/>
                <w:szCs w:val="24"/>
                <w:lang w:eastAsia="zh-TW"/>
              </w:rPr>
              <w:t>High-school grad or GED</w:t>
            </w:r>
          </w:p>
        </w:tc>
        <w:tc>
          <w:tcPr>
            <w:tcW w:w="1707" w:type="dxa"/>
            <w:noWrap/>
            <w:vAlign w:val="center"/>
          </w:tcPr>
          <w:p w:rsidR="00A327E6" w:rsidRPr="00415FA2" w:rsidRDefault="00A327E6" w:rsidP="00415FA2">
            <w:pPr>
              <w:spacing w:before="0" w:after="0" w:line="320" w:lineRule="atLeast"/>
              <w:jc w:val="center"/>
              <w:rPr>
                <w:rFonts w:cs="Calibri"/>
                <w:color w:val="000000"/>
                <w:szCs w:val="24"/>
                <w:lang w:eastAsia="zh-TW"/>
              </w:rPr>
            </w:pPr>
            <w:r w:rsidRPr="00415FA2">
              <w:rPr>
                <w:rFonts w:cs="Calibri"/>
                <w:color w:val="000000"/>
                <w:szCs w:val="24"/>
                <w:lang w:eastAsia="zh-TW"/>
              </w:rPr>
              <w:t>24</w:t>
            </w:r>
          </w:p>
        </w:tc>
        <w:tc>
          <w:tcPr>
            <w:tcW w:w="1886" w:type="dxa"/>
            <w:noWrap/>
            <w:vAlign w:val="center"/>
          </w:tcPr>
          <w:p w:rsidR="00A327E6" w:rsidRPr="00415FA2" w:rsidRDefault="00A327E6" w:rsidP="00415FA2">
            <w:pPr>
              <w:spacing w:before="0" w:after="0" w:line="320" w:lineRule="atLeast"/>
              <w:jc w:val="center"/>
              <w:rPr>
                <w:rFonts w:cs="Calibri"/>
                <w:color w:val="000000"/>
                <w:szCs w:val="24"/>
                <w:lang w:eastAsia="zh-TW"/>
              </w:rPr>
            </w:pPr>
            <w:r w:rsidRPr="00415FA2">
              <w:rPr>
                <w:rFonts w:cs="Calibri"/>
                <w:color w:val="000000"/>
                <w:szCs w:val="24"/>
                <w:lang w:eastAsia="zh-TW"/>
              </w:rPr>
              <w:t>22</w:t>
            </w:r>
          </w:p>
        </w:tc>
        <w:tc>
          <w:tcPr>
            <w:tcW w:w="1897" w:type="dxa"/>
            <w:vAlign w:val="center"/>
          </w:tcPr>
          <w:p w:rsidR="00A327E6" w:rsidRPr="00415FA2" w:rsidRDefault="00A327E6" w:rsidP="00415FA2">
            <w:pPr>
              <w:spacing w:before="0" w:after="0" w:line="320" w:lineRule="atLeast"/>
              <w:jc w:val="center"/>
              <w:rPr>
                <w:rFonts w:cs="Calibri"/>
                <w:color w:val="000000"/>
                <w:szCs w:val="24"/>
                <w:lang w:eastAsia="zh-TW"/>
              </w:rPr>
            </w:pPr>
            <w:r w:rsidRPr="00415FA2">
              <w:rPr>
                <w:rFonts w:cs="Calibri"/>
                <w:color w:val="000000"/>
                <w:szCs w:val="24"/>
                <w:lang w:eastAsia="zh-TW"/>
              </w:rPr>
              <w:t>19</w:t>
            </w:r>
          </w:p>
        </w:tc>
      </w:tr>
      <w:tr w:rsidR="00A327E6" w:rsidRPr="0021796A" w:rsidTr="00415FA2">
        <w:trPr>
          <w:trHeight w:val="20"/>
        </w:trPr>
        <w:tc>
          <w:tcPr>
            <w:tcW w:w="3528" w:type="dxa"/>
            <w:noWrap/>
            <w:vAlign w:val="center"/>
          </w:tcPr>
          <w:p w:rsidR="00A327E6" w:rsidRPr="00415FA2" w:rsidRDefault="00A327E6" w:rsidP="00D92952">
            <w:pPr>
              <w:spacing w:before="0" w:after="0" w:line="320" w:lineRule="atLeast"/>
              <w:ind w:firstLineChars="200" w:firstLine="480"/>
              <w:rPr>
                <w:b/>
                <w:bCs/>
                <w:color w:val="104E8B"/>
                <w:szCs w:val="24"/>
                <w:lang w:eastAsia="zh-TW"/>
              </w:rPr>
            </w:pPr>
            <w:r w:rsidRPr="00415FA2">
              <w:rPr>
                <w:b/>
                <w:bCs/>
                <w:szCs w:val="24"/>
                <w:lang w:eastAsia="zh-TW"/>
              </w:rPr>
              <w:t>Some college/tech school</w:t>
            </w:r>
          </w:p>
        </w:tc>
        <w:tc>
          <w:tcPr>
            <w:tcW w:w="1707" w:type="dxa"/>
            <w:noWrap/>
            <w:vAlign w:val="center"/>
          </w:tcPr>
          <w:p w:rsidR="00A327E6" w:rsidRPr="00415FA2" w:rsidRDefault="00A327E6" w:rsidP="00415FA2">
            <w:pPr>
              <w:spacing w:before="0" w:after="0" w:line="320" w:lineRule="atLeast"/>
              <w:jc w:val="center"/>
              <w:rPr>
                <w:rFonts w:cs="Calibri"/>
                <w:color w:val="000000"/>
                <w:szCs w:val="24"/>
                <w:lang w:eastAsia="zh-TW"/>
              </w:rPr>
            </w:pPr>
            <w:r w:rsidRPr="00415FA2">
              <w:rPr>
                <w:rFonts w:cs="Calibri"/>
                <w:color w:val="000000"/>
                <w:szCs w:val="24"/>
                <w:lang w:eastAsia="zh-TW"/>
              </w:rPr>
              <w:t>21</w:t>
            </w:r>
          </w:p>
        </w:tc>
        <w:tc>
          <w:tcPr>
            <w:tcW w:w="1886" w:type="dxa"/>
            <w:noWrap/>
            <w:vAlign w:val="center"/>
          </w:tcPr>
          <w:p w:rsidR="00A327E6" w:rsidRPr="00415FA2" w:rsidRDefault="00A327E6" w:rsidP="00415FA2">
            <w:pPr>
              <w:spacing w:before="0" w:after="0" w:line="320" w:lineRule="atLeast"/>
              <w:jc w:val="center"/>
              <w:rPr>
                <w:rFonts w:cs="Calibri"/>
                <w:color w:val="000000"/>
                <w:szCs w:val="24"/>
                <w:lang w:eastAsia="zh-TW"/>
              </w:rPr>
            </w:pPr>
            <w:r w:rsidRPr="00415FA2">
              <w:rPr>
                <w:rFonts w:cs="Calibri"/>
                <w:color w:val="000000"/>
                <w:szCs w:val="24"/>
                <w:lang w:eastAsia="zh-TW"/>
              </w:rPr>
              <w:t>21</w:t>
            </w:r>
          </w:p>
        </w:tc>
        <w:tc>
          <w:tcPr>
            <w:tcW w:w="1897" w:type="dxa"/>
            <w:vAlign w:val="center"/>
          </w:tcPr>
          <w:p w:rsidR="00A327E6" w:rsidRPr="00415FA2" w:rsidRDefault="00A327E6" w:rsidP="00415FA2">
            <w:pPr>
              <w:spacing w:before="0" w:after="0" w:line="320" w:lineRule="atLeast"/>
              <w:jc w:val="center"/>
              <w:rPr>
                <w:rFonts w:cs="Calibri"/>
                <w:color w:val="000000"/>
                <w:szCs w:val="24"/>
                <w:lang w:eastAsia="zh-TW"/>
              </w:rPr>
            </w:pPr>
            <w:r w:rsidRPr="00415FA2">
              <w:rPr>
                <w:rFonts w:cs="Calibri"/>
                <w:color w:val="000000"/>
                <w:szCs w:val="24"/>
                <w:lang w:eastAsia="zh-TW"/>
              </w:rPr>
              <w:t>29</w:t>
            </w:r>
          </w:p>
        </w:tc>
      </w:tr>
      <w:tr w:rsidR="00A327E6" w:rsidRPr="0021796A" w:rsidTr="00415FA2">
        <w:trPr>
          <w:trHeight w:val="20"/>
        </w:trPr>
        <w:tc>
          <w:tcPr>
            <w:tcW w:w="3528" w:type="dxa"/>
            <w:noWrap/>
            <w:vAlign w:val="center"/>
          </w:tcPr>
          <w:p w:rsidR="00A327E6" w:rsidRPr="00415FA2" w:rsidRDefault="00A327E6" w:rsidP="00D92952">
            <w:pPr>
              <w:spacing w:before="0" w:after="0" w:line="320" w:lineRule="atLeast"/>
              <w:ind w:firstLineChars="200" w:firstLine="480"/>
              <w:rPr>
                <w:b/>
                <w:bCs/>
                <w:color w:val="104E8B"/>
                <w:szCs w:val="24"/>
                <w:lang w:eastAsia="zh-TW"/>
              </w:rPr>
            </w:pPr>
            <w:r w:rsidRPr="00415FA2">
              <w:rPr>
                <w:b/>
                <w:bCs/>
                <w:szCs w:val="24"/>
                <w:lang w:eastAsia="zh-TW"/>
              </w:rPr>
              <w:t>Bachelor’s degree</w:t>
            </w:r>
          </w:p>
        </w:tc>
        <w:tc>
          <w:tcPr>
            <w:tcW w:w="1707" w:type="dxa"/>
            <w:noWrap/>
            <w:vAlign w:val="center"/>
          </w:tcPr>
          <w:p w:rsidR="00A327E6" w:rsidRPr="00415FA2" w:rsidRDefault="00A327E6" w:rsidP="00415FA2">
            <w:pPr>
              <w:spacing w:before="0" w:after="0" w:line="320" w:lineRule="atLeast"/>
              <w:jc w:val="center"/>
              <w:rPr>
                <w:rFonts w:cs="Calibri"/>
                <w:color w:val="000000"/>
                <w:szCs w:val="24"/>
                <w:lang w:eastAsia="zh-TW"/>
              </w:rPr>
            </w:pPr>
            <w:r w:rsidRPr="00415FA2">
              <w:rPr>
                <w:rFonts w:cs="Calibri"/>
                <w:color w:val="000000"/>
                <w:szCs w:val="24"/>
                <w:lang w:eastAsia="zh-TW"/>
              </w:rPr>
              <w:t>23</w:t>
            </w:r>
          </w:p>
        </w:tc>
        <w:tc>
          <w:tcPr>
            <w:tcW w:w="1886" w:type="dxa"/>
            <w:noWrap/>
            <w:vAlign w:val="center"/>
          </w:tcPr>
          <w:p w:rsidR="00A327E6" w:rsidRPr="00415FA2" w:rsidRDefault="00A327E6" w:rsidP="00415FA2">
            <w:pPr>
              <w:spacing w:before="0" w:after="0" w:line="320" w:lineRule="atLeast"/>
              <w:jc w:val="center"/>
              <w:rPr>
                <w:rFonts w:cs="Calibri"/>
                <w:color w:val="000000"/>
                <w:szCs w:val="24"/>
                <w:lang w:eastAsia="zh-TW"/>
              </w:rPr>
            </w:pPr>
            <w:r w:rsidRPr="00415FA2">
              <w:rPr>
                <w:rFonts w:cs="Calibri"/>
                <w:color w:val="000000"/>
                <w:szCs w:val="24"/>
                <w:lang w:eastAsia="zh-TW"/>
              </w:rPr>
              <w:t>25</w:t>
            </w:r>
          </w:p>
        </w:tc>
        <w:tc>
          <w:tcPr>
            <w:tcW w:w="1897" w:type="dxa"/>
            <w:vAlign w:val="center"/>
          </w:tcPr>
          <w:p w:rsidR="00A327E6" w:rsidRPr="00415FA2" w:rsidRDefault="00A327E6" w:rsidP="00415FA2">
            <w:pPr>
              <w:spacing w:before="0" w:after="0" w:line="320" w:lineRule="atLeast"/>
              <w:jc w:val="center"/>
              <w:rPr>
                <w:rFonts w:cs="Calibri"/>
                <w:color w:val="000000"/>
                <w:szCs w:val="24"/>
                <w:lang w:eastAsia="zh-TW"/>
              </w:rPr>
            </w:pPr>
            <w:r w:rsidRPr="00415FA2">
              <w:rPr>
                <w:rFonts w:cs="Calibri"/>
                <w:color w:val="000000"/>
                <w:szCs w:val="24"/>
                <w:lang w:eastAsia="zh-TW"/>
              </w:rPr>
              <w:t>24</w:t>
            </w:r>
          </w:p>
        </w:tc>
      </w:tr>
      <w:tr w:rsidR="00A327E6" w:rsidRPr="0021796A" w:rsidTr="00415FA2">
        <w:trPr>
          <w:trHeight w:val="20"/>
        </w:trPr>
        <w:tc>
          <w:tcPr>
            <w:tcW w:w="3528" w:type="dxa"/>
            <w:tcBorders>
              <w:bottom w:val="nil"/>
            </w:tcBorders>
            <w:noWrap/>
            <w:vAlign w:val="center"/>
          </w:tcPr>
          <w:p w:rsidR="00A327E6" w:rsidRPr="00415FA2" w:rsidRDefault="00A327E6" w:rsidP="00D92952">
            <w:pPr>
              <w:spacing w:before="0" w:after="0" w:line="320" w:lineRule="atLeast"/>
              <w:ind w:firstLineChars="200" w:firstLine="480"/>
              <w:rPr>
                <w:b/>
                <w:bCs/>
                <w:color w:val="000000"/>
                <w:szCs w:val="24"/>
                <w:lang w:eastAsia="zh-TW"/>
              </w:rPr>
            </w:pPr>
            <w:r w:rsidRPr="00415FA2">
              <w:rPr>
                <w:b/>
                <w:bCs/>
                <w:color w:val="000000"/>
                <w:szCs w:val="24"/>
                <w:lang w:eastAsia="zh-TW"/>
              </w:rPr>
              <w:t>Graduate school</w:t>
            </w:r>
          </w:p>
        </w:tc>
        <w:tc>
          <w:tcPr>
            <w:tcW w:w="1707" w:type="dxa"/>
            <w:tcBorders>
              <w:bottom w:val="nil"/>
            </w:tcBorders>
            <w:noWrap/>
            <w:vAlign w:val="center"/>
          </w:tcPr>
          <w:p w:rsidR="00A327E6" w:rsidRPr="00415FA2" w:rsidRDefault="00A327E6" w:rsidP="00415FA2">
            <w:pPr>
              <w:spacing w:before="0" w:after="0" w:line="320" w:lineRule="atLeast"/>
              <w:jc w:val="center"/>
              <w:rPr>
                <w:rFonts w:cs="Calibri"/>
                <w:color w:val="000000"/>
                <w:szCs w:val="24"/>
                <w:lang w:eastAsia="zh-TW"/>
              </w:rPr>
            </w:pPr>
            <w:r w:rsidRPr="00415FA2">
              <w:rPr>
                <w:rFonts w:cs="Calibri"/>
                <w:color w:val="000000"/>
                <w:szCs w:val="24"/>
                <w:lang w:eastAsia="zh-TW"/>
              </w:rPr>
              <w:t>13</w:t>
            </w:r>
          </w:p>
        </w:tc>
        <w:tc>
          <w:tcPr>
            <w:tcW w:w="1886" w:type="dxa"/>
            <w:tcBorders>
              <w:bottom w:val="nil"/>
            </w:tcBorders>
            <w:noWrap/>
            <w:vAlign w:val="center"/>
          </w:tcPr>
          <w:p w:rsidR="00A327E6" w:rsidRPr="00415FA2" w:rsidRDefault="00A327E6" w:rsidP="00415FA2">
            <w:pPr>
              <w:spacing w:before="0" w:after="0" w:line="320" w:lineRule="atLeast"/>
              <w:jc w:val="center"/>
              <w:rPr>
                <w:rFonts w:cs="Calibri"/>
                <w:color w:val="000000"/>
                <w:szCs w:val="24"/>
                <w:lang w:eastAsia="zh-TW"/>
              </w:rPr>
            </w:pPr>
            <w:r w:rsidRPr="00415FA2">
              <w:rPr>
                <w:rFonts w:cs="Calibri"/>
                <w:color w:val="000000"/>
                <w:szCs w:val="24"/>
                <w:lang w:eastAsia="zh-TW"/>
              </w:rPr>
              <w:t>14</w:t>
            </w:r>
          </w:p>
        </w:tc>
        <w:tc>
          <w:tcPr>
            <w:tcW w:w="1897" w:type="dxa"/>
            <w:tcBorders>
              <w:bottom w:val="nil"/>
            </w:tcBorders>
            <w:vAlign w:val="center"/>
          </w:tcPr>
          <w:p w:rsidR="00A327E6" w:rsidRPr="00415FA2" w:rsidRDefault="00A327E6" w:rsidP="00415FA2">
            <w:pPr>
              <w:spacing w:before="0" w:after="0" w:line="320" w:lineRule="atLeast"/>
              <w:jc w:val="center"/>
              <w:rPr>
                <w:rFonts w:cs="Calibri"/>
                <w:color w:val="000000"/>
                <w:szCs w:val="24"/>
                <w:lang w:eastAsia="zh-TW"/>
              </w:rPr>
            </w:pPr>
            <w:r w:rsidRPr="00415FA2">
              <w:rPr>
                <w:rFonts w:cs="Calibri"/>
                <w:color w:val="000000"/>
                <w:szCs w:val="24"/>
                <w:lang w:eastAsia="zh-TW"/>
              </w:rPr>
              <w:t>14</w:t>
            </w:r>
          </w:p>
        </w:tc>
      </w:tr>
      <w:tr w:rsidR="00A327E6" w:rsidRPr="0021796A" w:rsidTr="00415FA2">
        <w:trPr>
          <w:trHeight w:val="20"/>
        </w:trPr>
        <w:tc>
          <w:tcPr>
            <w:tcW w:w="3528" w:type="dxa"/>
            <w:tcBorders>
              <w:top w:val="nil"/>
              <w:bottom w:val="single" w:sz="8" w:space="0" w:color="4F81BD"/>
            </w:tcBorders>
            <w:noWrap/>
            <w:vAlign w:val="center"/>
          </w:tcPr>
          <w:p w:rsidR="00A327E6" w:rsidRPr="00415FA2" w:rsidRDefault="00A327E6" w:rsidP="00D92952">
            <w:pPr>
              <w:spacing w:before="0" w:after="0" w:line="320" w:lineRule="atLeast"/>
              <w:ind w:firstLineChars="200" w:firstLine="480"/>
              <w:rPr>
                <w:b/>
                <w:bCs/>
                <w:color w:val="000000"/>
                <w:szCs w:val="24"/>
                <w:lang w:eastAsia="zh-TW"/>
              </w:rPr>
            </w:pPr>
            <w:r w:rsidRPr="00415FA2">
              <w:rPr>
                <w:b/>
                <w:bCs/>
                <w:color w:val="000000"/>
                <w:szCs w:val="24"/>
                <w:lang w:eastAsia="zh-TW"/>
              </w:rPr>
              <w:t>Missing</w:t>
            </w:r>
          </w:p>
        </w:tc>
        <w:tc>
          <w:tcPr>
            <w:tcW w:w="1707" w:type="dxa"/>
            <w:tcBorders>
              <w:top w:val="nil"/>
              <w:bottom w:val="single" w:sz="8" w:space="0" w:color="4F81BD"/>
            </w:tcBorders>
            <w:noWrap/>
            <w:vAlign w:val="center"/>
          </w:tcPr>
          <w:p w:rsidR="00A327E6" w:rsidRPr="00415FA2" w:rsidRDefault="00A327E6" w:rsidP="00415FA2">
            <w:pPr>
              <w:spacing w:before="0" w:after="0" w:line="320" w:lineRule="atLeast"/>
              <w:jc w:val="center"/>
              <w:rPr>
                <w:rFonts w:cs="Calibri"/>
                <w:color w:val="000000"/>
                <w:szCs w:val="24"/>
                <w:lang w:eastAsia="zh-TW"/>
              </w:rPr>
            </w:pPr>
            <w:r w:rsidRPr="00415FA2">
              <w:rPr>
                <w:rFonts w:cs="Calibri"/>
                <w:color w:val="000000"/>
                <w:szCs w:val="24"/>
                <w:lang w:eastAsia="zh-TW"/>
              </w:rPr>
              <w:t>3</w:t>
            </w:r>
          </w:p>
        </w:tc>
        <w:tc>
          <w:tcPr>
            <w:tcW w:w="1886" w:type="dxa"/>
            <w:tcBorders>
              <w:top w:val="nil"/>
              <w:bottom w:val="single" w:sz="8" w:space="0" w:color="4F81BD"/>
            </w:tcBorders>
            <w:noWrap/>
            <w:vAlign w:val="center"/>
          </w:tcPr>
          <w:p w:rsidR="00A327E6" w:rsidRPr="00415FA2" w:rsidRDefault="00A327E6" w:rsidP="00415FA2">
            <w:pPr>
              <w:spacing w:before="0" w:after="0" w:line="320" w:lineRule="atLeast"/>
              <w:jc w:val="center"/>
              <w:rPr>
                <w:rFonts w:cs="Calibri"/>
                <w:color w:val="000000"/>
                <w:szCs w:val="24"/>
                <w:lang w:eastAsia="zh-TW"/>
              </w:rPr>
            </w:pPr>
            <w:r w:rsidRPr="00415FA2">
              <w:rPr>
                <w:rFonts w:cs="Calibri"/>
                <w:color w:val="000000"/>
                <w:szCs w:val="24"/>
                <w:lang w:eastAsia="zh-TW"/>
              </w:rPr>
              <w:t>2</w:t>
            </w:r>
          </w:p>
        </w:tc>
        <w:tc>
          <w:tcPr>
            <w:tcW w:w="1897" w:type="dxa"/>
            <w:tcBorders>
              <w:top w:val="nil"/>
              <w:bottom w:val="single" w:sz="8" w:space="0" w:color="4F81BD"/>
            </w:tcBorders>
            <w:vAlign w:val="center"/>
          </w:tcPr>
          <w:p w:rsidR="00A327E6" w:rsidRPr="00415FA2" w:rsidRDefault="00A327E6" w:rsidP="00415FA2">
            <w:pPr>
              <w:spacing w:before="0" w:after="0" w:line="320" w:lineRule="atLeast"/>
              <w:jc w:val="center"/>
              <w:rPr>
                <w:rFonts w:cs="Calibri"/>
                <w:color w:val="000000"/>
                <w:szCs w:val="24"/>
                <w:lang w:eastAsia="zh-TW"/>
              </w:rPr>
            </w:pPr>
            <w:r w:rsidRPr="00415FA2">
              <w:rPr>
                <w:rFonts w:cs="Calibri"/>
                <w:color w:val="000000"/>
                <w:szCs w:val="24"/>
                <w:lang w:eastAsia="zh-TW"/>
              </w:rPr>
              <w:t>-</w:t>
            </w:r>
          </w:p>
        </w:tc>
      </w:tr>
      <w:tr w:rsidR="00A327E6" w:rsidRPr="00156BAD" w:rsidTr="00415FA2">
        <w:trPr>
          <w:trHeight w:val="317"/>
        </w:trPr>
        <w:tc>
          <w:tcPr>
            <w:tcW w:w="9018" w:type="dxa"/>
            <w:gridSpan w:val="4"/>
            <w:tcBorders>
              <w:top w:val="single" w:sz="8" w:space="0" w:color="4F81BD"/>
              <w:bottom w:val="single" w:sz="8" w:space="0" w:color="4F81BD"/>
            </w:tcBorders>
            <w:noWrap/>
          </w:tcPr>
          <w:p w:rsidR="00A327E6" w:rsidRPr="00415FA2" w:rsidRDefault="00A327E6" w:rsidP="00415FA2">
            <w:pPr>
              <w:pStyle w:val="NormalIndent"/>
              <w:spacing w:before="0" w:after="0" w:line="240" w:lineRule="auto"/>
              <w:ind w:right="-87" w:firstLine="0"/>
              <w:rPr>
                <w:b/>
                <w:bCs/>
                <w:color w:val="000000"/>
                <w:szCs w:val="24"/>
              </w:rPr>
            </w:pPr>
            <w:r w:rsidRPr="00415FA2">
              <w:rPr>
                <w:bCs/>
                <w:color w:val="000000"/>
                <w:szCs w:val="24"/>
                <w:vertAlign w:val="superscript"/>
              </w:rPr>
              <w:t>a</w:t>
            </w:r>
            <w:r w:rsidRPr="00415FA2">
              <w:rPr>
                <w:bCs/>
                <w:color w:val="000000"/>
                <w:szCs w:val="24"/>
              </w:rPr>
              <w:t>Missing values for age, sex, and household income were imputed. Poverty Income Ratio (PIR) was calculated using household income and household size; due to missing information on household size, some PIR values are missing. See Chapter 5, Data Analysis, for more information on missing values and imputation.</w:t>
            </w:r>
          </w:p>
          <w:p w:rsidR="00A327E6" w:rsidRPr="00415FA2" w:rsidRDefault="00A327E6" w:rsidP="00415FA2">
            <w:pPr>
              <w:pStyle w:val="NormalIndent"/>
              <w:spacing w:before="0" w:after="0" w:line="240" w:lineRule="auto"/>
              <w:ind w:right="-43" w:firstLine="0"/>
              <w:rPr>
                <w:b/>
                <w:bCs/>
                <w:color w:val="000000"/>
                <w:szCs w:val="24"/>
              </w:rPr>
            </w:pPr>
            <w:r w:rsidRPr="00415FA2">
              <w:rPr>
                <w:bCs/>
                <w:color w:val="000000"/>
                <w:szCs w:val="24"/>
                <w:vertAlign w:val="superscript"/>
              </w:rPr>
              <w:t>b</w:t>
            </w:r>
            <w:r w:rsidRPr="00415FA2">
              <w:rPr>
                <w:bCs/>
                <w:color w:val="000000"/>
                <w:szCs w:val="24"/>
              </w:rPr>
              <w:t>Study area population estimates were calculated using survey data weighted to be representative of the study area in terms of race, ethnicity, age, sex, and household income</w:t>
            </w:r>
            <w:r w:rsidRPr="00415FA2">
              <w:rPr>
                <w:bCs/>
                <w:szCs w:val="24"/>
              </w:rPr>
              <w:t>.</w:t>
            </w:r>
          </w:p>
          <w:p w:rsidR="00A327E6" w:rsidRPr="00415FA2" w:rsidRDefault="00A327E6" w:rsidP="00415FA2">
            <w:pPr>
              <w:pStyle w:val="NormalIndent"/>
              <w:spacing w:before="0" w:after="0" w:line="240" w:lineRule="auto"/>
              <w:ind w:right="-87" w:firstLine="0"/>
              <w:rPr>
                <w:b/>
                <w:bCs/>
                <w:color w:val="000000"/>
                <w:szCs w:val="24"/>
                <w:vertAlign w:val="superscript"/>
              </w:rPr>
            </w:pPr>
            <w:r w:rsidRPr="00415FA2">
              <w:rPr>
                <w:bCs/>
                <w:color w:val="000000"/>
                <w:szCs w:val="24"/>
                <w:vertAlign w:val="superscript"/>
              </w:rPr>
              <w:t>c</w:t>
            </w:r>
            <w:r w:rsidRPr="00415FA2">
              <w:rPr>
                <w:bCs/>
                <w:color w:val="000000"/>
                <w:szCs w:val="24"/>
              </w:rPr>
              <w:t>Statewide demographics are from the 2010 US Census, which does not calculate PIR prevalence for the same ranges used in this study. PIR statewide prevalence for children in MA: 2.00-2.99=14%; 3.00-3.99=13%; 4.00+=44%.</w:t>
            </w:r>
          </w:p>
        </w:tc>
      </w:tr>
    </w:tbl>
    <w:p w:rsidR="00A327E6" w:rsidRDefault="00A327E6" w:rsidP="00BF1DFC">
      <w:pPr>
        <w:pStyle w:val="Caption"/>
        <w:rPr>
          <w:szCs w:val="24"/>
        </w:rPr>
      </w:pPr>
      <w:bookmarkStart w:id="206" w:name="_Toc386796295"/>
      <w:r>
        <w:t xml:space="preserve">Table </w:t>
      </w:r>
      <w:fldSimple w:instr=" STYLEREF 1 \s ">
        <w:r>
          <w:rPr>
            <w:noProof/>
          </w:rPr>
          <w:t>6</w:t>
        </w:r>
      </w:fldSimple>
      <w:r>
        <w:noBreakHyphen/>
      </w:r>
      <w:fldSimple w:instr=" SEQ Table \* ARABIC \s 1 ">
        <w:r>
          <w:rPr>
            <w:noProof/>
          </w:rPr>
          <w:t>2</w:t>
        </w:r>
      </w:fldSimple>
      <w:r w:rsidRPr="00156BAD">
        <w:rPr>
          <w:szCs w:val="24"/>
        </w:rPr>
        <w:t xml:space="preserve">.  Basic Demographic Characteristics of the 2215 Child Participants of the Logan Airport Health Study (LAHS) Survey, for the LAHS study Area, and for the State </w:t>
      </w:r>
      <w:r w:rsidRPr="0021796A">
        <w:rPr>
          <w:szCs w:val="24"/>
        </w:rPr>
        <w:t>Population</w:t>
      </w:r>
      <w:bookmarkEnd w:id="206"/>
    </w:p>
    <w:p w:rsidR="00A327E6" w:rsidRDefault="00A327E6" w:rsidP="00BF1DFC"/>
    <w:p w:rsidR="00A327E6" w:rsidRPr="00BF1DFC" w:rsidRDefault="00A327E6" w:rsidP="00BF1DFC"/>
    <w:p w:rsidR="00A327E6" w:rsidRPr="0021796A" w:rsidRDefault="00A327E6" w:rsidP="00E44AAF">
      <w:pPr>
        <w:pStyle w:val="Heading2"/>
        <w:spacing w:line="400" w:lineRule="atLeast"/>
      </w:pPr>
      <w:bookmarkStart w:id="207" w:name="_Toc350413095"/>
      <w:bookmarkStart w:id="208" w:name="_Toc388543113"/>
      <w:r w:rsidRPr="0021796A">
        <w:t>Disease Burden in the Total Study Area</w:t>
      </w:r>
      <w:bookmarkEnd w:id="207"/>
      <w:bookmarkEnd w:id="208"/>
      <w:r w:rsidRPr="0021796A">
        <w:t xml:space="preserve"> </w:t>
      </w:r>
    </w:p>
    <w:p w:rsidR="00A327E6" w:rsidRPr="0021796A" w:rsidRDefault="00A327E6" w:rsidP="00E44AAF">
      <w:pPr>
        <w:spacing w:before="100" w:beforeAutospacing="1" w:after="100" w:afterAutospacing="1" w:line="400" w:lineRule="atLeast"/>
        <w:rPr>
          <w:rStyle w:val="Emphasis"/>
          <w:b/>
          <w:szCs w:val="24"/>
        </w:rPr>
      </w:pPr>
      <w:bookmarkStart w:id="209" w:name="_Toc350413096"/>
      <w:r w:rsidRPr="0021796A">
        <w:rPr>
          <w:rStyle w:val="Emphasis"/>
          <w:b/>
          <w:szCs w:val="24"/>
        </w:rPr>
        <w:t>Adults</w:t>
      </w:r>
      <w:bookmarkEnd w:id="209"/>
    </w:p>
    <w:p w:rsidR="00A327E6" w:rsidRPr="0021796A" w:rsidRDefault="00A327E6" w:rsidP="00E44AAF">
      <w:pPr>
        <w:spacing w:before="100" w:beforeAutospacing="1" w:after="100" w:afterAutospacing="1" w:line="400" w:lineRule="atLeast"/>
        <w:ind w:firstLine="720"/>
        <w:rPr>
          <w:szCs w:val="24"/>
        </w:rPr>
      </w:pPr>
      <w:r>
        <w:rPr>
          <w:szCs w:val="24"/>
        </w:rPr>
        <w:t xml:space="preserve">Table 6-3 </w:t>
      </w:r>
      <w:r w:rsidRPr="0021796A">
        <w:rPr>
          <w:szCs w:val="24"/>
        </w:rPr>
        <w:t>presents the prevalence of targeted respiratory and cardiovascular health outcomes within the entire LAHS area using weighted sample data to be representative of the study area in terms of race, ethnicity, age, sex, and household income.  For more information about the weighting process, refer to Chapter 5 (section 5.2.2).</w:t>
      </w:r>
    </w:p>
    <w:p w:rsidR="00A327E6" w:rsidRPr="0021796A" w:rsidRDefault="00A327E6" w:rsidP="00517414">
      <w:pPr>
        <w:pStyle w:val="NormalIndent"/>
        <w:spacing w:before="100" w:beforeAutospacing="1" w:after="100" w:afterAutospacing="1" w:line="400" w:lineRule="atLeast"/>
        <w:rPr>
          <w:szCs w:val="24"/>
        </w:rPr>
      </w:pPr>
      <w:r w:rsidRPr="0021796A">
        <w:rPr>
          <w:szCs w:val="24"/>
        </w:rPr>
        <w:t>The percentage of people having ever had a diagnosis of asthma (lifetime asthma) within the study area was found to be 15.5%.  A little over one tenth of the population (11.0%) reported currently having asthma, and 7.7% had current asthma that required the use of medication.  In addition, of those who had never been diagnosed with asthma, 4.6% reported symptoms indicative of asthma (probable asthma)</w:t>
      </w:r>
      <w:r>
        <w:rPr>
          <w:szCs w:val="24"/>
        </w:rPr>
        <w:t xml:space="preserve">.  </w:t>
      </w:r>
      <w:r w:rsidRPr="0021796A">
        <w:rPr>
          <w:szCs w:val="24"/>
        </w:rPr>
        <w:t>Of adult asthmatics, 24.7% reported having had an asthma-related hospital visit in the year prior to the survey. Diagnosis of COPD was reported by 6.6% of adults.  Statewide prevalence of these health outcomes is provided in the footnotes in Table 6-3.</w:t>
      </w:r>
    </w:p>
    <w:p w:rsidR="00A327E6" w:rsidRPr="0021796A" w:rsidRDefault="00A327E6" w:rsidP="00517414">
      <w:pPr>
        <w:pStyle w:val="NormalIndent"/>
        <w:spacing w:before="100" w:beforeAutospacing="1" w:after="100" w:afterAutospacing="1" w:line="400" w:lineRule="atLeast"/>
        <w:rPr>
          <w:szCs w:val="24"/>
        </w:rPr>
      </w:pPr>
      <w:r w:rsidRPr="0021796A">
        <w:rPr>
          <w:szCs w:val="24"/>
        </w:rPr>
        <w:t xml:space="preserve">Within the LAHS area, the prevalence of lifetime asthma, current asthma, and COPD was higher in 2005 than the statewide prevalence of these diseases; the differences are not statistically significant.  For CHD and MI, the prevalence in the LAHS area is lower than that of the state as a whole.  Again, these differences are not statistically significant.  </w:t>
      </w:r>
      <w:bookmarkStart w:id="210" w:name="_Ref349911191"/>
    </w:p>
    <w:p w:rsidR="00A327E6" w:rsidRPr="0021796A" w:rsidRDefault="00A327E6" w:rsidP="00E44AAF">
      <w:pPr>
        <w:pStyle w:val="Caption"/>
        <w:spacing w:before="100" w:beforeAutospacing="1" w:after="100" w:afterAutospacing="1" w:line="400" w:lineRule="atLeast"/>
        <w:rPr>
          <w:szCs w:val="24"/>
        </w:rPr>
      </w:pPr>
    </w:p>
    <w:p w:rsidR="00A327E6" w:rsidRDefault="00A327E6" w:rsidP="00E44AAF">
      <w:pPr>
        <w:pStyle w:val="Caption"/>
        <w:spacing w:before="0" w:after="0" w:line="400" w:lineRule="atLeast"/>
        <w:rPr>
          <w:szCs w:val="24"/>
        </w:rPr>
        <w:sectPr w:rsidR="00A327E6" w:rsidSect="00C51CA1">
          <w:pgSz w:w="12240" w:h="15840"/>
          <w:pgMar w:top="1440" w:right="1440" w:bottom="1440" w:left="1440" w:header="720" w:footer="720" w:gutter="0"/>
          <w:cols w:space="720"/>
          <w:docGrid w:linePitch="360"/>
        </w:sectPr>
      </w:pPr>
    </w:p>
    <w:p w:rsidR="00A327E6" w:rsidRDefault="00A327E6" w:rsidP="00E17A00">
      <w:pPr>
        <w:pStyle w:val="Caption"/>
        <w:spacing w:before="0" w:after="0" w:line="240" w:lineRule="auto"/>
        <w:rPr>
          <w:szCs w:val="24"/>
        </w:rPr>
      </w:pPr>
      <w:bookmarkStart w:id="211" w:name="_Toc386796296"/>
      <w:bookmarkEnd w:id="210"/>
      <w:r>
        <w:t xml:space="preserve">Table </w:t>
      </w:r>
      <w:fldSimple w:instr=" STYLEREF 1 \s ">
        <w:r>
          <w:rPr>
            <w:noProof/>
          </w:rPr>
          <w:t>6</w:t>
        </w:r>
      </w:fldSimple>
      <w:r>
        <w:noBreakHyphen/>
      </w:r>
      <w:fldSimple w:instr=" SEQ Table \* ARABIC \s 1 ">
        <w:r>
          <w:rPr>
            <w:noProof/>
          </w:rPr>
          <w:t>3</w:t>
        </w:r>
      </w:fldSimple>
      <w:r>
        <w:t xml:space="preserve">.  </w:t>
      </w:r>
      <w:r w:rsidRPr="0021796A">
        <w:rPr>
          <w:szCs w:val="24"/>
        </w:rPr>
        <w:t xml:space="preserve">Prevalence Estimates of Respiratory and Cardiovascular Diseases </w:t>
      </w:r>
      <w:r>
        <w:rPr>
          <w:szCs w:val="24"/>
        </w:rPr>
        <w:t>A</w:t>
      </w:r>
      <w:r w:rsidRPr="0021796A">
        <w:rPr>
          <w:szCs w:val="24"/>
        </w:rPr>
        <w:t>mong Adults in the Logan Airport Health Study Area (2005)</w:t>
      </w:r>
      <w:bookmarkEnd w:id="211"/>
    </w:p>
    <w:p w:rsidR="00A327E6" w:rsidRPr="00E17A00" w:rsidRDefault="00A327E6" w:rsidP="00E17A00">
      <w:pPr>
        <w:spacing w:before="0" w:after="0"/>
      </w:pPr>
    </w:p>
    <w:tbl>
      <w:tblPr>
        <w:tblW w:w="9408" w:type="dxa"/>
        <w:tblBorders>
          <w:top w:val="single" w:sz="8" w:space="0" w:color="4F81BD"/>
          <w:left w:val="single" w:sz="8" w:space="0" w:color="4F81BD"/>
          <w:bottom w:val="single" w:sz="8" w:space="0" w:color="4F81BD"/>
          <w:right w:val="single" w:sz="8" w:space="0" w:color="4F81BD"/>
        </w:tblBorders>
        <w:tblLayout w:type="fixed"/>
        <w:tblLook w:val="00A0"/>
      </w:tblPr>
      <w:tblGrid>
        <w:gridCol w:w="3737"/>
        <w:gridCol w:w="1981"/>
        <w:gridCol w:w="2055"/>
        <w:gridCol w:w="1635"/>
      </w:tblGrid>
      <w:tr w:rsidR="00A327E6" w:rsidRPr="0021796A" w:rsidTr="00415FA2">
        <w:trPr>
          <w:trHeight w:val="312"/>
        </w:trPr>
        <w:tc>
          <w:tcPr>
            <w:tcW w:w="3737" w:type="dxa"/>
            <w:tcBorders>
              <w:top w:val="single" w:sz="8" w:space="0" w:color="4F81BD"/>
              <w:bottom w:val="single" w:sz="8" w:space="0" w:color="4F81BD"/>
            </w:tcBorders>
            <w:shd w:val="clear" w:color="auto" w:fill="4F81BD"/>
            <w:noWrap/>
            <w:vAlign w:val="center"/>
          </w:tcPr>
          <w:p w:rsidR="00A327E6" w:rsidRPr="00415FA2" w:rsidRDefault="00A327E6" w:rsidP="00415FA2">
            <w:pPr>
              <w:spacing w:before="0" w:after="0" w:line="400" w:lineRule="atLeast"/>
              <w:rPr>
                <w:b/>
                <w:bCs/>
                <w:color w:val="FFFFFF"/>
                <w:szCs w:val="24"/>
                <w:lang w:eastAsia="zh-TW"/>
              </w:rPr>
            </w:pPr>
            <w:r w:rsidRPr="00415FA2">
              <w:rPr>
                <w:b/>
                <w:bCs/>
                <w:color w:val="FFFFFF"/>
                <w:szCs w:val="24"/>
                <w:lang w:eastAsia="zh-TW"/>
              </w:rPr>
              <w:t>Health Outcome</w:t>
            </w:r>
          </w:p>
        </w:tc>
        <w:tc>
          <w:tcPr>
            <w:tcW w:w="1981" w:type="dxa"/>
            <w:tcBorders>
              <w:top w:val="single" w:sz="8" w:space="0" w:color="4F81BD"/>
              <w:left w:val="single" w:sz="8" w:space="0" w:color="4F81BD"/>
              <w:bottom w:val="single" w:sz="8" w:space="0" w:color="4F81BD"/>
              <w:right w:val="single" w:sz="8" w:space="0" w:color="4F81BD"/>
            </w:tcBorders>
            <w:shd w:val="clear" w:color="auto" w:fill="4F81BD"/>
            <w:noWrap/>
            <w:vAlign w:val="center"/>
          </w:tcPr>
          <w:p w:rsidR="00A327E6" w:rsidRPr="00415FA2" w:rsidRDefault="00A327E6" w:rsidP="00415FA2">
            <w:pPr>
              <w:spacing w:before="0" w:after="0" w:line="400" w:lineRule="atLeast"/>
              <w:jc w:val="center"/>
              <w:rPr>
                <w:b/>
                <w:bCs/>
                <w:color w:val="FFFFFF"/>
                <w:szCs w:val="24"/>
                <w:lang w:eastAsia="zh-TW"/>
              </w:rPr>
            </w:pPr>
            <w:r w:rsidRPr="00415FA2">
              <w:rPr>
                <w:b/>
                <w:bCs/>
                <w:color w:val="FFFFFF"/>
                <w:szCs w:val="24"/>
                <w:lang w:eastAsia="zh-TW"/>
              </w:rPr>
              <w:t>Sample Size</w:t>
            </w:r>
            <w:r w:rsidRPr="00415FA2">
              <w:rPr>
                <w:b/>
                <w:bCs/>
                <w:color w:val="FFFFFF"/>
                <w:szCs w:val="24"/>
                <w:vertAlign w:val="superscript"/>
                <w:lang w:eastAsia="zh-TW"/>
              </w:rPr>
              <w:t>a</w:t>
            </w:r>
          </w:p>
        </w:tc>
        <w:tc>
          <w:tcPr>
            <w:tcW w:w="2055" w:type="dxa"/>
            <w:tcBorders>
              <w:top w:val="single" w:sz="8" w:space="0" w:color="4F81BD"/>
              <w:bottom w:val="single" w:sz="8" w:space="0" w:color="4F81BD"/>
            </w:tcBorders>
            <w:shd w:val="clear" w:color="auto" w:fill="4F81BD"/>
            <w:vAlign w:val="center"/>
          </w:tcPr>
          <w:p w:rsidR="00A327E6" w:rsidRPr="00415FA2" w:rsidRDefault="00A327E6" w:rsidP="00415FA2">
            <w:pPr>
              <w:spacing w:before="0" w:after="0" w:line="240" w:lineRule="auto"/>
              <w:jc w:val="center"/>
              <w:rPr>
                <w:b/>
                <w:bCs/>
                <w:color w:val="FFFFFF"/>
                <w:szCs w:val="24"/>
                <w:lang w:eastAsia="zh-TW"/>
              </w:rPr>
            </w:pPr>
            <w:r w:rsidRPr="00415FA2">
              <w:rPr>
                <w:b/>
                <w:bCs/>
                <w:color w:val="FFFFFF"/>
                <w:szCs w:val="24"/>
                <w:lang w:eastAsia="zh-TW"/>
              </w:rPr>
              <w:t>Prevalence,</w:t>
            </w:r>
          </w:p>
          <w:p w:rsidR="00A327E6" w:rsidRPr="00415FA2" w:rsidRDefault="00A327E6" w:rsidP="00415FA2">
            <w:pPr>
              <w:spacing w:before="0" w:after="0" w:line="240" w:lineRule="auto"/>
              <w:jc w:val="center"/>
              <w:rPr>
                <w:b/>
                <w:bCs/>
                <w:color w:val="FFFFFF"/>
                <w:szCs w:val="24"/>
                <w:lang w:eastAsia="zh-TW"/>
              </w:rPr>
            </w:pPr>
            <w:r w:rsidRPr="00415FA2">
              <w:rPr>
                <w:b/>
                <w:bCs/>
                <w:color w:val="FFFFFF"/>
                <w:szCs w:val="24"/>
                <w:lang w:eastAsia="zh-TW"/>
              </w:rPr>
              <w:t>Percent (%)</w:t>
            </w:r>
            <w:r w:rsidRPr="00415FA2">
              <w:rPr>
                <w:b/>
                <w:bCs/>
                <w:color w:val="FFFFFF"/>
                <w:szCs w:val="24"/>
                <w:vertAlign w:val="superscript"/>
                <w:lang w:eastAsia="zh-TW"/>
              </w:rPr>
              <w:t>b, c</w:t>
            </w:r>
          </w:p>
        </w:tc>
        <w:tc>
          <w:tcPr>
            <w:tcW w:w="1635" w:type="dxa"/>
            <w:tcBorders>
              <w:top w:val="single" w:sz="8" w:space="0" w:color="4F81BD"/>
              <w:left w:val="single" w:sz="8" w:space="0" w:color="4F81BD"/>
              <w:bottom w:val="single" w:sz="8" w:space="0" w:color="4F81BD"/>
            </w:tcBorders>
            <w:shd w:val="clear" w:color="auto" w:fill="4F81BD"/>
            <w:vAlign w:val="center"/>
          </w:tcPr>
          <w:p w:rsidR="00A327E6" w:rsidRPr="00415FA2" w:rsidRDefault="00A327E6" w:rsidP="00415FA2">
            <w:pPr>
              <w:spacing w:before="0" w:after="0" w:line="240" w:lineRule="auto"/>
              <w:jc w:val="center"/>
              <w:rPr>
                <w:b/>
                <w:bCs/>
                <w:color w:val="FFFFFF"/>
                <w:szCs w:val="24"/>
                <w:lang w:eastAsia="zh-TW"/>
              </w:rPr>
            </w:pPr>
            <w:r w:rsidRPr="00415FA2">
              <w:rPr>
                <w:b/>
                <w:bCs/>
                <w:color w:val="FFFFFF"/>
                <w:szCs w:val="24"/>
                <w:lang w:eastAsia="zh-TW"/>
              </w:rPr>
              <w:t>95% Confidence Interval</w:t>
            </w:r>
          </w:p>
        </w:tc>
      </w:tr>
      <w:tr w:rsidR="00A327E6" w:rsidRPr="0021796A" w:rsidTr="00415FA2">
        <w:trPr>
          <w:trHeight w:val="571"/>
        </w:trPr>
        <w:tc>
          <w:tcPr>
            <w:tcW w:w="3737" w:type="dxa"/>
            <w:tcBorders>
              <w:top w:val="single" w:sz="8" w:space="0" w:color="4F81BD"/>
              <w:bottom w:val="single" w:sz="8" w:space="0" w:color="4F81BD"/>
              <w:right w:val="nil"/>
            </w:tcBorders>
            <w:noWrap/>
            <w:vAlign w:val="center"/>
          </w:tcPr>
          <w:p w:rsidR="00A327E6" w:rsidRPr="00415FA2" w:rsidRDefault="00A327E6" w:rsidP="00415FA2">
            <w:pPr>
              <w:spacing w:before="0" w:after="0" w:line="400" w:lineRule="atLeast"/>
              <w:rPr>
                <w:b/>
                <w:bCs/>
                <w:szCs w:val="24"/>
                <w:lang w:eastAsia="zh-TW"/>
              </w:rPr>
            </w:pPr>
            <w:r w:rsidRPr="00415FA2">
              <w:rPr>
                <w:b/>
                <w:bCs/>
                <w:szCs w:val="24"/>
                <w:lang w:eastAsia="zh-TW"/>
              </w:rPr>
              <w:t>Lifetime Asthma</w:t>
            </w:r>
            <w:r w:rsidRPr="00415FA2">
              <w:rPr>
                <w:b/>
                <w:bCs/>
                <w:szCs w:val="24"/>
                <w:vertAlign w:val="superscript"/>
                <w:lang w:eastAsia="zh-TW"/>
              </w:rPr>
              <w:t xml:space="preserve"> </w:t>
            </w:r>
          </w:p>
        </w:tc>
        <w:tc>
          <w:tcPr>
            <w:tcW w:w="1981" w:type="dxa"/>
            <w:tcBorders>
              <w:top w:val="single" w:sz="8" w:space="0" w:color="4F81BD"/>
              <w:left w:val="nil"/>
              <w:bottom w:val="single" w:sz="8" w:space="0" w:color="4F81BD"/>
              <w:right w:val="nil"/>
            </w:tcBorders>
            <w:noWrap/>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6055</w:t>
            </w:r>
          </w:p>
        </w:tc>
        <w:tc>
          <w:tcPr>
            <w:tcW w:w="2055" w:type="dxa"/>
            <w:tcBorders>
              <w:top w:val="single" w:sz="8" w:space="0" w:color="4F81BD"/>
              <w:left w:val="nil"/>
              <w:bottom w:val="single" w:sz="8" w:space="0" w:color="4F81BD"/>
              <w:right w:val="nil"/>
            </w:tcBorders>
            <w:noWrap/>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15.5</w:t>
            </w:r>
          </w:p>
        </w:tc>
        <w:tc>
          <w:tcPr>
            <w:tcW w:w="1635" w:type="dxa"/>
            <w:tcBorders>
              <w:top w:val="single" w:sz="8" w:space="0" w:color="4F81BD"/>
              <w:left w:val="nil"/>
              <w:bottom w:val="single" w:sz="8" w:space="0" w:color="4F81BD"/>
            </w:tcBorders>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(14.3 - 16.8)</w:t>
            </w:r>
          </w:p>
        </w:tc>
      </w:tr>
      <w:tr w:rsidR="00A327E6" w:rsidRPr="0021796A" w:rsidTr="00415FA2">
        <w:trPr>
          <w:trHeight w:val="571"/>
        </w:trPr>
        <w:tc>
          <w:tcPr>
            <w:tcW w:w="3737" w:type="dxa"/>
            <w:tcBorders>
              <w:right w:val="nil"/>
            </w:tcBorders>
            <w:vAlign w:val="center"/>
          </w:tcPr>
          <w:p w:rsidR="00A327E6" w:rsidRPr="00415FA2" w:rsidRDefault="00A327E6" w:rsidP="00415FA2">
            <w:pPr>
              <w:spacing w:before="0" w:after="0" w:line="400" w:lineRule="atLeast"/>
              <w:rPr>
                <w:b/>
                <w:bCs/>
                <w:szCs w:val="24"/>
                <w:lang w:eastAsia="zh-TW"/>
              </w:rPr>
            </w:pPr>
            <w:r w:rsidRPr="00415FA2">
              <w:rPr>
                <w:b/>
                <w:bCs/>
                <w:szCs w:val="24"/>
                <w:lang w:eastAsia="zh-TW"/>
              </w:rPr>
              <w:t>Current Asthma</w:t>
            </w:r>
            <w:r w:rsidRPr="00415FA2">
              <w:rPr>
                <w:b/>
                <w:bCs/>
                <w:szCs w:val="24"/>
                <w:vertAlign w:val="superscript"/>
                <w:lang w:eastAsia="zh-TW"/>
              </w:rPr>
              <w:t xml:space="preserve"> </w:t>
            </w:r>
          </w:p>
        </w:tc>
        <w:tc>
          <w:tcPr>
            <w:tcW w:w="1981" w:type="dxa"/>
            <w:tcBorders>
              <w:left w:val="nil"/>
              <w:right w:val="nil"/>
            </w:tcBorders>
            <w:noWrap/>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6032</w:t>
            </w:r>
          </w:p>
        </w:tc>
        <w:tc>
          <w:tcPr>
            <w:tcW w:w="2055" w:type="dxa"/>
            <w:tcBorders>
              <w:left w:val="nil"/>
              <w:right w:val="nil"/>
            </w:tcBorders>
            <w:noWrap/>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11.0</w:t>
            </w:r>
          </w:p>
        </w:tc>
        <w:tc>
          <w:tcPr>
            <w:tcW w:w="1635" w:type="dxa"/>
            <w:tcBorders>
              <w:left w:val="nil"/>
            </w:tcBorders>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(9.9 - 12.1)</w:t>
            </w:r>
          </w:p>
        </w:tc>
      </w:tr>
      <w:tr w:rsidR="00A327E6" w:rsidRPr="0021796A" w:rsidTr="00415FA2">
        <w:trPr>
          <w:trHeight w:val="571"/>
        </w:trPr>
        <w:tc>
          <w:tcPr>
            <w:tcW w:w="3737" w:type="dxa"/>
            <w:tcBorders>
              <w:top w:val="single" w:sz="8" w:space="0" w:color="4F81BD"/>
              <w:bottom w:val="single" w:sz="8" w:space="0" w:color="4F81BD"/>
              <w:right w:val="nil"/>
            </w:tcBorders>
            <w:vAlign w:val="center"/>
          </w:tcPr>
          <w:p w:rsidR="00A327E6" w:rsidRPr="00415FA2" w:rsidRDefault="00A327E6" w:rsidP="00415FA2">
            <w:pPr>
              <w:spacing w:before="0" w:after="0" w:line="240" w:lineRule="auto"/>
              <w:rPr>
                <w:b/>
                <w:bCs/>
                <w:szCs w:val="24"/>
                <w:lang w:eastAsia="zh-TW"/>
              </w:rPr>
            </w:pPr>
            <w:r w:rsidRPr="00415FA2">
              <w:rPr>
                <w:b/>
                <w:bCs/>
                <w:szCs w:val="24"/>
                <w:lang w:eastAsia="zh-TW"/>
              </w:rPr>
              <w:t xml:space="preserve">Current Asthma With </w:t>
            </w:r>
          </w:p>
          <w:p w:rsidR="00A327E6" w:rsidRPr="00415FA2" w:rsidRDefault="00A327E6" w:rsidP="00415FA2">
            <w:pPr>
              <w:spacing w:before="0" w:after="0" w:line="240" w:lineRule="auto"/>
              <w:rPr>
                <w:b/>
                <w:bCs/>
                <w:szCs w:val="24"/>
                <w:lang w:eastAsia="zh-TW"/>
              </w:rPr>
            </w:pPr>
            <w:r w:rsidRPr="00415FA2">
              <w:rPr>
                <w:b/>
                <w:bCs/>
                <w:szCs w:val="24"/>
                <w:lang w:eastAsia="zh-TW"/>
              </w:rPr>
              <w:t>Medication Use</w:t>
            </w:r>
          </w:p>
        </w:tc>
        <w:tc>
          <w:tcPr>
            <w:tcW w:w="1981" w:type="dxa"/>
            <w:tcBorders>
              <w:top w:val="single" w:sz="8" w:space="0" w:color="4F81BD"/>
              <w:left w:val="nil"/>
              <w:bottom w:val="single" w:sz="8" w:space="0" w:color="4F81BD"/>
              <w:right w:val="nil"/>
            </w:tcBorders>
            <w:noWrap/>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6031</w:t>
            </w:r>
          </w:p>
        </w:tc>
        <w:tc>
          <w:tcPr>
            <w:tcW w:w="2055" w:type="dxa"/>
            <w:tcBorders>
              <w:top w:val="single" w:sz="8" w:space="0" w:color="4F81BD"/>
              <w:left w:val="nil"/>
              <w:bottom w:val="single" w:sz="8" w:space="0" w:color="4F81BD"/>
              <w:right w:val="nil"/>
            </w:tcBorders>
            <w:noWrap/>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7.7</w:t>
            </w:r>
          </w:p>
        </w:tc>
        <w:tc>
          <w:tcPr>
            <w:tcW w:w="1635" w:type="dxa"/>
            <w:tcBorders>
              <w:top w:val="single" w:sz="8" w:space="0" w:color="4F81BD"/>
              <w:left w:val="nil"/>
              <w:bottom w:val="single" w:sz="8" w:space="0" w:color="4F81BD"/>
            </w:tcBorders>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(6.8 - 8.6)</w:t>
            </w:r>
          </w:p>
        </w:tc>
      </w:tr>
      <w:tr w:rsidR="00A327E6" w:rsidRPr="0021796A" w:rsidTr="00415FA2">
        <w:trPr>
          <w:trHeight w:val="571"/>
        </w:trPr>
        <w:tc>
          <w:tcPr>
            <w:tcW w:w="3737" w:type="dxa"/>
            <w:tcBorders>
              <w:right w:val="nil"/>
            </w:tcBorders>
            <w:noWrap/>
            <w:vAlign w:val="center"/>
          </w:tcPr>
          <w:p w:rsidR="00A327E6" w:rsidRPr="00415FA2" w:rsidRDefault="00A327E6" w:rsidP="00415FA2">
            <w:pPr>
              <w:spacing w:before="0" w:after="0" w:line="400" w:lineRule="atLeast"/>
              <w:rPr>
                <w:b/>
                <w:bCs/>
                <w:szCs w:val="24"/>
                <w:lang w:eastAsia="zh-TW"/>
              </w:rPr>
            </w:pPr>
            <w:r w:rsidRPr="00415FA2">
              <w:rPr>
                <w:b/>
                <w:bCs/>
                <w:szCs w:val="24"/>
                <w:lang w:eastAsia="zh-TW"/>
              </w:rPr>
              <w:t>Probable Asthma</w:t>
            </w:r>
          </w:p>
        </w:tc>
        <w:tc>
          <w:tcPr>
            <w:tcW w:w="1981" w:type="dxa"/>
            <w:tcBorders>
              <w:left w:val="nil"/>
              <w:right w:val="nil"/>
            </w:tcBorders>
            <w:noWrap/>
            <w:vAlign w:val="center"/>
          </w:tcPr>
          <w:p w:rsidR="00A327E6" w:rsidRPr="00415FA2" w:rsidRDefault="00A327E6" w:rsidP="00415FA2">
            <w:pPr>
              <w:spacing w:before="0" w:after="0" w:line="400" w:lineRule="atLeast"/>
              <w:jc w:val="center"/>
              <w:rPr>
                <w:szCs w:val="24"/>
                <w:highlight w:val="yellow"/>
                <w:lang w:eastAsia="zh-TW"/>
              </w:rPr>
            </w:pPr>
            <w:r w:rsidRPr="00415FA2">
              <w:rPr>
                <w:szCs w:val="24"/>
                <w:lang w:eastAsia="zh-TW"/>
              </w:rPr>
              <w:t>5136</w:t>
            </w:r>
          </w:p>
        </w:tc>
        <w:tc>
          <w:tcPr>
            <w:tcW w:w="2055" w:type="dxa"/>
            <w:tcBorders>
              <w:left w:val="nil"/>
              <w:right w:val="nil"/>
            </w:tcBorders>
            <w:noWrap/>
            <w:vAlign w:val="center"/>
          </w:tcPr>
          <w:p w:rsidR="00A327E6" w:rsidRPr="00415FA2" w:rsidRDefault="00A327E6" w:rsidP="00415FA2">
            <w:pPr>
              <w:spacing w:before="0" w:after="0" w:line="400" w:lineRule="atLeast"/>
              <w:jc w:val="center"/>
              <w:rPr>
                <w:szCs w:val="24"/>
                <w:highlight w:val="yellow"/>
                <w:lang w:eastAsia="zh-TW"/>
              </w:rPr>
            </w:pPr>
            <w:r w:rsidRPr="00415FA2">
              <w:rPr>
                <w:szCs w:val="24"/>
                <w:lang w:eastAsia="zh-TW"/>
              </w:rPr>
              <w:t>4.6</w:t>
            </w:r>
          </w:p>
        </w:tc>
        <w:tc>
          <w:tcPr>
            <w:tcW w:w="1635" w:type="dxa"/>
            <w:tcBorders>
              <w:left w:val="nil"/>
            </w:tcBorders>
            <w:vAlign w:val="center"/>
          </w:tcPr>
          <w:p w:rsidR="00A327E6" w:rsidRPr="00415FA2" w:rsidRDefault="00A327E6" w:rsidP="00415FA2">
            <w:pPr>
              <w:spacing w:before="0" w:after="0" w:line="400" w:lineRule="atLeast"/>
              <w:jc w:val="center"/>
              <w:rPr>
                <w:szCs w:val="24"/>
                <w:highlight w:val="yellow"/>
                <w:lang w:eastAsia="zh-TW"/>
              </w:rPr>
            </w:pPr>
            <w:r w:rsidRPr="00415FA2">
              <w:rPr>
                <w:szCs w:val="24"/>
                <w:lang w:eastAsia="zh-TW"/>
              </w:rPr>
              <w:t>(3.8 - 5.4)</w:t>
            </w:r>
          </w:p>
        </w:tc>
      </w:tr>
      <w:tr w:rsidR="00A327E6" w:rsidRPr="0021796A" w:rsidTr="00415FA2">
        <w:trPr>
          <w:trHeight w:val="571"/>
        </w:trPr>
        <w:tc>
          <w:tcPr>
            <w:tcW w:w="3737" w:type="dxa"/>
            <w:tcBorders>
              <w:top w:val="single" w:sz="8" w:space="0" w:color="4F81BD"/>
              <w:bottom w:val="single" w:sz="8" w:space="0" w:color="4F81BD"/>
              <w:right w:val="nil"/>
            </w:tcBorders>
            <w:noWrap/>
            <w:vAlign w:val="center"/>
          </w:tcPr>
          <w:p w:rsidR="00A327E6" w:rsidRPr="00415FA2" w:rsidRDefault="00A327E6" w:rsidP="00415FA2">
            <w:pPr>
              <w:spacing w:before="0" w:after="0" w:line="400" w:lineRule="atLeast"/>
              <w:rPr>
                <w:b/>
                <w:bCs/>
                <w:szCs w:val="24"/>
                <w:lang w:eastAsia="zh-TW"/>
              </w:rPr>
            </w:pPr>
            <w:r w:rsidRPr="00415FA2">
              <w:rPr>
                <w:b/>
                <w:bCs/>
                <w:szCs w:val="24"/>
                <w:lang w:eastAsia="zh-TW"/>
              </w:rPr>
              <w:t>Asthma Hospitalization</w:t>
            </w:r>
            <w:r w:rsidRPr="00415FA2">
              <w:rPr>
                <w:b/>
                <w:bCs/>
                <w:szCs w:val="24"/>
                <w:vertAlign w:val="superscript"/>
                <w:lang w:eastAsia="zh-TW"/>
              </w:rPr>
              <w:t xml:space="preserve"> </w:t>
            </w:r>
          </w:p>
        </w:tc>
        <w:tc>
          <w:tcPr>
            <w:tcW w:w="1981" w:type="dxa"/>
            <w:tcBorders>
              <w:top w:val="single" w:sz="8" w:space="0" w:color="4F81BD"/>
              <w:left w:val="nil"/>
              <w:bottom w:val="single" w:sz="8" w:space="0" w:color="4F81BD"/>
              <w:right w:val="nil"/>
            </w:tcBorders>
            <w:noWrap/>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673</w:t>
            </w:r>
          </w:p>
        </w:tc>
        <w:tc>
          <w:tcPr>
            <w:tcW w:w="2055" w:type="dxa"/>
            <w:tcBorders>
              <w:top w:val="single" w:sz="8" w:space="0" w:color="4F81BD"/>
              <w:left w:val="nil"/>
              <w:bottom w:val="single" w:sz="8" w:space="0" w:color="4F81BD"/>
              <w:right w:val="nil"/>
            </w:tcBorders>
            <w:noWrap/>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24.7</w:t>
            </w:r>
          </w:p>
        </w:tc>
        <w:tc>
          <w:tcPr>
            <w:tcW w:w="1635" w:type="dxa"/>
            <w:tcBorders>
              <w:top w:val="single" w:sz="8" w:space="0" w:color="4F81BD"/>
              <w:left w:val="nil"/>
              <w:bottom w:val="single" w:sz="8" w:space="0" w:color="4F81BD"/>
            </w:tcBorders>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(20.2 - 29.1)</w:t>
            </w:r>
          </w:p>
        </w:tc>
      </w:tr>
      <w:tr w:rsidR="00A327E6" w:rsidRPr="0021796A" w:rsidTr="00415FA2">
        <w:trPr>
          <w:trHeight w:val="571"/>
        </w:trPr>
        <w:tc>
          <w:tcPr>
            <w:tcW w:w="3737" w:type="dxa"/>
            <w:tcBorders>
              <w:right w:val="nil"/>
            </w:tcBorders>
            <w:noWrap/>
            <w:vAlign w:val="center"/>
          </w:tcPr>
          <w:p w:rsidR="00A327E6" w:rsidRPr="00415FA2" w:rsidRDefault="00A327E6" w:rsidP="00415FA2">
            <w:pPr>
              <w:spacing w:before="0" w:after="0" w:line="240" w:lineRule="auto"/>
              <w:rPr>
                <w:b/>
                <w:bCs/>
                <w:szCs w:val="24"/>
                <w:lang w:eastAsia="zh-TW"/>
              </w:rPr>
            </w:pPr>
            <w:r w:rsidRPr="00415FA2">
              <w:rPr>
                <w:b/>
                <w:bCs/>
                <w:szCs w:val="24"/>
                <w:lang w:eastAsia="zh-TW"/>
              </w:rPr>
              <w:t>Chronic Obstructive Pulmonary Disease (COPD)</w:t>
            </w:r>
            <w:r w:rsidRPr="00415FA2">
              <w:rPr>
                <w:b/>
                <w:bCs/>
                <w:szCs w:val="24"/>
                <w:vertAlign w:val="superscript"/>
                <w:lang w:eastAsia="zh-TW"/>
              </w:rPr>
              <w:t xml:space="preserve"> </w:t>
            </w:r>
          </w:p>
        </w:tc>
        <w:tc>
          <w:tcPr>
            <w:tcW w:w="1981" w:type="dxa"/>
            <w:tcBorders>
              <w:left w:val="nil"/>
              <w:right w:val="nil"/>
            </w:tcBorders>
            <w:noWrap/>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6010</w:t>
            </w:r>
          </w:p>
        </w:tc>
        <w:tc>
          <w:tcPr>
            <w:tcW w:w="2055" w:type="dxa"/>
            <w:tcBorders>
              <w:left w:val="nil"/>
              <w:right w:val="nil"/>
            </w:tcBorders>
            <w:noWrap/>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6.6</w:t>
            </w:r>
          </w:p>
        </w:tc>
        <w:tc>
          <w:tcPr>
            <w:tcW w:w="1635" w:type="dxa"/>
            <w:tcBorders>
              <w:left w:val="nil"/>
            </w:tcBorders>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(5.8 - 7.4)</w:t>
            </w:r>
          </w:p>
        </w:tc>
      </w:tr>
      <w:tr w:rsidR="00A327E6" w:rsidRPr="0021796A" w:rsidTr="00415FA2">
        <w:trPr>
          <w:trHeight w:val="571"/>
        </w:trPr>
        <w:tc>
          <w:tcPr>
            <w:tcW w:w="3737" w:type="dxa"/>
            <w:tcBorders>
              <w:top w:val="single" w:sz="8" w:space="0" w:color="4F81BD"/>
              <w:bottom w:val="single" w:sz="8" w:space="0" w:color="4F81BD"/>
              <w:right w:val="nil"/>
            </w:tcBorders>
            <w:noWrap/>
            <w:vAlign w:val="center"/>
          </w:tcPr>
          <w:p w:rsidR="00A327E6" w:rsidRPr="00415FA2" w:rsidRDefault="00A327E6" w:rsidP="00415FA2">
            <w:pPr>
              <w:spacing w:before="0" w:after="0" w:line="400" w:lineRule="atLeast"/>
              <w:rPr>
                <w:b/>
                <w:bCs/>
                <w:szCs w:val="24"/>
                <w:lang w:eastAsia="zh-TW"/>
              </w:rPr>
            </w:pPr>
            <w:r w:rsidRPr="00415FA2">
              <w:rPr>
                <w:rFonts w:cs="Calibri"/>
                <w:b/>
                <w:bCs/>
                <w:szCs w:val="24"/>
                <w:lang w:eastAsia="zh-TW"/>
              </w:rPr>
              <w:t>Coronary</w:t>
            </w:r>
            <w:r w:rsidRPr="00415FA2">
              <w:rPr>
                <w:b/>
                <w:bCs/>
                <w:szCs w:val="24"/>
                <w:lang w:eastAsia="zh-TW"/>
              </w:rPr>
              <w:t xml:space="preserve"> Heart Disease (CHD)</w:t>
            </w:r>
            <w:r w:rsidRPr="00415FA2">
              <w:rPr>
                <w:b/>
                <w:bCs/>
                <w:szCs w:val="24"/>
                <w:vertAlign w:val="superscript"/>
                <w:lang w:eastAsia="zh-TW"/>
              </w:rPr>
              <w:t xml:space="preserve"> </w:t>
            </w:r>
          </w:p>
        </w:tc>
        <w:tc>
          <w:tcPr>
            <w:tcW w:w="1981" w:type="dxa"/>
            <w:tcBorders>
              <w:top w:val="single" w:sz="8" w:space="0" w:color="4F81BD"/>
              <w:left w:val="nil"/>
              <w:bottom w:val="single" w:sz="8" w:space="0" w:color="4F81BD"/>
              <w:right w:val="nil"/>
            </w:tcBorders>
            <w:noWrap/>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6008</w:t>
            </w:r>
          </w:p>
        </w:tc>
        <w:tc>
          <w:tcPr>
            <w:tcW w:w="2055" w:type="dxa"/>
            <w:tcBorders>
              <w:top w:val="single" w:sz="8" w:space="0" w:color="4F81BD"/>
              <w:left w:val="nil"/>
              <w:bottom w:val="single" w:sz="8" w:space="0" w:color="4F81BD"/>
              <w:right w:val="nil"/>
            </w:tcBorders>
            <w:noWrap/>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3.3</w:t>
            </w:r>
          </w:p>
        </w:tc>
        <w:tc>
          <w:tcPr>
            <w:tcW w:w="1635" w:type="dxa"/>
            <w:tcBorders>
              <w:top w:val="single" w:sz="8" w:space="0" w:color="4F81BD"/>
              <w:left w:val="nil"/>
              <w:bottom w:val="single" w:sz="8" w:space="0" w:color="4F81BD"/>
            </w:tcBorders>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(2.7 - 3.8)</w:t>
            </w:r>
          </w:p>
        </w:tc>
      </w:tr>
      <w:tr w:rsidR="00A327E6" w:rsidRPr="0021796A" w:rsidTr="00415FA2">
        <w:trPr>
          <w:trHeight w:val="571"/>
        </w:trPr>
        <w:tc>
          <w:tcPr>
            <w:tcW w:w="3737" w:type="dxa"/>
            <w:tcBorders>
              <w:right w:val="nil"/>
            </w:tcBorders>
            <w:noWrap/>
            <w:vAlign w:val="center"/>
          </w:tcPr>
          <w:p w:rsidR="00A327E6" w:rsidRPr="00415FA2" w:rsidRDefault="00A327E6" w:rsidP="00415FA2">
            <w:pPr>
              <w:spacing w:before="0" w:after="0" w:line="400" w:lineRule="atLeast"/>
              <w:rPr>
                <w:b/>
                <w:bCs/>
                <w:szCs w:val="24"/>
                <w:lang w:eastAsia="zh-TW"/>
              </w:rPr>
            </w:pPr>
            <w:r w:rsidRPr="00415FA2">
              <w:rPr>
                <w:b/>
                <w:bCs/>
                <w:szCs w:val="24"/>
                <w:lang w:eastAsia="zh-TW"/>
              </w:rPr>
              <w:t>Myocardial Infarction (MI)</w:t>
            </w:r>
          </w:p>
        </w:tc>
        <w:tc>
          <w:tcPr>
            <w:tcW w:w="1981" w:type="dxa"/>
            <w:tcBorders>
              <w:left w:val="nil"/>
              <w:right w:val="nil"/>
            </w:tcBorders>
            <w:noWrap/>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6019</w:t>
            </w:r>
          </w:p>
        </w:tc>
        <w:tc>
          <w:tcPr>
            <w:tcW w:w="2055" w:type="dxa"/>
            <w:tcBorders>
              <w:left w:val="nil"/>
              <w:right w:val="nil"/>
            </w:tcBorders>
            <w:noWrap/>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3.5</w:t>
            </w:r>
          </w:p>
        </w:tc>
        <w:tc>
          <w:tcPr>
            <w:tcW w:w="1635" w:type="dxa"/>
            <w:tcBorders>
              <w:left w:val="nil"/>
            </w:tcBorders>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(3.0 - 4.1)</w:t>
            </w:r>
          </w:p>
        </w:tc>
      </w:tr>
      <w:tr w:rsidR="00A327E6" w:rsidRPr="0021796A" w:rsidTr="00415FA2">
        <w:trPr>
          <w:trHeight w:val="312"/>
        </w:trPr>
        <w:tc>
          <w:tcPr>
            <w:tcW w:w="9408" w:type="dxa"/>
            <w:gridSpan w:val="4"/>
            <w:tcBorders>
              <w:top w:val="single" w:sz="8" w:space="0" w:color="4F81BD"/>
              <w:bottom w:val="single" w:sz="8" w:space="0" w:color="4F81BD"/>
            </w:tcBorders>
            <w:noWrap/>
          </w:tcPr>
          <w:p w:rsidR="00A327E6" w:rsidRPr="00415FA2" w:rsidRDefault="00A327E6" w:rsidP="00415FA2">
            <w:pPr>
              <w:pStyle w:val="NormalIndent"/>
              <w:spacing w:before="0" w:after="0" w:line="240" w:lineRule="auto"/>
              <w:ind w:firstLine="0"/>
              <w:rPr>
                <w:b/>
                <w:bCs/>
                <w:color w:val="000000"/>
                <w:szCs w:val="24"/>
              </w:rPr>
            </w:pPr>
            <w:r w:rsidRPr="00415FA2">
              <w:rPr>
                <w:bCs/>
                <w:color w:val="000000"/>
                <w:szCs w:val="24"/>
                <w:vertAlign w:val="superscript"/>
              </w:rPr>
              <w:t>a</w:t>
            </w:r>
            <w:r w:rsidRPr="00415FA2">
              <w:rPr>
                <w:bCs/>
                <w:color w:val="000000"/>
                <w:szCs w:val="24"/>
              </w:rPr>
              <w:t>Sample sizes vary slightly based on the number of "don't know/refuse" responses for each outcome. Additionally, probable asthma was assessed only among those without lifetime asthma, and asthma hospitalizations were assessed only among those with current asthma.</w:t>
            </w:r>
          </w:p>
          <w:p w:rsidR="00A327E6" w:rsidRPr="00415FA2" w:rsidRDefault="00A327E6" w:rsidP="00415FA2">
            <w:pPr>
              <w:pStyle w:val="NormalIndent"/>
              <w:spacing w:before="0" w:after="0" w:line="240" w:lineRule="auto"/>
              <w:ind w:firstLine="0"/>
              <w:rPr>
                <w:b/>
                <w:bCs/>
                <w:color w:val="000000"/>
                <w:szCs w:val="24"/>
              </w:rPr>
            </w:pPr>
            <w:r w:rsidRPr="00415FA2">
              <w:rPr>
                <w:bCs/>
                <w:color w:val="000000"/>
                <w:szCs w:val="24"/>
                <w:vertAlign w:val="superscript"/>
              </w:rPr>
              <w:t>b</w:t>
            </w:r>
            <w:r w:rsidRPr="00415FA2">
              <w:rPr>
                <w:bCs/>
                <w:color w:val="000000"/>
                <w:szCs w:val="24"/>
              </w:rPr>
              <w:t>Survey data were weighted to population demographics to produce prevalence estimates representative of the study area.</w:t>
            </w:r>
          </w:p>
          <w:p w:rsidR="00A327E6" w:rsidRPr="00415FA2" w:rsidRDefault="00A327E6" w:rsidP="00415FA2">
            <w:pPr>
              <w:pStyle w:val="NormalIndent"/>
              <w:spacing w:before="0" w:after="0" w:line="240" w:lineRule="auto"/>
              <w:ind w:firstLine="0"/>
              <w:rPr>
                <w:rFonts w:cs="Calibri"/>
                <w:b/>
                <w:bCs/>
                <w:szCs w:val="24"/>
              </w:rPr>
            </w:pPr>
            <w:r w:rsidRPr="00415FA2">
              <w:rPr>
                <w:rFonts w:cs="Calibri"/>
                <w:bCs/>
                <w:szCs w:val="24"/>
                <w:vertAlign w:val="superscript"/>
              </w:rPr>
              <w:t>c</w:t>
            </w:r>
            <w:r w:rsidRPr="00415FA2">
              <w:rPr>
                <w:rFonts w:cs="Calibri"/>
                <w:bCs/>
                <w:szCs w:val="24"/>
              </w:rPr>
              <w:t>Statewide</w:t>
            </w:r>
            <w:r w:rsidRPr="00415FA2">
              <w:rPr>
                <w:bCs/>
                <w:szCs w:val="24"/>
              </w:rPr>
              <w:t xml:space="preserve"> prevalence </w:t>
            </w:r>
            <w:r w:rsidRPr="00415FA2">
              <w:rPr>
                <w:rFonts w:cs="Calibri"/>
                <w:bCs/>
                <w:szCs w:val="24"/>
              </w:rPr>
              <w:t xml:space="preserve">based on BRFSS and MMWR (for COPD) are as follows: </w:t>
            </w:r>
          </w:p>
          <w:p w:rsidR="00A327E6" w:rsidRPr="00415FA2" w:rsidRDefault="00A327E6" w:rsidP="00415FA2">
            <w:pPr>
              <w:pStyle w:val="NormalIndent"/>
              <w:spacing w:before="0" w:after="0" w:line="240" w:lineRule="auto"/>
              <w:ind w:firstLine="0"/>
              <w:rPr>
                <w:b/>
                <w:bCs/>
                <w:color w:val="000000"/>
                <w:szCs w:val="24"/>
              </w:rPr>
            </w:pPr>
            <w:r w:rsidRPr="00415FA2">
              <w:rPr>
                <w:rFonts w:cs="Calibri"/>
                <w:bCs/>
                <w:szCs w:val="24"/>
              </w:rPr>
              <w:t>2005 L</w:t>
            </w:r>
            <w:r w:rsidRPr="00415FA2">
              <w:rPr>
                <w:bCs/>
                <w:szCs w:val="24"/>
              </w:rPr>
              <w:t xml:space="preserve">ifetime asthma </w:t>
            </w:r>
            <w:r w:rsidRPr="00415FA2">
              <w:rPr>
                <w:rFonts w:cs="Calibri"/>
                <w:bCs/>
                <w:szCs w:val="24"/>
              </w:rPr>
              <w:t>=</w:t>
            </w:r>
            <w:r w:rsidRPr="00415FA2">
              <w:rPr>
                <w:bCs/>
                <w:szCs w:val="24"/>
              </w:rPr>
              <w:t xml:space="preserve"> 14.2% (95% CI: 13.2-15.2</w:t>
            </w:r>
            <w:r w:rsidRPr="00415FA2">
              <w:rPr>
                <w:rFonts w:cs="Calibri"/>
                <w:bCs/>
                <w:szCs w:val="24"/>
              </w:rPr>
              <w:t>)</w:t>
            </w:r>
            <w:r w:rsidRPr="00415FA2">
              <w:rPr>
                <w:bCs/>
                <w:color w:val="000000"/>
                <w:szCs w:val="24"/>
              </w:rPr>
              <w:t xml:space="preserve">; </w:t>
            </w:r>
          </w:p>
          <w:p w:rsidR="00A327E6" w:rsidRPr="00415FA2" w:rsidRDefault="00A327E6" w:rsidP="00415FA2">
            <w:pPr>
              <w:pStyle w:val="NormalIndent"/>
              <w:spacing w:before="0" w:after="0" w:line="240" w:lineRule="auto"/>
              <w:ind w:firstLine="0"/>
              <w:rPr>
                <w:rFonts w:cs="Calibri"/>
                <w:b/>
                <w:bCs/>
                <w:szCs w:val="24"/>
              </w:rPr>
            </w:pPr>
            <w:r w:rsidRPr="00415FA2">
              <w:rPr>
                <w:bCs/>
                <w:color w:val="000000"/>
                <w:szCs w:val="24"/>
              </w:rPr>
              <w:t>2005 C</w:t>
            </w:r>
            <w:r w:rsidRPr="00415FA2">
              <w:rPr>
                <w:bCs/>
                <w:szCs w:val="24"/>
              </w:rPr>
              <w:t xml:space="preserve">urrent asthma </w:t>
            </w:r>
            <w:r w:rsidRPr="00415FA2">
              <w:rPr>
                <w:rFonts w:cs="Calibri"/>
                <w:bCs/>
                <w:szCs w:val="24"/>
              </w:rPr>
              <w:t>=</w:t>
            </w:r>
            <w:r w:rsidRPr="00415FA2">
              <w:rPr>
                <w:bCs/>
                <w:szCs w:val="24"/>
              </w:rPr>
              <w:t xml:space="preserve"> 9.6% (95% CI: 8.7-10.5</w:t>
            </w:r>
            <w:r w:rsidRPr="00415FA2">
              <w:rPr>
                <w:rFonts w:cs="Calibri"/>
                <w:bCs/>
                <w:szCs w:val="24"/>
              </w:rPr>
              <w:t>);</w:t>
            </w:r>
          </w:p>
          <w:p w:rsidR="00A327E6" w:rsidRPr="00415FA2" w:rsidRDefault="00A327E6" w:rsidP="00415FA2">
            <w:pPr>
              <w:pStyle w:val="NormalIndent"/>
              <w:spacing w:before="0" w:after="0" w:line="240" w:lineRule="auto"/>
              <w:ind w:firstLine="0"/>
              <w:rPr>
                <w:rFonts w:cs="Calibri"/>
                <w:b/>
                <w:bCs/>
                <w:szCs w:val="24"/>
              </w:rPr>
            </w:pPr>
            <w:r w:rsidRPr="00415FA2">
              <w:rPr>
                <w:bCs/>
                <w:szCs w:val="24"/>
              </w:rPr>
              <w:t>2011</w:t>
            </w:r>
            <w:r w:rsidRPr="00415FA2">
              <w:rPr>
                <w:bCs/>
                <w:color w:val="000000"/>
                <w:szCs w:val="24"/>
              </w:rPr>
              <w:t xml:space="preserve"> </w:t>
            </w:r>
            <w:r w:rsidRPr="00415FA2">
              <w:rPr>
                <w:rFonts w:cs="Calibri"/>
                <w:bCs/>
                <w:szCs w:val="24"/>
              </w:rPr>
              <w:t>COPD =</w:t>
            </w:r>
            <w:r w:rsidRPr="00415FA2">
              <w:rPr>
                <w:bCs/>
                <w:szCs w:val="24"/>
              </w:rPr>
              <w:t xml:space="preserve"> 5.4% (95% CI: 5.0-5.9</w:t>
            </w:r>
            <w:r w:rsidRPr="00415FA2">
              <w:rPr>
                <w:rFonts w:cs="Calibri"/>
                <w:bCs/>
                <w:szCs w:val="24"/>
              </w:rPr>
              <w:t xml:space="preserve">); </w:t>
            </w:r>
          </w:p>
          <w:p w:rsidR="00A327E6" w:rsidRPr="00415FA2" w:rsidRDefault="00A327E6" w:rsidP="00415FA2">
            <w:pPr>
              <w:pStyle w:val="NormalIndent"/>
              <w:spacing w:before="0" w:after="0" w:line="240" w:lineRule="auto"/>
              <w:ind w:firstLine="0"/>
              <w:rPr>
                <w:rFonts w:cs="Calibri"/>
                <w:b/>
                <w:bCs/>
                <w:szCs w:val="24"/>
              </w:rPr>
            </w:pPr>
            <w:r w:rsidRPr="00415FA2">
              <w:rPr>
                <w:rFonts w:cs="Calibri"/>
                <w:bCs/>
                <w:szCs w:val="24"/>
              </w:rPr>
              <w:t xml:space="preserve">2005 </w:t>
            </w:r>
            <w:r w:rsidRPr="00415FA2">
              <w:rPr>
                <w:bCs/>
                <w:szCs w:val="24"/>
              </w:rPr>
              <w:t xml:space="preserve">CHD </w:t>
            </w:r>
            <w:r w:rsidRPr="00415FA2">
              <w:rPr>
                <w:rFonts w:cs="Calibri"/>
                <w:bCs/>
                <w:szCs w:val="24"/>
              </w:rPr>
              <w:t>=</w:t>
            </w:r>
            <w:r w:rsidRPr="00415FA2">
              <w:rPr>
                <w:bCs/>
                <w:szCs w:val="24"/>
              </w:rPr>
              <w:t xml:space="preserve"> 4.0% (95% CI: 3.5-4.5</w:t>
            </w:r>
            <w:r w:rsidRPr="00415FA2">
              <w:rPr>
                <w:rFonts w:cs="Calibri"/>
                <w:bCs/>
                <w:szCs w:val="24"/>
              </w:rPr>
              <w:t>);</w:t>
            </w:r>
          </w:p>
          <w:p w:rsidR="00A327E6" w:rsidRPr="00415FA2" w:rsidRDefault="00A327E6" w:rsidP="00415FA2">
            <w:pPr>
              <w:pStyle w:val="NormalIndent"/>
              <w:spacing w:before="0" w:after="0" w:line="240" w:lineRule="auto"/>
              <w:ind w:firstLine="0"/>
              <w:rPr>
                <w:b/>
                <w:bCs/>
                <w:color w:val="000000"/>
                <w:szCs w:val="24"/>
              </w:rPr>
            </w:pPr>
            <w:r w:rsidRPr="00415FA2">
              <w:rPr>
                <w:bCs/>
                <w:color w:val="000000"/>
                <w:szCs w:val="24"/>
              </w:rPr>
              <w:t xml:space="preserve">2005 </w:t>
            </w:r>
            <w:r w:rsidRPr="00415FA2">
              <w:rPr>
                <w:bCs/>
                <w:szCs w:val="24"/>
              </w:rPr>
              <w:t xml:space="preserve">MI </w:t>
            </w:r>
            <w:r w:rsidRPr="00415FA2">
              <w:rPr>
                <w:rFonts w:cs="Calibri"/>
                <w:bCs/>
                <w:szCs w:val="24"/>
              </w:rPr>
              <w:t>=</w:t>
            </w:r>
            <w:r w:rsidRPr="00415FA2">
              <w:rPr>
                <w:bCs/>
                <w:szCs w:val="24"/>
              </w:rPr>
              <w:t xml:space="preserve"> 4.2% (95% CI: 3.7-4.7</w:t>
            </w:r>
            <w:r w:rsidRPr="00415FA2">
              <w:rPr>
                <w:rFonts w:cs="Calibri"/>
                <w:bCs/>
                <w:szCs w:val="24"/>
              </w:rPr>
              <w:t>)</w:t>
            </w:r>
            <w:r w:rsidRPr="00415FA2">
              <w:rPr>
                <w:bCs/>
                <w:color w:val="000000"/>
                <w:szCs w:val="24"/>
              </w:rPr>
              <w:t>.</w:t>
            </w:r>
          </w:p>
        </w:tc>
      </w:tr>
    </w:tbl>
    <w:p w:rsidR="00A327E6" w:rsidRDefault="00A327E6" w:rsidP="00E44AAF">
      <w:pPr>
        <w:spacing w:before="100" w:beforeAutospacing="1" w:after="100" w:afterAutospacing="1" w:line="400" w:lineRule="atLeast"/>
        <w:rPr>
          <w:rStyle w:val="Emphasis"/>
          <w:b/>
          <w:szCs w:val="24"/>
        </w:rPr>
      </w:pPr>
    </w:p>
    <w:p w:rsidR="00A327E6" w:rsidRDefault="00A327E6" w:rsidP="00E44AAF">
      <w:pPr>
        <w:spacing w:before="100" w:beforeAutospacing="1" w:after="100" w:afterAutospacing="1" w:line="400" w:lineRule="atLeast"/>
        <w:rPr>
          <w:rStyle w:val="Emphasis"/>
          <w:b/>
          <w:szCs w:val="24"/>
        </w:rPr>
      </w:pPr>
    </w:p>
    <w:p w:rsidR="00A327E6" w:rsidRDefault="00A327E6" w:rsidP="00E44AAF">
      <w:pPr>
        <w:spacing w:before="100" w:beforeAutospacing="1" w:after="100" w:afterAutospacing="1" w:line="400" w:lineRule="atLeast"/>
        <w:rPr>
          <w:rStyle w:val="Emphasis"/>
          <w:b/>
          <w:szCs w:val="24"/>
        </w:rPr>
      </w:pPr>
    </w:p>
    <w:p w:rsidR="00A327E6" w:rsidRPr="0021796A" w:rsidRDefault="00A327E6" w:rsidP="00E44AAF">
      <w:pPr>
        <w:spacing w:before="100" w:beforeAutospacing="1" w:after="100" w:afterAutospacing="1" w:line="400" w:lineRule="atLeast"/>
        <w:rPr>
          <w:rStyle w:val="Emphasis"/>
          <w:b/>
          <w:szCs w:val="24"/>
        </w:rPr>
      </w:pPr>
      <w:r w:rsidRPr="0021796A">
        <w:rPr>
          <w:rStyle w:val="Emphasis"/>
          <w:b/>
          <w:szCs w:val="24"/>
        </w:rPr>
        <w:t>Children</w:t>
      </w:r>
    </w:p>
    <w:p w:rsidR="00A327E6" w:rsidRPr="0021796A" w:rsidRDefault="00A327E6" w:rsidP="00517414">
      <w:pPr>
        <w:pStyle w:val="NormalIndent"/>
        <w:spacing w:before="100" w:beforeAutospacing="1" w:after="100" w:afterAutospacing="1" w:line="400" w:lineRule="atLeast"/>
        <w:rPr>
          <w:szCs w:val="24"/>
        </w:rPr>
      </w:pPr>
      <w:r w:rsidRPr="0021796A">
        <w:rPr>
          <w:szCs w:val="24"/>
        </w:rPr>
        <w:t>Estimates of the prevalence of respiratory outcomes among children in the LAHS area are presented in Table 6-4</w:t>
      </w:r>
      <w:r>
        <w:rPr>
          <w:szCs w:val="24"/>
        </w:rPr>
        <w:t xml:space="preserve">.  </w:t>
      </w:r>
      <w:r w:rsidRPr="0021796A">
        <w:rPr>
          <w:szCs w:val="24"/>
        </w:rPr>
        <w:t>The</w:t>
      </w:r>
      <w:r>
        <w:rPr>
          <w:szCs w:val="24"/>
        </w:rPr>
        <w:t xml:space="preserve"> prevalence of health outcomes </w:t>
      </w:r>
      <w:r w:rsidRPr="0021796A">
        <w:rPr>
          <w:szCs w:val="24"/>
        </w:rPr>
        <w:t>was calculated using weighted sample data to be representative of the study area in terms of race, ethnicity, age, sex, and household income</w:t>
      </w:r>
      <w:r>
        <w:rPr>
          <w:szCs w:val="24"/>
        </w:rPr>
        <w:t xml:space="preserve">.  </w:t>
      </w:r>
      <w:r w:rsidRPr="0021796A">
        <w:rPr>
          <w:szCs w:val="24"/>
        </w:rPr>
        <w:t>For more information about the weighting process, refer to Chapter 5 (section 5.2.2).</w:t>
      </w:r>
    </w:p>
    <w:p w:rsidR="00A327E6" w:rsidRDefault="00A327E6" w:rsidP="00517414">
      <w:pPr>
        <w:pStyle w:val="NormalIndent"/>
        <w:spacing w:before="100" w:beforeAutospacing="1" w:after="100" w:afterAutospacing="1" w:line="400" w:lineRule="atLeast"/>
        <w:rPr>
          <w:szCs w:val="24"/>
        </w:rPr>
      </w:pPr>
      <w:r w:rsidRPr="0021796A">
        <w:rPr>
          <w:szCs w:val="24"/>
        </w:rPr>
        <w:t xml:space="preserve">The overall prevalence of lifetime asthma among children in the LAHS study area in 2005 was 21.2% compared to the statewide </w:t>
      </w:r>
      <w:r>
        <w:rPr>
          <w:szCs w:val="24"/>
        </w:rPr>
        <w:t xml:space="preserve">2005-2007 </w:t>
      </w:r>
      <w:r w:rsidRPr="0021796A">
        <w:rPr>
          <w:szCs w:val="24"/>
        </w:rPr>
        <w:t>average among children (14.4%)</w:t>
      </w:r>
      <w:r>
        <w:rPr>
          <w:szCs w:val="24"/>
        </w:rPr>
        <w:t xml:space="preserve">.  </w:t>
      </w:r>
      <w:r w:rsidRPr="0021796A">
        <w:rPr>
          <w:szCs w:val="24"/>
        </w:rPr>
        <w:t xml:space="preserve">The prevalence of current asthma among children in the LAHS was 14.8% of children compared with </w:t>
      </w:r>
      <w:r>
        <w:rPr>
          <w:szCs w:val="24"/>
        </w:rPr>
        <w:t>the state</w:t>
      </w:r>
      <w:r w:rsidRPr="0021796A">
        <w:rPr>
          <w:szCs w:val="24"/>
        </w:rPr>
        <w:t xml:space="preserve">wide </w:t>
      </w:r>
      <w:r>
        <w:rPr>
          <w:szCs w:val="24"/>
        </w:rPr>
        <w:t xml:space="preserve">2005-2007 </w:t>
      </w:r>
      <w:r w:rsidRPr="0021796A">
        <w:rPr>
          <w:szCs w:val="24"/>
        </w:rPr>
        <w:t>average of 10.3%.  About 12.6% of children in the LAHS were reported to have current asthma that required the use of medication</w:t>
      </w:r>
      <w:r>
        <w:rPr>
          <w:szCs w:val="24"/>
        </w:rPr>
        <w:t xml:space="preserve">.  </w:t>
      </w:r>
      <w:r w:rsidRPr="0021796A">
        <w:rPr>
          <w:szCs w:val="24"/>
        </w:rPr>
        <w:t>Among children not reported to have been diagnosed with asthma, 3.6% were reported to have symptoms consistent with asthma (probable asthma)</w:t>
      </w:r>
      <w:r>
        <w:rPr>
          <w:szCs w:val="24"/>
        </w:rPr>
        <w:t xml:space="preserve">.  </w:t>
      </w:r>
      <w:r w:rsidRPr="0021796A">
        <w:rPr>
          <w:szCs w:val="24"/>
        </w:rPr>
        <w:t xml:space="preserve">Of the children reported to have current asthma, 41.0% had visited the hospital for asthma at least once in the previous 12 months.  As presented in </w:t>
      </w:r>
      <w:r>
        <w:rPr>
          <w:szCs w:val="24"/>
        </w:rPr>
        <w:t>Table 6-4,</w:t>
      </w:r>
      <w:r w:rsidRPr="0021796A">
        <w:rPr>
          <w:szCs w:val="24"/>
        </w:rPr>
        <w:t xml:space="preserve"> for both lifetime asthma and current asthma, the prevalence in children in the LAHS area is statistically significantly higher than among</w:t>
      </w:r>
      <w:r>
        <w:rPr>
          <w:szCs w:val="24"/>
        </w:rPr>
        <w:t xml:space="preserve"> </w:t>
      </w:r>
      <w:r w:rsidRPr="0021796A">
        <w:rPr>
          <w:szCs w:val="24"/>
        </w:rPr>
        <w:t>children statewide.</w:t>
      </w:r>
    </w:p>
    <w:p w:rsidR="00A327E6" w:rsidRDefault="00A327E6">
      <w:pPr>
        <w:spacing w:before="0" w:after="0" w:line="240" w:lineRule="auto"/>
        <w:rPr>
          <w:szCs w:val="24"/>
        </w:rPr>
      </w:pPr>
      <w:r>
        <w:rPr>
          <w:szCs w:val="24"/>
        </w:rPr>
        <w:br w:type="page"/>
      </w:r>
    </w:p>
    <w:p w:rsidR="00A327E6" w:rsidRDefault="00A327E6" w:rsidP="00E17A00">
      <w:pPr>
        <w:pStyle w:val="Caption"/>
        <w:spacing w:before="0" w:after="0" w:line="240" w:lineRule="auto"/>
        <w:rPr>
          <w:szCs w:val="24"/>
        </w:rPr>
      </w:pPr>
      <w:bookmarkStart w:id="212" w:name="_Toc386796297"/>
      <w:r>
        <w:t xml:space="preserve">Table </w:t>
      </w:r>
      <w:fldSimple w:instr=" STYLEREF 1 \s ">
        <w:r>
          <w:rPr>
            <w:noProof/>
          </w:rPr>
          <w:t>6</w:t>
        </w:r>
      </w:fldSimple>
      <w:r>
        <w:noBreakHyphen/>
      </w:r>
      <w:fldSimple w:instr=" SEQ Table \* ARABIC \s 1 ">
        <w:r>
          <w:rPr>
            <w:noProof/>
          </w:rPr>
          <w:t>4</w:t>
        </w:r>
      </w:fldSimple>
      <w:r>
        <w:t xml:space="preserve">.  </w:t>
      </w:r>
      <w:r w:rsidRPr="0021796A">
        <w:rPr>
          <w:szCs w:val="24"/>
        </w:rPr>
        <w:t xml:space="preserve">Prevalence Estimates of Respiratory Disease </w:t>
      </w:r>
      <w:r>
        <w:rPr>
          <w:szCs w:val="24"/>
        </w:rPr>
        <w:t>A</w:t>
      </w:r>
      <w:r w:rsidRPr="0021796A">
        <w:rPr>
          <w:szCs w:val="24"/>
        </w:rPr>
        <w:t>mong Children in the Logan Airport Health Study Area (2005)</w:t>
      </w:r>
      <w:bookmarkEnd w:id="212"/>
    </w:p>
    <w:p w:rsidR="00A327E6" w:rsidRPr="00E17A00" w:rsidRDefault="00A327E6" w:rsidP="00E17A00">
      <w:pPr>
        <w:spacing w:before="0" w:after="0" w:line="240" w:lineRule="auto"/>
      </w:pPr>
    </w:p>
    <w:tbl>
      <w:tblPr>
        <w:tblW w:w="9468" w:type="dxa"/>
        <w:tblBorders>
          <w:top w:val="single" w:sz="8" w:space="0" w:color="4F81BD"/>
          <w:left w:val="single" w:sz="8" w:space="0" w:color="4F81BD"/>
          <w:bottom w:val="single" w:sz="8" w:space="0" w:color="4F81BD"/>
          <w:right w:val="single" w:sz="8" w:space="0" w:color="4F81BD"/>
        </w:tblBorders>
        <w:tblLayout w:type="fixed"/>
        <w:tblLook w:val="00A0"/>
      </w:tblPr>
      <w:tblGrid>
        <w:gridCol w:w="3078"/>
        <w:gridCol w:w="1645"/>
        <w:gridCol w:w="2340"/>
        <w:gridCol w:w="2405"/>
      </w:tblGrid>
      <w:tr w:rsidR="00A327E6" w:rsidRPr="00FF1256" w:rsidTr="00415FA2">
        <w:trPr>
          <w:trHeight w:val="315"/>
        </w:trPr>
        <w:tc>
          <w:tcPr>
            <w:tcW w:w="3078" w:type="dxa"/>
            <w:tcBorders>
              <w:top w:val="single" w:sz="8" w:space="0" w:color="4F81BD"/>
              <w:right w:val="nil"/>
            </w:tcBorders>
            <w:shd w:val="clear" w:color="auto" w:fill="4F81BD"/>
            <w:noWrap/>
            <w:vAlign w:val="center"/>
          </w:tcPr>
          <w:p w:rsidR="00A327E6" w:rsidRPr="00415FA2" w:rsidRDefault="00A327E6" w:rsidP="00415FA2">
            <w:pPr>
              <w:spacing w:before="0" w:after="0" w:line="400" w:lineRule="atLeast"/>
              <w:rPr>
                <w:b/>
                <w:bCs/>
                <w:color w:val="FFFFFF"/>
                <w:szCs w:val="24"/>
                <w:lang w:eastAsia="zh-TW"/>
              </w:rPr>
            </w:pPr>
            <w:r w:rsidRPr="00415FA2">
              <w:rPr>
                <w:b/>
                <w:bCs/>
                <w:color w:val="FFFFFF"/>
                <w:szCs w:val="24"/>
                <w:lang w:eastAsia="zh-TW"/>
              </w:rPr>
              <w:t>Health Outcome</w:t>
            </w:r>
          </w:p>
        </w:tc>
        <w:tc>
          <w:tcPr>
            <w:tcW w:w="1645" w:type="dxa"/>
            <w:tcBorders>
              <w:top w:val="single" w:sz="8" w:space="0" w:color="4F81BD"/>
              <w:left w:val="nil"/>
              <w:right w:val="nil"/>
            </w:tcBorders>
            <w:shd w:val="clear" w:color="auto" w:fill="4F81BD"/>
            <w:noWrap/>
            <w:vAlign w:val="center"/>
          </w:tcPr>
          <w:p w:rsidR="00A327E6" w:rsidRPr="00415FA2" w:rsidRDefault="00A327E6" w:rsidP="00415FA2">
            <w:pPr>
              <w:spacing w:before="0" w:after="0" w:line="400" w:lineRule="atLeast"/>
              <w:jc w:val="center"/>
              <w:rPr>
                <w:b/>
                <w:bCs/>
                <w:color w:val="FFFFFF"/>
                <w:szCs w:val="24"/>
                <w:lang w:eastAsia="zh-TW"/>
              </w:rPr>
            </w:pPr>
            <w:r w:rsidRPr="00415FA2">
              <w:rPr>
                <w:b/>
                <w:bCs/>
                <w:color w:val="FFFFFF"/>
                <w:szCs w:val="24"/>
                <w:lang w:eastAsia="zh-TW"/>
              </w:rPr>
              <w:t>Sample Size</w:t>
            </w:r>
            <w:r w:rsidRPr="00415FA2">
              <w:rPr>
                <w:b/>
                <w:bCs/>
                <w:color w:val="FFFFFF"/>
                <w:szCs w:val="24"/>
                <w:vertAlign w:val="superscript"/>
                <w:lang w:eastAsia="zh-TW"/>
              </w:rPr>
              <w:t>a</w:t>
            </w:r>
          </w:p>
        </w:tc>
        <w:tc>
          <w:tcPr>
            <w:tcW w:w="2340" w:type="dxa"/>
            <w:tcBorders>
              <w:top w:val="single" w:sz="8" w:space="0" w:color="4F81BD"/>
              <w:left w:val="nil"/>
              <w:right w:val="nil"/>
            </w:tcBorders>
            <w:shd w:val="clear" w:color="auto" w:fill="4F81BD"/>
            <w:vAlign w:val="center"/>
          </w:tcPr>
          <w:p w:rsidR="00A327E6" w:rsidRPr="00415FA2" w:rsidRDefault="00A327E6" w:rsidP="00415FA2">
            <w:pPr>
              <w:spacing w:before="0" w:after="0" w:line="240" w:lineRule="auto"/>
              <w:jc w:val="center"/>
              <w:rPr>
                <w:b/>
                <w:bCs/>
                <w:color w:val="FFFFFF"/>
                <w:szCs w:val="24"/>
                <w:lang w:eastAsia="zh-TW"/>
              </w:rPr>
            </w:pPr>
            <w:r w:rsidRPr="00415FA2">
              <w:rPr>
                <w:b/>
                <w:bCs/>
                <w:color w:val="FFFFFF"/>
                <w:szCs w:val="24"/>
                <w:lang w:eastAsia="zh-TW"/>
              </w:rPr>
              <w:t>Prevalence,</w:t>
            </w:r>
          </w:p>
          <w:p w:rsidR="00A327E6" w:rsidRPr="00415FA2" w:rsidRDefault="00A327E6" w:rsidP="00415FA2">
            <w:pPr>
              <w:spacing w:before="0" w:after="0" w:line="240" w:lineRule="auto"/>
              <w:jc w:val="center"/>
              <w:rPr>
                <w:b/>
                <w:bCs/>
                <w:color w:val="FFFFFF"/>
                <w:szCs w:val="24"/>
                <w:lang w:eastAsia="zh-TW"/>
              </w:rPr>
            </w:pPr>
            <w:r w:rsidRPr="00415FA2">
              <w:rPr>
                <w:b/>
                <w:bCs/>
                <w:color w:val="FFFFFF"/>
                <w:szCs w:val="24"/>
                <w:lang w:eastAsia="zh-TW"/>
              </w:rPr>
              <w:t>Percent (%)</w:t>
            </w:r>
            <w:r w:rsidRPr="00415FA2">
              <w:rPr>
                <w:b/>
                <w:bCs/>
                <w:color w:val="FFFFFF"/>
                <w:szCs w:val="24"/>
                <w:vertAlign w:val="superscript"/>
                <w:lang w:eastAsia="zh-TW"/>
              </w:rPr>
              <w:t>b, c</w:t>
            </w:r>
          </w:p>
        </w:tc>
        <w:tc>
          <w:tcPr>
            <w:tcW w:w="2405" w:type="dxa"/>
            <w:tcBorders>
              <w:top w:val="single" w:sz="8" w:space="0" w:color="4F81BD"/>
              <w:left w:val="nil"/>
            </w:tcBorders>
            <w:shd w:val="clear" w:color="auto" w:fill="4F81BD"/>
            <w:vAlign w:val="center"/>
          </w:tcPr>
          <w:p w:rsidR="00A327E6" w:rsidRPr="00415FA2" w:rsidRDefault="00A327E6" w:rsidP="00415FA2">
            <w:pPr>
              <w:spacing w:before="0" w:after="0" w:line="240" w:lineRule="auto"/>
              <w:jc w:val="center"/>
              <w:rPr>
                <w:b/>
                <w:bCs/>
                <w:color w:val="FFFFFF"/>
                <w:szCs w:val="24"/>
                <w:lang w:eastAsia="zh-TW"/>
              </w:rPr>
            </w:pPr>
            <w:r w:rsidRPr="00415FA2">
              <w:rPr>
                <w:b/>
                <w:bCs/>
                <w:color w:val="FFFFFF"/>
                <w:szCs w:val="24"/>
                <w:lang w:eastAsia="zh-TW"/>
              </w:rPr>
              <w:t>95% Confidence Interval</w:t>
            </w:r>
          </w:p>
        </w:tc>
      </w:tr>
      <w:tr w:rsidR="00A327E6" w:rsidRPr="0021796A" w:rsidTr="00415FA2">
        <w:trPr>
          <w:trHeight w:val="576"/>
        </w:trPr>
        <w:tc>
          <w:tcPr>
            <w:tcW w:w="3078" w:type="dxa"/>
            <w:tcBorders>
              <w:top w:val="single" w:sz="8" w:space="0" w:color="4F81BD"/>
              <w:bottom w:val="single" w:sz="8" w:space="0" w:color="4F81BD"/>
              <w:right w:val="nil"/>
            </w:tcBorders>
            <w:noWrap/>
            <w:vAlign w:val="center"/>
          </w:tcPr>
          <w:p w:rsidR="00A327E6" w:rsidRPr="00415FA2" w:rsidRDefault="00A327E6" w:rsidP="00415FA2">
            <w:pPr>
              <w:spacing w:before="0" w:after="0" w:line="400" w:lineRule="atLeast"/>
              <w:rPr>
                <w:b/>
                <w:bCs/>
                <w:szCs w:val="24"/>
                <w:lang w:eastAsia="zh-TW"/>
              </w:rPr>
            </w:pPr>
            <w:r w:rsidRPr="00415FA2">
              <w:rPr>
                <w:b/>
                <w:bCs/>
                <w:szCs w:val="24"/>
                <w:lang w:eastAsia="zh-TW"/>
              </w:rPr>
              <w:t>Lifetime Asthma</w:t>
            </w:r>
          </w:p>
        </w:tc>
        <w:tc>
          <w:tcPr>
            <w:tcW w:w="1645" w:type="dxa"/>
            <w:tcBorders>
              <w:top w:val="single" w:sz="8" w:space="0" w:color="4F81BD"/>
              <w:left w:val="nil"/>
              <w:bottom w:val="single" w:sz="8" w:space="0" w:color="4F81BD"/>
              <w:right w:val="nil"/>
            </w:tcBorders>
            <w:noWrap/>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2201</w:t>
            </w:r>
          </w:p>
        </w:tc>
        <w:tc>
          <w:tcPr>
            <w:tcW w:w="2340" w:type="dxa"/>
            <w:tcBorders>
              <w:top w:val="single" w:sz="8" w:space="0" w:color="4F81BD"/>
              <w:left w:val="nil"/>
              <w:bottom w:val="single" w:sz="8" w:space="0" w:color="4F81BD"/>
              <w:right w:val="nil"/>
            </w:tcBorders>
            <w:noWrap/>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21.2</w:t>
            </w:r>
          </w:p>
        </w:tc>
        <w:tc>
          <w:tcPr>
            <w:tcW w:w="2405" w:type="dxa"/>
            <w:tcBorders>
              <w:top w:val="single" w:sz="8" w:space="0" w:color="4F81BD"/>
              <w:left w:val="nil"/>
              <w:bottom w:val="single" w:sz="8" w:space="0" w:color="4F81BD"/>
            </w:tcBorders>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(18.9 - 23.5)</w:t>
            </w:r>
          </w:p>
        </w:tc>
      </w:tr>
      <w:tr w:rsidR="00A327E6" w:rsidRPr="0021796A" w:rsidTr="00415FA2">
        <w:trPr>
          <w:trHeight w:val="576"/>
        </w:trPr>
        <w:tc>
          <w:tcPr>
            <w:tcW w:w="3078" w:type="dxa"/>
            <w:tcBorders>
              <w:right w:val="nil"/>
            </w:tcBorders>
            <w:vAlign w:val="center"/>
          </w:tcPr>
          <w:p w:rsidR="00A327E6" w:rsidRPr="00415FA2" w:rsidRDefault="00A327E6" w:rsidP="00415FA2">
            <w:pPr>
              <w:spacing w:before="0" w:after="0" w:line="400" w:lineRule="atLeast"/>
              <w:rPr>
                <w:b/>
                <w:bCs/>
                <w:szCs w:val="24"/>
                <w:lang w:eastAsia="zh-TW"/>
              </w:rPr>
            </w:pPr>
            <w:r w:rsidRPr="00415FA2">
              <w:rPr>
                <w:b/>
                <w:bCs/>
                <w:szCs w:val="24"/>
                <w:lang w:eastAsia="zh-TW"/>
              </w:rPr>
              <w:t xml:space="preserve">Current </w:t>
            </w:r>
            <w:r w:rsidRPr="00415FA2">
              <w:rPr>
                <w:rFonts w:cs="Calibri"/>
                <w:b/>
                <w:bCs/>
                <w:szCs w:val="24"/>
                <w:lang w:eastAsia="zh-TW"/>
              </w:rPr>
              <w:t>Asthma</w:t>
            </w:r>
          </w:p>
        </w:tc>
        <w:tc>
          <w:tcPr>
            <w:tcW w:w="1645" w:type="dxa"/>
            <w:tcBorders>
              <w:left w:val="nil"/>
              <w:right w:val="nil"/>
            </w:tcBorders>
            <w:noWrap/>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2192</w:t>
            </w:r>
          </w:p>
        </w:tc>
        <w:tc>
          <w:tcPr>
            <w:tcW w:w="2340" w:type="dxa"/>
            <w:tcBorders>
              <w:left w:val="nil"/>
              <w:right w:val="nil"/>
            </w:tcBorders>
            <w:noWrap/>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14.8</w:t>
            </w:r>
          </w:p>
        </w:tc>
        <w:tc>
          <w:tcPr>
            <w:tcW w:w="2405" w:type="dxa"/>
            <w:tcBorders>
              <w:left w:val="nil"/>
            </w:tcBorders>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(12.8 - 16.8)</w:t>
            </w:r>
          </w:p>
        </w:tc>
      </w:tr>
      <w:tr w:rsidR="00A327E6" w:rsidRPr="0021796A" w:rsidTr="00415FA2">
        <w:trPr>
          <w:trHeight w:val="576"/>
        </w:trPr>
        <w:tc>
          <w:tcPr>
            <w:tcW w:w="3078" w:type="dxa"/>
            <w:tcBorders>
              <w:top w:val="single" w:sz="8" w:space="0" w:color="4F81BD"/>
              <w:bottom w:val="single" w:sz="8" w:space="0" w:color="4F81BD"/>
              <w:right w:val="nil"/>
            </w:tcBorders>
            <w:vAlign w:val="center"/>
          </w:tcPr>
          <w:p w:rsidR="00A327E6" w:rsidRPr="00415FA2" w:rsidRDefault="00A327E6" w:rsidP="00415FA2">
            <w:pPr>
              <w:spacing w:before="0" w:after="0" w:line="240" w:lineRule="auto"/>
              <w:rPr>
                <w:b/>
                <w:bCs/>
                <w:szCs w:val="24"/>
                <w:lang w:eastAsia="zh-TW"/>
              </w:rPr>
            </w:pPr>
            <w:r w:rsidRPr="00415FA2">
              <w:rPr>
                <w:b/>
                <w:bCs/>
                <w:szCs w:val="24"/>
                <w:lang w:eastAsia="zh-TW"/>
              </w:rPr>
              <w:t>Current Asthma with Medication Use</w:t>
            </w:r>
          </w:p>
        </w:tc>
        <w:tc>
          <w:tcPr>
            <w:tcW w:w="1645" w:type="dxa"/>
            <w:tcBorders>
              <w:top w:val="single" w:sz="8" w:space="0" w:color="4F81BD"/>
              <w:left w:val="nil"/>
              <w:bottom w:val="single" w:sz="8" w:space="0" w:color="4F81BD"/>
              <w:right w:val="nil"/>
            </w:tcBorders>
            <w:noWrap/>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2191</w:t>
            </w:r>
          </w:p>
        </w:tc>
        <w:tc>
          <w:tcPr>
            <w:tcW w:w="2340" w:type="dxa"/>
            <w:tcBorders>
              <w:top w:val="single" w:sz="8" w:space="0" w:color="4F81BD"/>
              <w:left w:val="nil"/>
              <w:bottom w:val="single" w:sz="8" w:space="0" w:color="4F81BD"/>
              <w:right w:val="nil"/>
            </w:tcBorders>
            <w:noWrap/>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12.6</w:t>
            </w:r>
          </w:p>
        </w:tc>
        <w:tc>
          <w:tcPr>
            <w:tcW w:w="2405" w:type="dxa"/>
            <w:tcBorders>
              <w:top w:val="single" w:sz="8" w:space="0" w:color="4F81BD"/>
              <w:left w:val="nil"/>
              <w:bottom w:val="single" w:sz="8" w:space="0" w:color="4F81BD"/>
            </w:tcBorders>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(10.7 - 14.5)</w:t>
            </w:r>
          </w:p>
        </w:tc>
      </w:tr>
      <w:tr w:rsidR="00A327E6" w:rsidRPr="0021796A" w:rsidTr="00415FA2">
        <w:trPr>
          <w:trHeight w:val="576"/>
        </w:trPr>
        <w:tc>
          <w:tcPr>
            <w:tcW w:w="3078" w:type="dxa"/>
            <w:tcBorders>
              <w:right w:val="nil"/>
            </w:tcBorders>
            <w:noWrap/>
            <w:vAlign w:val="center"/>
          </w:tcPr>
          <w:p w:rsidR="00A327E6" w:rsidRPr="00415FA2" w:rsidRDefault="00A327E6" w:rsidP="00415FA2">
            <w:pPr>
              <w:spacing w:before="0" w:after="0" w:line="400" w:lineRule="atLeast"/>
              <w:rPr>
                <w:b/>
                <w:bCs/>
                <w:szCs w:val="24"/>
                <w:lang w:eastAsia="zh-TW"/>
              </w:rPr>
            </w:pPr>
            <w:r w:rsidRPr="00415FA2">
              <w:rPr>
                <w:b/>
                <w:bCs/>
                <w:szCs w:val="24"/>
                <w:lang w:eastAsia="zh-TW"/>
              </w:rPr>
              <w:t>Probable Asthma</w:t>
            </w:r>
          </w:p>
        </w:tc>
        <w:tc>
          <w:tcPr>
            <w:tcW w:w="1645" w:type="dxa"/>
            <w:tcBorders>
              <w:left w:val="nil"/>
              <w:right w:val="nil"/>
            </w:tcBorders>
            <w:noWrap/>
            <w:vAlign w:val="center"/>
          </w:tcPr>
          <w:p w:rsidR="00A327E6" w:rsidRPr="00415FA2" w:rsidRDefault="00A327E6" w:rsidP="00415FA2">
            <w:pPr>
              <w:spacing w:before="0" w:after="0" w:line="400" w:lineRule="atLeast"/>
              <w:jc w:val="center"/>
              <w:rPr>
                <w:szCs w:val="24"/>
                <w:highlight w:val="yellow"/>
                <w:lang w:eastAsia="zh-TW"/>
              </w:rPr>
            </w:pPr>
            <w:r w:rsidRPr="00415FA2">
              <w:rPr>
                <w:szCs w:val="24"/>
                <w:lang w:eastAsia="zh-TW"/>
              </w:rPr>
              <w:t>1749</w:t>
            </w:r>
          </w:p>
        </w:tc>
        <w:tc>
          <w:tcPr>
            <w:tcW w:w="2340" w:type="dxa"/>
            <w:tcBorders>
              <w:left w:val="nil"/>
              <w:right w:val="nil"/>
            </w:tcBorders>
            <w:noWrap/>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3.6</w:t>
            </w:r>
          </w:p>
        </w:tc>
        <w:tc>
          <w:tcPr>
            <w:tcW w:w="2405" w:type="dxa"/>
            <w:tcBorders>
              <w:left w:val="nil"/>
            </w:tcBorders>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(2.5 - 4.7)</w:t>
            </w:r>
          </w:p>
        </w:tc>
      </w:tr>
      <w:tr w:rsidR="00A327E6" w:rsidRPr="0021796A" w:rsidTr="00415FA2">
        <w:trPr>
          <w:trHeight w:val="576"/>
        </w:trPr>
        <w:tc>
          <w:tcPr>
            <w:tcW w:w="3078" w:type="dxa"/>
            <w:tcBorders>
              <w:top w:val="single" w:sz="8" w:space="0" w:color="4F81BD"/>
              <w:bottom w:val="single" w:sz="8" w:space="0" w:color="4F81BD"/>
              <w:right w:val="nil"/>
            </w:tcBorders>
            <w:noWrap/>
            <w:vAlign w:val="center"/>
          </w:tcPr>
          <w:p w:rsidR="00A327E6" w:rsidRPr="00415FA2" w:rsidRDefault="00A327E6" w:rsidP="00415FA2">
            <w:pPr>
              <w:spacing w:before="0" w:after="0" w:line="400" w:lineRule="atLeast"/>
              <w:rPr>
                <w:b/>
                <w:bCs/>
                <w:szCs w:val="24"/>
                <w:lang w:eastAsia="zh-TW"/>
              </w:rPr>
            </w:pPr>
            <w:r w:rsidRPr="00415FA2">
              <w:rPr>
                <w:b/>
                <w:bCs/>
                <w:szCs w:val="24"/>
                <w:lang w:eastAsia="zh-TW"/>
              </w:rPr>
              <w:t>Asthma Hospitalization</w:t>
            </w:r>
          </w:p>
        </w:tc>
        <w:tc>
          <w:tcPr>
            <w:tcW w:w="1645" w:type="dxa"/>
            <w:tcBorders>
              <w:top w:val="single" w:sz="8" w:space="0" w:color="4F81BD"/>
              <w:left w:val="nil"/>
              <w:bottom w:val="single" w:sz="8" w:space="0" w:color="4F81BD"/>
              <w:right w:val="nil"/>
            </w:tcBorders>
            <w:noWrap/>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328</w:t>
            </w:r>
          </w:p>
        </w:tc>
        <w:tc>
          <w:tcPr>
            <w:tcW w:w="2340" w:type="dxa"/>
            <w:tcBorders>
              <w:top w:val="single" w:sz="8" w:space="0" w:color="4F81BD"/>
              <w:left w:val="nil"/>
              <w:bottom w:val="single" w:sz="8" w:space="0" w:color="4F81BD"/>
              <w:right w:val="nil"/>
            </w:tcBorders>
            <w:noWrap/>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41.0</w:t>
            </w:r>
          </w:p>
        </w:tc>
        <w:tc>
          <w:tcPr>
            <w:tcW w:w="2405" w:type="dxa"/>
            <w:tcBorders>
              <w:top w:val="single" w:sz="8" w:space="0" w:color="4F81BD"/>
              <w:left w:val="nil"/>
              <w:bottom w:val="single" w:sz="8" w:space="0" w:color="4F81BD"/>
            </w:tcBorders>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(33.6 - 48.3)</w:t>
            </w:r>
          </w:p>
        </w:tc>
      </w:tr>
      <w:tr w:rsidR="00A327E6" w:rsidRPr="0021796A" w:rsidTr="00415FA2">
        <w:trPr>
          <w:trHeight w:val="576"/>
        </w:trPr>
        <w:tc>
          <w:tcPr>
            <w:tcW w:w="3078" w:type="dxa"/>
            <w:tcBorders>
              <w:right w:val="nil"/>
            </w:tcBorders>
            <w:noWrap/>
            <w:vAlign w:val="center"/>
          </w:tcPr>
          <w:p w:rsidR="00A327E6" w:rsidRPr="00415FA2" w:rsidRDefault="00A327E6" w:rsidP="00415FA2">
            <w:pPr>
              <w:spacing w:before="0" w:after="0" w:line="240" w:lineRule="auto"/>
              <w:rPr>
                <w:b/>
                <w:bCs/>
                <w:szCs w:val="24"/>
                <w:lang w:eastAsia="zh-TW"/>
              </w:rPr>
            </w:pPr>
            <w:r w:rsidRPr="00415FA2">
              <w:rPr>
                <w:b/>
                <w:bCs/>
                <w:szCs w:val="24"/>
                <w:lang w:eastAsia="zh-TW"/>
              </w:rPr>
              <w:t>Chronic Bronchitis/</w:t>
            </w:r>
          </w:p>
          <w:p w:rsidR="00A327E6" w:rsidRPr="00415FA2" w:rsidRDefault="00A327E6" w:rsidP="00415FA2">
            <w:pPr>
              <w:spacing w:before="0" w:after="0" w:line="240" w:lineRule="auto"/>
              <w:rPr>
                <w:b/>
                <w:bCs/>
                <w:szCs w:val="24"/>
                <w:lang w:eastAsia="zh-TW"/>
              </w:rPr>
            </w:pPr>
            <w:r w:rsidRPr="00415FA2">
              <w:rPr>
                <w:b/>
                <w:bCs/>
                <w:szCs w:val="24"/>
                <w:lang w:eastAsia="zh-TW"/>
              </w:rPr>
              <w:t>Chest Infections</w:t>
            </w:r>
          </w:p>
        </w:tc>
        <w:tc>
          <w:tcPr>
            <w:tcW w:w="1645" w:type="dxa"/>
            <w:tcBorders>
              <w:left w:val="nil"/>
              <w:right w:val="nil"/>
            </w:tcBorders>
            <w:noWrap/>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2203</w:t>
            </w:r>
          </w:p>
        </w:tc>
        <w:tc>
          <w:tcPr>
            <w:tcW w:w="2340" w:type="dxa"/>
            <w:tcBorders>
              <w:left w:val="nil"/>
              <w:right w:val="nil"/>
            </w:tcBorders>
            <w:noWrap/>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6.3</w:t>
            </w:r>
          </w:p>
        </w:tc>
        <w:tc>
          <w:tcPr>
            <w:tcW w:w="2405" w:type="dxa"/>
            <w:tcBorders>
              <w:left w:val="nil"/>
            </w:tcBorders>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(4.9 - 7.7)</w:t>
            </w:r>
          </w:p>
        </w:tc>
      </w:tr>
      <w:tr w:rsidR="00A327E6" w:rsidRPr="0021796A" w:rsidTr="00415FA2">
        <w:trPr>
          <w:trHeight w:val="315"/>
        </w:trPr>
        <w:tc>
          <w:tcPr>
            <w:tcW w:w="9468" w:type="dxa"/>
            <w:gridSpan w:val="4"/>
            <w:tcBorders>
              <w:top w:val="single" w:sz="8" w:space="0" w:color="4F81BD"/>
              <w:bottom w:val="single" w:sz="8" w:space="0" w:color="4F81BD"/>
            </w:tcBorders>
            <w:noWrap/>
          </w:tcPr>
          <w:p w:rsidR="00A327E6" w:rsidRPr="00415FA2" w:rsidRDefault="00A327E6" w:rsidP="00415FA2">
            <w:pPr>
              <w:pStyle w:val="NormalIndent"/>
              <w:spacing w:before="0" w:after="0" w:line="240" w:lineRule="auto"/>
              <w:ind w:firstLine="0"/>
              <w:rPr>
                <w:b/>
                <w:bCs/>
                <w:color w:val="000000"/>
                <w:szCs w:val="24"/>
              </w:rPr>
            </w:pPr>
            <w:r w:rsidRPr="00415FA2">
              <w:rPr>
                <w:bCs/>
                <w:color w:val="000000"/>
                <w:szCs w:val="24"/>
                <w:vertAlign w:val="superscript"/>
              </w:rPr>
              <w:t>a</w:t>
            </w:r>
            <w:r w:rsidRPr="00415FA2">
              <w:rPr>
                <w:bCs/>
                <w:color w:val="000000"/>
                <w:szCs w:val="24"/>
              </w:rPr>
              <w:t>Sample sizes vary slightly based on the number of "don't know/refuse" responses for each outcome. Additionally, probable asthma was assessed only among those without lifetime asthma, and asthma hospitalizations were assessed only among those with current asthma.</w:t>
            </w:r>
          </w:p>
          <w:p w:rsidR="00A327E6" w:rsidRPr="00415FA2" w:rsidRDefault="00A327E6" w:rsidP="00415FA2">
            <w:pPr>
              <w:pStyle w:val="NormalIndent"/>
              <w:spacing w:before="0" w:after="0" w:line="240" w:lineRule="auto"/>
              <w:ind w:firstLine="0"/>
              <w:rPr>
                <w:b/>
                <w:bCs/>
                <w:color w:val="000000"/>
                <w:szCs w:val="24"/>
              </w:rPr>
            </w:pPr>
            <w:r w:rsidRPr="00415FA2">
              <w:rPr>
                <w:bCs/>
                <w:color w:val="000000"/>
                <w:szCs w:val="24"/>
                <w:vertAlign w:val="superscript"/>
              </w:rPr>
              <w:t>b</w:t>
            </w:r>
            <w:r w:rsidRPr="00415FA2">
              <w:rPr>
                <w:bCs/>
                <w:color w:val="000000"/>
                <w:szCs w:val="24"/>
              </w:rPr>
              <w:t>Survey data were weighted to population demographics to produce prevalence estimates representative of the study area.</w:t>
            </w:r>
          </w:p>
          <w:p w:rsidR="00A327E6" w:rsidRPr="00415FA2" w:rsidRDefault="00A327E6" w:rsidP="00415FA2">
            <w:pPr>
              <w:pStyle w:val="NormalIndent"/>
              <w:spacing w:before="0" w:after="0" w:line="240" w:lineRule="auto"/>
              <w:ind w:firstLine="0"/>
              <w:rPr>
                <w:b/>
                <w:bCs/>
                <w:szCs w:val="24"/>
              </w:rPr>
            </w:pPr>
            <w:r w:rsidRPr="00415FA2">
              <w:rPr>
                <w:rFonts w:cs="Calibri"/>
                <w:bCs/>
                <w:szCs w:val="24"/>
                <w:vertAlign w:val="superscript"/>
              </w:rPr>
              <w:t>c</w:t>
            </w:r>
            <w:r w:rsidRPr="00415FA2">
              <w:rPr>
                <w:rFonts w:cs="Calibri"/>
                <w:bCs/>
                <w:szCs w:val="24"/>
              </w:rPr>
              <w:t>Statewide</w:t>
            </w:r>
            <w:r w:rsidRPr="00415FA2">
              <w:rPr>
                <w:bCs/>
                <w:szCs w:val="24"/>
              </w:rPr>
              <w:t xml:space="preserve"> prevalence of children’s asthma from BRFSS data as reported in MDPH (2009):</w:t>
            </w:r>
          </w:p>
          <w:p w:rsidR="00A327E6" w:rsidRPr="00415FA2" w:rsidRDefault="00A327E6" w:rsidP="00415FA2">
            <w:pPr>
              <w:pStyle w:val="NormalIndent"/>
              <w:spacing w:before="0" w:after="0" w:line="240" w:lineRule="auto"/>
              <w:ind w:firstLine="0"/>
              <w:rPr>
                <w:rFonts w:cs="Calibri"/>
                <w:b/>
                <w:bCs/>
                <w:szCs w:val="24"/>
              </w:rPr>
            </w:pPr>
            <w:r w:rsidRPr="00415FA2">
              <w:rPr>
                <w:bCs/>
                <w:szCs w:val="24"/>
              </w:rPr>
              <w:t>2005-2007 Lifetime asthma: 14.4% (95% CI: 13.0-15.8</w:t>
            </w:r>
            <w:r w:rsidRPr="00415FA2">
              <w:rPr>
                <w:rFonts w:cs="Calibri"/>
                <w:bCs/>
                <w:szCs w:val="24"/>
              </w:rPr>
              <w:t xml:space="preserve">); </w:t>
            </w:r>
          </w:p>
          <w:p w:rsidR="00A327E6" w:rsidRPr="00415FA2" w:rsidRDefault="00A327E6" w:rsidP="00415FA2">
            <w:pPr>
              <w:pStyle w:val="NormalIndent"/>
              <w:spacing w:before="0" w:after="0" w:line="240" w:lineRule="auto"/>
              <w:ind w:firstLine="0"/>
              <w:rPr>
                <w:b/>
                <w:bCs/>
                <w:color w:val="000000"/>
                <w:szCs w:val="24"/>
              </w:rPr>
            </w:pPr>
            <w:r w:rsidRPr="00415FA2">
              <w:rPr>
                <w:bCs/>
                <w:szCs w:val="24"/>
              </w:rPr>
              <w:t>2005-2007 Current asthma: 10.3% (95% CI: 9.1-11.5</w:t>
            </w:r>
            <w:r w:rsidRPr="00415FA2">
              <w:rPr>
                <w:rFonts w:cs="Calibri"/>
                <w:bCs/>
                <w:szCs w:val="24"/>
              </w:rPr>
              <w:t>).</w:t>
            </w:r>
          </w:p>
        </w:tc>
      </w:tr>
    </w:tbl>
    <w:p w:rsidR="00A327E6" w:rsidRPr="0021796A" w:rsidRDefault="00A327E6" w:rsidP="00156BAD">
      <w:pPr>
        <w:pStyle w:val="NormalIndent"/>
        <w:spacing w:before="100" w:beforeAutospacing="1" w:after="100" w:afterAutospacing="1" w:line="400" w:lineRule="atLeast"/>
        <w:ind w:firstLine="0"/>
        <w:rPr>
          <w:szCs w:val="24"/>
        </w:rPr>
      </w:pPr>
    </w:p>
    <w:p w:rsidR="00A327E6" w:rsidRPr="0021796A" w:rsidRDefault="00A327E6" w:rsidP="00536C34">
      <w:pPr>
        <w:pStyle w:val="Heading2"/>
        <w:spacing w:before="0" w:line="240" w:lineRule="auto"/>
      </w:pPr>
      <w:bookmarkStart w:id="213" w:name="_Toc350413098"/>
      <w:bookmarkStart w:id="214" w:name="_Toc388543114"/>
      <w:r w:rsidRPr="0021796A">
        <w:t xml:space="preserve">Crude </w:t>
      </w:r>
      <w:r>
        <w:t>Univariate Results: Prevalence o</w:t>
      </w:r>
      <w:r w:rsidRPr="0021796A">
        <w:t>f Health O</w:t>
      </w:r>
      <w:r>
        <w:t>utcomes b</w:t>
      </w:r>
      <w:r w:rsidRPr="0021796A">
        <w:t>y Airport-Related Air Pollution Exposure Areas</w:t>
      </w:r>
      <w:bookmarkEnd w:id="213"/>
      <w:bookmarkEnd w:id="214"/>
    </w:p>
    <w:p w:rsidR="00A327E6" w:rsidRPr="0021796A" w:rsidRDefault="00A327E6" w:rsidP="00536C34">
      <w:pPr>
        <w:spacing w:before="100" w:beforeAutospacing="1" w:after="100" w:afterAutospacing="1" w:line="400" w:lineRule="atLeast"/>
        <w:rPr>
          <w:rStyle w:val="Emphasis"/>
          <w:b/>
          <w:szCs w:val="24"/>
        </w:rPr>
      </w:pPr>
      <w:r w:rsidRPr="0021796A">
        <w:rPr>
          <w:rStyle w:val="Emphasis"/>
          <w:b/>
          <w:szCs w:val="24"/>
        </w:rPr>
        <w:t>Adults</w:t>
      </w:r>
    </w:p>
    <w:p w:rsidR="00A327E6" w:rsidRPr="0021796A" w:rsidRDefault="00A327E6" w:rsidP="00517414">
      <w:pPr>
        <w:pStyle w:val="NormalIndent"/>
        <w:spacing w:before="100" w:beforeAutospacing="1" w:after="100" w:afterAutospacing="1" w:line="400" w:lineRule="atLeast"/>
        <w:rPr>
          <w:szCs w:val="24"/>
        </w:rPr>
      </w:pPr>
      <w:r w:rsidRPr="008F509F">
        <w:rPr>
          <w:szCs w:val="24"/>
        </w:rPr>
        <w:t>As discussed earlier, the estimated prevalence of some health outcomes for the total study area was somewhat higher than expected based upon statewide data (refer to Tables 6-3 and 6-4).  However, in order to determine if prevalence was higher due to potential exposure to air pollution related to Logan airport, disease prevalence was evaluated</w:t>
      </w:r>
      <w:r>
        <w:rPr>
          <w:szCs w:val="24"/>
        </w:rPr>
        <w:t xml:space="preserve"> </w:t>
      </w:r>
      <w:r w:rsidRPr="008F509F">
        <w:rPr>
          <w:szCs w:val="24"/>
        </w:rPr>
        <w:t xml:space="preserve">separately by modeled airport-related air pollution exposure categories.  </w:t>
      </w:r>
    </w:p>
    <w:p w:rsidR="00A327E6" w:rsidRPr="008F509F" w:rsidRDefault="00A327E6" w:rsidP="00517414">
      <w:pPr>
        <w:pStyle w:val="NormalIndent"/>
        <w:spacing w:before="100" w:beforeAutospacing="1" w:after="100" w:afterAutospacing="1" w:line="400" w:lineRule="atLeast"/>
        <w:rPr>
          <w:szCs w:val="24"/>
        </w:rPr>
      </w:pPr>
      <w:r w:rsidRPr="008F509F">
        <w:rPr>
          <w:szCs w:val="24"/>
        </w:rPr>
        <w:t xml:space="preserve">The prevalence estimates </w:t>
      </w:r>
      <w:r>
        <w:rPr>
          <w:szCs w:val="24"/>
        </w:rPr>
        <w:t>for health outcomes in adults are</w:t>
      </w:r>
      <w:r w:rsidRPr="008F509F">
        <w:rPr>
          <w:szCs w:val="24"/>
        </w:rPr>
        <w:t xml:space="preserve"> presented in Table 6-5.  The high exposure area, compared to the low exposure area, had a higher prevalence of current asthma (12.2% vs. 10.8%), current asthma that required medication (9.9% vs. 7.3%), and probable asthma (7.1% vs. 4.4%)</w:t>
      </w:r>
      <w:r>
        <w:rPr>
          <w:szCs w:val="24"/>
        </w:rPr>
        <w:t xml:space="preserve">.  </w:t>
      </w:r>
      <w:r w:rsidRPr="008F509F">
        <w:rPr>
          <w:szCs w:val="24"/>
        </w:rPr>
        <w:t>Among adult asthmatics, report of an asthma-related hospital visit was almost twice as common in the high exposure area compared to the low (40.3% vs. 22.5%)</w:t>
      </w:r>
      <w:r>
        <w:rPr>
          <w:szCs w:val="24"/>
        </w:rPr>
        <w:t xml:space="preserve">.  </w:t>
      </w:r>
      <w:r w:rsidRPr="008F509F">
        <w:rPr>
          <w:szCs w:val="24"/>
        </w:rPr>
        <w:t xml:space="preserve">Of these comparisons, none were statistically significant at an </w:t>
      </w:r>
      <w:r w:rsidRPr="008F509F">
        <w:rPr>
          <w:rFonts w:cs="Arial"/>
          <w:szCs w:val="24"/>
        </w:rPr>
        <w:t>α</w:t>
      </w:r>
      <w:r w:rsidRPr="008F509F">
        <w:rPr>
          <w:szCs w:val="24"/>
        </w:rPr>
        <w:t>=0.05 level</w:t>
      </w:r>
      <w:r>
        <w:rPr>
          <w:szCs w:val="24"/>
        </w:rPr>
        <w:t xml:space="preserve">.  </w:t>
      </w:r>
      <w:r w:rsidRPr="008F509F">
        <w:rPr>
          <w:szCs w:val="24"/>
        </w:rPr>
        <w:t>However, prevalence of COPD was statistically significantly different (</w:t>
      </w:r>
      <w:r w:rsidRPr="0021796A">
        <w:rPr>
          <w:i/>
          <w:szCs w:val="24"/>
        </w:rPr>
        <w:t>p</w:t>
      </w:r>
      <w:r w:rsidRPr="008F509F">
        <w:rPr>
          <w:szCs w:val="24"/>
        </w:rPr>
        <w:t xml:space="preserve"> = 0.001) across exposure areas, with 11.0% reported in the high exposure area, 7.8% reported in the medium exposure area, and 5.7% reported in the low exposure area. </w:t>
      </w:r>
    </w:p>
    <w:p w:rsidR="00A327E6" w:rsidRPr="00156BAD" w:rsidRDefault="00A327E6" w:rsidP="00156BAD">
      <w:pPr>
        <w:pStyle w:val="NormalIndent"/>
        <w:spacing w:before="100" w:beforeAutospacing="1" w:after="100" w:afterAutospacing="1" w:line="400" w:lineRule="atLeast"/>
        <w:rPr>
          <w:szCs w:val="24"/>
        </w:rPr>
      </w:pPr>
      <w:r w:rsidRPr="0021796A">
        <w:rPr>
          <w:szCs w:val="24"/>
        </w:rPr>
        <w:t>Cardiovascular diseases were reported with a similar frequency among adults in the entire study area and across air pollution exposure categories</w:t>
      </w:r>
      <w:r>
        <w:rPr>
          <w:szCs w:val="24"/>
        </w:rPr>
        <w:t xml:space="preserve">.  </w:t>
      </w:r>
      <w:r w:rsidRPr="0021796A">
        <w:rPr>
          <w:szCs w:val="24"/>
        </w:rPr>
        <w:t xml:space="preserve">CHD was found to be present in 3.3% of the overall study population, and non-fatal MI was experienced by 3.5% of the overall study </w:t>
      </w:r>
      <w:bookmarkStart w:id="215" w:name="_Toc350413099"/>
      <w:r>
        <w:rPr>
          <w:szCs w:val="24"/>
        </w:rPr>
        <w:t>population.</w:t>
      </w:r>
    </w:p>
    <w:p w:rsidR="00A327E6" w:rsidRDefault="00A327E6">
      <w:pPr>
        <w:spacing w:before="0" w:after="0" w:line="240" w:lineRule="auto"/>
      </w:pPr>
      <w:r>
        <w:br w:type="page"/>
      </w:r>
    </w:p>
    <w:p w:rsidR="00A327E6" w:rsidRDefault="00A327E6" w:rsidP="00E17A00">
      <w:pPr>
        <w:pStyle w:val="Caption"/>
        <w:spacing w:before="0" w:after="0" w:line="240" w:lineRule="auto"/>
        <w:rPr>
          <w:szCs w:val="24"/>
        </w:rPr>
      </w:pPr>
      <w:bookmarkStart w:id="216" w:name="_Toc386796298"/>
      <w:r>
        <w:t xml:space="preserve">Table </w:t>
      </w:r>
      <w:fldSimple w:instr=" STYLEREF 1 \s ">
        <w:r>
          <w:rPr>
            <w:noProof/>
          </w:rPr>
          <w:t>6</w:t>
        </w:r>
      </w:fldSimple>
      <w:r>
        <w:noBreakHyphen/>
      </w:r>
      <w:fldSimple w:instr=" SEQ Table \* ARABIC \s 1 ">
        <w:r>
          <w:rPr>
            <w:noProof/>
          </w:rPr>
          <w:t>5</w:t>
        </w:r>
      </w:fldSimple>
      <w:r>
        <w:t xml:space="preserve">.  </w:t>
      </w:r>
      <w:r w:rsidRPr="0021796A">
        <w:rPr>
          <w:szCs w:val="24"/>
        </w:rPr>
        <w:t xml:space="preserve">Prevalence Estimates of Respiratory and Cardiovascular Diseases </w:t>
      </w:r>
      <w:r>
        <w:rPr>
          <w:szCs w:val="24"/>
        </w:rPr>
        <w:t>A</w:t>
      </w:r>
      <w:r w:rsidRPr="0021796A">
        <w:rPr>
          <w:szCs w:val="24"/>
        </w:rPr>
        <w:t>mong Adults by Category of Modeled Airport-related Air Pollution Exposure in the Logan Airport Health Study Area (2005)</w:t>
      </w:r>
      <w:bookmarkEnd w:id="216"/>
    </w:p>
    <w:p w:rsidR="00A327E6" w:rsidRPr="00E17A00" w:rsidRDefault="00A327E6" w:rsidP="00E17A00">
      <w:pPr>
        <w:spacing w:before="0" w:after="0" w:line="240" w:lineRule="auto"/>
      </w:pPr>
    </w:p>
    <w:tbl>
      <w:tblPr>
        <w:tblW w:w="9725" w:type="dxa"/>
        <w:tblBorders>
          <w:top w:val="single" w:sz="8" w:space="0" w:color="4F81BD"/>
          <w:left w:val="single" w:sz="8" w:space="0" w:color="4F81BD"/>
          <w:bottom w:val="single" w:sz="8" w:space="0" w:color="4F81BD"/>
          <w:right w:val="single" w:sz="8" w:space="0" w:color="4F81BD"/>
        </w:tblBorders>
        <w:tblLayout w:type="fixed"/>
        <w:tblLook w:val="00A0"/>
      </w:tblPr>
      <w:tblGrid>
        <w:gridCol w:w="2628"/>
        <w:gridCol w:w="1135"/>
        <w:gridCol w:w="1959"/>
        <w:gridCol w:w="27"/>
        <w:gridCol w:w="1932"/>
        <w:gridCol w:w="54"/>
        <w:gridCol w:w="1990"/>
      </w:tblGrid>
      <w:tr w:rsidR="00A327E6" w:rsidRPr="0021796A" w:rsidTr="00415FA2">
        <w:trPr>
          <w:trHeight w:val="311"/>
        </w:trPr>
        <w:tc>
          <w:tcPr>
            <w:tcW w:w="2628" w:type="dxa"/>
            <w:tcBorders>
              <w:top w:val="single" w:sz="8" w:space="0" w:color="4F81BD"/>
              <w:bottom w:val="nil"/>
              <w:right w:val="nil"/>
            </w:tcBorders>
            <w:shd w:val="clear" w:color="auto" w:fill="4F81BD"/>
            <w:noWrap/>
          </w:tcPr>
          <w:p w:rsidR="00A327E6" w:rsidRPr="00415FA2" w:rsidRDefault="00A327E6" w:rsidP="00415FA2">
            <w:pPr>
              <w:spacing w:before="0" w:after="0" w:line="400" w:lineRule="atLeast"/>
              <w:rPr>
                <w:b/>
                <w:bCs/>
                <w:color w:val="FFFFFF"/>
                <w:szCs w:val="24"/>
                <w:lang w:eastAsia="zh-TW"/>
              </w:rPr>
            </w:pPr>
          </w:p>
        </w:tc>
        <w:tc>
          <w:tcPr>
            <w:tcW w:w="1135" w:type="dxa"/>
            <w:tcBorders>
              <w:top w:val="single" w:sz="8" w:space="0" w:color="4F81BD"/>
              <w:left w:val="nil"/>
              <w:bottom w:val="nil"/>
              <w:right w:val="nil"/>
            </w:tcBorders>
            <w:shd w:val="clear" w:color="auto" w:fill="4F81BD"/>
          </w:tcPr>
          <w:p w:rsidR="00A327E6" w:rsidRPr="00415FA2" w:rsidRDefault="00A327E6" w:rsidP="00415FA2">
            <w:pPr>
              <w:spacing w:before="0" w:after="0" w:line="400" w:lineRule="atLeast"/>
              <w:jc w:val="center"/>
              <w:rPr>
                <w:b/>
                <w:bCs/>
                <w:color w:val="FFFFFF"/>
                <w:szCs w:val="24"/>
                <w:lang w:eastAsia="zh-TW"/>
              </w:rPr>
            </w:pPr>
          </w:p>
        </w:tc>
        <w:tc>
          <w:tcPr>
            <w:tcW w:w="5962" w:type="dxa"/>
            <w:gridSpan w:val="5"/>
            <w:tcBorders>
              <w:top w:val="single" w:sz="8" w:space="0" w:color="4F81BD"/>
              <w:left w:val="nil"/>
              <w:bottom w:val="single" w:sz="8" w:space="0" w:color="FFFFFF"/>
            </w:tcBorders>
            <w:shd w:val="clear" w:color="auto" w:fill="4F81BD"/>
            <w:vAlign w:val="center"/>
          </w:tcPr>
          <w:p w:rsidR="00A327E6" w:rsidRPr="00415FA2" w:rsidRDefault="00A327E6" w:rsidP="00415FA2">
            <w:pPr>
              <w:spacing w:before="0" w:after="0" w:line="400" w:lineRule="atLeast"/>
              <w:jc w:val="center"/>
              <w:rPr>
                <w:b/>
                <w:bCs/>
                <w:color w:val="FFFFFF"/>
                <w:szCs w:val="24"/>
                <w:lang w:eastAsia="zh-TW"/>
              </w:rPr>
            </w:pPr>
            <w:r w:rsidRPr="00415FA2">
              <w:rPr>
                <w:b/>
                <w:bCs/>
                <w:color w:val="FFFFFF"/>
                <w:szCs w:val="24"/>
                <w:lang w:eastAsia="zh-TW"/>
              </w:rPr>
              <w:t>Prevalence</w:t>
            </w:r>
            <w:r w:rsidRPr="00415FA2">
              <w:rPr>
                <w:b/>
                <w:bCs/>
                <w:color w:val="FFFFFF"/>
                <w:szCs w:val="24"/>
                <w:vertAlign w:val="superscript"/>
                <w:lang w:eastAsia="zh-TW"/>
              </w:rPr>
              <w:t>b</w:t>
            </w:r>
            <w:r w:rsidRPr="00415FA2">
              <w:rPr>
                <w:b/>
                <w:bCs/>
                <w:color w:val="FFFFFF"/>
                <w:szCs w:val="24"/>
                <w:lang w:eastAsia="zh-TW"/>
              </w:rPr>
              <w:t>, % (95% Confidence Interval)</w:t>
            </w:r>
          </w:p>
        </w:tc>
      </w:tr>
      <w:tr w:rsidR="00A327E6" w:rsidRPr="0021796A" w:rsidTr="00415FA2">
        <w:trPr>
          <w:trHeight w:val="311"/>
        </w:trPr>
        <w:tc>
          <w:tcPr>
            <w:tcW w:w="2628" w:type="dxa"/>
            <w:tcBorders>
              <w:top w:val="nil"/>
              <w:bottom w:val="nil"/>
              <w:right w:val="nil"/>
            </w:tcBorders>
            <w:shd w:val="clear" w:color="auto" w:fill="4F81BD"/>
            <w:noWrap/>
          </w:tcPr>
          <w:p w:rsidR="00A327E6" w:rsidRPr="00415FA2" w:rsidRDefault="00A327E6" w:rsidP="00415FA2">
            <w:pPr>
              <w:spacing w:before="0" w:after="0" w:line="400" w:lineRule="atLeast"/>
              <w:rPr>
                <w:b/>
                <w:bCs/>
                <w:color w:val="FFFFFF"/>
                <w:szCs w:val="24"/>
                <w:lang w:eastAsia="zh-TW"/>
              </w:rPr>
            </w:pPr>
          </w:p>
        </w:tc>
        <w:tc>
          <w:tcPr>
            <w:tcW w:w="1135" w:type="dxa"/>
            <w:vMerge w:val="restart"/>
            <w:tcBorders>
              <w:top w:val="nil"/>
              <w:left w:val="nil"/>
              <w:bottom w:val="single" w:sz="8" w:space="0" w:color="4F81BD"/>
              <w:right w:val="nil"/>
            </w:tcBorders>
            <w:shd w:val="clear" w:color="auto" w:fill="4F81BD"/>
            <w:vAlign w:val="center"/>
          </w:tcPr>
          <w:p w:rsidR="00A327E6" w:rsidRPr="00415FA2" w:rsidRDefault="00A327E6" w:rsidP="00415FA2">
            <w:pPr>
              <w:spacing w:before="0" w:after="0" w:line="400" w:lineRule="atLeast"/>
              <w:jc w:val="center"/>
              <w:rPr>
                <w:b/>
                <w:color w:val="FFFFFF"/>
                <w:szCs w:val="24"/>
                <w:lang w:eastAsia="zh-TW"/>
              </w:rPr>
            </w:pPr>
            <w:r w:rsidRPr="00415FA2">
              <w:rPr>
                <w:b/>
                <w:color w:val="FFFFFF"/>
                <w:szCs w:val="24"/>
                <w:lang w:eastAsia="zh-TW"/>
              </w:rPr>
              <w:t>Sample</w:t>
            </w:r>
          </w:p>
          <w:p w:rsidR="00A327E6" w:rsidRPr="00415FA2" w:rsidRDefault="00A327E6" w:rsidP="00415FA2">
            <w:pPr>
              <w:spacing w:before="0" w:after="0" w:line="400" w:lineRule="atLeast"/>
              <w:jc w:val="center"/>
              <w:rPr>
                <w:b/>
                <w:color w:val="FFFFFF"/>
                <w:szCs w:val="24"/>
                <w:lang w:eastAsia="zh-TW"/>
              </w:rPr>
            </w:pPr>
            <w:r w:rsidRPr="00415FA2">
              <w:rPr>
                <w:b/>
                <w:color w:val="FFFFFF"/>
                <w:szCs w:val="24"/>
                <w:lang w:eastAsia="zh-TW"/>
              </w:rPr>
              <w:t>Size</w:t>
            </w:r>
            <w:r w:rsidRPr="00415FA2">
              <w:rPr>
                <w:b/>
                <w:color w:val="FFFFFF"/>
                <w:szCs w:val="24"/>
                <w:vertAlign w:val="superscript"/>
                <w:lang w:eastAsia="zh-TW"/>
              </w:rPr>
              <w:t>a</w:t>
            </w:r>
          </w:p>
        </w:tc>
        <w:tc>
          <w:tcPr>
            <w:tcW w:w="5962" w:type="dxa"/>
            <w:gridSpan w:val="5"/>
            <w:tcBorders>
              <w:top w:val="single" w:sz="8" w:space="0" w:color="FFFFFF"/>
              <w:left w:val="nil"/>
              <w:bottom w:val="nil"/>
            </w:tcBorders>
            <w:shd w:val="clear" w:color="auto" w:fill="4F81BD"/>
            <w:vAlign w:val="center"/>
          </w:tcPr>
          <w:p w:rsidR="00A327E6" w:rsidRPr="00415FA2" w:rsidRDefault="00A327E6" w:rsidP="00415FA2">
            <w:pPr>
              <w:spacing w:before="0" w:after="0" w:line="400" w:lineRule="atLeast"/>
              <w:jc w:val="center"/>
              <w:rPr>
                <w:b/>
                <w:color w:val="FFFFFF"/>
                <w:szCs w:val="24"/>
                <w:lang w:eastAsia="zh-TW"/>
              </w:rPr>
            </w:pPr>
            <w:r w:rsidRPr="00415FA2">
              <w:rPr>
                <w:b/>
                <w:color w:val="FFFFFF"/>
                <w:szCs w:val="24"/>
                <w:lang w:eastAsia="zh-TW"/>
              </w:rPr>
              <w:t>Exposure Category</w:t>
            </w:r>
          </w:p>
        </w:tc>
      </w:tr>
      <w:tr w:rsidR="00A327E6" w:rsidRPr="0021796A" w:rsidTr="00415FA2">
        <w:trPr>
          <w:trHeight w:val="311"/>
        </w:trPr>
        <w:tc>
          <w:tcPr>
            <w:tcW w:w="2628" w:type="dxa"/>
            <w:tcBorders>
              <w:top w:val="nil"/>
              <w:bottom w:val="single" w:sz="8" w:space="0" w:color="4F81BD"/>
              <w:right w:val="nil"/>
            </w:tcBorders>
            <w:shd w:val="clear" w:color="auto" w:fill="4F81BD"/>
            <w:noWrap/>
            <w:vAlign w:val="center"/>
          </w:tcPr>
          <w:p w:rsidR="00A327E6" w:rsidRPr="00415FA2" w:rsidRDefault="00A327E6" w:rsidP="00415FA2">
            <w:pPr>
              <w:spacing w:before="0" w:after="0" w:line="400" w:lineRule="atLeast"/>
              <w:rPr>
                <w:b/>
                <w:bCs/>
                <w:color w:val="FFFFFF"/>
                <w:szCs w:val="24"/>
                <w:lang w:eastAsia="zh-TW"/>
              </w:rPr>
            </w:pPr>
            <w:r w:rsidRPr="00415FA2">
              <w:rPr>
                <w:b/>
                <w:bCs/>
                <w:color w:val="FFFFFF"/>
                <w:szCs w:val="24"/>
                <w:lang w:eastAsia="zh-TW"/>
              </w:rPr>
              <w:t>Health Outcome</w:t>
            </w:r>
          </w:p>
        </w:tc>
        <w:tc>
          <w:tcPr>
            <w:tcW w:w="1135" w:type="dxa"/>
            <w:vMerge/>
            <w:tcBorders>
              <w:left w:val="nil"/>
              <w:bottom w:val="single" w:sz="8" w:space="0" w:color="4F81BD"/>
              <w:right w:val="nil"/>
            </w:tcBorders>
            <w:shd w:val="clear" w:color="auto" w:fill="4F81BD"/>
            <w:vAlign w:val="center"/>
          </w:tcPr>
          <w:p w:rsidR="00A327E6" w:rsidRPr="00415FA2" w:rsidRDefault="00A327E6" w:rsidP="00415FA2">
            <w:pPr>
              <w:spacing w:before="0" w:after="0" w:line="400" w:lineRule="atLeast"/>
              <w:jc w:val="center"/>
              <w:rPr>
                <w:b/>
                <w:color w:val="FFFFFF"/>
                <w:szCs w:val="24"/>
                <w:lang w:eastAsia="zh-TW"/>
              </w:rPr>
            </w:pPr>
          </w:p>
        </w:tc>
        <w:tc>
          <w:tcPr>
            <w:tcW w:w="1959" w:type="dxa"/>
            <w:tcBorders>
              <w:top w:val="nil"/>
              <w:left w:val="nil"/>
              <w:bottom w:val="single" w:sz="8" w:space="0" w:color="4F81BD"/>
              <w:right w:val="nil"/>
            </w:tcBorders>
            <w:shd w:val="clear" w:color="auto" w:fill="4F81BD"/>
            <w:vAlign w:val="center"/>
          </w:tcPr>
          <w:p w:rsidR="00A327E6" w:rsidRPr="00415FA2" w:rsidRDefault="00A327E6" w:rsidP="00415FA2">
            <w:pPr>
              <w:spacing w:before="0" w:after="0" w:line="400" w:lineRule="atLeast"/>
              <w:jc w:val="center"/>
              <w:rPr>
                <w:b/>
                <w:color w:val="FFFFFF"/>
                <w:szCs w:val="24"/>
                <w:lang w:eastAsia="zh-TW"/>
              </w:rPr>
            </w:pPr>
            <w:r w:rsidRPr="00415FA2">
              <w:rPr>
                <w:b/>
                <w:color w:val="FFFFFF"/>
                <w:szCs w:val="24"/>
                <w:lang w:eastAsia="zh-TW"/>
              </w:rPr>
              <w:t>Low</w:t>
            </w:r>
          </w:p>
        </w:tc>
        <w:tc>
          <w:tcPr>
            <w:tcW w:w="1959" w:type="dxa"/>
            <w:gridSpan w:val="2"/>
            <w:tcBorders>
              <w:top w:val="nil"/>
              <w:left w:val="nil"/>
              <w:bottom w:val="single" w:sz="8" w:space="0" w:color="4F81BD"/>
              <w:right w:val="nil"/>
            </w:tcBorders>
            <w:shd w:val="clear" w:color="auto" w:fill="4F81BD"/>
            <w:vAlign w:val="center"/>
          </w:tcPr>
          <w:p w:rsidR="00A327E6" w:rsidRPr="00415FA2" w:rsidRDefault="00A327E6" w:rsidP="00415FA2">
            <w:pPr>
              <w:spacing w:before="0" w:after="0" w:line="400" w:lineRule="atLeast"/>
              <w:jc w:val="center"/>
              <w:rPr>
                <w:b/>
                <w:color w:val="FFFFFF"/>
                <w:szCs w:val="24"/>
                <w:lang w:eastAsia="zh-TW"/>
              </w:rPr>
            </w:pPr>
            <w:r w:rsidRPr="00415FA2">
              <w:rPr>
                <w:b/>
                <w:color w:val="FFFFFF"/>
                <w:szCs w:val="24"/>
                <w:lang w:eastAsia="zh-TW"/>
              </w:rPr>
              <w:t>Medium</w:t>
            </w:r>
          </w:p>
        </w:tc>
        <w:tc>
          <w:tcPr>
            <w:tcW w:w="2044" w:type="dxa"/>
            <w:gridSpan w:val="2"/>
            <w:tcBorders>
              <w:top w:val="nil"/>
              <w:left w:val="nil"/>
              <w:bottom w:val="single" w:sz="8" w:space="0" w:color="4F81BD"/>
            </w:tcBorders>
            <w:shd w:val="clear" w:color="auto" w:fill="4F81BD"/>
            <w:vAlign w:val="center"/>
          </w:tcPr>
          <w:p w:rsidR="00A327E6" w:rsidRPr="00415FA2" w:rsidRDefault="00A327E6" w:rsidP="00415FA2">
            <w:pPr>
              <w:spacing w:before="0" w:after="0" w:line="400" w:lineRule="atLeast"/>
              <w:jc w:val="center"/>
              <w:rPr>
                <w:b/>
                <w:color w:val="FFFFFF"/>
                <w:szCs w:val="24"/>
                <w:lang w:eastAsia="zh-TW"/>
              </w:rPr>
            </w:pPr>
            <w:r w:rsidRPr="00415FA2">
              <w:rPr>
                <w:b/>
                <w:color w:val="FFFFFF"/>
                <w:szCs w:val="24"/>
                <w:lang w:eastAsia="zh-TW"/>
              </w:rPr>
              <w:t>High</w:t>
            </w:r>
          </w:p>
        </w:tc>
      </w:tr>
      <w:tr w:rsidR="00A327E6" w:rsidRPr="0021796A" w:rsidTr="00415FA2">
        <w:trPr>
          <w:trHeight w:val="570"/>
        </w:trPr>
        <w:tc>
          <w:tcPr>
            <w:tcW w:w="2628" w:type="dxa"/>
            <w:tcBorders>
              <w:top w:val="single" w:sz="8" w:space="0" w:color="4F81BD"/>
              <w:bottom w:val="single" w:sz="8" w:space="0" w:color="4F81BD"/>
              <w:right w:val="nil"/>
            </w:tcBorders>
            <w:noWrap/>
            <w:vAlign w:val="center"/>
          </w:tcPr>
          <w:p w:rsidR="00A327E6" w:rsidRPr="00415FA2" w:rsidRDefault="00A327E6" w:rsidP="00415FA2">
            <w:pPr>
              <w:spacing w:before="0" w:after="0" w:line="400" w:lineRule="atLeast"/>
              <w:rPr>
                <w:b/>
                <w:bCs/>
                <w:szCs w:val="24"/>
                <w:lang w:eastAsia="zh-TW"/>
              </w:rPr>
            </w:pPr>
            <w:r w:rsidRPr="00415FA2">
              <w:rPr>
                <w:b/>
                <w:bCs/>
                <w:szCs w:val="24"/>
                <w:lang w:eastAsia="zh-TW"/>
              </w:rPr>
              <w:t>Lifetime Asthma</w:t>
            </w:r>
          </w:p>
        </w:tc>
        <w:tc>
          <w:tcPr>
            <w:tcW w:w="1135" w:type="dxa"/>
            <w:tcBorders>
              <w:top w:val="single" w:sz="8" w:space="0" w:color="4F81BD"/>
              <w:left w:val="nil"/>
              <w:bottom w:val="single" w:sz="8" w:space="0" w:color="4F81BD"/>
              <w:right w:val="nil"/>
            </w:tcBorders>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6055</w:t>
            </w:r>
          </w:p>
        </w:tc>
        <w:tc>
          <w:tcPr>
            <w:tcW w:w="1986" w:type="dxa"/>
            <w:gridSpan w:val="2"/>
            <w:tcBorders>
              <w:top w:val="single" w:sz="8" w:space="0" w:color="4F81BD"/>
              <w:left w:val="nil"/>
              <w:bottom w:val="single" w:sz="8" w:space="0" w:color="4F81BD"/>
              <w:right w:val="nil"/>
            </w:tcBorders>
            <w:noWrap/>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15.5 (13.9 - 17.1)</w:t>
            </w:r>
          </w:p>
        </w:tc>
        <w:tc>
          <w:tcPr>
            <w:tcW w:w="1986" w:type="dxa"/>
            <w:gridSpan w:val="2"/>
            <w:tcBorders>
              <w:top w:val="single" w:sz="8" w:space="0" w:color="4F81BD"/>
              <w:left w:val="nil"/>
              <w:bottom w:val="single" w:sz="8" w:space="0" w:color="4F81BD"/>
              <w:right w:val="nil"/>
            </w:tcBorders>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15.5 (13.1 - 17.8)</w:t>
            </w:r>
          </w:p>
        </w:tc>
        <w:tc>
          <w:tcPr>
            <w:tcW w:w="1990" w:type="dxa"/>
            <w:tcBorders>
              <w:top w:val="single" w:sz="8" w:space="0" w:color="4F81BD"/>
              <w:left w:val="nil"/>
              <w:bottom w:val="single" w:sz="8" w:space="0" w:color="4F81BD"/>
            </w:tcBorders>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15.9 (12.2 - 19.6)</w:t>
            </w:r>
          </w:p>
        </w:tc>
      </w:tr>
      <w:tr w:rsidR="00A327E6" w:rsidRPr="0021796A" w:rsidTr="00415FA2">
        <w:trPr>
          <w:trHeight w:val="570"/>
        </w:trPr>
        <w:tc>
          <w:tcPr>
            <w:tcW w:w="2628" w:type="dxa"/>
            <w:tcBorders>
              <w:right w:val="nil"/>
            </w:tcBorders>
            <w:vAlign w:val="center"/>
          </w:tcPr>
          <w:p w:rsidR="00A327E6" w:rsidRPr="00415FA2" w:rsidRDefault="00A327E6" w:rsidP="00415FA2">
            <w:pPr>
              <w:spacing w:before="0" w:after="0" w:line="400" w:lineRule="atLeast"/>
              <w:rPr>
                <w:b/>
                <w:bCs/>
                <w:szCs w:val="24"/>
                <w:lang w:eastAsia="zh-TW"/>
              </w:rPr>
            </w:pPr>
            <w:r w:rsidRPr="00415FA2">
              <w:rPr>
                <w:b/>
                <w:bCs/>
                <w:szCs w:val="24"/>
                <w:lang w:eastAsia="zh-TW"/>
              </w:rPr>
              <w:t>Current Asthma</w:t>
            </w:r>
          </w:p>
        </w:tc>
        <w:tc>
          <w:tcPr>
            <w:tcW w:w="1135" w:type="dxa"/>
            <w:tcBorders>
              <w:left w:val="nil"/>
              <w:right w:val="nil"/>
            </w:tcBorders>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6032</w:t>
            </w:r>
          </w:p>
        </w:tc>
        <w:tc>
          <w:tcPr>
            <w:tcW w:w="1986" w:type="dxa"/>
            <w:gridSpan w:val="2"/>
            <w:tcBorders>
              <w:left w:val="nil"/>
              <w:right w:val="nil"/>
            </w:tcBorders>
            <w:noWrap/>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10.8 (9.4 - 12.2)</w:t>
            </w:r>
          </w:p>
        </w:tc>
        <w:tc>
          <w:tcPr>
            <w:tcW w:w="1986" w:type="dxa"/>
            <w:gridSpan w:val="2"/>
            <w:tcBorders>
              <w:left w:val="nil"/>
              <w:right w:val="nil"/>
            </w:tcBorders>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11.2 (9.2 - 13.3)</w:t>
            </w:r>
          </w:p>
        </w:tc>
        <w:tc>
          <w:tcPr>
            <w:tcW w:w="1990" w:type="dxa"/>
            <w:tcBorders>
              <w:left w:val="nil"/>
            </w:tcBorders>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12.2 (8.7 - 15.6)</w:t>
            </w:r>
          </w:p>
        </w:tc>
      </w:tr>
      <w:tr w:rsidR="00A327E6" w:rsidRPr="0021796A" w:rsidTr="00415FA2">
        <w:trPr>
          <w:trHeight w:val="570"/>
        </w:trPr>
        <w:tc>
          <w:tcPr>
            <w:tcW w:w="2628" w:type="dxa"/>
            <w:tcBorders>
              <w:top w:val="single" w:sz="8" w:space="0" w:color="4F81BD"/>
              <w:bottom w:val="single" w:sz="8" w:space="0" w:color="4F81BD"/>
              <w:right w:val="nil"/>
            </w:tcBorders>
            <w:vAlign w:val="center"/>
          </w:tcPr>
          <w:p w:rsidR="00A327E6" w:rsidRPr="00415FA2" w:rsidRDefault="00A327E6" w:rsidP="00415FA2">
            <w:pPr>
              <w:spacing w:before="0" w:after="0" w:line="240" w:lineRule="auto"/>
              <w:rPr>
                <w:b/>
                <w:bCs/>
                <w:szCs w:val="24"/>
                <w:lang w:eastAsia="zh-TW"/>
              </w:rPr>
            </w:pPr>
            <w:r w:rsidRPr="00415FA2">
              <w:rPr>
                <w:b/>
                <w:bCs/>
                <w:szCs w:val="24"/>
                <w:lang w:eastAsia="zh-TW"/>
              </w:rPr>
              <w:t>Current Asthma with Medication Use</w:t>
            </w:r>
          </w:p>
        </w:tc>
        <w:tc>
          <w:tcPr>
            <w:tcW w:w="1135" w:type="dxa"/>
            <w:tcBorders>
              <w:top w:val="single" w:sz="8" w:space="0" w:color="4F81BD"/>
              <w:left w:val="nil"/>
              <w:bottom w:val="single" w:sz="8" w:space="0" w:color="4F81BD"/>
              <w:right w:val="nil"/>
            </w:tcBorders>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6031</w:t>
            </w:r>
          </w:p>
        </w:tc>
        <w:tc>
          <w:tcPr>
            <w:tcW w:w="1986" w:type="dxa"/>
            <w:gridSpan w:val="2"/>
            <w:tcBorders>
              <w:top w:val="single" w:sz="8" w:space="0" w:color="4F81BD"/>
              <w:left w:val="nil"/>
              <w:bottom w:val="single" w:sz="8" w:space="0" w:color="4F81BD"/>
              <w:right w:val="nil"/>
            </w:tcBorders>
            <w:noWrap/>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7.3 (6.2 - 8.4)</w:t>
            </w:r>
          </w:p>
        </w:tc>
        <w:tc>
          <w:tcPr>
            <w:tcW w:w="1986" w:type="dxa"/>
            <w:gridSpan w:val="2"/>
            <w:tcBorders>
              <w:top w:val="single" w:sz="8" w:space="0" w:color="4F81BD"/>
              <w:left w:val="nil"/>
              <w:bottom w:val="single" w:sz="8" w:space="0" w:color="4F81BD"/>
              <w:right w:val="nil"/>
            </w:tcBorders>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8.3 (6.6 - 10.1)</w:t>
            </w:r>
          </w:p>
        </w:tc>
        <w:tc>
          <w:tcPr>
            <w:tcW w:w="1990" w:type="dxa"/>
            <w:tcBorders>
              <w:top w:val="single" w:sz="8" w:space="0" w:color="4F81BD"/>
              <w:left w:val="nil"/>
              <w:bottom w:val="single" w:sz="8" w:space="0" w:color="4F81BD"/>
            </w:tcBorders>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9.9 (6.6 - 13.2)</w:t>
            </w:r>
          </w:p>
        </w:tc>
      </w:tr>
      <w:tr w:rsidR="00A327E6" w:rsidRPr="0021796A" w:rsidTr="00415FA2">
        <w:trPr>
          <w:trHeight w:val="570"/>
        </w:trPr>
        <w:tc>
          <w:tcPr>
            <w:tcW w:w="2628" w:type="dxa"/>
            <w:tcBorders>
              <w:right w:val="nil"/>
            </w:tcBorders>
            <w:noWrap/>
            <w:vAlign w:val="center"/>
          </w:tcPr>
          <w:p w:rsidR="00A327E6" w:rsidRPr="00415FA2" w:rsidRDefault="00A327E6" w:rsidP="00415FA2">
            <w:pPr>
              <w:spacing w:before="0" w:after="0" w:line="400" w:lineRule="atLeast"/>
              <w:rPr>
                <w:b/>
                <w:bCs/>
                <w:szCs w:val="24"/>
                <w:lang w:eastAsia="zh-TW"/>
              </w:rPr>
            </w:pPr>
            <w:r w:rsidRPr="00415FA2">
              <w:rPr>
                <w:b/>
                <w:bCs/>
                <w:szCs w:val="24"/>
                <w:lang w:eastAsia="zh-TW"/>
              </w:rPr>
              <w:t>Probable Asthma</w:t>
            </w:r>
          </w:p>
        </w:tc>
        <w:tc>
          <w:tcPr>
            <w:tcW w:w="1135" w:type="dxa"/>
            <w:tcBorders>
              <w:left w:val="nil"/>
              <w:right w:val="nil"/>
            </w:tcBorders>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5136</w:t>
            </w:r>
          </w:p>
        </w:tc>
        <w:tc>
          <w:tcPr>
            <w:tcW w:w="1986" w:type="dxa"/>
            <w:gridSpan w:val="2"/>
            <w:tcBorders>
              <w:left w:val="nil"/>
              <w:right w:val="nil"/>
            </w:tcBorders>
            <w:noWrap/>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4.4 (3.4 - 5.4)</w:t>
            </w:r>
          </w:p>
        </w:tc>
        <w:tc>
          <w:tcPr>
            <w:tcW w:w="1986" w:type="dxa"/>
            <w:gridSpan w:val="2"/>
            <w:tcBorders>
              <w:left w:val="nil"/>
              <w:right w:val="nil"/>
            </w:tcBorders>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4.6 (3.2 - 6.0)</w:t>
            </w:r>
          </w:p>
        </w:tc>
        <w:tc>
          <w:tcPr>
            <w:tcW w:w="1990" w:type="dxa"/>
            <w:tcBorders>
              <w:left w:val="nil"/>
            </w:tcBorders>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7.1 (4.8 - 9.4)</w:t>
            </w:r>
          </w:p>
        </w:tc>
      </w:tr>
      <w:tr w:rsidR="00A327E6" w:rsidRPr="0021796A" w:rsidTr="00415FA2">
        <w:trPr>
          <w:trHeight w:val="570"/>
        </w:trPr>
        <w:tc>
          <w:tcPr>
            <w:tcW w:w="2628" w:type="dxa"/>
            <w:tcBorders>
              <w:top w:val="single" w:sz="8" w:space="0" w:color="4F81BD"/>
              <w:bottom w:val="single" w:sz="8" w:space="0" w:color="4F81BD"/>
              <w:right w:val="nil"/>
            </w:tcBorders>
            <w:noWrap/>
            <w:vAlign w:val="center"/>
          </w:tcPr>
          <w:p w:rsidR="00A327E6" w:rsidRPr="00415FA2" w:rsidRDefault="00A327E6" w:rsidP="00415FA2">
            <w:pPr>
              <w:spacing w:before="0" w:after="0" w:line="400" w:lineRule="atLeast"/>
              <w:rPr>
                <w:b/>
                <w:bCs/>
                <w:szCs w:val="24"/>
                <w:lang w:eastAsia="zh-TW"/>
              </w:rPr>
            </w:pPr>
            <w:r w:rsidRPr="00415FA2">
              <w:rPr>
                <w:b/>
                <w:bCs/>
                <w:szCs w:val="24"/>
                <w:lang w:eastAsia="zh-TW"/>
              </w:rPr>
              <w:t>Asthma Hospitalization</w:t>
            </w:r>
          </w:p>
        </w:tc>
        <w:tc>
          <w:tcPr>
            <w:tcW w:w="1135" w:type="dxa"/>
            <w:tcBorders>
              <w:top w:val="single" w:sz="8" w:space="0" w:color="4F81BD"/>
              <w:left w:val="nil"/>
              <w:bottom w:val="single" w:sz="8" w:space="0" w:color="4F81BD"/>
              <w:right w:val="nil"/>
            </w:tcBorders>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673</w:t>
            </w:r>
          </w:p>
        </w:tc>
        <w:tc>
          <w:tcPr>
            <w:tcW w:w="1986" w:type="dxa"/>
            <w:gridSpan w:val="2"/>
            <w:tcBorders>
              <w:top w:val="single" w:sz="8" w:space="0" w:color="4F81BD"/>
              <w:left w:val="nil"/>
              <w:bottom w:val="single" w:sz="8" w:space="0" w:color="4F81BD"/>
              <w:right w:val="nil"/>
            </w:tcBorders>
            <w:noWrap/>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22.5 (17.0 - 28.0)</w:t>
            </w:r>
          </w:p>
        </w:tc>
        <w:tc>
          <w:tcPr>
            <w:tcW w:w="1986" w:type="dxa"/>
            <w:gridSpan w:val="2"/>
            <w:tcBorders>
              <w:top w:val="single" w:sz="8" w:space="0" w:color="4F81BD"/>
              <w:left w:val="nil"/>
              <w:bottom w:val="single" w:sz="8" w:space="0" w:color="4F81BD"/>
              <w:right w:val="nil"/>
            </w:tcBorders>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26.0 (17.5 - 34.4)</w:t>
            </w:r>
          </w:p>
        </w:tc>
        <w:tc>
          <w:tcPr>
            <w:tcW w:w="1990" w:type="dxa"/>
            <w:tcBorders>
              <w:top w:val="single" w:sz="8" w:space="0" w:color="4F81BD"/>
              <w:left w:val="nil"/>
              <w:bottom w:val="single" w:sz="8" w:space="0" w:color="4F81BD"/>
            </w:tcBorders>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40.3 (24.6 - 56.0)</w:t>
            </w:r>
          </w:p>
        </w:tc>
      </w:tr>
      <w:tr w:rsidR="00A327E6" w:rsidRPr="0021796A" w:rsidTr="00415FA2">
        <w:trPr>
          <w:trHeight w:val="570"/>
        </w:trPr>
        <w:tc>
          <w:tcPr>
            <w:tcW w:w="2628" w:type="dxa"/>
            <w:tcBorders>
              <w:right w:val="nil"/>
            </w:tcBorders>
            <w:noWrap/>
            <w:vAlign w:val="center"/>
          </w:tcPr>
          <w:p w:rsidR="00A327E6" w:rsidRPr="00415FA2" w:rsidRDefault="00A327E6" w:rsidP="00415FA2">
            <w:pPr>
              <w:spacing w:before="0" w:after="0" w:line="400" w:lineRule="atLeast"/>
              <w:rPr>
                <w:b/>
                <w:bCs/>
                <w:szCs w:val="24"/>
                <w:lang w:eastAsia="zh-TW"/>
              </w:rPr>
            </w:pPr>
            <w:r w:rsidRPr="00415FA2">
              <w:rPr>
                <w:b/>
                <w:bCs/>
                <w:szCs w:val="24"/>
                <w:lang w:eastAsia="zh-TW"/>
              </w:rPr>
              <w:t>COPD</w:t>
            </w:r>
          </w:p>
        </w:tc>
        <w:tc>
          <w:tcPr>
            <w:tcW w:w="1135" w:type="dxa"/>
            <w:tcBorders>
              <w:left w:val="nil"/>
              <w:right w:val="nil"/>
            </w:tcBorders>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6010</w:t>
            </w:r>
          </w:p>
        </w:tc>
        <w:tc>
          <w:tcPr>
            <w:tcW w:w="1986" w:type="dxa"/>
            <w:gridSpan w:val="2"/>
            <w:tcBorders>
              <w:left w:val="nil"/>
              <w:right w:val="nil"/>
            </w:tcBorders>
            <w:noWrap/>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5.7 (4.8 - 6.7)</w:t>
            </w:r>
          </w:p>
        </w:tc>
        <w:tc>
          <w:tcPr>
            <w:tcW w:w="1986" w:type="dxa"/>
            <w:gridSpan w:val="2"/>
            <w:tcBorders>
              <w:left w:val="nil"/>
              <w:right w:val="nil"/>
            </w:tcBorders>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7.8</w:t>
            </w:r>
            <w:r w:rsidRPr="00415FA2">
              <w:rPr>
                <w:szCs w:val="24"/>
                <w:vertAlign w:val="superscript"/>
                <w:lang w:eastAsia="zh-TW"/>
              </w:rPr>
              <w:t>*</w:t>
            </w:r>
            <w:r w:rsidRPr="00415FA2">
              <w:rPr>
                <w:szCs w:val="24"/>
                <w:lang w:eastAsia="zh-TW"/>
              </w:rPr>
              <w:t xml:space="preserve"> (6.3 - 9.4)</w:t>
            </w:r>
          </w:p>
        </w:tc>
        <w:tc>
          <w:tcPr>
            <w:tcW w:w="1990" w:type="dxa"/>
            <w:tcBorders>
              <w:left w:val="nil"/>
            </w:tcBorders>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11.0</w:t>
            </w:r>
            <w:r w:rsidRPr="00415FA2">
              <w:rPr>
                <w:szCs w:val="24"/>
                <w:vertAlign w:val="superscript"/>
                <w:lang w:eastAsia="zh-TW"/>
              </w:rPr>
              <w:t>*</w:t>
            </w:r>
            <w:r w:rsidRPr="00415FA2">
              <w:rPr>
                <w:szCs w:val="24"/>
                <w:lang w:eastAsia="zh-TW"/>
              </w:rPr>
              <w:t xml:space="preserve"> (8.1 - 14.6)</w:t>
            </w:r>
          </w:p>
        </w:tc>
      </w:tr>
      <w:tr w:rsidR="00A327E6" w:rsidRPr="0021796A" w:rsidTr="00415FA2">
        <w:trPr>
          <w:trHeight w:val="570"/>
        </w:trPr>
        <w:tc>
          <w:tcPr>
            <w:tcW w:w="2628" w:type="dxa"/>
            <w:tcBorders>
              <w:top w:val="single" w:sz="8" w:space="0" w:color="4F81BD"/>
              <w:bottom w:val="single" w:sz="8" w:space="0" w:color="4F81BD"/>
              <w:right w:val="nil"/>
            </w:tcBorders>
            <w:noWrap/>
            <w:vAlign w:val="center"/>
          </w:tcPr>
          <w:p w:rsidR="00A327E6" w:rsidRPr="00415FA2" w:rsidRDefault="00A327E6" w:rsidP="00415FA2">
            <w:pPr>
              <w:spacing w:before="0" w:after="0" w:line="400" w:lineRule="atLeast"/>
              <w:rPr>
                <w:b/>
                <w:bCs/>
                <w:szCs w:val="24"/>
                <w:lang w:eastAsia="zh-TW"/>
              </w:rPr>
            </w:pPr>
            <w:r w:rsidRPr="00415FA2">
              <w:rPr>
                <w:b/>
                <w:bCs/>
                <w:szCs w:val="24"/>
                <w:lang w:eastAsia="zh-TW"/>
              </w:rPr>
              <w:t>Coronary Heart Disease</w:t>
            </w:r>
          </w:p>
        </w:tc>
        <w:tc>
          <w:tcPr>
            <w:tcW w:w="1135" w:type="dxa"/>
            <w:tcBorders>
              <w:top w:val="single" w:sz="8" w:space="0" w:color="4F81BD"/>
              <w:left w:val="nil"/>
              <w:bottom w:val="single" w:sz="8" w:space="0" w:color="4F81BD"/>
              <w:right w:val="nil"/>
            </w:tcBorders>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6008</w:t>
            </w:r>
          </w:p>
        </w:tc>
        <w:tc>
          <w:tcPr>
            <w:tcW w:w="1986" w:type="dxa"/>
            <w:gridSpan w:val="2"/>
            <w:tcBorders>
              <w:top w:val="single" w:sz="8" w:space="0" w:color="4F81BD"/>
              <w:left w:val="nil"/>
              <w:bottom w:val="single" w:sz="8" w:space="0" w:color="4F81BD"/>
              <w:right w:val="nil"/>
            </w:tcBorders>
            <w:noWrap/>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3.5 (2.8 - 4.2)</w:t>
            </w:r>
          </w:p>
        </w:tc>
        <w:tc>
          <w:tcPr>
            <w:tcW w:w="1986" w:type="dxa"/>
            <w:gridSpan w:val="2"/>
            <w:tcBorders>
              <w:top w:val="single" w:sz="8" w:space="0" w:color="4F81BD"/>
              <w:left w:val="nil"/>
              <w:bottom w:val="single" w:sz="8" w:space="0" w:color="4F81BD"/>
              <w:right w:val="nil"/>
            </w:tcBorders>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2.5 (1.7 - 3.3)</w:t>
            </w:r>
          </w:p>
        </w:tc>
        <w:tc>
          <w:tcPr>
            <w:tcW w:w="1990" w:type="dxa"/>
            <w:tcBorders>
              <w:top w:val="single" w:sz="8" w:space="0" w:color="4F81BD"/>
              <w:left w:val="nil"/>
              <w:bottom w:val="single" w:sz="8" w:space="0" w:color="4F81BD"/>
            </w:tcBorders>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3.4 (1.1 - 5.7)</w:t>
            </w:r>
          </w:p>
        </w:tc>
      </w:tr>
      <w:tr w:rsidR="00A327E6" w:rsidRPr="0021796A" w:rsidTr="00415FA2">
        <w:trPr>
          <w:trHeight w:val="570"/>
        </w:trPr>
        <w:tc>
          <w:tcPr>
            <w:tcW w:w="2628" w:type="dxa"/>
            <w:tcBorders>
              <w:right w:val="nil"/>
            </w:tcBorders>
            <w:noWrap/>
            <w:vAlign w:val="center"/>
          </w:tcPr>
          <w:p w:rsidR="00A327E6" w:rsidRPr="00415FA2" w:rsidRDefault="00A327E6" w:rsidP="00415FA2">
            <w:pPr>
              <w:spacing w:before="0" w:after="0" w:line="400" w:lineRule="atLeast"/>
              <w:rPr>
                <w:b/>
                <w:bCs/>
                <w:szCs w:val="24"/>
                <w:lang w:eastAsia="zh-TW"/>
              </w:rPr>
            </w:pPr>
            <w:r w:rsidRPr="00415FA2">
              <w:rPr>
                <w:b/>
                <w:bCs/>
                <w:szCs w:val="24"/>
                <w:lang w:eastAsia="zh-TW"/>
              </w:rPr>
              <w:t xml:space="preserve">Myocardial Infarction </w:t>
            </w:r>
          </w:p>
        </w:tc>
        <w:tc>
          <w:tcPr>
            <w:tcW w:w="1135" w:type="dxa"/>
            <w:tcBorders>
              <w:left w:val="nil"/>
              <w:right w:val="nil"/>
            </w:tcBorders>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6019</w:t>
            </w:r>
          </w:p>
        </w:tc>
        <w:tc>
          <w:tcPr>
            <w:tcW w:w="1986" w:type="dxa"/>
            <w:gridSpan w:val="2"/>
            <w:tcBorders>
              <w:left w:val="nil"/>
              <w:right w:val="nil"/>
            </w:tcBorders>
            <w:noWrap/>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3.6 (2.9 - 4.4)</w:t>
            </w:r>
          </w:p>
        </w:tc>
        <w:tc>
          <w:tcPr>
            <w:tcW w:w="1986" w:type="dxa"/>
            <w:gridSpan w:val="2"/>
            <w:tcBorders>
              <w:left w:val="nil"/>
              <w:right w:val="nil"/>
            </w:tcBorders>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3.4 (2.5 - 4.4)</w:t>
            </w:r>
          </w:p>
        </w:tc>
        <w:tc>
          <w:tcPr>
            <w:tcW w:w="1990" w:type="dxa"/>
            <w:tcBorders>
              <w:left w:val="nil"/>
            </w:tcBorders>
            <w:vAlign w:val="center"/>
          </w:tcPr>
          <w:p w:rsidR="00A327E6" w:rsidRPr="00415FA2" w:rsidRDefault="00A327E6" w:rsidP="00415FA2">
            <w:pPr>
              <w:spacing w:before="0" w:after="0" w:line="400" w:lineRule="atLeast"/>
              <w:jc w:val="center"/>
              <w:rPr>
                <w:szCs w:val="24"/>
                <w:lang w:eastAsia="zh-TW"/>
              </w:rPr>
            </w:pPr>
            <w:r w:rsidRPr="00415FA2">
              <w:rPr>
                <w:szCs w:val="24"/>
                <w:lang w:eastAsia="zh-TW"/>
              </w:rPr>
              <w:t>3.2 (1.8 - 4.6)</w:t>
            </w:r>
          </w:p>
        </w:tc>
      </w:tr>
      <w:tr w:rsidR="00A327E6" w:rsidRPr="0021796A" w:rsidTr="00415FA2">
        <w:trPr>
          <w:trHeight w:val="311"/>
        </w:trPr>
        <w:tc>
          <w:tcPr>
            <w:tcW w:w="9725" w:type="dxa"/>
            <w:gridSpan w:val="7"/>
            <w:tcBorders>
              <w:top w:val="single" w:sz="8" w:space="0" w:color="4F81BD"/>
              <w:bottom w:val="single" w:sz="8" w:space="0" w:color="4F81BD"/>
            </w:tcBorders>
          </w:tcPr>
          <w:p w:rsidR="00A327E6" w:rsidRPr="00415FA2" w:rsidRDefault="00A327E6" w:rsidP="00415FA2">
            <w:pPr>
              <w:spacing w:before="0" w:after="0" w:line="240" w:lineRule="auto"/>
              <w:rPr>
                <w:b/>
                <w:bCs/>
                <w:color w:val="000000"/>
                <w:szCs w:val="24"/>
                <w:lang w:eastAsia="zh-TW"/>
              </w:rPr>
            </w:pPr>
            <w:r w:rsidRPr="00415FA2">
              <w:rPr>
                <w:bCs/>
                <w:color w:val="000000"/>
                <w:szCs w:val="24"/>
                <w:vertAlign w:val="superscript"/>
                <w:lang w:eastAsia="zh-TW"/>
              </w:rPr>
              <w:t>a</w:t>
            </w:r>
            <w:r w:rsidRPr="00415FA2">
              <w:rPr>
                <w:bCs/>
                <w:color w:val="000000"/>
                <w:szCs w:val="24"/>
                <w:lang w:eastAsia="zh-TW"/>
              </w:rPr>
              <w:t>Sample sizes vary slightly based on the number of "don't know/refuse" responses for each outcome. Additionally, probable asthma was assessed only among those without lifetime asthma, and asthma hospitalizations were assessed only among those with current asthma.</w:t>
            </w:r>
          </w:p>
          <w:p w:rsidR="00A327E6" w:rsidRPr="00415FA2" w:rsidRDefault="00A327E6" w:rsidP="00415FA2">
            <w:pPr>
              <w:spacing w:before="0" w:after="0" w:line="240" w:lineRule="auto"/>
              <w:rPr>
                <w:b/>
                <w:bCs/>
                <w:color w:val="000000"/>
                <w:szCs w:val="24"/>
                <w:lang w:eastAsia="zh-TW"/>
              </w:rPr>
            </w:pPr>
            <w:r w:rsidRPr="00415FA2">
              <w:rPr>
                <w:bCs/>
                <w:color w:val="000000"/>
                <w:szCs w:val="24"/>
                <w:vertAlign w:val="superscript"/>
                <w:lang w:eastAsia="zh-TW"/>
              </w:rPr>
              <w:t>b</w:t>
            </w:r>
            <w:r w:rsidRPr="00415FA2">
              <w:rPr>
                <w:bCs/>
                <w:color w:val="000000"/>
                <w:szCs w:val="24"/>
                <w:lang w:eastAsia="zh-TW"/>
              </w:rPr>
              <w:t>Survey data were weighted to population demographics to produce prevalence estimates representative of each exposure area.</w:t>
            </w:r>
          </w:p>
          <w:p w:rsidR="00A327E6" w:rsidRPr="00415FA2" w:rsidRDefault="00A327E6" w:rsidP="00415FA2">
            <w:pPr>
              <w:spacing w:before="0" w:after="0" w:line="240" w:lineRule="auto"/>
              <w:rPr>
                <w:b/>
                <w:bCs/>
                <w:szCs w:val="24"/>
                <w:lang w:eastAsia="zh-TW"/>
              </w:rPr>
            </w:pPr>
            <w:r w:rsidRPr="00415FA2">
              <w:rPr>
                <w:bCs/>
                <w:szCs w:val="24"/>
                <w:vertAlign w:val="superscript"/>
                <w:lang w:eastAsia="zh-TW"/>
              </w:rPr>
              <w:t>*</w:t>
            </w:r>
            <w:r w:rsidRPr="00415FA2">
              <w:rPr>
                <w:bCs/>
                <w:szCs w:val="24"/>
                <w:lang w:eastAsia="zh-TW"/>
              </w:rPr>
              <w:t>Indicates statistical significance (p-value &lt;0.05) for comparison with the low exposure category.</w:t>
            </w:r>
          </w:p>
        </w:tc>
      </w:tr>
    </w:tbl>
    <w:p w:rsidR="00A327E6" w:rsidRDefault="00A327E6" w:rsidP="00E44AAF">
      <w:pPr>
        <w:spacing w:before="100" w:beforeAutospacing="1" w:after="100" w:afterAutospacing="1" w:line="400" w:lineRule="atLeast"/>
        <w:rPr>
          <w:rStyle w:val="Emphasis"/>
          <w:b/>
          <w:szCs w:val="24"/>
        </w:rPr>
      </w:pPr>
    </w:p>
    <w:p w:rsidR="00A327E6" w:rsidRPr="0021796A" w:rsidRDefault="00A327E6" w:rsidP="00E44AAF">
      <w:pPr>
        <w:spacing w:before="100" w:beforeAutospacing="1" w:after="100" w:afterAutospacing="1" w:line="400" w:lineRule="atLeast"/>
        <w:rPr>
          <w:rStyle w:val="Emphasis"/>
          <w:b/>
          <w:szCs w:val="24"/>
        </w:rPr>
      </w:pPr>
      <w:r w:rsidRPr="0021796A">
        <w:rPr>
          <w:rStyle w:val="Emphasis"/>
          <w:b/>
          <w:szCs w:val="24"/>
        </w:rPr>
        <w:t>Children</w:t>
      </w:r>
      <w:bookmarkEnd w:id="215"/>
    </w:p>
    <w:p w:rsidR="00A327E6" w:rsidRDefault="00A327E6" w:rsidP="00517414">
      <w:pPr>
        <w:pStyle w:val="NormalIndent"/>
        <w:spacing w:before="100" w:beforeAutospacing="1" w:after="100" w:afterAutospacing="1" w:line="400" w:lineRule="atLeast"/>
        <w:rPr>
          <w:szCs w:val="24"/>
        </w:rPr>
      </w:pPr>
      <w:r w:rsidRPr="0021796A">
        <w:rPr>
          <w:szCs w:val="24"/>
        </w:rPr>
        <w:t xml:space="preserve">Similarly, the prevalence of respiratory outcomes among children was also examined for those living in each of the three modeled airport-related air pollution exposure areas (Table 6-6).  </w:t>
      </w:r>
      <w:bookmarkStart w:id="217" w:name="_Ref349911520"/>
      <w:r w:rsidRPr="0021796A">
        <w:rPr>
          <w:szCs w:val="24"/>
        </w:rPr>
        <w:t xml:space="preserve">The prevalence of lifetime asthma, current asthma, current asthma requiring medication, and asthma hospitalizations among children were similar </w:t>
      </w:r>
      <w:r>
        <w:rPr>
          <w:szCs w:val="24"/>
        </w:rPr>
        <w:t>for</w:t>
      </w:r>
      <w:r w:rsidRPr="0021796A">
        <w:rPr>
          <w:szCs w:val="24"/>
        </w:rPr>
        <w:t xml:space="preserve"> the total study area and across all three exposure areas.  No clear patterns emerged; however, probable </w:t>
      </w:r>
      <w:r>
        <w:rPr>
          <w:szCs w:val="24"/>
        </w:rPr>
        <w:t xml:space="preserve">or </w:t>
      </w:r>
      <w:r w:rsidRPr="0021796A">
        <w:rPr>
          <w:szCs w:val="24"/>
        </w:rPr>
        <w:t xml:space="preserve">undiagnosed asthma was more prevalent in the high exposure </w:t>
      </w:r>
      <w:r>
        <w:rPr>
          <w:szCs w:val="24"/>
        </w:rPr>
        <w:t>area than in the medium or low</w:t>
      </w:r>
      <w:r w:rsidRPr="0021796A">
        <w:rPr>
          <w:szCs w:val="24"/>
        </w:rPr>
        <w:t xml:space="preserve"> exposure areas (7.3% vs. 3.4% and 3.3%, respectively)</w:t>
      </w:r>
      <w:r>
        <w:rPr>
          <w:szCs w:val="24"/>
        </w:rPr>
        <w:t xml:space="preserve">.  </w:t>
      </w:r>
      <w:r w:rsidRPr="0021796A">
        <w:rPr>
          <w:szCs w:val="24"/>
        </w:rPr>
        <w:t>The differences were not statistically significant</w:t>
      </w:r>
      <w:r>
        <w:rPr>
          <w:szCs w:val="24"/>
        </w:rPr>
        <w:t xml:space="preserve">.  </w:t>
      </w:r>
      <w:r w:rsidRPr="0021796A">
        <w:rPr>
          <w:szCs w:val="24"/>
        </w:rPr>
        <w:t>Similarly, the prevalence of chronic bronchitis increased as the potential for exposure increased, but the differences were not statistically significant (8.4%, 7.1%, 5.9%, in the high</w:t>
      </w:r>
      <w:r>
        <w:rPr>
          <w:szCs w:val="24"/>
        </w:rPr>
        <w:t>, medium and low</w:t>
      </w:r>
      <w:r w:rsidRPr="0021796A">
        <w:rPr>
          <w:szCs w:val="24"/>
        </w:rPr>
        <w:t xml:space="preserve"> exposure areas, respectively).</w:t>
      </w:r>
      <w:bookmarkEnd w:id="217"/>
    </w:p>
    <w:p w:rsidR="00A327E6" w:rsidRDefault="00A327E6" w:rsidP="00E17A00">
      <w:pPr>
        <w:pStyle w:val="Caption"/>
        <w:spacing w:before="0" w:after="0" w:line="240" w:lineRule="auto"/>
      </w:pPr>
      <w:bookmarkStart w:id="218" w:name="_Toc386796299"/>
      <w:r>
        <w:t xml:space="preserve">Table </w:t>
      </w:r>
      <w:fldSimple w:instr=" STYLEREF 1 \s ">
        <w:r>
          <w:rPr>
            <w:noProof/>
          </w:rPr>
          <w:t>6</w:t>
        </w:r>
      </w:fldSimple>
      <w:r>
        <w:noBreakHyphen/>
      </w:r>
      <w:fldSimple w:instr=" SEQ Table \* ARABIC \s 1 ">
        <w:r>
          <w:rPr>
            <w:noProof/>
          </w:rPr>
          <w:t>6</w:t>
        </w:r>
      </w:fldSimple>
      <w:r>
        <w:t xml:space="preserve">.  </w:t>
      </w:r>
      <w:r w:rsidRPr="00381D14">
        <w:t xml:space="preserve">Prevalence Estimates of Respiratory Disease </w:t>
      </w:r>
      <w:r>
        <w:t>A</w:t>
      </w:r>
      <w:r w:rsidRPr="00381D14">
        <w:t>mong Children by Category of Modeled Airport-related Air Pollution Exposure in the Logan Airport Health Study Area (2005)</w:t>
      </w:r>
      <w:bookmarkEnd w:id="218"/>
    </w:p>
    <w:p w:rsidR="00A327E6" w:rsidRPr="00E17A00" w:rsidRDefault="00A327E6" w:rsidP="00E17A00">
      <w:pPr>
        <w:spacing w:before="0" w:after="0" w:line="240" w:lineRule="auto"/>
      </w:pPr>
    </w:p>
    <w:tbl>
      <w:tblPr>
        <w:tblpPr w:leftFromText="180" w:rightFromText="180" w:vertAnchor="text" w:horzAnchor="margin" w:tblpY="116"/>
        <w:tblW w:w="9665" w:type="dxa"/>
        <w:tblBorders>
          <w:top w:val="single" w:sz="8" w:space="0" w:color="4F81BD"/>
          <w:left w:val="single" w:sz="8" w:space="0" w:color="4F81BD"/>
          <w:bottom w:val="single" w:sz="8" w:space="0" w:color="4F81BD"/>
          <w:right w:val="single" w:sz="8" w:space="0" w:color="4F81BD"/>
        </w:tblBorders>
        <w:tblLayout w:type="fixed"/>
        <w:tblLook w:val="00A0"/>
      </w:tblPr>
      <w:tblGrid>
        <w:gridCol w:w="2538"/>
        <w:gridCol w:w="1119"/>
        <w:gridCol w:w="2002"/>
        <w:gridCol w:w="2002"/>
        <w:gridCol w:w="2004"/>
      </w:tblGrid>
      <w:tr w:rsidR="00A327E6" w:rsidRPr="00A25E58" w:rsidTr="00415FA2">
        <w:trPr>
          <w:trHeight w:val="323"/>
        </w:trPr>
        <w:tc>
          <w:tcPr>
            <w:tcW w:w="2538" w:type="dxa"/>
            <w:tcBorders>
              <w:top w:val="single" w:sz="8" w:space="0" w:color="4F81BD"/>
            </w:tcBorders>
            <w:shd w:val="clear" w:color="auto" w:fill="4F81BD"/>
            <w:noWrap/>
          </w:tcPr>
          <w:p w:rsidR="00A327E6" w:rsidRPr="00415FA2" w:rsidRDefault="00A327E6" w:rsidP="00415FA2">
            <w:pPr>
              <w:spacing w:before="0" w:after="0" w:line="240" w:lineRule="atLeast"/>
              <w:rPr>
                <w:b/>
                <w:bCs/>
                <w:color w:val="FFFFFF"/>
                <w:szCs w:val="24"/>
                <w:lang w:eastAsia="zh-TW"/>
              </w:rPr>
            </w:pPr>
            <w:bookmarkStart w:id="219" w:name="_Toc350413100"/>
          </w:p>
        </w:tc>
        <w:tc>
          <w:tcPr>
            <w:tcW w:w="1119" w:type="dxa"/>
            <w:tcBorders>
              <w:top w:val="single" w:sz="8" w:space="0" w:color="4F81BD"/>
            </w:tcBorders>
            <w:shd w:val="clear" w:color="auto" w:fill="4F81BD"/>
            <w:noWrap/>
          </w:tcPr>
          <w:p w:rsidR="00A327E6" w:rsidRPr="00415FA2" w:rsidRDefault="00A327E6" w:rsidP="00415FA2">
            <w:pPr>
              <w:spacing w:before="0" w:after="0" w:line="240" w:lineRule="atLeast"/>
              <w:jc w:val="center"/>
              <w:rPr>
                <w:b/>
                <w:bCs/>
                <w:color w:val="FFFFFF"/>
                <w:szCs w:val="24"/>
                <w:lang w:eastAsia="zh-TW"/>
              </w:rPr>
            </w:pPr>
          </w:p>
        </w:tc>
        <w:tc>
          <w:tcPr>
            <w:tcW w:w="6008" w:type="dxa"/>
            <w:gridSpan w:val="3"/>
            <w:tcBorders>
              <w:top w:val="single" w:sz="8" w:space="0" w:color="4F81BD"/>
              <w:bottom w:val="single" w:sz="8" w:space="0" w:color="FFFFFF"/>
            </w:tcBorders>
            <w:shd w:val="clear" w:color="auto" w:fill="4F81BD"/>
            <w:vAlign w:val="center"/>
          </w:tcPr>
          <w:p w:rsidR="00A327E6" w:rsidRPr="00415FA2" w:rsidRDefault="00A327E6" w:rsidP="00415FA2">
            <w:pPr>
              <w:spacing w:before="0" w:after="0" w:line="240" w:lineRule="atLeast"/>
              <w:jc w:val="center"/>
              <w:rPr>
                <w:b/>
                <w:bCs/>
                <w:color w:val="FFFFFF"/>
                <w:szCs w:val="24"/>
                <w:lang w:eastAsia="zh-TW"/>
              </w:rPr>
            </w:pPr>
            <w:r w:rsidRPr="00415FA2">
              <w:rPr>
                <w:b/>
                <w:bCs/>
                <w:color w:val="FFFFFF"/>
                <w:szCs w:val="24"/>
                <w:lang w:eastAsia="zh-TW"/>
              </w:rPr>
              <w:t>Prevalence</w:t>
            </w:r>
            <w:r w:rsidRPr="00415FA2">
              <w:rPr>
                <w:b/>
                <w:bCs/>
                <w:color w:val="FFFFFF"/>
                <w:szCs w:val="24"/>
                <w:vertAlign w:val="superscript"/>
                <w:lang w:eastAsia="zh-TW"/>
              </w:rPr>
              <w:t>b</w:t>
            </w:r>
            <w:r w:rsidRPr="00415FA2">
              <w:rPr>
                <w:b/>
                <w:bCs/>
                <w:color w:val="FFFFFF"/>
                <w:szCs w:val="24"/>
                <w:lang w:eastAsia="zh-TW"/>
              </w:rPr>
              <w:t>, % (95% Confidence Interval)</w:t>
            </w:r>
          </w:p>
        </w:tc>
      </w:tr>
      <w:tr w:rsidR="00A327E6" w:rsidRPr="00A25E58" w:rsidTr="00415FA2">
        <w:trPr>
          <w:trHeight w:val="323"/>
        </w:trPr>
        <w:tc>
          <w:tcPr>
            <w:tcW w:w="2538" w:type="dxa"/>
            <w:tcBorders>
              <w:top w:val="single" w:sz="8" w:space="0" w:color="4F81BD"/>
              <w:bottom w:val="single" w:sz="8" w:space="0" w:color="4F81BD"/>
            </w:tcBorders>
            <w:shd w:val="clear" w:color="auto" w:fill="4F81BD"/>
            <w:noWrap/>
          </w:tcPr>
          <w:p w:rsidR="00A327E6" w:rsidRPr="00415FA2" w:rsidRDefault="00A327E6" w:rsidP="00415FA2">
            <w:pPr>
              <w:spacing w:before="0" w:after="0" w:line="240" w:lineRule="atLeast"/>
              <w:rPr>
                <w:b/>
                <w:bCs/>
                <w:color w:val="FFFFFF"/>
                <w:szCs w:val="24"/>
                <w:lang w:eastAsia="zh-TW"/>
              </w:rPr>
            </w:pPr>
          </w:p>
        </w:tc>
        <w:tc>
          <w:tcPr>
            <w:tcW w:w="1119" w:type="dxa"/>
            <w:vMerge w:val="restart"/>
            <w:tcBorders>
              <w:top w:val="single" w:sz="8" w:space="0" w:color="4F81BD"/>
              <w:left w:val="single" w:sz="8" w:space="0" w:color="4F81BD"/>
              <w:bottom w:val="single" w:sz="8" w:space="0" w:color="4F81BD"/>
              <w:right w:val="single" w:sz="8" w:space="0" w:color="4F81BD"/>
            </w:tcBorders>
            <w:shd w:val="clear" w:color="auto" w:fill="4F81BD"/>
            <w:noWrap/>
            <w:vAlign w:val="center"/>
          </w:tcPr>
          <w:p w:rsidR="00A327E6" w:rsidRPr="00415FA2" w:rsidRDefault="00A327E6" w:rsidP="00415FA2">
            <w:pPr>
              <w:spacing w:before="0" w:after="0" w:line="240" w:lineRule="atLeast"/>
              <w:jc w:val="center"/>
              <w:rPr>
                <w:b/>
                <w:color w:val="FFFFFF"/>
                <w:szCs w:val="24"/>
                <w:lang w:eastAsia="zh-TW"/>
              </w:rPr>
            </w:pPr>
            <w:r w:rsidRPr="00415FA2">
              <w:rPr>
                <w:b/>
                <w:color w:val="FFFFFF"/>
                <w:szCs w:val="24"/>
                <w:lang w:eastAsia="zh-TW"/>
              </w:rPr>
              <w:t>Sample Size</w:t>
            </w:r>
            <w:r w:rsidRPr="00415FA2">
              <w:rPr>
                <w:b/>
                <w:color w:val="FFFFFF"/>
                <w:szCs w:val="24"/>
                <w:vertAlign w:val="superscript"/>
                <w:lang w:eastAsia="zh-TW"/>
              </w:rPr>
              <w:t>a</w:t>
            </w:r>
          </w:p>
        </w:tc>
        <w:tc>
          <w:tcPr>
            <w:tcW w:w="6008" w:type="dxa"/>
            <w:gridSpan w:val="3"/>
            <w:tcBorders>
              <w:top w:val="single" w:sz="8" w:space="0" w:color="FFFFFF"/>
              <w:bottom w:val="single" w:sz="8" w:space="0" w:color="4F81BD"/>
            </w:tcBorders>
            <w:shd w:val="clear" w:color="auto" w:fill="4F81BD"/>
            <w:vAlign w:val="center"/>
          </w:tcPr>
          <w:p w:rsidR="00A327E6" w:rsidRPr="00415FA2" w:rsidRDefault="00A327E6" w:rsidP="00415FA2">
            <w:pPr>
              <w:spacing w:before="0" w:after="0" w:line="240" w:lineRule="atLeast"/>
              <w:jc w:val="center"/>
              <w:rPr>
                <w:b/>
                <w:color w:val="FFFFFF"/>
                <w:szCs w:val="24"/>
                <w:lang w:eastAsia="zh-TW"/>
              </w:rPr>
            </w:pPr>
            <w:r w:rsidRPr="00415FA2">
              <w:rPr>
                <w:b/>
                <w:color w:val="FFFFFF"/>
                <w:szCs w:val="24"/>
                <w:lang w:eastAsia="zh-TW"/>
              </w:rPr>
              <w:t>Exposure Category</w:t>
            </w:r>
          </w:p>
        </w:tc>
      </w:tr>
      <w:tr w:rsidR="00A327E6" w:rsidRPr="00A25E58" w:rsidTr="00415FA2">
        <w:trPr>
          <w:trHeight w:val="323"/>
        </w:trPr>
        <w:tc>
          <w:tcPr>
            <w:tcW w:w="2538" w:type="dxa"/>
            <w:tcBorders>
              <w:bottom w:val="nil"/>
            </w:tcBorders>
            <w:shd w:val="clear" w:color="auto" w:fill="4F81BD"/>
            <w:noWrap/>
            <w:vAlign w:val="center"/>
          </w:tcPr>
          <w:p w:rsidR="00A327E6" w:rsidRPr="00415FA2" w:rsidRDefault="00A327E6" w:rsidP="00415FA2">
            <w:pPr>
              <w:spacing w:before="0" w:after="0" w:line="240" w:lineRule="atLeast"/>
              <w:rPr>
                <w:b/>
                <w:bCs/>
                <w:color w:val="FFFFFF"/>
                <w:szCs w:val="24"/>
                <w:lang w:eastAsia="zh-TW"/>
              </w:rPr>
            </w:pPr>
            <w:r w:rsidRPr="00415FA2">
              <w:rPr>
                <w:b/>
                <w:bCs/>
                <w:color w:val="FFFFFF"/>
                <w:szCs w:val="24"/>
                <w:lang w:eastAsia="zh-TW"/>
              </w:rPr>
              <w:t>Health Outcome</w:t>
            </w:r>
          </w:p>
        </w:tc>
        <w:tc>
          <w:tcPr>
            <w:tcW w:w="1119" w:type="dxa"/>
            <w:vMerge/>
            <w:tcBorders>
              <w:left w:val="single" w:sz="8" w:space="0" w:color="4F81BD"/>
              <w:bottom w:val="nil"/>
              <w:right w:val="single" w:sz="8" w:space="0" w:color="4F81BD"/>
            </w:tcBorders>
            <w:shd w:val="clear" w:color="auto" w:fill="4F81BD"/>
            <w:noWrap/>
          </w:tcPr>
          <w:p w:rsidR="00A327E6" w:rsidRPr="00415FA2" w:rsidRDefault="00A327E6" w:rsidP="00415FA2">
            <w:pPr>
              <w:spacing w:before="0" w:after="0" w:line="240" w:lineRule="atLeast"/>
              <w:jc w:val="center"/>
              <w:rPr>
                <w:b/>
                <w:color w:val="FFFFFF"/>
                <w:szCs w:val="24"/>
                <w:lang w:eastAsia="zh-TW"/>
              </w:rPr>
            </w:pPr>
          </w:p>
        </w:tc>
        <w:tc>
          <w:tcPr>
            <w:tcW w:w="2002" w:type="dxa"/>
            <w:tcBorders>
              <w:bottom w:val="nil"/>
            </w:tcBorders>
            <w:shd w:val="clear" w:color="auto" w:fill="4F81BD"/>
            <w:vAlign w:val="center"/>
          </w:tcPr>
          <w:p w:rsidR="00A327E6" w:rsidRPr="00415FA2" w:rsidRDefault="00A327E6" w:rsidP="00415FA2">
            <w:pPr>
              <w:spacing w:before="0" w:after="0" w:line="240" w:lineRule="atLeast"/>
              <w:jc w:val="center"/>
              <w:rPr>
                <w:b/>
                <w:color w:val="FFFFFF"/>
                <w:szCs w:val="24"/>
                <w:lang w:eastAsia="zh-TW"/>
              </w:rPr>
            </w:pPr>
            <w:r w:rsidRPr="00415FA2">
              <w:rPr>
                <w:b/>
                <w:color w:val="FFFFFF"/>
                <w:szCs w:val="24"/>
                <w:lang w:eastAsia="zh-TW"/>
              </w:rPr>
              <w:t>Low</w:t>
            </w:r>
          </w:p>
        </w:tc>
        <w:tc>
          <w:tcPr>
            <w:tcW w:w="2002" w:type="dxa"/>
            <w:tcBorders>
              <w:left w:val="single" w:sz="8" w:space="0" w:color="4F81BD"/>
              <w:bottom w:val="nil"/>
              <w:right w:val="single" w:sz="8" w:space="0" w:color="4F81BD"/>
            </w:tcBorders>
            <w:shd w:val="clear" w:color="auto" w:fill="4F81BD"/>
            <w:vAlign w:val="center"/>
          </w:tcPr>
          <w:p w:rsidR="00A327E6" w:rsidRPr="00415FA2" w:rsidRDefault="00A327E6" w:rsidP="00415FA2">
            <w:pPr>
              <w:spacing w:before="0" w:after="0" w:line="240" w:lineRule="atLeast"/>
              <w:jc w:val="center"/>
              <w:rPr>
                <w:b/>
                <w:color w:val="FFFFFF"/>
                <w:szCs w:val="24"/>
                <w:lang w:eastAsia="zh-TW"/>
              </w:rPr>
            </w:pPr>
            <w:r w:rsidRPr="00415FA2">
              <w:rPr>
                <w:b/>
                <w:color w:val="FFFFFF"/>
                <w:szCs w:val="24"/>
                <w:lang w:eastAsia="zh-TW"/>
              </w:rPr>
              <w:t>Medium</w:t>
            </w:r>
          </w:p>
        </w:tc>
        <w:tc>
          <w:tcPr>
            <w:tcW w:w="2004" w:type="dxa"/>
            <w:tcBorders>
              <w:bottom w:val="nil"/>
            </w:tcBorders>
            <w:shd w:val="clear" w:color="auto" w:fill="4F81BD"/>
            <w:vAlign w:val="center"/>
          </w:tcPr>
          <w:p w:rsidR="00A327E6" w:rsidRPr="00415FA2" w:rsidRDefault="00A327E6" w:rsidP="00415FA2">
            <w:pPr>
              <w:spacing w:before="0" w:after="0" w:line="240" w:lineRule="atLeast"/>
              <w:jc w:val="center"/>
              <w:rPr>
                <w:b/>
                <w:color w:val="FFFFFF"/>
                <w:szCs w:val="24"/>
                <w:lang w:eastAsia="zh-TW"/>
              </w:rPr>
            </w:pPr>
            <w:r w:rsidRPr="00415FA2">
              <w:rPr>
                <w:b/>
                <w:color w:val="FFFFFF"/>
                <w:szCs w:val="24"/>
                <w:lang w:eastAsia="zh-TW"/>
              </w:rPr>
              <w:t>High</w:t>
            </w:r>
          </w:p>
        </w:tc>
      </w:tr>
      <w:tr w:rsidR="00A327E6" w:rsidRPr="0021796A" w:rsidTr="00415FA2">
        <w:trPr>
          <w:trHeight w:val="592"/>
        </w:trPr>
        <w:tc>
          <w:tcPr>
            <w:tcW w:w="2538" w:type="dxa"/>
            <w:tcBorders>
              <w:top w:val="nil"/>
              <w:bottom w:val="single" w:sz="8" w:space="0" w:color="4F81BD"/>
            </w:tcBorders>
            <w:noWrap/>
            <w:vAlign w:val="center"/>
          </w:tcPr>
          <w:p w:rsidR="00A327E6" w:rsidRPr="00415FA2" w:rsidRDefault="00A327E6" w:rsidP="00415FA2">
            <w:pPr>
              <w:spacing w:before="0" w:after="0" w:line="240" w:lineRule="atLeast"/>
              <w:rPr>
                <w:b/>
                <w:bCs/>
                <w:szCs w:val="24"/>
                <w:lang w:eastAsia="zh-TW"/>
              </w:rPr>
            </w:pPr>
            <w:r w:rsidRPr="00415FA2">
              <w:rPr>
                <w:b/>
                <w:bCs/>
                <w:szCs w:val="24"/>
                <w:lang w:eastAsia="zh-TW"/>
              </w:rPr>
              <w:t>Lifetime Asthma</w:t>
            </w:r>
          </w:p>
        </w:tc>
        <w:tc>
          <w:tcPr>
            <w:tcW w:w="1119" w:type="dxa"/>
            <w:tcBorders>
              <w:top w:val="nil"/>
              <w:bottom w:val="single" w:sz="8" w:space="0" w:color="4F81BD"/>
            </w:tcBorders>
            <w:noWrap/>
            <w:vAlign w:val="center"/>
          </w:tcPr>
          <w:p w:rsidR="00A327E6" w:rsidRPr="00415FA2" w:rsidRDefault="00A327E6" w:rsidP="00415FA2">
            <w:pPr>
              <w:spacing w:before="0" w:after="0" w:line="240" w:lineRule="atLeast"/>
              <w:jc w:val="center"/>
              <w:rPr>
                <w:szCs w:val="24"/>
                <w:lang w:eastAsia="zh-TW"/>
              </w:rPr>
            </w:pPr>
            <w:r w:rsidRPr="00415FA2">
              <w:rPr>
                <w:szCs w:val="24"/>
                <w:lang w:eastAsia="zh-TW"/>
              </w:rPr>
              <w:t>2201</w:t>
            </w:r>
          </w:p>
        </w:tc>
        <w:tc>
          <w:tcPr>
            <w:tcW w:w="2002" w:type="dxa"/>
            <w:tcBorders>
              <w:top w:val="nil"/>
              <w:bottom w:val="single" w:sz="8" w:space="0" w:color="4F81BD"/>
            </w:tcBorders>
            <w:noWrap/>
            <w:vAlign w:val="center"/>
          </w:tcPr>
          <w:p w:rsidR="00A327E6" w:rsidRPr="00415FA2" w:rsidRDefault="00A327E6" w:rsidP="00415FA2">
            <w:pPr>
              <w:spacing w:before="0" w:after="0" w:line="240" w:lineRule="atLeast"/>
              <w:jc w:val="center"/>
              <w:rPr>
                <w:szCs w:val="24"/>
                <w:lang w:eastAsia="zh-TW"/>
              </w:rPr>
            </w:pPr>
            <w:r w:rsidRPr="00415FA2">
              <w:rPr>
                <w:szCs w:val="24"/>
                <w:lang w:eastAsia="zh-TW"/>
              </w:rPr>
              <w:t>22.1 (19.2 - 25.0)</w:t>
            </w:r>
          </w:p>
        </w:tc>
        <w:tc>
          <w:tcPr>
            <w:tcW w:w="2002" w:type="dxa"/>
            <w:tcBorders>
              <w:top w:val="nil"/>
              <w:bottom w:val="single" w:sz="8" w:space="0" w:color="4F81BD"/>
            </w:tcBorders>
            <w:vAlign w:val="center"/>
          </w:tcPr>
          <w:p w:rsidR="00A327E6" w:rsidRPr="00415FA2" w:rsidRDefault="00A327E6" w:rsidP="00415FA2">
            <w:pPr>
              <w:spacing w:before="0" w:after="0" w:line="240" w:lineRule="atLeast"/>
              <w:jc w:val="center"/>
              <w:rPr>
                <w:szCs w:val="24"/>
                <w:lang w:eastAsia="zh-TW"/>
              </w:rPr>
            </w:pPr>
            <w:r w:rsidRPr="00415FA2">
              <w:rPr>
                <w:szCs w:val="24"/>
                <w:lang w:eastAsia="zh-TW"/>
              </w:rPr>
              <w:t>18.5 (14.5 - 22.6)</w:t>
            </w:r>
          </w:p>
        </w:tc>
        <w:tc>
          <w:tcPr>
            <w:tcW w:w="2004" w:type="dxa"/>
            <w:tcBorders>
              <w:top w:val="nil"/>
              <w:bottom w:val="single" w:sz="8" w:space="0" w:color="4F81BD"/>
            </w:tcBorders>
            <w:vAlign w:val="center"/>
          </w:tcPr>
          <w:p w:rsidR="00A327E6" w:rsidRPr="00415FA2" w:rsidRDefault="00A327E6" w:rsidP="00415FA2">
            <w:pPr>
              <w:spacing w:before="0" w:after="0" w:line="240" w:lineRule="atLeast"/>
              <w:jc w:val="center"/>
              <w:rPr>
                <w:szCs w:val="24"/>
                <w:lang w:eastAsia="zh-TW"/>
              </w:rPr>
            </w:pPr>
            <w:r w:rsidRPr="00415FA2">
              <w:rPr>
                <w:szCs w:val="24"/>
                <w:lang w:eastAsia="zh-TW"/>
              </w:rPr>
              <w:t>19.1 (13.6 - 24.7)</w:t>
            </w:r>
          </w:p>
        </w:tc>
      </w:tr>
      <w:tr w:rsidR="00A327E6" w:rsidRPr="0021796A" w:rsidTr="00415FA2">
        <w:trPr>
          <w:trHeight w:val="592"/>
        </w:trPr>
        <w:tc>
          <w:tcPr>
            <w:tcW w:w="2538" w:type="dxa"/>
            <w:tcBorders>
              <w:top w:val="single" w:sz="8" w:space="0" w:color="4F81BD"/>
              <w:bottom w:val="single" w:sz="8" w:space="0" w:color="4F81BD"/>
            </w:tcBorders>
            <w:vAlign w:val="center"/>
          </w:tcPr>
          <w:p w:rsidR="00A327E6" w:rsidRPr="00415FA2" w:rsidRDefault="00A327E6" w:rsidP="00415FA2">
            <w:pPr>
              <w:spacing w:before="0" w:after="0" w:line="240" w:lineRule="atLeast"/>
              <w:rPr>
                <w:b/>
                <w:bCs/>
                <w:szCs w:val="24"/>
                <w:lang w:eastAsia="zh-TW"/>
              </w:rPr>
            </w:pPr>
            <w:r w:rsidRPr="00415FA2">
              <w:rPr>
                <w:b/>
                <w:bCs/>
                <w:szCs w:val="24"/>
                <w:lang w:eastAsia="zh-TW"/>
              </w:rPr>
              <w:t>Current Asthma</w:t>
            </w:r>
          </w:p>
        </w:tc>
        <w:tc>
          <w:tcPr>
            <w:tcW w:w="1119" w:type="dxa"/>
            <w:tcBorders>
              <w:top w:val="single" w:sz="8" w:space="0" w:color="4F81BD"/>
              <w:bottom w:val="single" w:sz="8" w:space="0" w:color="4F81BD"/>
            </w:tcBorders>
            <w:noWrap/>
            <w:vAlign w:val="center"/>
          </w:tcPr>
          <w:p w:rsidR="00A327E6" w:rsidRPr="00415FA2" w:rsidRDefault="00A327E6" w:rsidP="00415FA2">
            <w:pPr>
              <w:spacing w:before="0" w:after="0" w:line="240" w:lineRule="atLeast"/>
              <w:jc w:val="center"/>
              <w:rPr>
                <w:szCs w:val="24"/>
                <w:lang w:eastAsia="zh-TW"/>
              </w:rPr>
            </w:pPr>
            <w:r w:rsidRPr="00415FA2">
              <w:rPr>
                <w:szCs w:val="24"/>
                <w:lang w:eastAsia="zh-TW"/>
              </w:rPr>
              <w:t>2192</w:t>
            </w:r>
          </w:p>
        </w:tc>
        <w:tc>
          <w:tcPr>
            <w:tcW w:w="2002" w:type="dxa"/>
            <w:tcBorders>
              <w:top w:val="single" w:sz="8" w:space="0" w:color="4F81BD"/>
              <w:bottom w:val="single" w:sz="8" w:space="0" w:color="4F81BD"/>
            </w:tcBorders>
            <w:noWrap/>
            <w:vAlign w:val="center"/>
          </w:tcPr>
          <w:p w:rsidR="00A327E6" w:rsidRPr="00415FA2" w:rsidRDefault="00A327E6" w:rsidP="00415FA2">
            <w:pPr>
              <w:spacing w:before="0" w:after="0" w:line="240" w:lineRule="atLeast"/>
              <w:jc w:val="center"/>
              <w:rPr>
                <w:szCs w:val="24"/>
                <w:lang w:eastAsia="zh-TW"/>
              </w:rPr>
            </w:pPr>
            <w:r w:rsidRPr="00415FA2">
              <w:rPr>
                <w:szCs w:val="24"/>
                <w:lang w:eastAsia="zh-TW"/>
              </w:rPr>
              <w:t>15.2 (12.7 - 17.7)</w:t>
            </w:r>
          </w:p>
        </w:tc>
        <w:tc>
          <w:tcPr>
            <w:tcW w:w="2002" w:type="dxa"/>
            <w:tcBorders>
              <w:top w:val="single" w:sz="8" w:space="0" w:color="4F81BD"/>
              <w:bottom w:val="single" w:sz="8" w:space="0" w:color="4F81BD"/>
            </w:tcBorders>
            <w:vAlign w:val="center"/>
          </w:tcPr>
          <w:p w:rsidR="00A327E6" w:rsidRPr="00415FA2" w:rsidRDefault="00A327E6" w:rsidP="00415FA2">
            <w:pPr>
              <w:spacing w:before="0" w:after="0" w:line="240" w:lineRule="atLeast"/>
              <w:jc w:val="center"/>
              <w:rPr>
                <w:szCs w:val="24"/>
                <w:lang w:eastAsia="zh-TW"/>
              </w:rPr>
            </w:pPr>
            <w:r w:rsidRPr="00415FA2">
              <w:rPr>
                <w:szCs w:val="24"/>
                <w:lang w:eastAsia="zh-TW"/>
              </w:rPr>
              <w:t>13.7 (10.1 - 17.3)</w:t>
            </w:r>
          </w:p>
        </w:tc>
        <w:tc>
          <w:tcPr>
            <w:tcW w:w="2004" w:type="dxa"/>
            <w:tcBorders>
              <w:top w:val="single" w:sz="8" w:space="0" w:color="4F81BD"/>
              <w:bottom w:val="single" w:sz="8" w:space="0" w:color="4F81BD"/>
            </w:tcBorders>
            <w:vAlign w:val="center"/>
          </w:tcPr>
          <w:p w:rsidR="00A327E6" w:rsidRPr="00415FA2" w:rsidRDefault="00A327E6" w:rsidP="00415FA2">
            <w:pPr>
              <w:spacing w:before="0" w:after="0" w:line="240" w:lineRule="atLeast"/>
              <w:jc w:val="center"/>
              <w:rPr>
                <w:szCs w:val="24"/>
                <w:lang w:eastAsia="zh-TW"/>
              </w:rPr>
            </w:pPr>
            <w:r w:rsidRPr="00415FA2">
              <w:rPr>
                <w:szCs w:val="24"/>
                <w:lang w:eastAsia="zh-TW"/>
              </w:rPr>
              <w:t>14.4 (9.1 - 19.6)</w:t>
            </w:r>
          </w:p>
        </w:tc>
      </w:tr>
      <w:tr w:rsidR="00A327E6" w:rsidRPr="0021796A" w:rsidTr="00415FA2">
        <w:trPr>
          <w:trHeight w:val="592"/>
        </w:trPr>
        <w:tc>
          <w:tcPr>
            <w:tcW w:w="2538" w:type="dxa"/>
            <w:tcBorders>
              <w:top w:val="single" w:sz="8" w:space="0" w:color="4F81BD"/>
              <w:bottom w:val="single" w:sz="8" w:space="0" w:color="4F81BD"/>
            </w:tcBorders>
            <w:vAlign w:val="center"/>
          </w:tcPr>
          <w:p w:rsidR="00A327E6" w:rsidRPr="00415FA2" w:rsidRDefault="00A327E6" w:rsidP="00415FA2">
            <w:pPr>
              <w:spacing w:before="0" w:after="0" w:line="240" w:lineRule="atLeast"/>
              <w:rPr>
                <w:b/>
                <w:bCs/>
                <w:szCs w:val="24"/>
                <w:lang w:eastAsia="zh-TW"/>
              </w:rPr>
            </w:pPr>
            <w:r w:rsidRPr="00415FA2">
              <w:rPr>
                <w:b/>
                <w:bCs/>
                <w:szCs w:val="24"/>
                <w:lang w:eastAsia="zh-TW"/>
              </w:rPr>
              <w:t>Current Asthma with Medication Use</w:t>
            </w:r>
          </w:p>
        </w:tc>
        <w:tc>
          <w:tcPr>
            <w:tcW w:w="1119" w:type="dxa"/>
            <w:tcBorders>
              <w:top w:val="single" w:sz="8" w:space="0" w:color="4F81BD"/>
              <w:bottom w:val="single" w:sz="8" w:space="0" w:color="4F81BD"/>
            </w:tcBorders>
            <w:noWrap/>
            <w:vAlign w:val="center"/>
          </w:tcPr>
          <w:p w:rsidR="00A327E6" w:rsidRPr="00415FA2" w:rsidRDefault="00A327E6" w:rsidP="00415FA2">
            <w:pPr>
              <w:spacing w:before="0" w:after="0" w:line="240" w:lineRule="atLeast"/>
              <w:jc w:val="center"/>
              <w:rPr>
                <w:szCs w:val="24"/>
                <w:lang w:eastAsia="zh-TW"/>
              </w:rPr>
            </w:pPr>
            <w:r w:rsidRPr="00415FA2">
              <w:rPr>
                <w:szCs w:val="24"/>
                <w:lang w:eastAsia="zh-TW"/>
              </w:rPr>
              <w:t>2191</w:t>
            </w:r>
          </w:p>
        </w:tc>
        <w:tc>
          <w:tcPr>
            <w:tcW w:w="2002" w:type="dxa"/>
            <w:tcBorders>
              <w:top w:val="single" w:sz="8" w:space="0" w:color="4F81BD"/>
              <w:bottom w:val="single" w:sz="8" w:space="0" w:color="4F81BD"/>
            </w:tcBorders>
            <w:noWrap/>
            <w:vAlign w:val="center"/>
          </w:tcPr>
          <w:p w:rsidR="00A327E6" w:rsidRPr="00415FA2" w:rsidRDefault="00A327E6" w:rsidP="00415FA2">
            <w:pPr>
              <w:spacing w:before="0" w:after="0" w:line="240" w:lineRule="atLeast"/>
              <w:jc w:val="center"/>
              <w:rPr>
                <w:szCs w:val="24"/>
                <w:lang w:eastAsia="zh-TW"/>
              </w:rPr>
            </w:pPr>
            <w:r w:rsidRPr="00415FA2">
              <w:rPr>
                <w:szCs w:val="24"/>
                <w:lang w:eastAsia="zh-TW"/>
              </w:rPr>
              <w:t>12.8 (10.4 - 15.1)</w:t>
            </w:r>
          </w:p>
        </w:tc>
        <w:tc>
          <w:tcPr>
            <w:tcW w:w="2002" w:type="dxa"/>
            <w:tcBorders>
              <w:top w:val="single" w:sz="8" w:space="0" w:color="4F81BD"/>
              <w:bottom w:val="single" w:sz="8" w:space="0" w:color="4F81BD"/>
            </w:tcBorders>
            <w:vAlign w:val="center"/>
          </w:tcPr>
          <w:p w:rsidR="00A327E6" w:rsidRPr="00415FA2" w:rsidRDefault="00A327E6" w:rsidP="00415FA2">
            <w:pPr>
              <w:spacing w:before="0" w:after="0" w:line="240" w:lineRule="atLeast"/>
              <w:jc w:val="center"/>
              <w:rPr>
                <w:szCs w:val="24"/>
                <w:lang w:eastAsia="zh-TW"/>
              </w:rPr>
            </w:pPr>
            <w:r w:rsidRPr="00415FA2">
              <w:rPr>
                <w:szCs w:val="24"/>
                <w:lang w:eastAsia="zh-TW"/>
              </w:rPr>
              <w:t>11.9 (8.4 - 15.3)</w:t>
            </w:r>
          </w:p>
        </w:tc>
        <w:tc>
          <w:tcPr>
            <w:tcW w:w="2004" w:type="dxa"/>
            <w:tcBorders>
              <w:top w:val="single" w:sz="8" w:space="0" w:color="4F81BD"/>
              <w:bottom w:val="single" w:sz="8" w:space="0" w:color="4F81BD"/>
            </w:tcBorders>
            <w:vAlign w:val="center"/>
          </w:tcPr>
          <w:p w:rsidR="00A327E6" w:rsidRPr="00415FA2" w:rsidRDefault="00A327E6" w:rsidP="00415FA2">
            <w:pPr>
              <w:spacing w:before="0" w:after="0" w:line="240" w:lineRule="atLeast"/>
              <w:jc w:val="center"/>
              <w:rPr>
                <w:szCs w:val="24"/>
                <w:lang w:eastAsia="zh-TW"/>
              </w:rPr>
            </w:pPr>
            <w:r w:rsidRPr="00415FA2">
              <w:rPr>
                <w:szCs w:val="24"/>
                <w:lang w:eastAsia="zh-TW"/>
              </w:rPr>
              <w:t>12.7 (7.7 - 17.7)</w:t>
            </w:r>
          </w:p>
        </w:tc>
      </w:tr>
      <w:tr w:rsidR="00A327E6" w:rsidRPr="0021796A" w:rsidTr="00415FA2">
        <w:trPr>
          <w:trHeight w:val="592"/>
        </w:trPr>
        <w:tc>
          <w:tcPr>
            <w:tcW w:w="2538" w:type="dxa"/>
            <w:tcBorders>
              <w:top w:val="single" w:sz="8" w:space="0" w:color="4F81BD"/>
              <w:bottom w:val="single" w:sz="8" w:space="0" w:color="4F81BD"/>
            </w:tcBorders>
            <w:noWrap/>
            <w:vAlign w:val="center"/>
          </w:tcPr>
          <w:p w:rsidR="00A327E6" w:rsidRPr="00415FA2" w:rsidRDefault="00A327E6" w:rsidP="00415FA2">
            <w:pPr>
              <w:spacing w:before="0" w:after="0" w:line="240" w:lineRule="atLeast"/>
              <w:rPr>
                <w:b/>
                <w:bCs/>
                <w:szCs w:val="24"/>
                <w:lang w:eastAsia="zh-TW"/>
              </w:rPr>
            </w:pPr>
            <w:r w:rsidRPr="00415FA2">
              <w:rPr>
                <w:b/>
                <w:bCs/>
                <w:szCs w:val="24"/>
                <w:lang w:eastAsia="zh-TW"/>
              </w:rPr>
              <w:t>Probable Asthma</w:t>
            </w:r>
          </w:p>
        </w:tc>
        <w:tc>
          <w:tcPr>
            <w:tcW w:w="1119" w:type="dxa"/>
            <w:tcBorders>
              <w:top w:val="single" w:sz="8" w:space="0" w:color="4F81BD"/>
              <w:bottom w:val="single" w:sz="8" w:space="0" w:color="4F81BD"/>
            </w:tcBorders>
            <w:noWrap/>
            <w:vAlign w:val="center"/>
          </w:tcPr>
          <w:p w:rsidR="00A327E6" w:rsidRPr="00415FA2" w:rsidRDefault="00A327E6" w:rsidP="00415FA2">
            <w:pPr>
              <w:spacing w:before="0" w:after="0" w:line="240" w:lineRule="atLeast"/>
              <w:jc w:val="center"/>
              <w:rPr>
                <w:szCs w:val="24"/>
                <w:highlight w:val="yellow"/>
                <w:lang w:eastAsia="zh-TW"/>
              </w:rPr>
            </w:pPr>
            <w:r w:rsidRPr="00415FA2">
              <w:rPr>
                <w:szCs w:val="24"/>
                <w:lang w:eastAsia="zh-TW"/>
              </w:rPr>
              <w:t>1749</w:t>
            </w:r>
          </w:p>
        </w:tc>
        <w:tc>
          <w:tcPr>
            <w:tcW w:w="2002" w:type="dxa"/>
            <w:tcBorders>
              <w:top w:val="single" w:sz="8" w:space="0" w:color="4F81BD"/>
              <w:bottom w:val="single" w:sz="8" w:space="0" w:color="4F81BD"/>
            </w:tcBorders>
            <w:noWrap/>
            <w:vAlign w:val="center"/>
          </w:tcPr>
          <w:p w:rsidR="00A327E6" w:rsidRPr="00415FA2" w:rsidRDefault="00A327E6" w:rsidP="00415FA2">
            <w:pPr>
              <w:spacing w:before="0" w:after="0" w:line="240" w:lineRule="atLeast"/>
              <w:jc w:val="center"/>
              <w:rPr>
                <w:szCs w:val="24"/>
                <w:lang w:eastAsia="zh-TW"/>
              </w:rPr>
            </w:pPr>
            <w:r w:rsidRPr="00415FA2">
              <w:rPr>
                <w:szCs w:val="24"/>
                <w:lang w:eastAsia="zh-TW"/>
              </w:rPr>
              <w:t>3.3 (2.0 - 4.6)</w:t>
            </w:r>
          </w:p>
        </w:tc>
        <w:tc>
          <w:tcPr>
            <w:tcW w:w="2002" w:type="dxa"/>
            <w:tcBorders>
              <w:top w:val="single" w:sz="8" w:space="0" w:color="4F81BD"/>
              <w:bottom w:val="single" w:sz="8" w:space="0" w:color="4F81BD"/>
            </w:tcBorders>
            <w:vAlign w:val="center"/>
          </w:tcPr>
          <w:p w:rsidR="00A327E6" w:rsidRPr="00415FA2" w:rsidRDefault="00A327E6" w:rsidP="00415FA2">
            <w:pPr>
              <w:spacing w:before="0" w:after="0" w:line="240" w:lineRule="atLeast"/>
              <w:jc w:val="center"/>
              <w:rPr>
                <w:szCs w:val="24"/>
                <w:lang w:eastAsia="zh-TW"/>
              </w:rPr>
            </w:pPr>
            <w:r w:rsidRPr="00415FA2">
              <w:rPr>
                <w:szCs w:val="24"/>
                <w:lang w:eastAsia="zh-TW"/>
              </w:rPr>
              <w:t>3.4 (1.1 - 5.8)</w:t>
            </w:r>
          </w:p>
        </w:tc>
        <w:tc>
          <w:tcPr>
            <w:tcW w:w="2004" w:type="dxa"/>
            <w:tcBorders>
              <w:top w:val="single" w:sz="8" w:space="0" w:color="4F81BD"/>
              <w:bottom w:val="single" w:sz="8" w:space="0" w:color="4F81BD"/>
            </w:tcBorders>
            <w:vAlign w:val="center"/>
          </w:tcPr>
          <w:p w:rsidR="00A327E6" w:rsidRPr="00415FA2" w:rsidRDefault="00A327E6" w:rsidP="00415FA2">
            <w:pPr>
              <w:spacing w:before="0" w:after="0" w:line="240" w:lineRule="atLeast"/>
              <w:jc w:val="center"/>
              <w:rPr>
                <w:szCs w:val="24"/>
                <w:lang w:eastAsia="zh-TW"/>
              </w:rPr>
            </w:pPr>
            <w:r w:rsidRPr="00415FA2">
              <w:rPr>
                <w:szCs w:val="24"/>
                <w:lang w:eastAsia="zh-TW"/>
              </w:rPr>
              <w:t>7.3 (3.1 - 11.5)</w:t>
            </w:r>
          </w:p>
        </w:tc>
      </w:tr>
      <w:tr w:rsidR="00A327E6" w:rsidRPr="0021796A" w:rsidTr="00415FA2">
        <w:trPr>
          <w:trHeight w:val="592"/>
        </w:trPr>
        <w:tc>
          <w:tcPr>
            <w:tcW w:w="2538" w:type="dxa"/>
            <w:tcBorders>
              <w:top w:val="single" w:sz="8" w:space="0" w:color="4F81BD"/>
              <w:bottom w:val="single" w:sz="8" w:space="0" w:color="4F81BD"/>
            </w:tcBorders>
            <w:noWrap/>
            <w:vAlign w:val="center"/>
          </w:tcPr>
          <w:p w:rsidR="00A327E6" w:rsidRPr="00415FA2" w:rsidRDefault="00A327E6" w:rsidP="00415FA2">
            <w:pPr>
              <w:spacing w:before="0" w:after="0" w:line="240" w:lineRule="atLeast"/>
              <w:rPr>
                <w:b/>
                <w:bCs/>
                <w:szCs w:val="24"/>
                <w:lang w:eastAsia="zh-TW"/>
              </w:rPr>
            </w:pPr>
            <w:r w:rsidRPr="00415FA2">
              <w:rPr>
                <w:b/>
                <w:bCs/>
                <w:szCs w:val="24"/>
                <w:lang w:eastAsia="zh-TW"/>
              </w:rPr>
              <w:t>Asthma Hospitalization</w:t>
            </w:r>
          </w:p>
        </w:tc>
        <w:tc>
          <w:tcPr>
            <w:tcW w:w="1119" w:type="dxa"/>
            <w:tcBorders>
              <w:top w:val="single" w:sz="8" w:space="0" w:color="4F81BD"/>
              <w:bottom w:val="single" w:sz="8" w:space="0" w:color="4F81BD"/>
            </w:tcBorders>
            <w:noWrap/>
            <w:vAlign w:val="center"/>
          </w:tcPr>
          <w:p w:rsidR="00A327E6" w:rsidRPr="00415FA2" w:rsidRDefault="00A327E6" w:rsidP="00415FA2">
            <w:pPr>
              <w:spacing w:before="0" w:after="0" w:line="240" w:lineRule="atLeast"/>
              <w:jc w:val="center"/>
              <w:rPr>
                <w:szCs w:val="24"/>
                <w:lang w:eastAsia="zh-TW"/>
              </w:rPr>
            </w:pPr>
            <w:r w:rsidRPr="00415FA2">
              <w:rPr>
                <w:szCs w:val="24"/>
                <w:lang w:eastAsia="zh-TW"/>
              </w:rPr>
              <w:t>328</w:t>
            </w:r>
          </w:p>
        </w:tc>
        <w:tc>
          <w:tcPr>
            <w:tcW w:w="2002" w:type="dxa"/>
            <w:tcBorders>
              <w:top w:val="single" w:sz="8" w:space="0" w:color="4F81BD"/>
              <w:bottom w:val="single" w:sz="8" w:space="0" w:color="4F81BD"/>
            </w:tcBorders>
            <w:noWrap/>
            <w:vAlign w:val="center"/>
          </w:tcPr>
          <w:p w:rsidR="00A327E6" w:rsidRPr="00415FA2" w:rsidRDefault="00A327E6" w:rsidP="00415FA2">
            <w:pPr>
              <w:spacing w:before="0" w:after="0" w:line="240" w:lineRule="atLeast"/>
              <w:jc w:val="center"/>
              <w:rPr>
                <w:szCs w:val="24"/>
                <w:lang w:eastAsia="zh-TW"/>
              </w:rPr>
            </w:pPr>
            <w:r w:rsidRPr="00415FA2">
              <w:rPr>
                <w:szCs w:val="24"/>
                <w:lang w:eastAsia="zh-TW"/>
              </w:rPr>
              <w:t>41.6 (32.5 - 50.6)</w:t>
            </w:r>
          </w:p>
        </w:tc>
        <w:tc>
          <w:tcPr>
            <w:tcW w:w="2002" w:type="dxa"/>
            <w:tcBorders>
              <w:top w:val="single" w:sz="8" w:space="0" w:color="4F81BD"/>
              <w:bottom w:val="single" w:sz="8" w:space="0" w:color="4F81BD"/>
            </w:tcBorders>
            <w:vAlign w:val="center"/>
          </w:tcPr>
          <w:p w:rsidR="00A327E6" w:rsidRPr="00415FA2" w:rsidRDefault="00A327E6" w:rsidP="00415FA2">
            <w:pPr>
              <w:spacing w:before="0" w:after="0" w:line="240" w:lineRule="atLeast"/>
              <w:jc w:val="center"/>
              <w:rPr>
                <w:szCs w:val="24"/>
                <w:lang w:eastAsia="zh-TW"/>
              </w:rPr>
            </w:pPr>
            <w:r w:rsidRPr="00415FA2">
              <w:rPr>
                <w:szCs w:val="24"/>
                <w:lang w:eastAsia="zh-TW"/>
              </w:rPr>
              <w:t>38.6 (25.0 - 52.3)</w:t>
            </w:r>
          </w:p>
        </w:tc>
        <w:tc>
          <w:tcPr>
            <w:tcW w:w="2004" w:type="dxa"/>
            <w:tcBorders>
              <w:top w:val="single" w:sz="8" w:space="0" w:color="4F81BD"/>
              <w:bottom w:val="single" w:sz="8" w:space="0" w:color="4F81BD"/>
            </w:tcBorders>
            <w:vAlign w:val="center"/>
          </w:tcPr>
          <w:p w:rsidR="00A327E6" w:rsidRPr="00415FA2" w:rsidRDefault="00A327E6" w:rsidP="00415FA2">
            <w:pPr>
              <w:spacing w:before="0" w:after="0" w:line="240" w:lineRule="atLeast"/>
              <w:jc w:val="center"/>
              <w:rPr>
                <w:szCs w:val="24"/>
                <w:lang w:eastAsia="zh-TW"/>
              </w:rPr>
            </w:pPr>
            <w:r w:rsidRPr="00415FA2">
              <w:rPr>
                <w:szCs w:val="24"/>
                <w:lang w:eastAsia="zh-TW"/>
              </w:rPr>
              <w:t>41.5 (23.2 - 59.9)</w:t>
            </w:r>
          </w:p>
        </w:tc>
      </w:tr>
      <w:tr w:rsidR="00A327E6" w:rsidRPr="0021796A" w:rsidTr="00415FA2">
        <w:trPr>
          <w:trHeight w:val="592"/>
        </w:trPr>
        <w:tc>
          <w:tcPr>
            <w:tcW w:w="2538" w:type="dxa"/>
            <w:tcBorders>
              <w:top w:val="single" w:sz="8" w:space="0" w:color="4F81BD"/>
              <w:bottom w:val="single" w:sz="8" w:space="0" w:color="4F81BD"/>
            </w:tcBorders>
            <w:noWrap/>
            <w:vAlign w:val="center"/>
          </w:tcPr>
          <w:p w:rsidR="00A327E6" w:rsidRPr="00415FA2" w:rsidRDefault="00A327E6" w:rsidP="00415FA2">
            <w:pPr>
              <w:spacing w:before="0" w:after="0" w:line="240" w:lineRule="atLeast"/>
              <w:rPr>
                <w:b/>
                <w:bCs/>
                <w:szCs w:val="24"/>
                <w:lang w:eastAsia="zh-TW"/>
              </w:rPr>
            </w:pPr>
            <w:r w:rsidRPr="00415FA2">
              <w:rPr>
                <w:b/>
                <w:bCs/>
                <w:szCs w:val="24"/>
                <w:lang w:eastAsia="zh-TW"/>
              </w:rPr>
              <w:t>Chronic Bronchitis/ Chest Infections</w:t>
            </w:r>
          </w:p>
        </w:tc>
        <w:tc>
          <w:tcPr>
            <w:tcW w:w="1119" w:type="dxa"/>
            <w:tcBorders>
              <w:top w:val="single" w:sz="8" w:space="0" w:color="4F81BD"/>
              <w:bottom w:val="single" w:sz="8" w:space="0" w:color="4F81BD"/>
            </w:tcBorders>
            <w:noWrap/>
            <w:vAlign w:val="center"/>
          </w:tcPr>
          <w:p w:rsidR="00A327E6" w:rsidRPr="00415FA2" w:rsidRDefault="00A327E6" w:rsidP="00415FA2">
            <w:pPr>
              <w:spacing w:before="0" w:after="0" w:line="240" w:lineRule="atLeast"/>
              <w:jc w:val="center"/>
              <w:rPr>
                <w:szCs w:val="24"/>
                <w:lang w:eastAsia="zh-TW"/>
              </w:rPr>
            </w:pPr>
            <w:r w:rsidRPr="00415FA2">
              <w:rPr>
                <w:szCs w:val="24"/>
                <w:lang w:eastAsia="zh-TW"/>
              </w:rPr>
              <w:t>2203</w:t>
            </w:r>
          </w:p>
        </w:tc>
        <w:tc>
          <w:tcPr>
            <w:tcW w:w="2002" w:type="dxa"/>
            <w:tcBorders>
              <w:top w:val="single" w:sz="8" w:space="0" w:color="4F81BD"/>
              <w:bottom w:val="single" w:sz="8" w:space="0" w:color="4F81BD"/>
            </w:tcBorders>
            <w:noWrap/>
            <w:vAlign w:val="center"/>
          </w:tcPr>
          <w:p w:rsidR="00A327E6" w:rsidRPr="00415FA2" w:rsidRDefault="00A327E6" w:rsidP="00415FA2">
            <w:pPr>
              <w:spacing w:before="0" w:after="0" w:line="240" w:lineRule="atLeast"/>
              <w:jc w:val="center"/>
              <w:rPr>
                <w:szCs w:val="24"/>
                <w:lang w:eastAsia="zh-TW"/>
              </w:rPr>
            </w:pPr>
            <w:r w:rsidRPr="00415FA2">
              <w:rPr>
                <w:szCs w:val="24"/>
                <w:lang w:eastAsia="zh-TW"/>
              </w:rPr>
              <w:t>5.9 (4.2 - 7.6)</w:t>
            </w:r>
          </w:p>
        </w:tc>
        <w:tc>
          <w:tcPr>
            <w:tcW w:w="2002" w:type="dxa"/>
            <w:tcBorders>
              <w:top w:val="single" w:sz="8" w:space="0" w:color="4F81BD"/>
              <w:bottom w:val="single" w:sz="8" w:space="0" w:color="4F81BD"/>
            </w:tcBorders>
            <w:vAlign w:val="center"/>
          </w:tcPr>
          <w:p w:rsidR="00A327E6" w:rsidRPr="00415FA2" w:rsidRDefault="00A327E6" w:rsidP="00415FA2">
            <w:pPr>
              <w:spacing w:before="0" w:after="0" w:line="240" w:lineRule="atLeast"/>
              <w:jc w:val="center"/>
              <w:rPr>
                <w:szCs w:val="24"/>
                <w:lang w:eastAsia="zh-TW"/>
              </w:rPr>
            </w:pPr>
            <w:r w:rsidRPr="00415FA2">
              <w:rPr>
                <w:szCs w:val="24"/>
                <w:lang w:eastAsia="zh-TW"/>
              </w:rPr>
              <w:t>7.1 (4.4 - 9.8)</w:t>
            </w:r>
          </w:p>
        </w:tc>
        <w:tc>
          <w:tcPr>
            <w:tcW w:w="2004" w:type="dxa"/>
            <w:tcBorders>
              <w:top w:val="single" w:sz="8" w:space="0" w:color="4F81BD"/>
              <w:bottom w:val="single" w:sz="8" w:space="0" w:color="4F81BD"/>
            </w:tcBorders>
            <w:vAlign w:val="center"/>
          </w:tcPr>
          <w:p w:rsidR="00A327E6" w:rsidRPr="00415FA2" w:rsidRDefault="00A327E6" w:rsidP="00415FA2">
            <w:pPr>
              <w:spacing w:before="0" w:after="0" w:line="240" w:lineRule="atLeast"/>
              <w:jc w:val="center"/>
              <w:rPr>
                <w:szCs w:val="24"/>
                <w:lang w:eastAsia="zh-TW"/>
              </w:rPr>
            </w:pPr>
            <w:r w:rsidRPr="00415FA2">
              <w:rPr>
                <w:szCs w:val="24"/>
                <w:lang w:eastAsia="zh-TW"/>
              </w:rPr>
              <w:t>8.4 (5.1 - 11.7)</w:t>
            </w:r>
          </w:p>
        </w:tc>
      </w:tr>
      <w:tr w:rsidR="00A327E6" w:rsidRPr="0021796A" w:rsidTr="00415FA2">
        <w:trPr>
          <w:trHeight w:val="323"/>
        </w:trPr>
        <w:tc>
          <w:tcPr>
            <w:tcW w:w="9665" w:type="dxa"/>
            <w:gridSpan w:val="5"/>
            <w:tcBorders>
              <w:top w:val="single" w:sz="8" w:space="0" w:color="4F81BD"/>
              <w:bottom w:val="single" w:sz="8" w:space="0" w:color="4F81BD"/>
            </w:tcBorders>
            <w:noWrap/>
          </w:tcPr>
          <w:p w:rsidR="00A327E6" w:rsidRPr="00415FA2" w:rsidRDefault="00A327E6" w:rsidP="00415FA2">
            <w:pPr>
              <w:spacing w:before="0" w:after="0" w:line="240" w:lineRule="atLeast"/>
              <w:rPr>
                <w:b/>
                <w:bCs/>
                <w:color w:val="000000"/>
                <w:szCs w:val="24"/>
                <w:lang w:eastAsia="zh-TW"/>
              </w:rPr>
            </w:pPr>
            <w:r w:rsidRPr="00415FA2">
              <w:rPr>
                <w:bCs/>
                <w:color w:val="000000"/>
                <w:szCs w:val="24"/>
                <w:vertAlign w:val="superscript"/>
                <w:lang w:eastAsia="zh-TW"/>
              </w:rPr>
              <w:t>a</w:t>
            </w:r>
            <w:r w:rsidRPr="00415FA2">
              <w:rPr>
                <w:bCs/>
                <w:color w:val="000000"/>
                <w:szCs w:val="24"/>
                <w:lang w:eastAsia="zh-TW"/>
              </w:rPr>
              <w:t>Sample sizes vary slightly based on the number of "don't know/refuse" responses for each outcome. Additionally, probable asthma was assessed only among those without lifetime asthma, and asthma hospitalizations were assessed only among those with current asthma.</w:t>
            </w:r>
          </w:p>
          <w:p w:rsidR="00A327E6" w:rsidRPr="00415FA2" w:rsidRDefault="00A327E6" w:rsidP="00415FA2">
            <w:pPr>
              <w:spacing w:before="0" w:after="0" w:line="240" w:lineRule="atLeast"/>
              <w:rPr>
                <w:b/>
                <w:bCs/>
                <w:szCs w:val="24"/>
                <w:lang w:eastAsia="zh-TW"/>
              </w:rPr>
            </w:pPr>
            <w:r w:rsidRPr="00415FA2">
              <w:rPr>
                <w:bCs/>
                <w:color w:val="000000"/>
                <w:szCs w:val="24"/>
                <w:vertAlign w:val="superscript"/>
                <w:lang w:eastAsia="zh-TW"/>
              </w:rPr>
              <w:t>b</w:t>
            </w:r>
            <w:r w:rsidRPr="00415FA2">
              <w:rPr>
                <w:bCs/>
                <w:color w:val="000000"/>
                <w:szCs w:val="24"/>
                <w:lang w:eastAsia="zh-TW"/>
              </w:rPr>
              <w:t>Survey data were weighted to population demographics to produce prevalence estimates representative of each exposure area.</w:t>
            </w:r>
          </w:p>
        </w:tc>
      </w:tr>
    </w:tbl>
    <w:p w:rsidR="00A327E6" w:rsidRDefault="00A327E6" w:rsidP="00932A53">
      <w:pPr>
        <w:pStyle w:val="Heading2"/>
        <w:spacing w:line="240" w:lineRule="auto"/>
        <w:sectPr w:rsidR="00A327E6" w:rsidSect="00932A53">
          <w:pgSz w:w="12240" w:h="15840"/>
          <w:pgMar w:top="1440" w:right="1440" w:bottom="1440" w:left="1440" w:header="720" w:footer="720" w:gutter="0"/>
          <w:cols w:space="720"/>
          <w:docGrid w:linePitch="360"/>
        </w:sectPr>
      </w:pPr>
    </w:p>
    <w:p w:rsidR="00A327E6" w:rsidRPr="0021796A" w:rsidRDefault="00A327E6" w:rsidP="00932A53">
      <w:pPr>
        <w:pStyle w:val="Heading2"/>
        <w:spacing w:line="240" w:lineRule="auto"/>
      </w:pPr>
      <w:bookmarkStart w:id="220" w:name="_Toc388543115"/>
      <w:r w:rsidRPr="0021796A">
        <w:t>Adjusted Multivariate Regression Models: Associations between Adverse Health Effects and Air Pollution Exposure Areas</w:t>
      </w:r>
      <w:bookmarkEnd w:id="219"/>
      <w:bookmarkEnd w:id="220"/>
    </w:p>
    <w:p w:rsidR="00A327E6" w:rsidRPr="0021796A" w:rsidRDefault="00A327E6" w:rsidP="00517414">
      <w:pPr>
        <w:pStyle w:val="NormalIndent"/>
        <w:spacing w:before="100" w:beforeAutospacing="1" w:after="100" w:afterAutospacing="1" w:line="400" w:lineRule="atLeast"/>
        <w:rPr>
          <w:szCs w:val="24"/>
        </w:rPr>
      </w:pPr>
      <w:r w:rsidRPr="0021796A">
        <w:rPr>
          <w:szCs w:val="24"/>
        </w:rPr>
        <w:t>The prevalence estimates presented in Tables 6-3 through 6-6 are not adjusted for any demographic or other risk factor information that could partially explain differences across exposure areas</w:t>
      </w:r>
      <w:r>
        <w:rPr>
          <w:szCs w:val="24"/>
        </w:rPr>
        <w:t xml:space="preserve">.  </w:t>
      </w:r>
      <w:r w:rsidRPr="0021796A">
        <w:rPr>
          <w:szCs w:val="24"/>
        </w:rPr>
        <w:t>In order to better isolate the relationship between targeted health outcomes and estimated exposure to airport-related air pollution, logistic regression models were developed that assess the relationships while adjusting for demographic variables and other potentially confounding risk factors</w:t>
      </w:r>
      <w:r>
        <w:rPr>
          <w:szCs w:val="24"/>
        </w:rPr>
        <w:t xml:space="preserve">.  </w:t>
      </w:r>
      <w:r w:rsidRPr="0021796A">
        <w:rPr>
          <w:szCs w:val="24"/>
        </w:rPr>
        <w:t>For more information regarding the development of regression models and the selection of covariates, refer to Chapter 5 (Section 5.4).</w:t>
      </w:r>
    </w:p>
    <w:p w:rsidR="00A327E6" w:rsidRPr="0021796A" w:rsidRDefault="00A327E6" w:rsidP="00E44AAF">
      <w:pPr>
        <w:spacing w:before="100" w:beforeAutospacing="1" w:after="100" w:afterAutospacing="1" w:line="400" w:lineRule="atLeast"/>
        <w:rPr>
          <w:rStyle w:val="Emphasis"/>
          <w:b/>
          <w:szCs w:val="24"/>
        </w:rPr>
      </w:pPr>
      <w:bookmarkStart w:id="221" w:name="_Toc350413101"/>
      <w:r w:rsidRPr="0021796A">
        <w:rPr>
          <w:rStyle w:val="Emphasis"/>
          <w:b/>
          <w:szCs w:val="24"/>
        </w:rPr>
        <w:t>Adults</w:t>
      </w:r>
      <w:bookmarkEnd w:id="221"/>
    </w:p>
    <w:p w:rsidR="00A327E6" w:rsidRPr="0021796A" w:rsidRDefault="00A327E6" w:rsidP="00517414">
      <w:pPr>
        <w:pStyle w:val="NormalIndent"/>
        <w:spacing w:before="100" w:beforeAutospacing="1" w:after="100" w:afterAutospacing="1" w:line="400" w:lineRule="atLeast"/>
        <w:rPr>
          <w:szCs w:val="24"/>
        </w:rPr>
      </w:pPr>
      <w:r w:rsidRPr="0021796A">
        <w:rPr>
          <w:szCs w:val="24"/>
        </w:rPr>
        <w:t xml:space="preserve">Presented in </w:t>
      </w:r>
      <w:r>
        <w:rPr>
          <w:szCs w:val="24"/>
        </w:rPr>
        <w:t>Table 6-7</w:t>
      </w:r>
      <w:r w:rsidRPr="0021796A">
        <w:rPr>
          <w:szCs w:val="24"/>
        </w:rPr>
        <w:t xml:space="preserve"> are adjusted odds ratios for the associations between respiratory and cardiovascular outcomes and residence in </w:t>
      </w:r>
      <w:r>
        <w:rPr>
          <w:szCs w:val="24"/>
        </w:rPr>
        <w:t>low</w:t>
      </w:r>
      <w:r w:rsidRPr="0021796A">
        <w:rPr>
          <w:szCs w:val="24"/>
        </w:rPr>
        <w:t xml:space="preserve">, medium, or </w:t>
      </w:r>
      <w:r>
        <w:rPr>
          <w:szCs w:val="24"/>
        </w:rPr>
        <w:t>high</w:t>
      </w:r>
      <w:r w:rsidRPr="0021796A">
        <w:rPr>
          <w:szCs w:val="24"/>
        </w:rPr>
        <w:t xml:space="preserve"> estimated airport-related air pollution exposure areas. </w:t>
      </w:r>
    </w:p>
    <w:p w:rsidR="00A327E6" w:rsidRPr="00FD064C" w:rsidRDefault="00A327E6" w:rsidP="00517414">
      <w:pPr>
        <w:pStyle w:val="NormalIndent"/>
        <w:spacing w:before="100" w:beforeAutospacing="1" w:after="100" w:afterAutospacing="1" w:line="400" w:lineRule="atLeast"/>
        <w:rPr>
          <w:szCs w:val="24"/>
        </w:rPr>
      </w:pPr>
      <w:r>
        <w:rPr>
          <w:szCs w:val="24"/>
        </w:rPr>
        <w:t>While some odds ratios were elevated in the high compared to the low exposure areas, these associations were not statistically significant.  However, results were observed for the likelihood of</w:t>
      </w:r>
      <w:r w:rsidRPr="0021796A">
        <w:rPr>
          <w:szCs w:val="24"/>
        </w:rPr>
        <w:t xml:space="preserve"> having COPD </w:t>
      </w:r>
      <w:r>
        <w:rPr>
          <w:szCs w:val="24"/>
        </w:rPr>
        <w:t xml:space="preserve">in the high versus low exposure areas approached statistical significance </w:t>
      </w:r>
      <w:r w:rsidRPr="0021796A">
        <w:rPr>
          <w:szCs w:val="24"/>
        </w:rPr>
        <w:t>(OR=1.5, 95% CI: 0.9-2.5)</w:t>
      </w:r>
      <w:r>
        <w:rPr>
          <w:szCs w:val="24"/>
        </w:rPr>
        <w:t xml:space="preserve">.  </w:t>
      </w:r>
      <w:r w:rsidRPr="00FD064C">
        <w:rPr>
          <w:szCs w:val="24"/>
        </w:rPr>
        <w:t xml:space="preserve">There was no association observed between air pollution exposure areas and other measures of asthma including lifetime asthma, current asthma not specified with respect to medication usage, and probable/undiagnosed asthma.  </w:t>
      </w:r>
    </w:p>
    <w:p w:rsidR="00A327E6" w:rsidRDefault="00A327E6" w:rsidP="00932A53"/>
    <w:p w:rsidR="00A327E6" w:rsidRDefault="00A327E6" w:rsidP="00932A53"/>
    <w:p w:rsidR="00A327E6" w:rsidRDefault="00A327E6" w:rsidP="00932A53"/>
    <w:p w:rsidR="00A327E6" w:rsidRDefault="00A327E6">
      <w:pPr>
        <w:spacing w:before="0" w:after="0" w:line="240" w:lineRule="auto"/>
      </w:pPr>
      <w:r>
        <w:br w:type="page"/>
      </w:r>
    </w:p>
    <w:p w:rsidR="00A327E6" w:rsidRDefault="00A327E6" w:rsidP="00E17A00">
      <w:pPr>
        <w:pStyle w:val="Caption"/>
        <w:spacing w:before="0" w:after="0" w:line="240" w:lineRule="auto"/>
        <w:rPr>
          <w:szCs w:val="24"/>
          <w:vertAlign w:val="superscript"/>
        </w:rPr>
      </w:pPr>
      <w:bookmarkStart w:id="222" w:name="_Toc386796300"/>
      <w:r>
        <w:t xml:space="preserve">Table </w:t>
      </w:r>
      <w:fldSimple w:instr=" STYLEREF 1 \s ">
        <w:r>
          <w:rPr>
            <w:noProof/>
          </w:rPr>
          <w:t>6</w:t>
        </w:r>
      </w:fldSimple>
      <w:r>
        <w:noBreakHyphen/>
      </w:r>
      <w:fldSimple w:instr=" SEQ Table \* ARABIC \s 1 ">
        <w:r>
          <w:rPr>
            <w:noProof/>
          </w:rPr>
          <w:t>7</w:t>
        </w:r>
      </w:fldSimple>
      <w:r>
        <w:t xml:space="preserve">.  </w:t>
      </w:r>
      <w:r w:rsidRPr="0021796A">
        <w:rPr>
          <w:szCs w:val="24"/>
        </w:rPr>
        <w:t xml:space="preserve">Estimated Exposure to Airport-related Air Pollution and Adjusted Odds of Respiratory and Cardiovascular Disease </w:t>
      </w:r>
      <w:r>
        <w:rPr>
          <w:szCs w:val="24"/>
        </w:rPr>
        <w:t>A</w:t>
      </w:r>
      <w:r w:rsidRPr="0021796A">
        <w:rPr>
          <w:szCs w:val="24"/>
        </w:rPr>
        <w:t>mong Adults Living in the Logan Airport Health Study Area (2005)</w:t>
      </w:r>
      <w:r>
        <w:rPr>
          <w:szCs w:val="24"/>
          <w:vertAlign w:val="superscript"/>
        </w:rPr>
        <w:t>a</w:t>
      </w:r>
      <w:bookmarkEnd w:id="222"/>
    </w:p>
    <w:p w:rsidR="00A327E6" w:rsidRPr="00E17A00" w:rsidRDefault="00A327E6" w:rsidP="00E17A00">
      <w:pPr>
        <w:spacing w:before="0" w:after="0" w:line="240" w:lineRule="auto"/>
      </w:pPr>
    </w:p>
    <w:tbl>
      <w:tblPr>
        <w:tblW w:w="9558" w:type="dxa"/>
        <w:tblBorders>
          <w:top w:val="single" w:sz="8" w:space="0" w:color="4F81BD"/>
          <w:left w:val="single" w:sz="8" w:space="0" w:color="4F81BD"/>
          <w:bottom w:val="single" w:sz="8" w:space="0" w:color="4F81BD"/>
          <w:right w:val="single" w:sz="8" w:space="0" w:color="4F81BD"/>
        </w:tblBorders>
        <w:tblLayout w:type="fixed"/>
        <w:tblLook w:val="00A0"/>
      </w:tblPr>
      <w:tblGrid>
        <w:gridCol w:w="2628"/>
        <w:gridCol w:w="1170"/>
        <w:gridCol w:w="1620"/>
        <w:gridCol w:w="1440"/>
        <w:gridCol w:w="1440"/>
        <w:gridCol w:w="1260"/>
      </w:tblGrid>
      <w:tr w:rsidR="00A327E6" w:rsidRPr="005D707D" w:rsidTr="00415FA2">
        <w:trPr>
          <w:trHeight w:val="20"/>
        </w:trPr>
        <w:tc>
          <w:tcPr>
            <w:tcW w:w="2628" w:type="dxa"/>
            <w:tcBorders>
              <w:top w:val="single" w:sz="8" w:space="0" w:color="4F81BD"/>
              <w:bottom w:val="single" w:sz="8" w:space="0" w:color="4F81BD"/>
            </w:tcBorders>
            <w:shd w:val="clear" w:color="auto" w:fill="4F81BD"/>
            <w:noWrap/>
            <w:vAlign w:val="center"/>
          </w:tcPr>
          <w:p w:rsidR="00A327E6" w:rsidRPr="00415FA2" w:rsidRDefault="00A327E6" w:rsidP="00415FA2">
            <w:pPr>
              <w:spacing w:before="0" w:after="0" w:line="240" w:lineRule="auto"/>
              <w:rPr>
                <w:b/>
                <w:bCs/>
                <w:color w:val="FFFFFF"/>
                <w:szCs w:val="24"/>
                <w:lang w:eastAsia="zh-TW"/>
              </w:rPr>
            </w:pPr>
            <w:r w:rsidRPr="00415FA2">
              <w:rPr>
                <w:b/>
                <w:bCs/>
                <w:color w:val="FFFFFF"/>
                <w:szCs w:val="24"/>
                <w:lang w:eastAsia="zh-TW"/>
              </w:rPr>
              <w:t>Health Outcome</w:t>
            </w:r>
          </w:p>
        </w:tc>
        <w:tc>
          <w:tcPr>
            <w:tcW w:w="1170" w:type="dxa"/>
            <w:tcBorders>
              <w:top w:val="single" w:sz="8" w:space="0" w:color="4F81BD"/>
              <w:left w:val="single" w:sz="8" w:space="0" w:color="4F81BD"/>
              <w:bottom w:val="single" w:sz="8" w:space="0" w:color="4F81BD"/>
              <w:right w:val="single" w:sz="8" w:space="0" w:color="4F81BD"/>
            </w:tcBorders>
            <w:shd w:val="clear" w:color="auto" w:fill="4F81BD"/>
            <w:noWrap/>
            <w:vAlign w:val="center"/>
          </w:tcPr>
          <w:p w:rsidR="00A327E6" w:rsidRPr="00415FA2" w:rsidRDefault="00A327E6" w:rsidP="00415FA2">
            <w:pPr>
              <w:spacing w:before="0" w:after="0" w:line="240" w:lineRule="auto"/>
              <w:jc w:val="center"/>
              <w:rPr>
                <w:b/>
                <w:bCs/>
                <w:color w:val="FFFFFF"/>
                <w:szCs w:val="24"/>
                <w:lang w:eastAsia="zh-TW"/>
              </w:rPr>
            </w:pPr>
            <w:r w:rsidRPr="00415FA2">
              <w:rPr>
                <w:b/>
                <w:bCs/>
                <w:color w:val="FFFFFF"/>
                <w:szCs w:val="24"/>
                <w:lang w:eastAsia="zh-TW"/>
              </w:rPr>
              <w:t>Sample Size</w:t>
            </w:r>
          </w:p>
        </w:tc>
        <w:tc>
          <w:tcPr>
            <w:tcW w:w="1620" w:type="dxa"/>
            <w:tcBorders>
              <w:top w:val="single" w:sz="8" w:space="0" w:color="4F81BD"/>
              <w:bottom w:val="single" w:sz="8" w:space="0" w:color="4F81BD"/>
            </w:tcBorders>
            <w:shd w:val="clear" w:color="auto" w:fill="4F81BD"/>
            <w:noWrap/>
            <w:vAlign w:val="center"/>
          </w:tcPr>
          <w:p w:rsidR="00A327E6" w:rsidRPr="00415FA2" w:rsidRDefault="00A327E6" w:rsidP="00415FA2">
            <w:pPr>
              <w:spacing w:before="0" w:after="0" w:line="240" w:lineRule="auto"/>
              <w:jc w:val="center"/>
              <w:rPr>
                <w:b/>
                <w:bCs/>
                <w:color w:val="FFFFFF"/>
                <w:szCs w:val="24"/>
                <w:vertAlign w:val="superscript"/>
                <w:lang w:eastAsia="zh-TW"/>
              </w:rPr>
            </w:pPr>
            <w:r w:rsidRPr="00415FA2">
              <w:rPr>
                <w:b/>
                <w:bCs/>
                <w:color w:val="FFFFFF"/>
                <w:szCs w:val="24"/>
                <w:lang w:eastAsia="zh-TW"/>
              </w:rPr>
              <w:t>Odds Ratio</w:t>
            </w:r>
          </w:p>
        </w:tc>
        <w:tc>
          <w:tcPr>
            <w:tcW w:w="1440" w:type="dxa"/>
            <w:tcBorders>
              <w:top w:val="single" w:sz="8" w:space="0" w:color="4F81BD"/>
              <w:left w:val="single" w:sz="8" w:space="0" w:color="4F81BD"/>
              <w:bottom w:val="single" w:sz="8" w:space="0" w:color="4F81BD"/>
              <w:right w:val="single" w:sz="8" w:space="0" w:color="4F81BD"/>
            </w:tcBorders>
            <w:shd w:val="clear" w:color="auto" w:fill="4F81BD"/>
            <w:noWrap/>
            <w:vAlign w:val="center"/>
          </w:tcPr>
          <w:p w:rsidR="00A327E6" w:rsidRPr="00415FA2" w:rsidRDefault="00A327E6" w:rsidP="00415FA2">
            <w:pPr>
              <w:spacing w:before="0" w:after="0" w:line="240" w:lineRule="auto"/>
              <w:jc w:val="center"/>
              <w:rPr>
                <w:b/>
                <w:bCs/>
                <w:color w:val="FFFFFF"/>
                <w:szCs w:val="24"/>
                <w:lang w:eastAsia="zh-TW"/>
              </w:rPr>
            </w:pPr>
            <w:r w:rsidRPr="00415FA2">
              <w:rPr>
                <w:b/>
                <w:bCs/>
                <w:color w:val="FFFFFF"/>
                <w:szCs w:val="24"/>
                <w:lang w:eastAsia="zh-TW"/>
              </w:rPr>
              <w:t>Lower 95% CI</w:t>
            </w:r>
          </w:p>
        </w:tc>
        <w:tc>
          <w:tcPr>
            <w:tcW w:w="1440" w:type="dxa"/>
            <w:tcBorders>
              <w:top w:val="single" w:sz="8" w:space="0" w:color="4F81BD"/>
              <w:bottom w:val="single" w:sz="8" w:space="0" w:color="4F81BD"/>
            </w:tcBorders>
            <w:shd w:val="clear" w:color="auto" w:fill="4F81BD"/>
            <w:noWrap/>
            <w:vAlign w:val="center"/>
          </w:tcPr>
          <w:p w:rsidR="00A327E6" w:rsidRPr="00415FA2" w:rsidRDefault="00A327E6" w:rsidP="00415FA2">
            <w:pPr>
              <w:spacing w:before="0" w:after="0" w:line="240" w:lineRule="auto"/>
              <w:jc w:val="center"/>
              <w:rPr>
                <w:b/>
                <w:bCs/>
                <w:color w:val="FFFFFF"/>
                <w:szCs w:val="24"/>
                <w:lang w:eastAsia="zh-TW"/>
              </w:rPr>
            </w:pPr>
            <w:r w:rsidRPr="00415FA2">
              <w:rPr>
                <w:b/>
                <w:bCs/>
                <w:color w:val="FFFFFF"/>
                <w:szCs w:val="24"/>
                <w:lang w:eastAsia="zh-TW"/>
              </w:rPr>
              <w:t>Upper 95% CI</w:t>
            </w:r>
          </w:p>
        </w:tc>
        <w:tc>
          <w:tcPr>
            <w:tcW w:w="1260" w:type="dxa"/>
            <w:tcBorders>
              <w:top w:val="single" w:sz="8" w:space="0" w:color="4F81BD"/>
              <w:left w:val="single" w:sz="8" w:space="0" w:color="4F81BD"/>
              <w:bottom w:val="single" w:sz="8" w:space="0" w:color="4F81BD"/>
            </w:tcBorders>
            <w:shd w:val="clear" w:color="auto" w:fill="4F81BD"/>
            <w:noWrap/>
            <w:vAlign w:val="center"/>
          </w:tcPr>
          <w:p w:rsidR="00A327E6" w:rsidRPr="00415FA2" w:rsidRDefault="00A327E6" w:rsidP="00415FA2">
            <w:pPr>
              <w:spacing w:before="0" w:after="0" w:line="240" w:lineRule="auto"/>
              <w:jc w:val="center"/>
              <w:rPr>
                <w:b/>
                <w:bCs/>
                <w:color w:val="FFFFFF"/>
                <w:szCs w:val="24"/>
                <w:lang w:eastAsia="zh-TW"/>
              </w:rPr>
            </w:pPr>
            <w:r w:rsidRPr="00415FA2">
              <w:rPr>
                <w:b/>
                <w:bCs/>
                <w:color w:val="FFFFFF"/>
                <w:szCs w:val="24"/>
                <w:lang w:eastAsia="zh-TW"/>
              </w:rPr>
              <w:t>p-value</w:t>
            </w:r>
          </w:p>
        </w:tc>
      </w:tr>
      <w:tr w:rsidR="00A327E6" w:rsidRPr="005D707D" w:rsidTr="00415FA2">
        <w:trPr>
          <w:trHeight w:val="20"/>
        </w:trPr>
        <w:tc>
          <w:tcPr>
            <w:tcW w:w="2628" w:type="dxa"/>
            <w:tcBorders>
              <w:top w:val="single" w:sz="8" w:space="0" w:color="4F81BD"/>
              <w:bottom w:val="nil"/>
              <w:right w:val="nil"/>
            </w:tcBorders>
            <w:noWrap/>
            <w:vAlign w:val="center"/>
          </w:tcPr>
          <w:p w:rsidR="00A327E6" w:rsidRPr="00415FA2" w:rsidRDefault="00A327E6" w:rsidP="00415FA2">
            <w:pPr>
              <w:spacing w:before="0" w:after="0" w:line="320" w:lineRule="atLeast"/>
              <w:rPr>
                <w:b/>
                <w:bCs/>
                <w:szCs w:val="24"/>
                <w:vertAlign w:val="superscript"/>
                <w:lang w:eastAsia="zh-TW"/>
              </w:rPr>
            </w:pPr>
            <w:r w:rsidRPr="00415FA2">
              <w:rPr>
                <w:b/>
                <w:bCs/>
                <w:szCs w:val="24"/>
                <w:lang w:eastAsia="zh-TW"/>
              </w:rPr>
              <w:t>Lifetime Asthma</w:t>
            </w:r>
          </w:p>
        </w:tc>
        <w:tc>
          <w:tcPr>
            <w:tcW w:w="1170" w:type="dxa"/>
            <w:tcBorders>
              <w:top w:val="single" w:sz="8" w:space="0" w:color="4F81BD"/>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5829</w:t>
            </w:r>
          </w:p>
        </w:tc>
        <w:tc>
          <w:tcPr>
            <w:tcW w:w="1620" w:type="dxa"/>
            <w:tcBorders>
              <w:top w:val="single" w:sz="8" w:space="0" w:color="4F81BD"/>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440" w:type="dxa"/>
            <w:tcBorders>
              <w:top w:val="single" w:sz="8" w:space="0" w:color="4F81BD"/>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440" w:type="dxa"/>
            <w:tcBorders>
              <w:top w:val="single" w:sz="8" w:space="0" w:color="4F81BD"/>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260" w:type="dxa"/>
            <w:tcBorders>
              <w:top w:val="single" w:sz="8" w:space="0" w:color="4F81BD"/>
              <w:left w:val="nil"/>
              <w:bottom w:val="nil"/>
            </w:tcBorders>
            <w:noWrap/>
            <w:vAlign w:val="center"/>
          </w:tcPr>
          <w:p w:rsidR="00A327E6" w:rsidRPr="00415FA2" w:rsidRDefault="00A327E6" w:rsidP="00415FA2">
            <w:pPr>
              <w:spacing w:before="0" w:after="0" w:line="320" w:lineRule="atLeast"/>
              <w:jc w:val="center"/>
              <w:rPr>
                <w:szCs w:val="24"/>
                <w:lang w:eastAsia="zh-TW"/>
              </w:rPr>
            </w:pPr>
          </w:p>
        </w:tc>
      </w:tr>
      <w:tr w:rsidR="00A327E6" w:rsidRPr="005D707D" w:rsidTr="00415FA2">
        <w:trPr>
          <w:trHeight w:val="20"/>
        </w:trPr>
        <w:tc>
          <w:tcPr>
            <w:tcW w:w="2628" w:type="dxa"/>
            <w:tcBorders>
              <w:top w:val="nil"/>
              <w:bottom w:val="nil"/>
              <w:right w:val="nil"/>
            </w:tcBorders>
            <w:noWrap/>
            <w:vAlign w:val="center"/>
          </w:tcPr>
          <w:p w:rsidR="00A327E6" w:rsidRPr="00415FA2" w:rsidRDefault="00A327E6" w:rsidP="00D92952">
            <w:pPr>
              <w:spacing w:before="0" w:after="0" w:line="320" w:lineRule="atLeast"/>
              <w:ind w:firstLineChars="223" w:firstLine="536"/>
              <w:rPr>
                <w:b/>
                <w:bCs/>
                <w:color w:val="104E8B"/>
                <w:szCs w:val="24"/>
                <w:lang w:eastAsia="zh-TW"/>
              </w:rPr>
            </w:pPr>
            <w:r w:rsidRPr="00415FA2">
              <w:rPr>
                <w:b/>
                <w:bCs/>
                <w:szCs w:val="24"/>
                <w:lang w:eastAsia="zh-TW"/>
              </w:rPr>
              <w:t>Low</w:t>
            </w:r>
          </w:p>
        </w:tc>
        <w:tc>
          <w:tcPr>
            <w:tcW w:w="1170"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620"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1.0</w:t>
            </w:r>
          </w:p>
        </w:tc>
        <w:tc>
          <w:tcPr>
            <w:tcW w:w="1440"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1.0</w:t>
            </w:r>
          </w:p>
        </w:tc>
        <w:tc>
          <w:tcPr>
            <w:tcW w:w="1440"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1.0</w:t>
            </w:r>
          </w:p>
        </w:tc>
        <w:tc>
          <w:tcPr>
            <w:tcW w:w="1260" w:type="dxa"/>
            <w:tcBorders>
              <w:top w:val="nil"/>
              <w:left w:val="nil"/>
              <w:bottom w:val="nil"/>
            </w:tcBorders>
            <w:noWrap/>
            <w:vAlign w:val="center"/>
          </w:tcPr>
          <w:p w:rsidR="00A327E6" w:rsidRPr="00415FA2" w:rsidRDefault="00A327E6" w:rsidP="00415FA2">
            <w:pPr>
              <w:spacing w:before="0" w:after="0" w:line="320" w:lineRule="atLeast"/>
              <w:jc w:val="center"/>
              <w:rPr>
                <w:i/>
                <w:szCs w:val="24"/>
                <w:lang w:eastAsia="zh-TW"/>
              </w:rPr>
            </w:pPr>
          </w:p>
        </w:tc>
      </w:tr>
      <w:tr w:rsidR="00A327E6" w:rsidRPr="005D707D" w:rsidTr="00415FA2">
        <w:trPr>
          <w:trHeight w:val="20"/>
        </w:trPr>
        <w:tc>
          <w:tcPr>
            <w:tcW w:w="2628" w:type="dxa"/>
            <w:tcBorders>
              <w:top w:val="nil"/>
              <w:bottom w:val="nil"/>
              <w:right w:val="nil"/>
            </w:tcBorders>
            <w:noWrap/>
            <w:vAlign w:val="center"/>
          </w:tcPr>
          <w:p w:rsidR="00A327E6" w:rsidRPr="00415FA2" w:rsidRDefault="00A327E6" w:rsidP="00D92952">
            <w:pPr>
              <w:spacing w:before="0" w:after="0" w:line="320" w:lineRule="atLeast"/>
              <w:ind w:firstLineChars="223" w:firstLine="536"/>
              <w:rPr>
                <w:b/>
                <w:bCs/>
                <w:color w:val="104E8B"/>
                <w:szCs w:val="24"/>
                <w:lang w:eastAsia="zh-TW"/>
              </w:rPr>
            </w:pPr>
            <w:r w:rsidRPr="00415FA2">
              <w:rPr>
                <w:b/>
                <w:bCs/>
                <w:szCs w:val="24"/>
                <w:lang w:eastAsia="zh-TW"/>
              </w:rPr>
              <w:t>Medium</w:t>
            </w:r>
          </w:p>
        </w:tc>
        <w:tc>
          <w:tcPr>
            <w:tcW w:w="1170"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620"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1.0</w:t>
            </w:r>
          </w:p>
        </w:tc>
        <w:tc>
          <w:tcPr>
            <w:tcW w:w="1440"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0.8</w:t>
            </w:r>
          </w:p>
        </w:tc>
        <w:tc>
          <w:tcPr>
            <w:tcW w:w="1440"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1.2</w:t>
            </w:r>
          </w:p>
        </w:tc>
        <w:tc>
          <w:tcPr>
            <w:tcW w:w="1260" w:type="dxa"/>
            <w:tcBorders>
              <w:top w:val="nil"/>
              <w:left w:val="nil"/>
              <w:bottom w:val="nil"/>
            </w:tcBorders>
            <w:noWrap/>
            <w:vAlign w:val="center"/>
          </w:tcPr>
          <w:p w:rsidR="00A327E6" w:rsidRPr="00415FA2" w:rsidRDefault="00A327E6" w:rsidP="00415FA2">
            <w:pPr>
              <w:spacing w:before="0" w:after="0" w:line="320" w:lineRule="atLeast"/>
              <w:jc w:val="center"/>
              <w:rPr>
                <w:i/>
                <w:szCs w:val="24"/>
                <w:lang w:eastAsia="zh-TW"/>
              </w:rPr>
            </w:pPr>
            <w:r w:rsidRPr="00415FA2">
              <w:rPr>
                <w:i/>
                <w:szCs w:val="24"/>
                <w:lang w:eastAsia="zh-TW"/>
              </w:rPr>
              <w:t>0.77</w:t>
            </w:r>
          </w:p>
        </w:tc>
      </w:tr>
      <w:tr w:rsidR="00A327E6" w:rsidRPr="005D707D" w:rsidTr="00415FA2">
        <w:trPr>
          <w:trHeight w:val="20"/>
        </w:trPr>
        <w:tc>
          <w:tcPr>
            <w:tcW w:w="2628" w:type="dxa"/>
            <w:tcBorders>
              <w:top w:val="nil"/>
              <w:bottom w:val="single" w:sz="8" w:space="0" w:color="4F81BD"/>
              <w:right w:val="nil"/>
            </w:tcBorders>
            <w:noWrap/>
            <w:vAlign w:val="center"/>
          </w:tcPr>
          <w:p w:rsidR="00A327E6" w:rsidRPr="00415FA2" w:rsidRDefault="00A327E6" w:rsidP="00D92952">
            <w:pPr>
              <w:spacing w:before="0" w:after="0" w:line="320" w:lineRule="atLeast"/>
              <w:ind w:firstLineChars="223" w:firstLine="536"/>
              <w:rPr>
                <w:b/>
                <w:bCs/>
                <w:color w:val="104E8B"/>
                <w:szCs w:val="24"/>
                <w:lang w:eastAsia="zh-TW"/>
              </w:rPr>
            </w:pPr>
            <w:r w:rsidRPr="00415FA2">
              <w:rPr>
                <w:b/>
                <w:bCs/>
                <w:szCs w:val="24"/>
                <w:lang w:eastAsia="zh-TW"/>
              </w:rPr>
              <w:t>High</w:t>
            </w:r>
          </w:p>
        </w:tc>
        <w:tc>
          <w:tcPr>
            <w:tcW w:w="1170"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szCs w:val="24"/>
                <w:lang w:eastAsia="zh-TW"/>
              </w:rPr>
            </w:pPr>
          </w:p>
        </w:tc>
        <w:tc>
          <w:tcPr>
            <w:tcW w:w="1620"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1.0</w:t>
            </w:r>
          </w:p>
        </w:tc>
        <w:tc>
          <w:tcPr>
            <w:tcW w:w="1440"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0.7</w:t>
            </w:r>
          </w:p>
        </w:tc>
        <w:tc>
          <w:tcPr>
            <w:tcW w:w="1440"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1.5</w:t>
            </w:r>
          </w:p>
        </w:tc>
        <w:tc>
          <w:tcPr>
            <w:tcW w:w="1260" w:type="dxa"/>
            <w:tcBorders>
              <w:top w:val="nil"/>
              <w:left w:val="nil"/>
              <w:bottom w:val="single" w:sz="8" w:space="0" w:color="4F81BD"/>
            </w:tcBorders>
            <w:noWrap/>
            <w:vAlign w:val="center"/>
          </w:tcPr>
          <w:p w:rsidR="00A327E6" w:rsidRPr="00415FA2" w:rsidRDefault="00A327E6" w:rsidP="00415FA2">
            <w:pPr>
              <w:spacing w:before="0" w:after="0" w:line="320" w:lineRule="atLeast"/>
              <w:jc w:val="center"/>
              <w:rPr>
                <w:i/>
                <w:szCs w:val="24"/>
                <w:lang w:eastAsia="zh-TW"/>
              </w:rPr>
            </w:pPr>
            <w:r w:rsidRPr="00415FA2">
              <w:rPr>
                <w:i/>
                <w:szCs w:val="24"/>
                <w:lang w:eastAsia="zh-TW"/>
              </w:rPr>
              <w:t>0.82</w:t>
            </w:r>
          </w:p>
        </w:tc>
      </w:tr>
      <w:tr w:rsidR="00A327E6" w:rsidRPr="005D707D" w:rsidTr="00415FA2">
        <w:trPr>
          <w:trHeight w:val="20"/>
        </w:trPr>
        <w:tc>
          <w:tcPr>
            <w:tcW w:w="2628" w:type="dxa"/>
            <w:tcBorders>
              <w:top w:val="single" w:sz="8" w:space="0" w:color="4F81BD"/>
              <w:bottom w:val="nil"/>
              <w:right w:val="nil"/>
            </w:tcBorders>
            <w:noWrap/>
            <w:vAlign w:val="center"/>
          </w:tcPr>
          <w:p w:rsidR="00A327E6" w:rsidRPr="00415FA2" w:rsidRDefault="00A327E6" w:rsidP="00415FA2">
            <w:pPr>
              <w:spacing w:before="0" w:after="0" w:line="320" w:lineRule="atLeast"/>
              <w:rPr>
                <w:b/>
                <w:bCs/>
                <w:szCs w:val="24"/>
                <w:vertAlign w:val="superscript"/>
                <w:lang w:eastAsia="zh-TW"/>
              </w:rPr>
            </w:pPr>
            <w:r w:rsidRPr="00415FA2">
              <w:rPr>
                <w:b/>
                <w:bCs/>
                <w:szCs w:val="24"/>
                <w:lang w:eastAsia="zh-TW"/>
              </w:rPr>
              <w:t>Current Asthma</w:t>
            </w:r>
          </w:p>
        </w:tc>
        <w:tc>
          <w:tcPr>
            <w:tcW w:w="1170" w:type="dxa"/>
            <w:tcBorders>
              <w:top w:val="single" w:sz="8" w:space="0" w:color="4F81BD"/>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5806</w:t>
            </w:r>
          </w:p>
        </w:tc>
        <w:tc>
          <w:tcPr>
            <w:tcW w:w="1620" w:type="dxa"/>
            <w:tcBorders>
              <w:top w:val="single" w:sz="8" w:space="0" w:color="4F81BD"/>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440" w:type="dxa"/>
            <w:tcBorders>
              <w:top w:val="single" w:sz="8" w:space="0" w:color="4F81BD"/>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440" w:type="dxa"/>
            <w:tcBorders>
              <w:top w:val="single" w:sz="8" w:space="0" w:color="4F81BD"/>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260" w:type="dxa"/>
            <w:tcBorders>
              <w:top w:val="single" w:sz="8" w:space="0" w:color="4F81BD"/>
              <w:left w:val="nil"/>
              <w:bottom w:val="nil"/>
            </w:tcBorders>
            <w:noWrap/>
            <w:vAlign w:val="center"/>
          </w:tcPr>
          <w:p w:rsidR="00A327E6" w:rsidRPr="00415FA2" w:rsidRDefault="00A327E6" w:rsidP="00415FA2">
            <w:pPr>
              <w:spacing w:before="0" w:after="0" w:line="320" w:lineRule="atLeast"/>
              <w:jc w:val="center"/>
              <w:rPr>
                <w:szCs w:val="24"/>
                <w:lang w:eastAsia="zh-TW"/>
              </w:rPr>
            </w:pPr>
          </w:p>
        </w:tc>
      </w:tr>
      <w:tr w:rsidR="00A327E6" w:rsidRPr="005D707D" w:rsidTr="00415FA2">
        <w:trPr>
          <w:trHeight w:val="20"/>
        </w:trPr>
        <w:tc>
          <w:tcPr>
            <w:tcW w:w="2628" w:type="dxa"/>
            <w:tcBorders>
              <w:top w:val="nil"/>
              <w:bottom w:val="nil"/>
              <w:right w:val="nil"/>
            </w:tcBorders>
            <w:noWrap/>
            <w:vAlign w:val="center"/>
          </w:tcPr>
          <w:p w:rsidR="00A327E6" w:rsidRPr="00415FA2" w:rsidRDefault="00A327E6" w:rsidP="00D92952">
            <w:pPr>
              <w:spacing w:before="0" w:after="0" w:line="320" w:lineRule="atLeast"/>
              <w:ind w:firstLineChars="223" w:firstLine="536"/>
              <w:rPr>
                <w:b/>
                <w:bCs/>
                <w:color w:val="104E8B"/>
                <w:szCs w:val="24"/>
                <w:lang w:eastAsia="zh-TW"/>
              </w:rPr>
            </w:pPr>
            <w:r w:rsidRPr="00415FA2">
              <w:rPr>
                <w:b/>
                <w:bCs/>
                <w:szCs w:val="24"/>
                <w:lang w:eastAsia="zh-TW"/>
              </w:rPr>
              <w:t>Low</w:t>
            </w:r>
          </w:p>
        </w:tc>
        <w:tc>
          <w:tcPr>
            <w:tcW w:w="1170"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620"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1.0</w:t>
            </w:r>
          </w:p>
        </w:tc>
        <w:tc>
          <w:tcPr>
            <w:tcW w:w="1440"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1.0</w:t>
            </w:r>
          </w:p>
        </w:tc>
        <w:tc>
          <w:tcPr>
            <w:tcW w:w="1440"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1.0</w:t>
            </w:r>
          </w:p>
        </w:tc>
        <w:tc>
          <w:tcPr>
            <w:tcW w:w="1260" w:type="dxa"/>
            <w:tcBorders>
              <w:top w:val="nil"/>
              <w:left w:val="nil"/>
              <w:bottom w:val="nil"/>
            </w:tcBorders>
            <w:noWrap/>
            <w:vAlign w:val="center"/>
          </w:tcPr>
          <w:p w:rsidR="00A327E6" w:rsidRPr="00415FA2" w:rsidRDefault="00A327E6" w:rsidP="00415FA2">
            <w:pPr>
              <w:spacing w:before="0" w:after="0" w:line="320" w:lineRule="atLeast"/>
              <w:jc w:val="center"/>
              <w:rPr>
                <w:i/>
                <w:szCs w:val="24"/>
                <w:lang w:eastAsia="zh-TW"/>
              </w:rPr>
            </w:pPr>
          </w:p>
        </w:tc>
      </w:tr>
      <w:tr w:rsidR="00A327E6" w:rsidRPr="005D707D" w:rsidTr="00415FA2">
        <w:trPr>
          <w:trHeight w:val="20"/>
        </w:trPr>
        <w:tc>
          <w:tcPr>
            <w:tcW w:w="2628" w:type="dxa"/>
            <w:tcBorders>
              <w:top w:val="nil"/>
              <w:bottom w:val="nil"/>
              <w:right w:val="nil"/>
            </w:tcBorders>
            <w:noWrap/>
            <w:vAlign w:val="center"/>
          </w:tcPr>
          <w:p w:rsidR="00A327E6" w:rsidRPr="00415FA2" w:rsidRDefault="00A327E6" w:rsidP="00D92952">
            <w:pPr>
              <w:spacing w:before="0" w:after="0" w:line="320" w:lineRule="atLeast"/>
              <w:ind w:firstLineChars="223" w:firstLine="536"/>
              <w:rPr>
                <w:b/>
                <w:bCs/>
                <w:color w:val="000000"/>
                <w:szCs w:val="24"/>
                <w:lang w:eastAsia="zh-TW"/>
              </w:rPr>
            </w:pPr>
            <w:r w:rsidRPr="00415FA2">
              <w:rPr>
                <w:b/>
                <w:bCs/>
                <w:color w:val="000000"/>
                <w:szCs w:val="24"/>
                <w:lang w:eastAsia="zh-TW"/>
              </w:rPr>
              <w:t>Medium</w:t>
            </w:r>
          </w:p>
        </w:tc>
        <w:tc>
          <w:tcPr>
            <w:tcW w:w="1170"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620"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1.0</w:t>
            </w:r>
          </w:p>
        </w:tc>
        <w:tc>
          <w:tcPr>
            <w:tcW w:w="1440"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0.8</w:t>
            </w:r>
          </w:p>
        </w:tc>
        <w:tc>
          <w:tcPr>
            <w:tcW w:w="1440"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1.3</w:t>
            </w:r>
          </w:p>
        </w:tc>
        <w:tc>
          <w:tcPr>
            <w:tcW w:w="1260" w:type="dxa"/>
            <w:tcBorders>
              <w:top w:val="nil"/>
              <w:left w:val="nil"/>
              <w:bottom w:val="nil"/>
            </w:tcBorders>
            <w:noWrap/>
            <w:vAlign w:val="center"/>
          </w:tcPr>
          <w:p w:rsidR="00A327E6" w:rsidRPr="00415FA2" w:rsidRDefault="00A327E6" w:rsidP="00415FA2">
            <w:pPr>
              <w:spacing w:before="0" w:after="0" w:line="320" w:lineRule="atLeast"/>
              <w:jc w:val="center"/>
              <w:rPr>
                <w:i/>
                <w:szCs w:val="24"/>
                <w:lang w:eastAsia="zh-TW"/>
              </w:rPr>
            </w:pPr>
            <w:r w:rsidRPr="00415FA2">
              <w:rPr>
                <w:i/>
                <w:szCs w:val="24"/>
                <w:lang w:eastAsia="zh-TW"/>
              </w:rPr>
              <w:t>0.93</w:t>
            </w:r>
          </w:p>
        </w:tc>
      </w:tr>
      <w:tr w:rsidR="00A327E6" w:rsidRPr="005D707D" w:rsidTr="00415FA2">
        <w:trPr>
          <w:trHeight w:val="20"/>
        </w:trPr>
        <w:tc>
          <w:tcPr>
            <w:tcW w:w="2628" w:type="dxa"/>
            <w:tcBorders>
              <w:top w:val="nil"/>
              <w:bottom w:val="single" w:sz="8" w:space="0" w:color="4F81BD"/>
              <w:right w:val="nil"/>
            </w:tcBorders>
            <w:noWrap/>
            <w:vAlign w:val="center"/>
          </w:tcPr>
          <w:p w:rsidR="00A327E6" w:rsidRPr="00415FA2" w:rsidRDefault="00A327E6" w:rsidP="00D92952">
            <w:pPr>
              <w:spacing w:before="0" w:after="0" w:line="320" w:lineRule="atLeast"/>
              <w:ind w:firstLineChars="223" w:firstLine="536"/>
              <w:rPr>
                <w:b/>
                <w:bCs/>
                <w:color w:val="104E8B"/>
                <w:szCs w:val="24"/>
                <w:lang w:eastAsia="zh-TW"/>
              </w:rPr>
            </w:pPr>
            <w:r w:rsidRPr="00415FA2">
              <w:rPr>
                <w:b/>
                <w:bCs/>
                <w:szCs w:val="24"/>
                <w:lang w:eastAsia="zh-TW"/>
              </w:rPr>
              <w:t>High</w:t>
            </w:r>
          </w:p>
        </w:tc>
        <w:tc>
          <w:tcPr>
            <w:tcW w:w="1170"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szCs w:val="24"/>
                <w:lang w:eastAsia="zh-TW"/>
              </w:rPr>
            </w:pPr>
          </w:p>
        </w:tc>
        <w:tc>
          <w:tcPr>
            <w:tcW w:w="1620"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color w:val="104E8B"/>
                <w:szCs w:val="24"/>
                <w:highlight w:val="yellow"/>
                <w:lang w:eastAsia="zh-TW"/>
              </w:rPr>
            </w:pPr>
            <w:r w:rsidRPr="00415FA2">
              <w:rPr>
                <w:szCs w:val="24"/>
                <w:lang w:eastAsia="zh-TW"/>
              </w:rPr>
              <w:t>1.2</w:t>
            </w:r>
          </w:p>
        </w:tc>
        <w:tc>
          <w:tcPr>
            <w:tcW w:w="1440"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color w:val="104E8B"/>
                <w:szCs w:val="24"/>
                <w:lang w:eastAsia="zh-TW"/>
              </w:rPr>
            </w:pPr>
            <w:r w:rsidRPr="00415FA2">
              <w:rPr>
                <w:szCs w:val="24"/>
                <w:lang w:eastAsia="zh-TW"/>
              </w:rPr>
              <w:t>0.8</w:t>
            </w:r>
          </w:p>
        </w:tc>
        <w:tc>
          <w:tcPr>
            <w:tcW w:w="1440"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color w:val="104E8B"/>
                <w:szCs w:val="24"/>
                <w:lang w:eastAsia="zh-TW"/>
              </w:rPr>
            </w:pPr>
            <w:r w:rsidRPr="00415FA2">
              <w:rPr>
                <w:szCs w:val="24"/>
                <w:lang w:eastAsia="zh-TW"/>
              </w:rPr>
              <w:t>1.8</w:t>
            </w:r>
          </w:p>
        </w:tc>
        <w:tc>
          <w:tcPr>
            <w:tcW w:w="1260" w:type="dxa"/>
            <w:tcBorders>
              <w:top w:val="nil"/>
              <w:left w:val="nil"/>
              <w:bottom w:val="single" w:sz="8" w:space="0" w:color="4F81BD"/>
            </w:tcBorders>
            <w:noWrap/>
            <w:vAlign w:val="center"/>
          </w:tcPr>
          <w:p w:rsidR="00A327E6" w:rsidRPr="00415FA2" w:rsidRDefault="00A327E6" w:rsidP="00415FA2">
            <w:pPr>
              <w:spacing w:before="0" w:after="0" w:line="320" w:lineRule="atLeast"/>
              <w:jc w:val="center"/>
              <w:rPr>
                <w:i/>
                <w:color w:val="104E8B"/>
                <w:szCs w:val="24"/>
                <w:lang w:eastAsia="zh-TW"/>
              </w:rPr>
            </w:pPr>
            <w:r w:rsidRPr="00415FA2">
              <w:rPr>
                <w:i/>
                <w:szCs w:val="24"/>
                <w:lang w:eastAsia="zh-TW"/>
              </w:rPr>
              <w:t>0.43</w:t>
            </w:r>
          </w:p>
        </w:tc>
      </w:tr>
      <w:tr w:rsidR="00A327E6" w:rsidRPr="005D707D" w:rsidTr="00415FA2">
        <w:trPr>
          <w:trHeight w:val="20"/>
        </w:trPr>
        <w:tc>
          <w:tcPr>
            <w:tcW w:w="2628" w:type="dxa"/>
            <w:tcBorders>
              <w:top w:val="single" w:sz="8" w:space="0" w:color="4F81BD"/>
              <w:bottom w:val="nil"/>
              <w:right w:val="nil"/>
            </w:tcBorders>
            <w:noWrap/>
            <w:vAlign w:val="center"/>
          </w:tcPr>
          <w:p w:rsidR="00A327E6" w:rsidRPr="00415FA2" w:rsidRDefault="00A327E6" w:rsidP="00415FA2">
            <w:pPr>
              <w:spacing w:before="0" w:after="0" w:line="320" w:lineRule="atLeast"/>
              <w:rPr>
                <w:b/>
                <w:bCs/>
                <w:szCs w:val="24"/>
                <w:lang w:eastAsia="zh-TW"/>
              </w:rPr>
            </w:pPr>
            <w:r w:rsidRPr="00415FA2">
              <w:rPr>
                <w:b/>
                <w:bCs/>
                <w:szCs w:val="24"/>
                <w:lang w:eastAsia="zh-TW"/>
              </w:rPr>
              <w:t>Current Asthma with Medication Use</w:t>
            </w:r>
          </w:p>
        </w:tc>
        <w:tc>
          <w:tcPr>
            <w:tcW w:w="1170" w:type="dxa"/>
            <w:tcBorders>
              <w:top w:val="single" w:sz="8" w:space="0" w:color="4F81BD"/>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5805</w:t>
            </w:r>
          </w:p>
        </w:tc>
        <w:tc>
          <w:tcPr>
            <w:tcW w:w="1620" w:type="dxa"/>
            <w:tcBorders>
              <w:top w:val="single" w:sz="8" w:space="0" w:color="4F81BD"/>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440" w:type="dxa"/>
            <w:tcBorders>
              <w:top w:val="single" w:sz="8" w:space="0" w:color="4F81BD"/>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440" w:type="dxa"/>
            <w:tcBorders>
              <w:top w:val="single" w:sz="8" w:space="0" w:color="4F81BD"/>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260" w:type="dxa"/>
            <w:tcBorders>
              <w:top w:val="single" w:sz="8" w:space="0" w:color="4F81BD"/>
              <w:left w:val="nil"/>
              <w:bottom w:val="nil"/>
            </w:tcBorders>
            <w:noWrap/>
            <w:vAlign w:val="center"/>
          </w:tcPr>
          <w:p w:rsidR="00A327E6" w:rsidRPr="00415FA2" w:rsidRDefault="00A327E6" w:rsidP="00415FA2">
            <w:pPr>
              <w:spacing w:before="0" w:after="0" w:line="320" w:lineRule="atLeast"/>
              <w:jc w:val="center"/>
              <w:rPr>
                <w:color w:val="104E8B"/>
                <w:szCs w:val="24"/>
                <w:lang w:eastAsia="zh-TW"/>
              </w:rPr>
            </w:pPr>
          </w:p>
        </w:tc>
      </w:tr>
      <w:tr w:rsidR="00A327E6" w:rsidRPr="005D707D" w:rsidTr="00415FA2">
        <w:trPr>
          <w:trHeight w:val="20"/>
        </w:trPr>
        <w:tc>
          <w:tcPr>
            <w:tcW w:w="2628" w:type="dxa"/>
            <w:tcBorders>
              <w:top w:val="nil"/>
              <w:bottom w:val="nil"/>
              <w:right w:val="nil"/>
            </w:tcBorders>
            <w:noWrap/>
            <w:vAlign w:val="center"/>
          </w:tcPr>
          <w:p w:rsidR="00A327E6" w:rsidRPr="00415FA2" w:rsidRDefault="00A327E6" w:rsidP="00D92952">
            <w:pPr>
              <w:spacing w:before="0" w:after="0" w:line="320" w:lineRule="atLeast"/>
              <w:ind w:firstLineChars="223" w:firstLine="536"/>
              <w:rPr>
                <w:b/>
                <w:bCs/>
                <w:color w:val="104E8B"/>
                <w:szCs w:val="24"/>
                <w:lang w:eastAsia="zh-TW"/>
              </w:rPr>
            </w:pPr>
            <w:r w:rsidRPr="00415FA2">
              <w:rPr>
                <w:b/>
                <w:bCs/>
                <w:szCs w:val="24"/>
                <w:lang w:eastAsia="zh-TW"/>
              </w:rPr>
              <w:t>Low</w:t>
            </w:r>
          </w:p>
        </w:tc>
        <w:tc>
          <w:tcPr>
            <w:tcW w:w="1170"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620"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1.0</w:t>
            </w:r>
          </w:p>
        </w:tc>
        <w:tc>
          <w:tcPr>
            <w:tcW w:w="1440"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1.0</w:t>
            </w:r>
          </w:p>
        </w:tc>
        <w:tc>
          <w:tcPr>
            <w:tcW w:w="1440"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1.0</w:t>
            </w:r>
          </w:p>
        </w:tc>
        <w:tc>
          <w:tcPr>
            <w:tcW w:w="1260" w:type="dxa"/>
            <w:tcBorders>
              <w:top w:val="nil"/>
              <w:left w:val="nil"/>
              <w:bottom w:val="nil"/>
            </w:tcBorders>
            <w:noWrap/>
            <w:vAlign w:val="center"/>
          </w:tcPr>
          <w:p w:rsidR="00A327E6" w:rsidRPr="00415FA2" w:rsidRDefault="00A327E6" w:rsidP="00415FA2">
            <w:pPr>
              <w:spacing w:before="0" w:after="0" w:line="320" w:lineRule="atLeast"/>
              <w:jc w:val="center"/>
              <w:rPr>
                <w:szCs w:val="24"/>
                <w:lang w:eastAsia="zh-TW"/>
              </w:rPr>
            </w:pPr>
          </w:p>
        </w:tc>
      </w:tr>
      <w:tr w:rsidR="00A327E6" w:rsidRPr="005D707D" w:rsidTr="00415FA2">
        <w:trPr>
          <w:trHeight w:val="20"/>
        </w:trPr>
        <w:tc>
          <w:tcPr>
            <w:tcW w:w="2628" w:type="dxa"/>
            <w:tcBorders>
              <w:top w:val="nil"/>
              <w:bottom w:val="nil"/>
              <w:right w:val="nil"/>
            </w:tcBorders>
            <w:noWrap/>
            <w:vAlign w:val="center"/>
          </w:tcPr>
          <w:p w:rsidR="00A327E6" w:rsidRPr="00415FA2" w:rsidRDefault="00A327E6" w:rsidP="00D92952">
            <w:pPr>
              <w:spacing w:before="0" w:after="0" w:line="320" w:lineRule="atLeast"/>
              <w:ind w:firstLineChars="223" w:firstLine="536"/>
              <w:rPr>
                <w:b/>
                <w:bCs/>
                <w:color w:val="000000"/>
                <w:szCs w:val="24"/>
                <w:lang w:eastAsia="zh-TW"/>
              </w:rPr>
            </w:pPr>
            <w:r w:rsidRPr="00415FA2">
              <w:rPr>
                <w:b/>
                <w:bCs/>
                <w:color w:val="000000"/>
                <w:szCs w:val="24"/>
                <w:lang w:eastAsia="zh-TW"/>
              </w:rPr>
              <w:t>Medium</w:t>
            </w:r>
          </w:p>
        </w:tc>
        <w:tc>
          <w:tcPr>
            <w:tcW w:w="1170"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620"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1.1</w:t>
            </w:r>
          </w:p>
        </w:tc>
        <w:tc>
          <w:tcPr>
            <w:tcW w:w="1440"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0.8</w:t>
            </w:r>
          </w:p>
        </w:tc>
        <w:tc>
          <w:tcPr>
            <w:tcW w:w="1440"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1.5</w:t>
            </w:r>
          </w:p>
        </w:tc>
        <w:tc>
          <w:tcPr>
            <w:tcW w:w="1260" w:type="dxa"/>
            <w:tcBorders>
              <w:top w:val="nil"/>
              <w:left w:val="nil"/>
              <w:bottom w:val="nil"/>
            </w:tcBorders>
            <w:noWrap/>
            <w:vAlign w:val="center"/>
          </w:tcPr>
          <w:p w:rsidR="00A327E6" w:rsidRPr="00415FA2" w:rsidRDefault="00A327E6" w:rsidP="00415FA2">
            <w:pPr>
              <w:spacing w:before="0" w:after="0" w:line="320" w:lineRule="atLeast"/>
              <w:jc w:val="center"/>
              <w:rPr>
                <w:i/>
                <w:color w:val="104E8B"/>
                <w:szCs w:val="24"/>
                <w:lang w:eastAsia="zh-TW"/>
              </w:rPr>
            </w:pPr>
            <w:r w:rsidRPr="00415FA2">
              <w:rPr>
                <w:i/>
                <w:szCs w:val="24"/>
                <w:lang w:eastAsia="zh-TW"/>
              </w:rPr>
              <w:t>0.46</w:t>
            </w:r>
          </w:p>
        </w:tc>
      </w:tr>
      <w:tr w:rsidR="00A327E6" w:rsidRPr="005D707D" w:rsidTr="00415FA2">
        <w:trPr>
          <w:trHeight w:val="20"/>
        </w:trPr>
        <w:tc>
          <w:tcPr>
            <w:tcW w:w="2628" w:type="dxa"/>
            <w:tcBorders>
              <w:top w:val="nil"/>
              <w:bottom w:val="single" w:sz="8" w:space="0" w:color="4F81BD"/>
              <w:right w:val="nil"/>
            </w:tcBorders>
            <w:noWrap/>
            <w:vAlign w:val="center"/>
          </w:tcPr>
          <w:p w:rsidR="00A327E6" w:rsidRPr="00415FA2" w:rsidRDefault="00A327E6" w:rsidP="00D92952">
            <w:pPr>
              <w:spacing w:before="0" w:after="0" w:line="320" w:lineRule="atLeast"/>
              <w:ind w:firstLineChars="223" w:firstLine="536"/>
              <w:rPr>
                <w:b/>
                <w:bCs/>
                <w:color w:val="104E8B"/>
                <w:szCs w:val="24"/>
                <w:lang w:eastAsia="zh-TW"/>
              </w:rPr>
            </w:pPr>
            <w:r w:rsidRPr="00415FA2">
              <w:rPr>
                <w:b/>
                <w:bCs/>
                <w:szCs w:val="24"/>
                <w:lang w:eastAsia="zh-TW"/>
              </w:rPr>
              <w:t>High</w:t>
            </w:r>
          </w:p>
        </w:tc>
        <w:tc>
          <w:tcPr>
            <w:tcW w:w="1170"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szCs w:val="24"/>
                <w:lang w:eastAsia="zh-TW"/>
              </w:rPr>
            </w:pPr>
          </w:p>
        </w:tc>
        <w:tc>
          <w:tcPr>
            <w:tcW w:w="1620"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1.4</w:t>
            </w:r>
          </w:p>
        </w:tc>
        <w:tc>
          <w:tcPr>
            <w:tcW w:w="1440"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color w:val="104E8B"/>
                <w:szCs w:val="24"/>
                <w:lang w:eastAsia="zh-TW"/>
              </w:rPr>
            </w:pPr>
            <w:r w:rsidRPr="00415FA2">
              <w:rPr>
                <w:szCs w:val="24"/>
                <w:lang w:eastAsia="zh-TW"/>
              </w:rPr>
              <w:t>0.8</w:t>
            </w:r>
          </w:p>
        </w:tc>
        <w:tc>
          <w:tcPr>
            <w:tcW w:w="1440"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color w:val="104E8B"/>
                <w:szCs w:val="24"/>
                <w:lang w:eastAsia="zh-TW"/>
              </w:rPr>
            </w:pPr>
            <w:r w:rsidRPr="00415FA2">
              <w:rPr>
                <w:szCs w:val="24"/>
                <w:lang w:eastAsia="zh-TW"/>
              </w:rPr>
              <w:t>2.3</w:t>
            </w:r>
          </w:p>
        </w:tc>
        <w:tc>
          <w:tcPr>
            <w:tcW w:w="1260" w:type="dxa"/>
            <w:tcBorders>
              <w:top w:val="nil"/>
              <w:left w:val="nil"/>
              <w:bottom w:val="single" w:sz="8" w:space="0" w:color="4F81BD"/>
            </w:tcBorders>
            <w:noWrap/>
            <w:vAlign w:val="center"/>
          </w:tcPr>
          <w:p w:rsidR="00A327E6" w:rsidRPr="00415FA2" w:rsidRDefault="00A327E6" w:rsidP="00415FA2">
            <w:pPr>
              <w:spacing w:before="0" w:after="0" w:line="320" w:lineRule="atLeast"/>
              <w:jc w:val="center"/>
              <w:rPr>
                <w:i/>
                <w:color w:val="104E8B"/>
                <w:szCs w:val="24"/>
                <w:lang w:eastAsia="zh-TW"/>
              </w:rPr>
            </w:pPr>
            <w:r w:rsidRPr="00415FA2">
              <w:rPr>
                <w:i/>
                <w:szCs w:val="24"/>
                <w:lang w:eastAsia="zh-TW"/>
              </w:rPr>
              <w:t>0.20</w:t>
            </w:r>
          </w:p>
        </w:tc>
      </w:tr>
      <w:tr w:rsidR="00A327E6" w:rsidRPr="005D707D" w:rsidTr="00415FA2">
        <w:trPr>
          <w:trHeight w:val="20"/>
        </w:trPr>
        <w:tc>
          <w:tcPr>
            <w:tcW w:w="2628" w:type="dxa"/>
            <w:tcBorders>
              <w:top w:val="single" w:sz="8" w:space="0" w:color="4F81BD"/>
              <w:bottom w:val="nil"/>
              <w:right w:val="nil"/>
            </w:tcBorders>
            <w:noWrap/>
            <w:vAlign w:val="center"/>
          </w:tcPr>
          <w:p w:rsidR="00A327E6" w:rsidRPr="00415FA2" w:rsidRDefault="00A327E6" w:rsidP="00415FA2">
            <w:pPr>
              <w:spacing w:before="0" w:after="0" w:line="320" w:lineRule="atLeast"/>
              <w:rPr>
                <w:b/>
                <w:bCs/>
                <w:szCs w:val="24"/>
                <w:vertAlign w:val="superscript"/>
                <w:lang w:eastAsia="zh-TW"/>
              </w:rPr>
            </w:pPr>
            <w:r w:rsidRPr="00415FA2">
              <w:rPr>
                <w:b/>
                <w:bCs/>
                <w:szCs w:val="24"/>
                <w:lang w:eastAsia="zh-TW"/>
              </w:rPr>
              <w:t>Probable Asthma</w:t>
            </w:r>
          </w:p>
        </w:tc>
        <w:tc>
          <w:tcPr>
            <w:tcW w:w="1170" w:type="dxa"/>
            <w:tcBorders>
              <w:top w:val="single" w:sz="8" w:space="0" w:color="4F81BD"/>
              <w:left w:val="nil"/>
              <w:bottom w:val="nil"/>
              <w:right w:val="nil"/>
            </w:tcBorders>
            <w:noWrap/>
            <w:vAlign w:val="center"/>
          </w:tcPr>
          <w:p w:rsidR="00A327E6" w:rsidRPr="00415FA2" w:rsidRDefault="00A327E6" w:rsidP="00415FA2">
            <w:pPr>
              <w:spacing w:before="0" w:after="0" w:line="320" w:lineRule="atLeast"/>
              <w:jc w:val="center"/>
              <w:rPr>
                <w:color w:val="104E8B"/>
                <w:szCs w:val="24"/>
                <w:lang w:eastAsia="zh-TW"/>
              </w:rPr>
            </w:pPr>
            <w:r w:rsidRPr="00415FA2">
              <w:rPr>
                <w:szCs w:val="24"/>
                <w:lang w:eastAsia="zh-TW"/>
              </w:rPr>
              <w:t>4934</w:t>
            </w:r>
          </w:p>
        </w:tc>
        <w:tc>
          <w:tcPr>
            <w:tcW w:w="1620" w:type="dxa"/>
            <w:tcBorders>
              <w:top w:val="single" w:sz="8" w:space="0" w:color="4F81BD"/>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440" w:type="dxa"/>
            <w:tcBorders>
              <w:top w:val="single" w:sz="8" w:space="0" w:color="4F81BD"/>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440" w:type="dxa"/>
            <w:tcBorders>
              <w:top w:val="single" w:sz="8" w:space="0" w:color="4F81BD"/>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260" w:type="dxa"/>
            <w:tcBorders>
              <w:top w:val="single" w:sz="8" w:space="0" w:color="4F81BD"/>
              <w:left w:val="nil"/>
              <w:bottom w:val="nil"/>
            </w:tcBorders>
            <w:noWrap/>
            <w:vAlign w:val="center"/>
          </w:tcPr>
          <w:p w:rsidR="00A327E6" w:rsidRPr="00415FA2" w:rsidRDefault="00A327E6" w:rsidP="00415FA2">
            <w:pPr>
              <w:spacing w:before="0" w:after="0" w:line="320" w:lineRule="atLeast"/>
              <w:jc w:val="center"/>
              <w:rPr>
                <w:i/>
                <w:szCs w:val="24"/>
                <w:lang w:eastAsia="zh-TW"/>
              </w:rPr>
            </w:pPr>
          </w:p>
        </w:tc>
      </w:tr>
      <w:tr w:rsidR="00A327E6" w:rsidRPr="005D707D" w:rsidTr="00415FA2">
        <w:trPr>
          <w:trHeight w:val="20"/>
        </w:trPr>
        <w:tc>
          <w:tcPr>
            <w:tcW w:w="2628" w:type="dxa"/>
            <w:tcBorders>
              <w:top w:val="nil"/>
              <w:bottom w:val="nil"/>
              <w:right w:val="nil"/>
            </w:tcBorders>
            <w:noWrap/>
            <w:vAlign w:val="center"/>
          </w:tcPr>
          <w:p w:rsidR="00A327E6" w:rsidRPr="00415FA2" w:rsidRDefault="00A327E6" w:rsidP="00D92952">
            <w:pPr>
              <w:spacing w:before="0" w:after="0" w:line="320" w:lineRule="atLeast"/>
              <w:ind w:firstLineChars="223" w:firstLine="536"/>
              <w:rPr>
                <w:b/>
                <w:bCs/>
                <w:color w:val="104E8B"/>
                <w:szCs w:val="24"/>
                <w:lang w:eastAsia="zh-TW"/>
              </w:rPr>
            </w:pPr>
            <w:r w:rsidRPr="00415FA2">
              <w:rPr>
                <w:b/>
                <w:bCs/>
                <w:szCs w:val="24"/>
                <w:lang w:eastAsia="zh-TW"/>
              </w:rPr>
              <w:t>Low</w:t>
            </w:r>
          </w:p>
        </w:tc>
        <w:tc>
          <w:tcPr>
            <w:tcW w:w="1170"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620" w:type="dxa"/>
            <w:tcBorders>
              <w:top w:val="nil"/>
              <w:left w:val="nil"/>
              <w:bottom w:val="nil"/>
              <w:right w:val="nil"/>
            </w:tcBorders>
            <w:noWrap/>
            <w:vAlign w:val="center"/>
          </w:tcPr>
          <w:p w:rsidR="00A327E6" w:rsidRPr="00415FA2" w:rsidRDefault="00A327E6" w:rsidP="00415FA2">
            <w:pPr>
              <w:spacing w:before="0" w:after="0" w:line="320" w:lineRule="atLeast"/>
              <w:jc w:val="center"/>
              <w:rPr>
                <w:color w:val="104E8B"/>
                <w:szCs w:val="24"/>
                <w:lang w:eastAsia="zh-TW"/>
              </w:rPr>
            </w:pPr>
            <w:r w:rsidRPr="00415FA2">
              <w:rPr>
                <w:szCs w:val="24"/>
                <w:lang w:eastAsia="zh-TW"/>
              </w:rPr>
              <w:t>1.0</w:t>
            </w:r>
          </w:p>
        </w:tc>
        <w:tc>
          <w:tcPr>
            <w:tcW w:w="1440" w:type="dxa"/>
            <w:tcBorders>
              <w:top w:val="nil"/>
              <w:left w:val="nil"/>
              <w:bottom w:val="nil"/>
              <w:right w:val="nil"/>
            </w:tcBorders>
            <w:noWrap/>
            <w:vAlign w:val="center"/>
          </w:tcPr>
          <w:p w:rsidR="00A327E6" w:rsidRPr="00415FA2" w:rsidRDefault="00A327E6" w:rsidP="00415FA2">
            <w:pPr>
              <w:spacing w:before="0" w:after="0" w:line="320" w:lineRule="atLeast"/>
              <w:jc w:val="center"/>
              <w:rPr>
                <w:color w:val="104E8B"/>
                <w:szCs w:val="24"/>
                <w:lang w:eastAsia="zh-TW"/>
              </w:rPr>
            </w:pPr>
            <w:r w:rsidRPr="00415FA2">
              <w:rPr>
                <w:szCs w:val="24"/>
                <w:lang w:eastAsia="zh-TW"/>
              </w:rPr>
              <w:t>1.0</w:t>
            </w:r>
          </w:p>
        </w:tc>
        <w:tc>
          <w:tcPr>
            <w:tcW w:w="1440" w:type="dxa"/>
            <w:tcBorders>
              <w:top w:val="nil"/>
              <w:left w:val="nil"/>
              <w:bottom w:val="nil"/>
              <w:right w:val="nil"/>
            </w:tcBorders>
            <w:noWrap/>
            <w:vAlign w:val="center"/>
          </w:tcPr>
          <w:p w:rsidR="00A327E6" w:rsidRPr="00415FA2" w:rsidRDefault="00A327E6" w:rsidP="00415FA2">
            <w:pPr>
              <w:spacing w:before="0" w:after="0" w:line="320" w:lineRule="atLeast"/>
              <w:jc w:val="center"/>
              <w:rPr>
                <w:color w:val="104E8B"/>
                <w:szCs w:val="24"/>
                <w:lang w:eastAsia="zh-TW"/>
              </w:rPr>
            </w:pPr>
            <w:r w:rsidRPr="00415FA2">
              <w:rPr>
                <w:szCs w:val="24"/>
                <w:lang w:eastAsia="zh-TW"/>
              </w:rPr>
              <w:t>1.0</w:t>
            </w:r>
          </w:p>
        </w:tc>
        <w:tc>
          <w:tcPr>
            <w:tcW w:w="1260" w:type="dxa"/>
            <w:tcBorders>
              <w:top w:val="nil"/>
              <w:left w:val="nil"/>
              <w:bottom w:val="nil"/>
            </w:tcBorders>
            <w:noWrap/>
            <w:vAlign w:val="center"/>
          </w:tcPr>
          <w:p w:rsidR="00A327E6" w:rsidRPr="00415FA2" w:rsidRDefault="00A327E6" w:rsidP="00415FA2">
            <w:pPr>
              <w:spacing w:before="0" w:after="0" w:line="320" w:lineRule="atLeast"/>
              <w:jc w:val="center"/>
              <w:rPr>
                <w:i/>
                <w:szCs w:val="24"/>
                <w:lang w:eastAsia="zh-TW"/>
              </w:rPr>
            </w:pPr>
          </w:p>
        </w:tc>
      </w:tr>
      <w:tr w:rsidR="00A327E6" w:rsidRPr="005D707D" w:rsidTr="00415FA2">
        <w:trPr>
          <w:trHeight w:val="20"/>
        </w:trPr>
        <w:tc>
          <w:tcPr>
            <w:tcW w:w="2628" w:type="dxa"/>
            <w:tcBorders>
              <w:top w:val="nil"/>
              <w:bottom w:val="nil"/>
              <w:right w:val="nil"/>
            </w:tcBorders>
            <w:noWrap/>
            <w:vAlign w:val="center"/>
          </w:tcPr>
          <w:p w:rsidR="00A327E6" w:rsidRPr="00415FA2" w:rsidRDefault="00A327E6" w:rsidP="00D92952">
            <w:pPr>
              <w:spacing w:before="0" w:after="0" w:line="320" w:lineRule="atLeast"/>
              <w:ind w:firstLineChars="223" w:firstLine="536"/>
              <w:rPr>
                <w:b/>
                <w:bCs/>
                <w:color w:val="104E8B"/>
                <w:szCs w:val="24"/>
                <w:lang w:eastAsia="zh-TW"/>
              </w:rPr>
            </w:pPr>
            <w:r w:rsidRPr="00415FA2">
              <w:rPr>
                <w:b/>
                <w:bCs/>
                <w:szCs w:val="24"/>
                <w:lang w:eastAsia="zh-TW"/>
              </w:rPr>
              <w:t>Medium</w:t>
            </w:r>
          </w:p>
        </w:tc>
        <w:tc>
          <w:tcPr>
            <w:tcW w:w="1170"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620" w:type="dxa"/>
            <w:tcBorders>
              <w:top w:val="nil"/>
              <w:left w:val="nil"/>
              <w:bottom w:val="nil"/>
              <w:right w:val="nil"/>
            </w:tcBorders>
            <w:noWrap/>
            <w:vAlign w:val="center"/>
          </w:tcPr>
          <w:p w:rsidR="00A327E6" w:rsidRPr="00415FA2" w:rsidRDefault="00A327E6" w:rsidP="00415FA2">
            <w:pPr>
              <w:spacing w:before="0" w:after="0" w:line="320" w:lineRule="atLeast"/>
              <w:jc w:val="center"/>
              <w:rPr>
                <w:color w:val="104E8B"/>
                <w:szCs w:val="24"/>
                <w:lang w:eastAsia="zh-TW"/>
              </w:rPr>
            </w:pPr>
            <w:r w:rsidRPr="00415FA2">
              <w:rPr>
                <w:szCs w:val="24"/>
                <w:lang w:eastAsia="zh-TW"/>
              </w:rPr>
              <w:t>0.8</w:t>
            </w:r>
          </w:p>
        </w:tc>
        <w:tc>
          <w:tcPr>
            <w:tcW w:w="1440" w:type="dxa"/>
            <w:tcBorders>
              <w:top w:val="nil"/>
              <w:left w:val="nil"/>
              <w:bottom w:val="nil"/>
              <w:right w:val="nil"/>
            </w:tcBorders>
            <w:noWrap/>
            <w:vAlign w:val="center"/>
          </w:tcPr>
          <w:p w:rsidR="00A327E6" w:rsidRPr="00415FA2" w:rsidRDefault="00A327E6" w:rsidP="00415FA2">
            <w:pPr>
              <w:spacing w:before="0" w:after="0" w:line="320" w:lineRule="atLeast"/>
              <w:jc w:val="center"/>
              <w:rPr>
                <w:color w:val="104E8B"/>
                <w:szCs w:val="24"/>
                <w:lang w:eastAsia="zh-TW"/>
              </w:rPr>
            </w:pPr>
            <w:r w:rsidRPr="00415FA2">
              <w:rPr>
                <w:szCs w:val="24"/>
                <w:lang w:eastAsia="zh-TW"/>
              </w:rPr>
              <w:t>0.5</w:t>
            </w:r>
          </w:p>
        </w:tc>
        <w:tc>
          <w:tcPr>
            <w:tcW w:w="1440" w:type="dxa"/>
            <w:tcBorders>
              <w:top w:val="nil"/>
              <w:left w:val="nil"/>
              <w:bottom w:val="nil"/>
              <w:right w:val="nil"/>
            </w:tcBorders>
            <w:noWrap/>
            <w:vAlign w:val="center"/>
          </w:tcPr>
          <w:p w:rsidR="00A327E6" w:rsidRPr="00415FA2" w:rsidRDefault="00A327E6" w:rsidP="00415FA2">
            <w:pPr>
              <w:spacing w:before="0" w:after="0" w:line="320" w:lineRule="atLeast"/>
              <w:jc w:val="center"/>
              <w:rPr>
                <w:color w:val="104E8B"/>
                <w:szCs w:val="24"/>
                <w:lang w:eastAsia="zh-TW"/>
              </w:rPr>
            </w:pPr>
            <w:r w:rsidRPr="00415FA2">
              <w:rPr>
                <w:szCs w:val="24"/>
                <w:lang w:eastAsia="zh-TW"/>
              </w:rPr>
              <w:t>1.2</w:t>
            </w:r>
          </w:p>
        </w:tc>
        <w:tc>
          <w:tcPr>
            <w:tcW w:w="1260" w:type="dxa"/>
            <w:tcBorders>
              <w:top w:val="nil"/>
              <w:left w:val="nil"/>
              <w:bottom w:val="nil"/>
            </w:tcBorders>
            <w:noWrap/>
            <w:vAlign w:val="center"/>
          </w:tcPr>
          <w:p w:rsidR="00A327E6" w:rsidRPr="00415FA2" w:rsidRDefault="00A327E6" w:rsidP="00415FA2">
            <w:pPr>
              <w:spacing w:before="0" w:after="0" w:line="320" w:lineRule="atLeast"/>
              <w:jc w:val="center"/>
              <w:rPr>
                <w:i/>
                <w:color w:val="104E8B"/>
                <w:szCs w:val="24"/>
                <w:lang w:eastAsia="zh-TW"/>
              </w:rPr>
            </w:pPr>
            <w:r w:rsidRPr="00415FA2">
              <w:rPr>
                <w:i/>
                <w:szCs w:val="24"/>
                <w:lang w:eastAsia="zh-TW"/>
              </w:rPr>
              <w:t>0.31</w:t>
            </w:r>
          </w:p>
        </w:tc>
      </w:tr>
      <w:tr w:rsidR="00A327E6" w:rsidRPr="005D707D" w:rsidTr="00415FA2">
        <w:trPr>
          <w:trHeight w:val="20"/>
        </w:trPr>
        <w:tc>
          <w:tcPr>
            <w:tcW w:w="2628" w:type="dxa"/>
            <w:tcBorders>
              <w:top w:val="nil"/>
              <w:bottom w:val="single" w:sz="8" w:space="0" w:color="4F81BD"/>
              <w:right w:val="nil"/>
            </w:tcBorders>
            <w:noWrap/>
            <w:vAlign w:val="center"/>
          </w:tcPr>
          <w:p w:rsidR="00A327E6" w:rsidRPr="00415FA2" w:rsidRDefault="00A327E6" w:rsidP="00D92952">
            <w:pPr>
              <w:spacing w:before="0" w:after="0" w:line="320" w:lineRule="atLeast"/>
              <w:ind w:firstLineChars="223" w:firstLine="536"/>
              <w:rPr>
                <w:b/>
                <w:bCs/>
                <w:color w:val="104E8B"/>
                <w:szCs w:val="24"/>
                <w:lang w:eastAsia="zh-TW"/>
              </w:rPr>
            </w:pPr>
            <w:r w:rsidRPr="00415FA2">
              <w:rPr>
                <w:b/>
                <w:bCs/>
                <w:szCs w:val="24"/>
                <w:lang w:eastAsia="zh-TW"/>
              </w:rPr>
              <w:t>High</w:t>
            </w:r>
          </w:p>
        </w:tc>
        <w:tc>
          <w:tcPr>
            <w:tcW w:w="1170"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szCs w:val="24"/>
                <w:lang w:eastAsia="zh-TW"/>
              </w:rPr>
            </w:pPr>
          </w:p>
        </w:tc>
        <w:tc>
          <w:tcPr>
            <w:tcW w:w="1620"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color w:val="104E8B"/>
                <w:szCs w:val="24"/>
                <w:lang w:eastAsia="zh-TW"/>
              </w:rPr>
            </w:pPr>
            <w:r w:rsidRPr="00415FA2">
              <w:rPr>
                <w:szCs w:val="24"/>
                <w:lang w:eastAsia="zh-TW"/>
              </w:rPr>
              <w:t>1.1</w:t>
            </w:r>
          </w:p>
        </w:tc>
        <w:tc>
          <w:tcPr>
            <w:tcW w:w="1440"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color w:val="104E8B"/>
                <w:szCs w:val="24"/>
                <w:lang w:eastAsia="zh-TW"/>
              </w:rPr>
            </w:pPr>
            <w:r w:rsidRPr="00415FA2">
              <w:rPr>
                <w:szCs w:val="24"/>
                <w:lang w:eastAsia="zh-TW"/>
              </w:rPr>
              <w:t>0.6</w:t>
            </w:r>
          </w:p>
        </w:tc>
        <w:tc>
          <w:tcPr>
            <w:tcW w:w="1440"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color w:val="104E8B"/>
                <w:szCs w:val="24"/>
                <w:lang w:eastAsia="zh-TW"/>
              </w:rPr>
            </w:pPr>
            <w:r w:rsidRPr="00415FA2">
              <w:rPr>
                <w:szCs w:val="24"/>
                <w:lang w:eastAsia="zh-TW"/>
              </w:rPr>
              <w:t>1.9</w:t>
            </w:r>
          </w:p>
        </w:tc>
        <w:tc>
          <w:tcPr>
            <w:tcW w:w="1260" w:type="dxa"/>
            <w:tcBorders>
              <w:top w:val="nil"/>
              <w:left w:val="nil"/>
              <w:bottom w:val="single" w:sz="8" w:space="0" w:color="4F81BD"/>
            </w:tcBorders>
            <w:noWrap/>
            <w:vAlign w:val="center"/>
          </w:tcPr>
          <w:p w:rsidR="00A327E6" w:rsidRPr="00415FA2" w:rsidRDefault="00A327E6" w:rsidP="00415FA2">
            <w:pPr>
              <w:spacing w:before="0" w:after="0" w:line="320" w:lineRule="atLeast"/>
              <w:jc w:val="center"/>
              <w:rPr>
                <w:i/>
                <w:szCs w:val="24"/>
                <w:lang w:eastAsia="zh-TW"/>
              </w:rPr>
            </w:pPr>
            <w:r w:rsidRPr="00415FA2">
              <w:rPr>
                <w:i/>
                <w:szCs w:val="24"/>
                <w:lang w:eastAsia="zh-TW"/>
              </w:rPr>
              <w:t>0.77</w:t>
            </w:r>
          </w:p>
        </w:tc>
      </w:tr>
      <w:tr w:rsidR="00A327E6" w:rsidRPr="005D707D" w:rsidTr="00415FA2">
        <w:trPr>
          <w:trHeight w:val="20"/>
        </w:trPr>
        <w:tc>
          <w:tcPr>
            <w:tcW w:w="2628" w:type="dxa"/>
            <w:tcBorders>
              <w:top w:val="single" w:sz="8" w:space="0" w:color="4F81BD"/>
              <w:bottom w:val="nil"/>
              <w:right w:val="nil"/>
            </w:tcBorders>
            <w:noWrap/>
            <w:vAlign w:val="center"/>
          </w:tcPr>
          <w:p w:rsidR="00A327E6" w:rsidRPr="00415FA2" w:rsidRDefault="00A327E6" w:rsidP="00415FA2">
            <w:pPr>
              <w:spacing w:before="0" w:after="0" w:line="320" w:lineRule="atLeast"/>
              <w:rPr>
                <w:b/>
                <w:bCs/>
                <w:szCs w:val="24"/>
                <w:lang w:eastAsia="zh-TW"/>
              </w:rPr>
            </w:pPr>
            <w:r w:rsidRPr="00415FA2">
              <w:rPr>
                <w:b/>
                <w:bCs/>
                <w:szCs w:val="24"/>
                <w:lang w:eastAsia="zh-TW"/>
              </w:rPr>
              <w:t>Asthma Hospitalization</w:t>
            </w:r>
            <w:r w:rsidRPr="00415FA2">
              <w:rPr>
                <w:b/>
                <w:bCs/>
                <w:szCs w:val="24"/>
                <w:vertAlign w:val="superscript"/>
                <w:lang w:eastAsia="zh-TW"/>
              </w:rPr>
              <w:t>b</w:t>
            </w:r>
          </w:p>
        </w:tc>
        <w:tc>
          <w:tcPr>
            <w:tcW w:w="1170" w:type="dxa"/>
            <w:tcBorders>
              <w:top w:val="single" w:sz="8" w:space="0" w:color="4F81BD"/>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638</w:t>
            </w:r>
          </w:p>
        </w:tc>
        <w:tc>
          <w:tcPr>
            <w:tcW w:w="1620" w:type="dxa"/>
            <w:tcBorders>
              <w:top w:val="single" w:sz="8" w:space="0" w:color="4F81BD"/>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440" w:type="dxa"/>
            <w:tcBorders>
              <w:top w:val="single" w:sz="8" w:space="0" w:color="4F81BD"/>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440" w:type="dxa"/>
            <w:tcBorders>
              <w:top w:val="single" w:sz="8" w:space="0" w:color="4F81BD"/>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260" w:type="dxa"/>
            <w:tcBorders>
              <w:top w:val="single" w:sz="8" w:space="0" w:color="4F81BD"/>
              <w:left w:val="nil"/>
              <w:bottom w:val="nil"/>
            </w:tcBorders>
            <w:noWrap/>
            <w:vAlign w:val="center"/>
          </w:tcPr>
          <w:p w:rsidR="00A327E6" w:rsidRPr="00415FA2" w:rsidRDefault="00A327E6" w:rsidP="00415FA2">
            <w:pPr>
              <w:spacing w:before="0" w:after="0" w:line="320" w:lineRule="atLeast"/>
              <w:jc w:val="center"/>
              <w:rPr>
                <w:i/>
                <w:szCs w:val="24"/>
                <w:lang w:eastAsia="zh-TW"/>
              </w:rPr>
            </w:pPr>
          </w:p>
        </w:tc>
      </w:tr>
      <w:tr w:rsidR="00A327E6" w:rsidRPr="005D707D" w:rsidTr="00415FA2">
        <w:trPr>
          <w:trHeight w:val="20"/>
        </w:trPr>
        <w:tc>
          <w:tcPr>
            <w:tcW w:w="2628" w:type="dxa"/>
            <w:tcBorders>
              <w:top w:val="nil"/>
              <w:bottom w:val="nil"/>
              <w:right w:val="nil"/>
            </w:tcBorders>
            <w:noWrap/>
            <w:vAlign w:val="center"/>
          </w:tcPr>
          <w:p w:rsidR="00A327E6" w:rsidRPr="00415FA2" w:rsidRDefault="00A327E6" w:rsidP="00D92952">
            <w:pPr>
              <w:spacing w:before="0" w:after="0" w:line="320" w:lineRule="atLeast"/>
              <w:ind w:firstLineChars="223" w:firstLine="536"/>
              <w:rPr>
                <w:b/>
                <w:bCs/>
                <w:color w:val="104E8B"/>
                <w:szCs w:val="24"/>
                <w:lang w:eastAsia="zh-TW"/>
              </w:rPr>
            </w:pPr>
            <w:r w:rsidRPr="00415FA2">
              <w:rPr>
                <w:b/>
                <w:bCs/>
                <w:szCs w:val="24"/>
                <w:lang w:eastAsia="zh-TW"/>
              </w:rPr>
              <w:t>Low</w:t>
            </w:r>
          </w:p>
        </w:tc>
        <w:tc>
          <w:tcPr>
            <w:tcW w:w="1170"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620"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1.0</w:t>
            </w:r>
          </w:p>
        </w:tc>
        <w:tc>
          <w:tcPr>
            <w:tcW w:w="1440"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1.0</w:t>
            </w:r>
          </w:p>
        </w:tc>
        <w:tc>
          <w:tcPr>
            <w:tcW w:w="1440"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1.0</w:t>
            </w:r>
          </w:p>
        </w:tc>
        <w:tc>
          <w:tcPr>
            <w:tcW w:w="1260" w:type="dxa"/>
            <w:tcBorders>
              <w:top w:val="nil"/>
              <w:left w:val="nil"/>
              <w:bottom w:val="nil"/>
            </w:tcBorders>
            <w:noWrap/>
            <w:vAlign w:val="center"/>
          </w:tcPr>
          <w:p w:rsidR="00A327E6" w:rsidRPr="00415FA2" w:rsidRDefault="00A327E6" w:rsidP="00415FA2">
            <w:pPr>
              <w:spacing w:before="0" w:after="0" w:line="320" w:lineRule="atLeast"/>
              <w:jc w:val="center"/>
              <w:rPr>
                <w:i/>
                <w:szCs w:val="24"/>
                <w:lang w:eastAsia="zh-TW"/>
              </w:rPr>
            </w:pPr>
          </w:p>
        </w:tc>
      </w:tr>
      <w:tr w:rsidR="00A327E6" w:rsidRPr="005D707D" w:rsidTr="00415FA2">
        <w:trPr>
          <w:trHeight w:val="20"/>
        </w:trPr>
        <w:tc>
          <w:tcPr>
            <w:tcW w:w="2628" w:type="dxa"/>
            <w:tcBorders>
              <w:top w:val="nil"/>
              <w:bottom w:val="nil"/>
              <w:right w:val="nil"/>
            </w:tcBorders>
            <w:noWrap/>
            <w:vAlign w:val="center"/>
          </w:tcPr>
          <w:p w:rsidR="00A327E6" w:rsidRPr="00415FA2" w:rsidRDefault="00A327E6" w:rsidP="00D92952">
            <w:pPr>
              <w:spacing w:before="0" w:after="0" w:line="320" w:lineRule="atLeast"/>
              <w:ind w:firstLineChars="223" w:firstLine="536"/>
              <w:rPr>
                <w:b/>
                <w:bCs/>
                <w:color w:val="000000"/>
                <w:szCs w:val="24"/>
                <w:lang w:eastAsia="zh-TW"/>
              </w:rPr>
            </w:pPr>
            <w:r w:rsidRPr="00415FA2">
              <w:rPr>
                <w:b/>
                <w:bCs/>
                <w:color w:val="000000"/>
                <w:szCs w:val="24"/>
                <w:lang w:eastAsia="zh-TW"/>
              </w:rPr>
              <w:t>Medium</w:t>
            </w:r>
          </w:p>
        </w:tc>
        <w:tc>
          <w:tcPr>
            <w:tcW w:w="1170"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620"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1.2</w:t>
            </w:r>
          </w:p>
        </w:tc>
        <w:tc>
          <w:tcPr>
            <w:tcW w:w="1440"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0.6</w:t>
            </w:r>
          </w:p>
        </w:tc>
        <w:tc>
          <w:tcPr>
            <w:tcW w:w="1440"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2.3</w:t>
            </w:r>
          </w:p>
        </w:tc>
        <w:tc>
          <w:tcPr>
            <w:tcW w:w="1260" w:type="dxa"/>
            <w:tcBorders>
              <w:top w:val="nil"/>
              <w:left w:val="nil"/>
              <w:bottom w:val="nil"/>
            </w:tcBorders>
            <w:noWrap/>
            <w:vAlign w:val="center"/>
          </w:tcPr>
          <w:p w:rsidR="00A327E6" w:rsidRPr="00415FA2" w:rsidRDefault="00A327E6" w:rsidP="00415FA2">
            <w:pPr>
              <w:spacing w:before="0" w:after="0" w:line="320" w:lineRule="atLeast"/>
              <w:jc w:val="center"/>
              <w:rPr>
                <w:i/>
                <w:szCs w:val="24"/>
                <w:lang w:eastAsia="zh-TW"/>
              </w:rPr>
            </w:pPr>
            <w:r w:rsidRPr="00415FA2">
              <w:rPr>
                <w:i/>
                <w:szCs w:val="24"/>
                <w:lang w:eastAsia="zh-TW"/>
              </w:rPr>
              <w:t>0.63</w:t>
            </w:r>
          </w:p>
        </w:tc>
      </w:tr>
      <w:tr w:rsidR="00A327E6" w:rsidRPr="005D707D" w:rsidTr="00415FA2">
        <w:trPr>
          <w:trHeight w:val="20"/>
        </w:trPr>
        <w:tc>
          <w:tcPr>
            <w:tcW w:w="2628" w:type="dxa"/>
            <w:tcBorders>
              <w:top w:val="nil"/>
              <w:bottom w:val="single" w:sz="8" w:space="0" w:color="4F81BD"/>
              <w:right w:val="nil"/>
            </w:tcBorders>
            <w:noWrap/>
            <w:vAlign w:val="center"/>
          </w:tcPr>
          <w:p w:rsidR="00A327E6" w:rsidRPr="00415FA2" w:rsidRDefault="00A327E6" w:rsidP="00D92952">
            <w:pPr>
              <w:spacing w:before="0" w:after="0" w:line="320" w:lineRule="atLeast"/>
              <w:ind w:firstLineChars="223" w:firstLine="536"/>
              <w:rPr>
                <w:b/>
                <w:bCs/>
                <w:color w:val="104E8B"/>
                <w:szCs w:val="24"/>
                <w:lang w:eastAsia="zh-TW"/>
              </w:rPr>
            </w:pPr>
            <w:r w:rsidRPr="00415FA2">
              <w:rPr>
                <w:b/>
                <w:bCs/>
                <w:szCs w:val="24"/>
                <w:lang w:eastAsia="zh-TW"/>
              </w:rPr>
              <w:t>High</w:t>
            </w:r>
          </w:p>
        </w:tc>
        <w:tc>
          <w:tcPr>
            <w:tcW w:w="1170"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szCs w:val="24"/>
                <w:lang w:eastAsia="zh-TW"/>
              </w:rPr>
            </w:pPr>
          </w:p>
        </w:tc>
        <w:tc>
          <w:tcPr>
            <w:tcW w:w="1620"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1.3</w:t>
            </w:r>
          </w:p>
        </w:tc>
        <w:tc>
          <w:tcPr>
            <w:tcW w:w="1440"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0.5</w:t>
            </w:r>
          </w:p>
        </w:tc>
        <w:tc>
          <w:tcPr>
            <w:tcW w:w="1440"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3.7</w:t>
            </w:r>
          </w:p>
        </w:tc>
        <w:tc>
          <w:tcPr>
            <w:tcW w:w="1260" w:type="dxa"/>
            <w:tcBorders>
              <w:top w:val="nil"/>
              <w:left w:val="nil"/>
              <w:bottom w:val="single" w:sz="8" w:space="0" w:color="4F81BD"/>
            </w:tcBorders>
            <w:noWrap/>
            <w:vAlign w:val="center"/>
          </w:tcPr>
          <w:p w:rsidR="00A327E6" w:rsidRPr="00415FA2" w:rsidRDefault="00A327E6" w:rsidP="00415FA2">
            <w:pPr>
              <w:spacing w:before="0" w:after="0" w:line="320" w:lineRule="atLeast"/>
              <w:jc w:val="center"/>
              <w:rPr>
                <w:i/>
                <w:szCs w:val="24"/>
                <w:lang w:eastAsia="zh-TW"/>
              </w:rPr>
            </w:pPr>
            <w:r w:rsidRPr="00415FA2">
              <w:rPr>
                <w:i/>
                <w:szCs w:val="24"/>
                <w:lang w:eastAsia="zh-TW"/>
              </w:rPr>
              <w:t>0.56</w:t>
            </w:r>
          </w:p>
        </w:tc>
      </w:tr>
      <w:tr w:rsidR="00A327E6" w:rsidRPr="005D707D" w:rsidTr="00415FA2">
        <w:trPr>
          <w:trHeight w:val="20"/>
        </w:trPr>
        <w:tc>
          <w:tcPr>
            <w:tcW w:w="9558" w:type="dxa"/>
            <w:gridSpan w:val="6"/>
            <w:tcBorders>
              <w:top w:val="single" w:sz="8" w:space="0" w:color="4F81BD"/>
              <w:bottom w:val="single" w:sz="8" w:space="0" w:color="4F81BD"/>
            </w:tcBorders>
            <w:noWrap/>
          </w:tcPr>
          <w:p w:rsidR="00A327E6" w:rsidRPr="00415FA2" w:rsidRDefault="00A327E6" w:rsidP="00415FA2">
            <w:pPr>
              <w:spacing w:before="0" w:after="0" w:line="240" w:lineRule="auto"/>
              <w:rPr>
                <w:b/>
                <w:bCs/>
                <w:szCs w:val="24"/>
                <w:lang w:eastAsia="zh-TW"/>
              </w:rPr>
            </w:pPr>
            <w:r w:rsidRPr="00415FA2">
              <w:rPr>
                <w:bCs/>
                <w:szCs w:val="24"/>
                <w:vertAlign w:val="superscript"/>
                <w:lang w:eastAsia="zh-TW"/>
              </w:rPr>
              <w:t>a</w:t>
            </w:r>
            <w:r w:rsidRPr="00415FA2">
              <w:rPr>
                <w:bCs/>
                <w:szCs w:val="24"/>
                <w:lang w:eastAsia="zh-TW"/>
              </w:rPr>
              <w:t>All models were adjusted for age, sex, race, ethnicity, household income (PIR), education, smoking status, and background air pollution exposure. Respiratory outcome models were also adjusted for household indoor smoking. Cardiovascular outcome models (MI and CHD) were also adjusted for binge drinking, diabetes, hypertension, high cholesterol, and family history of heart disease. Exposure to background air pollution was adjusted using estimated residential background PM</w:t>
            </w:r>
            <w:r w:rsidRPr="00415FA2">
              <w:rPr>
                <w:bCs/>
                <w:szCs w:val="24"/>
                <w:vertAlign w:val="subscript"/>
                <w:lang w:eastAsia="zh-TW"/>
              </w:rPr>
              <w:t xml:space="preserve">2.5 </w:t>
            </w:r>
            <w:r w:rsidRPr="00415FA2">
              <w:rPr>
                <w:bCs/>
                <w:szCs w:val="24"/>
                <w:lang w:eastAsia="zh-TW"/>
              </w:rPr>
              <w:t>concentrations and residential proximity to a major road (&lt;200 meters).</w:t>
            </w:r>
          </w:p>
          <w:p w:rsidR="00A327E6" w:rsidRPr="00415FA2" w:rsidRDefault="00A327E6" w:rsidP="00415FA2">
            <w:pPr>
              <w:spacing w:before="0" w:after="0" w:line="240" w:lineRule="auto"/>
              <w:rPr>
                <w:b/>
                <w:bCs/>
                <w:szCs w:val="24"/>
                <w:lang w:eastAsia="zh-TW"/>
              </w:rPr>
            </w:pPr>
            <w:r w:rsidRPr="00415FA2">
              <w:rPr>
                <w:bCs/>
                <w:szCs w:val="24"/>
                <w:vertAlign w:val="superscript"/>
                <w:lang w:eastAsia="zh-TW"/>
              </w:rPr>
              <w:t>b</w:t>
            </w:r>
            <w:r w:rsidRPr="00415FA2">
              <w:rPr>
                <w:bCs/>
                <w:szCs w:val="24"/>
                <w:lang w:eastAsia="zh-TW"/>
              </w:rPr>
              <w:t>Analysis conducted among those with current asthma. Also adjusted for BMI, alcohol intake, GERD, and use of chemicals such as pesticides in the home.</w:t>
            </w:r>
          </w:p>
          <w:p w:rsidR="00A327E6" w:rsidRPr="00415FA2" w:rsidRDefault="00A327E6" w:rsidP="00415FA2">
            <w:pPr>
              <w:spacing w:before="0" w:after="0" w:line="240" w:lineRule="auto"/>
              <w:rPr>
                <w:b/>
                <w:bCs/>
                <w:i/>
                <w:szCs w:val="24"/>
                <w:lang w:eastAsia="zh-TW"/>
              </w:rPr>
            </w:pPr>
            <w:r w:rsidRPr="00415FA2">
              <w:rPr>
                <w:bCs/>
                <w:szCs w:val="24"/>
                <w:vertAlign w:val="superscript"/>
                <w:lang w:eastAsia="zh-TW"/>
              </w:rPr>
              <w:t>c</w:t>
            </w:r>
            <w:r w:rsidRPr="00415FA2">
              <w:rPr>
                <w:bCs/>
                <w:szCs w:val="24"/>
                <w:lang w:eastAsia="zh-TW"/>
              </w:rPr>
              <w:t>Also adjusted for use of chemicals such as pesticides in the home.</w:t>
            </w:r>
          </w:p>
        </w:tc>
      </w:tr>
    </w:tbl>
    <w:p w:rsidR="00A327E6" w:rsidRDefault="00A327E6" w:rsidP="00DE3E13">
      <w:pPr>
        <w:pStyle w:val="Caption"/>
        <w:spacing w:before="0" w:after="0" w:line="400" w:lineRule="atLeast"/>
        <w:ind w:left="5760"/>
        <w:rPr>
          <w:szCs w:val="24"/>
        </w:rPr>
      </w:pPr>
      <w:r w:rsidRPr="005110B7">
        <w:rPr>
          <w:szCs w:val="24"/>
        </w:rPr>
        <w:t>Table 6-7</w:t>
      </w:r>
      <w:r>
        <w:rPr>
          <w:i/>
          <w:szCs w:val="24"/>
        </w:rPr>
        <w:t xml:space="preserve"> </w:t>
      </w:r>
      <w:r w:rsidRPr="0021796A">
        <w:rPr>
          <w:i/>
          <w:szCs w:val="24"/>
        </w:rPr>
        <w:t>continued</w:t>
      </w:r>
      <w:r>
        <w:rPr>
          <w:i/>
          <w:szCs w:val="24"/>
        </w:rPr>
        <w:t xml:space="preserve"> on page 75</w:t>
      </w:r>
    </w:p>
    <w:p w:rsidR="00A327E6" w:rsidRPr="00DE3E13" w:rsidRDefault="00A327E6" w:rsidP="00FD064C">
      <w:pPr>
        <w:spacing w:before="0" w:after="0" w:line="400" w:lineRule="atLeast"/>
        <w:rPr>
          <w:b/>
          <w:szCs w:val="24"/>
        </w:rPr>
      </w:pPr>
      <w:r>
        <w:rPr>
          <w:szCs w:val="24"/>
        </w:rPr>
        <w:br w:type="page"/>
      </w:r>
      <w:r w:rsidRPr="00DE3E13">
        <w:rPr>
          <w:b/>
          <w:szCs w:val="24"/>
        </w:rPr>
        <w:t>Table 6-7</w:t>
      </w:r>
      <w:r w:rsidRPr="00DE3E13">
        <w:rPr>
          <w:b/>
          <w:i/>
          <w:szCs w:val="24"/>
        </w:rPr>
        <w:t xml:space="preserve"> continued</w:t>
      </w:r>
    </w:p>
    <w:tbl>
      <w:tblPr>
        <w:tblpPr w:leftFromText="180" w:rightFromText="180" w:vertAnchor="page" w:horzAnchor="margin" w:tblpY="2283"/>
        <w:tblW w:w="9465" w:type="dxa"/>
        <w:tblBorders>
          <w:top w:val="single" w:sz="8" w:space="0" w:color="4F81BD"/>
          <w:left w:val="single" w:sz="8" w:space="0" w:color="4F81BD"/>
          <w:bottom w:val="single" w:sz="8" w:space="0" w:color="4F81BD"/>
          <w:right w:val="single" w:sz="8" w:space="0" w:color="4F81BD"/>
        </w:tblBorders>
        <w:tblLayout w:type="fixed"/>
        <w:tblLook w:val="00A0"/>
      </w:tblPr>
      <w:tblGrid>
        <w:gridCol w:w="2715"/>
        <w:gridCol w:w="1080"/>
        <w:gridCol w:w="1417"/>
        <w:gridCol w:w="1418"/>
        <w:gridCol w:w="1417"/>
        <w:gridCol w:w="1418"/>
      </w:tblGrid>
      <w:tr w:rsidR="00A327E6" w:rsidRPr="005D707D" w:rsidTr="00415FA2">
        <w:trPr>
          <w:trHeight w:val="20"/>
        </w:trPr>
        <w:tc>
          <w:tcPr>
            <w:tcW w:w="2715" w:type="dxa"/>
            <w:tcBorders>
              <w:top w:val="single" w:sz="8" w:space="0" w:color="4F81BD"/>
              <w:bottom w:val="single" w:sz="8" w:space="0" w:color="4F81BD"/>
            </w:tcBorders>
            <w:shd w:val="clear" w:color="auto" w:fill="4F81BD"/>
            <w:noWrap/>
            <w:vAlign w:val="center"/>
          </w:tcPr>
          <w:p w:rsidR="00A327E6" w:rsidRPr="00415FA2" w:rsidRDefault="00A327E6" w:rsidP="00415FA2">
            <w:pPr>
              <w:spacing w:before="0" w:after="0" w:line="240" w:lineRule="auto"/>
              <w:rPr>
                <w:b/>
                <w:bCs/>
                <w:color w:val="FFFFFF"/>
                <w:szCs w:val="24"/>
                <w:lang w:eastAsia="zh-TW"/>
              </w:rPr>
            </w:pPr>
            <w:r w:rsidRPr="00415FA2">
              <w:rPr>
                <w:b/>
                <w:bCs/>
                <w:color w:val="FFFFFF"/>
                <w:szCs w:val="24"/>
                <w:lang w:eastAsia="zh-TW"/>
              </w:rPr>
              <w:t>Health Outcome</w:t>
            </w:r>
          </w:p>
        </w:tc>
        <w:tc>
          <w:tcPr>
            <w:tcW w:w="1080" w:type="dxa"/>
            <w:tcBorders>
              <w:top w:val="single" w:sz="8" w:space="0" w:color="4F81BD"/>
              <w:left w:val="single" w:sz="8" w:space="0" w:color="4F81BD"/>
              <w:bottom w:val="single" w:sz="8" w:space="0" w:color="4F81BD"/>
              <w:right w:val="single" w:sz="8" w:space="0" w:color="4F81BD"/>
            </w:tcBorders>
            <w:shd w:val="clear" w:color="auto" w:fill="4F81BD"/>
            <w:noWrap/>
            <w:vAlign w:val="center"/>
          </w:tcPr>
          <w:p w:rsidR="00A327E6" w:rsidRPr="00415FA2" w:rsidRDefault="00A327E6" w:rsidP="00415FA2">
            <w:pPr>
              <w:spacing w:before="0" w:after="0" w:line="240" w:lineRule="auto"/>
              <w:jc w:val="center"/>
              <w:rPr>
                <w:b/>
                <w:bCs/>
                <w:color w:val="FFFFFF"/>
                <w:szCs w:val="24"/>
                <w:lang w:eastAsia="zh-TW"/>
              </w:rPr>
            </w:pPr>
            <w:r w:rsidRPr="00415FA2">
              <w:rPr>
                <w:b/>
                <w:bCs/>
                <w:color w:val="FFFFFF"/>
                <w:szCs w:val="24"/>
                <w:lang w:eastAsia="zh-TW"/>
              </w:rPr>
              <w:t>Sample Size</w:t>
            </w:r>
          </w:p>
        </w:tc>
        <w:tc>
          <w:tcPr>
            <w:tcW w:w="1417" w:type="dxa"/>
            <w:tcBorders>
              <w:top w:val="single" w:sz="8" w:space="0" w:color="4F81BD"/>
              <w:bottom w:val="single" w:sz="8" w:space="0" w:color="4F81BD"/>
            </w:tcBorders>
            <w:shd w:val="clear" w:color="auto" w:fill="4F81BD"/>
            <w:noWrap/>
            <w:vAlign w:val="center"/>
          </w:tcPr>
          <w:p w:rsidR="00A327E6" w:rsidRPr="00415FA2" w:rsidRDefault="00A327E6" w:rsidP="00415FA2">
            <w:pPr>
              <w:spacing w:before="0" w:after="0" w:line="240" w:lineRule="auto"/>
              <w:jc w:val="center"/>
              <w:rPr>
                <w:b/>
                <w:bCs/>
                <w:color w:val="FFFFFF"/>
                <w:szCs w:val="24"/>
                <w:lang w:eastAsia="zh-TW"/>
              </w:rPr>
            </w:pPr>
            <w:r w:rsidRPr="00415FA2">
              <w:rPr>
                <w:b/>
                <w:bCs/>
                <w:color w:val="FFFFFF"/>
                <w:szCs w:val="24"/>
                <w:lang w:eastAsia="zh-TW"/>
              </w:rPr>
              <w:t>Odds Ratio</w:t>
            </w:r>
            <w:r w:rsidRPr="00415FA2">
              <w:rPr>
                <w:b/>
                <w:bCs/>
                <w:color w:val="FFFFFF"/>
                <w:szCs w:val="24"/>
                <w:vertAlign w:val="superscript"/>
                <w:lang w:eastAsia="zh-TW"/>
              </w:rPr>
              <w:t>a</w:t>
            </w:r>
          </w:p>
        </w:tc>
        <w:tc>
          <w:tcPr>
            <w:tcW w:w="1418" w:type="dxa"/>
            <w:tcBorders>
              <w:top w:val="single" w:sz="8" w:space="0" w:color="4F81BD"/>
              <w:left w:val="single" w:sz="8" w:space="0" w:color="4F81BD"/>
              <w:bottom w:val="single" w:sz="8" w:space="0" w:color="4F81BD"/>
              <w:right w:val="single" w:sz="8" w:space="0" w:color="4F81BD"/>
            </w:tcBorders>
            <w:shd w:val="clear" w:color="auto" w:fill="4F81BD"/>
            <w:noWrap/>
            <w:vAlign w:val="center"/>
          </w:tcPr>
          <w:p w:rsidR="00A327E6" w:rsidRPr="00415FA2" w:rsidRDefault="00A327E6" w:rsidP="00415FA2">
            <w:pPr>
              <w:spacing w:before="0" w:after="0" w:line="240" w:lineRule="auto"/>
              <w:jc w:val="center"/>
              <w:rPr>
                <w:b/>
                <w:bCs/>
                <w:color w:val="FFFFFF"/>
                <w:szCs w:val="24"/>
                <w:lang w:eastAsia="zh-TW"/>
              </w:rPr>
            </w:pPr>
            <w:r w:rsidRPr="00415FA2">
              <w:rPr>
                <w:b/>
                <w:bCs/>
                <w:color w:val="FFFFFF"/>
                <w:szCs w:val="24"/>
                <w:lang w:eastAsia="zh-TW"/>
              </w:rPr>
              <w:t>Lower 95% CI</w:t>
            </w:r>
          </w:p>
        </w:tc>
        <w:tc>
          <w:tcPr>
            <w:tcW w:w="1417" w:type="dxa"/>
            <w:tcBorders>
              <w:top w:val="single" w:sz="8" w:space="0" w:color="4F81BD"/>
              <w:bottom w:val="single" w:sz="8" w:space="0" w:color="4F81BD"/>
            </w:tcBorders>
            <w:shd w:val="clear" w:color="auto" w:fill="4F81BD"/>
            <w:noWrap/>
            <w:vAlign w:val="center"/>
          </w:tcPr>
          <w:p w:rsidR="00A327E6" w:rsidRPr="00415FA2" w:rsidRDefault="00A327E6" w:rsidP="00415FA2">
            <w:pPr>
              <w:spacing w:before="0" w:after="0" w:line="240" w:lineRule="auto"/>
              <w:jc w:val="center"/>
              <w:rPr>
                <w:b/>
                <w:bCs/>
                <w:color w:val="FFFFFF"/>
                <w:szCs w:val="24"/>
                <w:lang w:eastAsia="zh-TW"/>
              </w:rPr>
            </w:pPr>
            <w:r w:rsidRPr="00415FA2">
              <w:rPr>
                <w:b/>
                <w:bCs/>
                <w:color w:val="FFFFFF"/>
                <w:szCs w:val="24"/>
                <w:lang w:eastAsia="zh-TW"/>
              </w:rPr>
              <w:t>Upper 95% CI</w:t>
            </w:r>
          </w:p>
        </w:tc>
        <w:tc>
          <w:tcPr>
            <w:tcW w:w="1418" w:type="dxa"/>
            <w:tcBorders>
              <w:top w:val="single" w:sz="8" w:space="0" w:color="4F81BD"/>
              <w:left w:val="single" w:sz="8" w:space="0" w:color="4F81BD"/>
              <w:bottom w:val="single" w:sz="8" w:space="0" w:color="4F81BD"/>
            </w:tcBorders>
            <w:shd w:val="clear" w:color="auto" w:fill="4F81BD"/>
            <w:noWrap/>
            <w:vAlign w:val="center"/>
          </w:tcPr>
          <w:p w:rsidR="00A327E6" w:rsidRPr="00415FA2" w:rsidRDefault="00A327E6" w:rsidP="00415FA2">
            <w:pPr>
              <w:spacing w:before="0" w:after="0" w:line="240" w:lineRule="auto"/>
              <w:jc w:val="center"/>
              <w:rPr>
                <w:b/>
                <w:bCs/>
                <w:i/>
                <w:color w:val="FFFFFF"/>
                <w:szCs w:val="24"/>
                <w:lang w:eastAsia="zh-TW"/>
              </w:rPr>
            </w:pPr>
            <w:r w:rsidRPr="00415FA2">
              <w:rPr>
                <w:b/>
                <w:bCs/>
                <w:color w:val="FFFFFF"/>
                <w:szCs w:val="24"/>
                <w:lang w:eastAsia="zh-TW"/>
              </w:rPr>
              <w:t>p-value</w:t>
            </w:r>
          </w:p>
        </w:tc>
      </w:tr>
      <w:tr w:rsidR="00A327E6" w:rsidRPr="0021796A" w:rsidTr="00415FA2">
        <w:trPr>
          <w:trHeight w:val="20"/>
        </w:trPr>
        <w:tc>
          <w:tcPr>
            <w:tcW w:w="2715" w:type="dxa"/>
            <w:tcBorders>
              <w:top w:val="single" w:sz="8" w:space="0" w:color="4F81BD"/>
              <w:bottom w:val="nil"/>
              <w:right w:val="nil"/>
            </w:tcBorders>
            <w:noWrap/>
            <w:vAlign w:val="center"/>
          </w:tcPr>
          <w:p w:rsidR="00A327E6" w:rsidRPr="00415FA2" w:rsidRDefault="00A327E6" w:rsidP="00415FA2">
            <w:pPr>
              <w:spacing w:before="0" w:after="0" w:line="320" w:lineRule="atLeast"/>
              <w:rPr>
                <w:b/>
                <w:bCs/>
                <w:szCs w:val="24"/>
                <w:lang w:eastAsia="zh-TW"/>
              </w:rPr>
            </w:pPr>
            <w:r w:rsidRPr="00415FA2">
              <w:rPr>
                <w:b/>
                <w:bCs/>
                <w:szCs w:val="24"/>
                <w:lang w:eastAsia="zh-TW"/>
              </w:rPr>
              <w:t>COPD</w:t>
            </w:r>
            <w:r w:rsidRPr="00415FA2">
              <w:rPr>
                <w:b/>
                <w:bCs/>
                <w:szCs w:val="24"/>
                <w:vertAlign w:val="superscript"/>
                <w:lang w:eastAsia="zh-TW"/>
              </w:rPr>
              <w:t>c</w:t>
            </w:r>
          </w:p>
        </w:tc>
        <w:tc>
          <w:tcPr>
            <w:tcW w:w="1080" w:type="dxa"/>
            <w:tcBorders>
              <w:top w:val="single" w:sz="8" w:space="0" w:color="4F81BD"/>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5689</w:t>
            </w:r>
          </w:p>
        </w:tc>
        <w:tc>
          <w:tcPr>
            <w:tcW w:w="1417" w:type="dxa"/>
            <w:tcBorders>
              <w:top w:val="single" w:sz="8" w:space="0" w:color="4F81BD"/>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418" w:type="dxa"/>
            <w:tcBorders>
              <w:top w:val="single" w:sz="8" w:space="0" w:color="4F81BD"/>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417" w:type="dxa"/>
            <w:tcBorders>
              <w:top w:val="single" w:sz="8" w:space="0" w:color="4F81BD"/>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418" w:type="dxa"/>
            <w:tcBorders>
              <w:top w:val="single" w:sz="8" w:space="0" w:color="4F81BD"/>
              <w:left w:val="nil"/>
              <w:bottom w:val="nil"/>
            </w:tcBorders>
            <w:noWrap/>
            <w:vAlign w:val="center"/>
          </w:tcPr>
          <w:p w:rsidR="00A327E6" w:rsidRPr="00415FA2" w:rsidRDefault="00A327E6" w:rsidP="00415FA2">
            <w:pPr>
              <w:spacing w:before="0" w:after="0" w:line="320" w:lineRule="atLeast"/>
              <w:jc w:val="center"/>
              <w:rPr>
                <w:i/>
                <w:szCs w:val="24"/>
                <w:lang w:eastAsia="zh-TW"/>
              </w:rPr>
            </w:pPr>
          </w:p>
        </w:tc>
      </w:tr>
      <w:tr w:rsidR="00A327E6" w:rsidRPr="0021796A" w:rsidTr="00415FA2">
        <w:trPr>
          <w:trHeight w:val="20"/>
        </w:trPr>
        <w:tc>
          <w:tcPr>
            <w:tcW w:w="2715" w:type="dxa"/>
            <w:tcBorders>
              <w:top w:val="nil"/>
              <w:bottom w:val="nil"/>
              <w:right w:val="nil"/>
            </w:tcBorders>
            <w:noWrap/>
            <w:vAlign w:val="center"/>
          </w:tcPr>
          <w:p w:rsidR="00A327E6" w:rsidRPr="00415FA2" w:rsidRDefault="00A327E6" w:rsidP="00D92952">
            <w:pPr>
              <w:spacing w:before="0" w:after="0" w:line="320" w:lineRule="atLeast"/>
              <w:ind w:firstLineChars="223" w:firstLine="536"/>
              <w:rPr>
                <w:b/>
                <w:bCs/>
                <w:color w:val="104E8B"/>
                <w:szCs w:val="24"/>
                <w:lang w:eastAsia="zh-TW"/>
              </w:rPr>
            </w:pPr>
            <w:r w:rsidRPr="00415FA2">
              <w:rPr>
                <w:b/>
                <w:bCs/>
                <w:szCs w:val="24"/>
                <w:lang w:eastAsia="zh-TW"/>
              </w:rPr>
              <w:t>Low</w:t>
            </w:r>
          </w:p>
        </w:tc>
        <w:tc>
          <w:tcPr>
            <w:tcW w:w="1080"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417"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1.0</w:t>
            </w:r>
          </w:p>
        </w:tc>
        <w:tc>
          <w:tcPr>
            <w:tcW w:w="1418"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1.0</w:t>
            </w:r>
          </w:p>
        </w:tc>
        <w:tc>
          <w:tcPr>
            <w:tcW w:w="1417"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1.0</w:t>
            </w:r>
          </w:p>
        </w:tc>
        <w:tc>
          <w:tcPr>
            <w:tcW w:w="1418" w:type="dxa"/>
            <w:tcBorders>
              <w:top w:val="nil"/>
              <w:left w:val="nil"/>
              <w:bottom w:val="nil"/>
            </w:tcBorders>
            <w:noWrap/>
            <w:vAlign w:val="center"/>
          </w:tcPr>
          <w:p w:rsidR="00A327E6" w:rsidRPr="00415FA2" w:rsidRDefault="00A327E6" w:rsidP="00415FA2">
            <w:pPr>
              <w:spacing w:before="0" w:after="0" w:line="320" w:lineRule="atLeast"/>
              <w:jc w:val="center"/>
              <w:rPr>
                <w:i/>
                <w:szCs w:val="24"/>
                <w:lang w:eastAsia="zh-TW"/>
              </w:rPr>
            </w:pPr>
          </w:p>
        </w:tc>
      </w:tr>
      <w:tr w:rsidR="00A327E6" w:rsidRPr="0021796A" w:rsidTr="00415FA2">
        <w:trPr>
          <w:trHeight w:val="20"/>
        </w:trPr>
        <w:tc>
          <w:tcPr>
            <w:tcW w:w="2715" w:type="dxa"/>
            <w:tcBorders>
              <w:top w:val="nil"/>
              <w:bottom w:val="nil"/>
              <w:right w:val="nil"/>
            </w:tcBorders>
            <w:noWrap/>
            <w:vAlign w:val="center"/>
          </w:tcPr>
          <w:p w:rsidR="00A327E6" w:rsidRPr="00415FA2" w:rsidRDefault="00A327E6" w:rsidP="00D92952">
            <w:pPr>
              <w:spacing w:before="0" w:after="0" w:line="320" w:lineRule="atLeast"/>
              <w:ind w:firstLineChars="223" w:firstLine="536"/>
              <w:rPr>
                <w:b/>
                <w:bCs/>
                <w:color w:val="000000"/>
                <w:szCs w:val="24"/>
                <w:lang w:eastAsia="zh-TW"/>
              </w:rPr>
            </w:pPr>
            <w:r w:rsidRPr="00415FA2">
              <w:rPr>
                <w:b/>
                <w:bCs/>
                <w:color w:val="000000"/>
                <w:szCs w:val="24"/>
                <w:lang w:eastAsia="zh-TW"/>
              </w:rPr>
              <w:t>Medium</w:t>
            </w:r>
          </w:p>
        </w:tc>
        <w:tc>
          <w:tcPr>
            <w:tcW w:w="1080"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417"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1.2</w:t>
            </w:r>
          </w:p>
        </w:tc>
        <w:tc>
          <w:tcPr>
            <w:tcW w:w="1418"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0.9</w:t>
            </w:r>
          </w:p>
        </w:tc>
        <w:tc>
          <w:tcPr>
            <w:tcW w:w="1417"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1.7</w:t>
            </w:r>
          </w:p>
        </w:tc>
        <w:tc>
          <w:tcPr>
            <w:tcW w:w="1418" w:type="dxa"/>
            <w:tcBorders>
              <w:top w:val="nil"/>
              <w:left w:val="nil"/>
              <w:bottom w:val="nil"/>
            </w:tcBorders>
            <w:noWrap/>
            <w:vAlign w:val="center"/>
          </w:tcPr>
          <w:p w:rsidR="00A327E6" w:rsidRPr="00415FA2" w:rsidRDefault="00A327E6" w:rsidP="00415FA2">
            <w:pPr>
              <w:spacing w:before="0" w:after="0" w:line="320" w:lineRule="atLeast"/>
              <w:jc w:val="center"/>
              <w:rPr>
                <w:i/>
                <w:szCs w:val="24"/>
                <w:lang w:eastAsia="zh-TW"/>
              </w:rPr>
            </w:pPr>
            <w:r w:rsidRPr="00415FA2">
              <w:rPr>
                <w:i/>
                <w:szCs w:val="24"/>
                <w:lang w:eastAsia="zh-TW"/>
              </w:rPr>
              <w:t>0.22</w:t>
            </w:r>
          </w:p>
        </w:tc>
      </w:tr>
      <w:tr w:rsidR="00A327E6" w:rsidRPr="0021796A" w:rsidTr="00415FA2">
        <w:trPr>
          <w:trHeight w:val="20"/>
        </w:trPr>
        <w:tc>
          <w:tcPr>
            <w:tcW w:w="2715" w:type="dxa"/>
            <w:tcBorders>
              <w:top w:val="nil"/>
              <w:bottom w:val="single" w:sz="8" w:space="0" w:color="4F81BD"/>
              <w:right w:val="nil"/>
            </w:tcBorders>
            <w:noWrap/>
            <w:vAlign w:val="center"/>
          </w:tcPr>
          <w:p w:rsidR="00A327E6" w:rsidRPr="00415FA2" w:rsidRDefault="00A327E6" w:rsidP="00D92952">
            <w:pPr>
              <w:spacing w:before="0" w:after="0" w:line="320" w:lineRule="atLeast"/>
              <w:ind w:firstLineChars="223" w:firstLine="536"/>
              <w:rPr>
                <w:b/>
                <w:bCs/>
                <w:color w:val="104E8B"/>
                <w:szCs w:val="24"/>
                <w:lang w:eastAsia="zh-TW"/>
              </w:rPr>
            </w:pPr>
            <w:r w:rsidRPr="00415FA2">
              <w:rPr>
                <w:b/>
                <w:bCs/>
                <w:szCs w:val="24"/>
                <w:lang w:eastAsia="zh-TW"/>
              </w:rPr>
              <w:t>High</w:t>
            </w:r>
          </w:p>
        </w:tc>
        <w:tc>
          <w:tcPr>
            <w:tcW w:w="1080"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szCs w:val="24"/>
                <w:lang w:eastAsia="zh-TW"/>
              </w:rPr>
            </w:pPr>
          </w:p>
        </w:tc>
        <w:tc>
          <w:tcPr>
            <w:tcW w:w="1417"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1.5</w:t>
            </w:r>
          </w:p>
        </w:tc>
        <w:tc>
          <w:tcPr>
            <w:tcW w:w="1418"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0.9</w:t>
            </w:r>
          </w:p>
        </w:tc>
        <w:tc>
          <w:tcPr>
            <w:tcW w:w="1417"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2.5</w:t>
            </w:r>
          </w:p>
        </w:tc>
        <w:tc>
          <w:tcPr>
            <w:tcW w:w="1418" w:type="dxa"/>
            <w:tcBorders>
              <w:top w:val="nil"/>
              <w:left w:val="nil"/>
              <w:bottom w:val="single" w:sz="8" w:space="0" w:color="4F81BD"/>
            </w:tcBorders>
            <w:noWrap/>
            <w:vAlign w:val="center"/>
          </w:tcPr>
          <w:p w:rsidR="00A327E6" w:rsidRPr="00415FA2" w:rsidRDefault="00A327E6" w:rsidP="00415FA2">
            <w:pPr>
              <w:spacing w:before="0" w:after="0" w:line="320" w:lineRule="atLeast"/>
              <w:jc w:val="center"/>
              <w:rPr>
                <w:i/>
                <w:szCs w:val="24"/>
                <w:lang w:eastAsia="zh-TW"/>
              </w:rPr>
            </w:pPr>
            <w:r w:rsidRPr="00415FA2">
              <w:rPr>
                <w:i/>
                <w:szCs w:val="24"/>
                <w:lang w:eastAsia="zh-TW"/>
              </w:rPr>
              <w:t>0.08</w:t>
            </w:r>
          </w:p>
        </w:tc>
      </w:tr>
      <w:tr w:rsidR="00A327E6" w:rsidRPr="0021796A" w:rsidTr="00415FA2">
        <w:trPr>
          <w:trHeight w:val="20"/>
        </w:trPr>
        <w:tc>
          <w:tcPr>
            <w:tcW w:w="2715" w:type="dxa"/>
            <w:tcBorders>
              <w:top w:val="single" w:sz="8" w:space="0" w:color="4F81BD"/>
              <w:bottom w:val="nil"/>
              <w:right w:val="nil"/>
            </w:tcBorders>
            <w:noWrap/>
            <w:vAlign w:val="center"/>
          </w:tcPr>
          <w:p w:rsidR="00A327E6" w:rsidRPr="00415FA2" w:rsidRDefault="00A327E6" w:rsidP="00415FA2">
            <w:pPr>
              <w:spacing w:before="0" w:after="0" w:line="320" w:lineRule="atLeast"/>
              <w:rPr>
                <w:b/>
                <w:bCs/>
                <w:szCs w:val="24"/>
                <w:lang w:eastAsia="zh-TW"/>
              </w:rPr>
            </w:pPr>
            <w:r w:rsidRPr="00415FA2">
              <w:rPr>
                <w:b/>
                <w:bCs/>
                <w:szCs w:val="24"/>
                <w:lang w:eastAsia="zh-TW"/>
              </w:rPr>
              <w:t>Coronary Heart Disease</w:t>
            </w:r>
          </w:p>
        </w:tc>
        <w:tc>
          <w:tcPr>
            <w:tcW w:w="1080" w:type="dxa"/>
            <w:tcBorders>
              <w:top w:val="single" w:sz="8" w:space="0" w:color="4F81BD"/>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5603</w:t>
            </w:r>
          </w:p>
        </w:tc>
        <w:tc>
          <w:tcPr>
            <w:tcW w:w="1417" w:type="dxa"/>
            <w:tcBorders>
              <w:top w:val="single" w:sz="8" w:space="0" w:color="4F81BD"/>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418" w:type="dxa"/>
            <w:tcBorders>
              <w:top w:val="single" w:sz="8" w:space="0" w:color="4F81BD"/>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417" w:type="dxa"/>
            <w:tcBorders>
              <w:top w:val="single" w:sz="8" w:space="0" w:color="4F81BD"/>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418" w:type="dxa"/>
            <w:tcBorders>
              <w:top w:val="single" w:sz="8" w:space="0" w:color="4F81BD"/>
              <w:left w:val="nil"/>
              <w:bottom w:val="nil"/>
            </w:tcBorders>
            <w:noWrap/>
            <w:vAlign w:val="center"/>
          </w:tcPr>
          <w:p w:rsidR="00A327E6" w:rsidRPr="00415FA2" w:rsidRDefault="00A327E6" w:rsidP="00415FA2">
            <w:pPr>
              <w:spacing w:before="0" w:after="0" w:line="320" w:lineRule="atLeast"/>
              <w:jc w:val="center"/>
              <w:rPr>
                <w:i/>
                <w:szCs w:val="24"/>
                <w:lang w:eastAsia="zh-TW"/>
              </w:rPr>
            </w:pPr>
          </w:p>
        </w:tc>
      </w:tr>
      <w:tr w:rsidR="00A327E6" w:rsidRPr="0021796A" w:rsidTr="00415FA2">
        <w:trPr>
          <w:trHeight w:val="20"/>
        </w:trPr>
        <w:tc>
          <w:tcPr>
            <w:tcW w:w="2715" w:type="dxa"/>
            <w:tcBorders>
              <w:top w:val="nil"/>
              <w:bottom w:val="nil"/>
              <w:right w:val="nil"/>
            </w:tcBorders>
            <w:noWrap/>
            <w:vAlign w:val="center"/>
          </w:tcPr>
          <w:p w:rsidR="00A327E6" w:rsidRPr="00415FA2" w:rsidRDefault="00A327E6" w:rsidP="00D92952">
            <w:pPr>
              <w:spacing w:before="0" w:after="0" w:line="320" w:lineRule="atLeast"/>
              <w:ind w:firstLineChars="223" w:firstLine="536"/>
              <w:rPr>
                <w:b/>
                <w:bCs/>
                <w:color w:val="104E8B"/>
                <w:szCs w:val="24"/>
                <w:lang w:eastAsia="zh-TW"/>
              </w:rPr>
            </w:pPr>
            <w:r w:rsidRPr="00415FA2">
              <w:rPr>
                <w:b/>
                <w:bCs/>
                <w:szCs w:val="24"/>
                <w:lang w:eastAsia="zh-TW"/>
              </w:rPr>
              <w:t>Low</w:t>
            </w:r>
          </w:p>
        </w:tc>
        <w:tc>
          <w:tcPr>
            <w:tcW w:w="1080"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417"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1.0</w:t>
            </w:r>
          </w:p>
        </w:tc>
        <w:tc>
          <w:tcPr>
            <w:tcW w:w="1418"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1.0</w:t>
            </w:r>
          </w:p>
        </w:tc>
        <w:tc>
          <w:tcPr>
            <w:tcW w:w="1417"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1.0</w:t>
            </w:r>
          </w:p>
        </w:tc>
        <w:tc>
          <w:tcPr>
            <w:tcW w:w="1418" w:type="dxa"/>
            <w:tcBorders>
              <w:top w:val="nil"/>
              <w:left w:val="nil"/>
              <w:bottom w:val="nil"/>
            </w:tcBorders>
            <w:noWrap/>
            <w:vAlign w:val="center"/>
          </w:tcPr>
          <w:p w:rsidR="00A327E6" w:rsidRPr="00415FA2" w:rsidRDefault="00A327E6" w:rsidP="00415FA2">
            <w:pPr>
              <w:spacing w:before="0" w:after="0" w:line="320" w:lineRule="atLeast"/>
              <w:jc w:val="center"/>
              <w:rPr>
                <w:i/>
                <w:szCs w:val="24"/>
                <w:lang w:eastAsia="zh-TW"/>
              </w:rPr>
            </w:pPr>
          </w:p>
        </w:tc>
      </w:tr>
      <w:tr w:rsidR="00A327E6" w:rsidRPr="0021796A" w:rsidTr="00415FA2">
        <w:trPr>
          <w:trHeight w:val="20"/>
        </w:trPr>
        <w:tc>
          <w:tcPr>
            <w:tcW w:w="2715" w:type="dxa"/>
            <w:tcBorders>
              <w:top w:val="nil"/>
              <w:bottom w:val="nil"/>
              <w:right w:val="nil"/>
            </w:tcBorders>
            <w:noWrap/>
            <w:vAlign w:val="center"/>
          </w:tcPr>
          <w:p w:rsidR="00A327E6" w:rsidRPr="00415FA2" w:rsidRDefault="00A327E6" w:rsidP="00D92952">
            <w:pPr>
              <w:spacing w:before="0" w:after="0" w:line="320" w:lineRule="atLeast"/>
              <w:ind w:firstLineChars="223" w:firstLine="536"/>
              <w:rPr>
                <w:b/>
                <w:bCs/>
                <w:color w:val="000000"/>
                <w:szCs w:val="24"/>
                <w:lang w:eastAsia="zh-TW"/>
              </w:rPr>
            </w:pPr>
            <w:r w:rsidRPr="00415FA2">
              <w:rPr>
                <w:b/>
                <w:bCs/>
                <w:color w:val="000000"/>
                <w:szCs w:val="24"/>
                <w:lang w:eastAsia="zh-TW"/>
              </w:rPr>
              <w:t>Medium</w:t>
            </w:r>
          </w:p>
        </w:tc>
        <w:tc>
          <w:tcPr>
            <w:tcW w:w="1080"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417"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0.7</w:t>
            </w:r>
          </w:p>
        </w:tc>
        <w:tc>
          <w:tcPr>
            <w:tcW w:w="1418"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0.4</w:t>
            </w:r>
          </w:p>
        </w:tc>
        <w:tc>
          <w:tcPr>
            <w:tcW w:w="1417"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1.2</w:t>
            </w:r>
          </w:p>
        </w:tc>
        <w:tc>
          <w:tcPr>
            <w:tcW w:w="1418" w:type="dxa"/>
            <w:tcBorders>
              <w:top w:val="nil"/>
              <w:left w:val="nil"/>
              <w:bottom w:val="nil"/>
            </w:tcBorders>
            <w:noWrap/>
            <w:vAlign w:val="center"/>
          </w:tcPr>
          <w:p w:rsidR="00A327E6" w:rsidRPr="00415FA2" w:rsidRDefault="00A327E6" w:rsidP="00415FA2">
            <w:pPr>
              <w:spacing w:before="0" w:after="0" w:line="320" w:lineRule="atLeast"/>
              <w:jc w:val="center"/>
              <w:rPr>
                <w:i/>
                <w:szCs w:val="24"/>
                <w:lang w:eastAsia="zh-TW"/>
              </w:rPr>
            </w:pPr>
            <w:r w:rsidRPr="00415FA2">
              <w:rPr>
                <w:i/>
                <w:szCs w:val="24"/>
                <w:lang w:eastAsia="zh-TW"/>
              </w:rPr>
              <w:t>0.22</w:t>
            </w:r>
          </w:p>
        </w:tc>
      </w:tr>
      <w:tr w:rsidR="00A327E6" w:rsidRPr="0021796A" w:rsidTr="00415FA2">
        <w:trPr>
          <w:trHeight w:val="20"/>
        </w:trPr>
        <w:tc>
          <w:tcPr>
            <w:tcW w:w="2715" w:type="dxa"/>
            <w:tcBorders>
              <w:top w:val="nil"/>
              <w:bottom w:val="single" w:sz="8" w:space="0" w:color="4F81BD"/>
              <w:right w:val="nil"/>
            </w:tcBorders>
            <w:noWrap/>
            <w:vAlign w:val="center"/>
          </w:tcPr>
          <w:p w:rsidR="00A327E6" w:rsidRPr="00415FA2" w:rsidRDefault="00A327E6" w:rsidP="00D92952">
            <w:pPr>
              <w:spacing w:before="0" w:after="0" w:line="320" w:lineRule="atLeast"/>
              <w:ind w:firstLineChars="223" w:firstLine="536"/>
              <w:rPr>
                <w:b/>
                <w:bCs/>
                <w:color w:val="104E8B"/>
                <w:szCs w:val="24"/>
                <w:lang w:eastAsia="zh-TW"/>
              </w:rPr>
            </w:pPr>
            <w:r w:rsidRPr="00415FA2">
              <w:rPr>
                <w:b/>
                <w:bCs/>
                <w:szCs w:val="24"/>
                <w:lang w:eastAsia="zh-TW"/>
              </w:rPr>
              <w:t>High</w:t>
            </w:r>
          </w:p>
        </w:tc>
        <w:tc>
          <w:tcPr>
            <w:tcW w:w="1080"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szCs w:val="24"/>
                <w:lang w:eastAsia="zh-TW"/>
              </w:rPr>
            </w:pPr>
          </w:p>
        </w:tc>
        <w:tc>
          <w:tcPr>
            <w:tcW w:w="1417"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1.1</w:t>
            </w:r>
          </w:p>
        </w:tc>
        <w:tc>
          <w:tcPr>
            <w:tcW w:w="1418"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0.4</w:t>
            </w:r>
          </w:p>
        </w:tc>
        <w:tc>
          <w:tcPr>
            <w:tcW w:w="1417"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3.1</w:t>
            </w:r>
          </w:p>
        </w:tc>
        <w:tc>
          <w:tcPr>
            <w:tcW w:w="1418" w:type="dxa"/>
            <w:tcBorders>
              <w:top w:val="nil"/>
              <w:left w:val="nil"/>
              <w:bottom w:val="single" w:sz="8" w:space="0" w:color="4F81BD"/>
            </w:tcBorders>
            <w:noWrap/>
            <w:vAlign w:val="center"/>
          </w:tcPr>
          <w:p w:rsidR="00A327E6" w:rsidRPr="00415FA2" w:rsidRDefault="00A327E6" w:rsidP="00415FA2">
            <w:pPr>
              <w:spacing w:before="0" w:after="0" w:line="320" w:lineRule="atLeast"/>
              <w:jc w:val="center"/>
              <w:rPr>
                <w:i/>
                <w:szCs w:val="24"/>
                <w:lang w:eastAsia="zh-TW"/>
              </w:rPr>
            </w:pPr>
            <w:r w:rsidRPr="00415FA2">
              <w:rPr>
                <w:i/>
                <w:szCs w:val="24"/>
                <w:lang w:eastAsia="zh-TW"/>
              </w:rPr>
              <w:t>0.86</w:t>
            </w:r>
          </w:p>
        </w:tc>
      </w:tr>
      <w:tr w:rsidR="00A327E6" w:rsidRPr="0021796A" w:rsidTr="00415FA2">
        <w:trPr>
          <w:trHeight w:val="20"/>
        </w:trPr>
        <w:tc>
          <w:tcPr>
            <w:tcW w:w="2715" w:type="dxa"/>
            <w:tcBorders>
              <w:top w:val="single" w:sz="8" w:space="0" w:color="4F81BD"/>
              <w:bottom w:val="nil"/>
              <w:right w:val="nil"/>
            </w:tcBorders>
            <w:noWrap/>
            <w:vAlign w:val="center"/>
          </w:tcPr>
          <w:p w:rsidR="00A327E6" w:rsidRPr="00415FA2" w:rsidRDefault="00A327E6" w:rsidP="00415FA2">
            <w:pPr>
              <w:spacing w:before="0" w:after="0" w:line="320" w:lineRule="atLeast"/>
              <w:rPr>
                <w:b/>
                <w:bCs/>
                <w:szCs w:val="24"/>
                <w:lang w:eastAsia="zh-TW"/>
              </w:rPr>
            </w:pPr>
            <w:r w:rsidRPr="00415FA2">
              <w:rPr>
                <w:b/>
                <w:bCs/>
                <w:szCs w:val="24"/>
                <w:lang w:eastAsia="zh-TW"/>
              </w:rPr>
              <w:t>Myocardial Infarction</w:t>
            </w:r>
          </w:p>
        </w:tc>
        <w:tc>
          <w:tcPr>
            <w:tcW w:w="1080" w:type="dxa"/>
            <w:tcBorders>
              <w:top w:val="single" w:sz="8" w:space="0" w:color="4F81BD"/>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5608</w:t>
            </w:r>
          </w:p>
        </w:tc>
        <w:tc>
          <w:tcPr>
            <w:tcW w:w="1417" w:type="dxa"/>
            <w:tcBorders>
              <w:top w:val="single" w:sz="8" w:space="0" w:color="4F81BD"/>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418" w:type="dxa"/>
            <w:tcBorders>
              <w:top w:val="single" w:sz="8" w:space="0" w:color="4F81BD"/>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417" w:type="dxa"/>
            <w:tcBorders>
              <w:top w:val="single" w:sz="8" w:space="0" w:color="4F81BD"/>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418" w:type="dxa"/>
            <w:tcBorders>
              <w:top w:val="single" w:sz="8" w:space="0" w:color="4F81BD"/>
              <w:left w:val="nil"/>
              <w:bottom w:val="nil"/>
            </w:tcBorders>
            <w:noWrap/>
            <w:vAlign w:val="center"/>
          </w:tcPr>
          <w:p w:rsidR="00A327E6" w:rsidRPr="00415FA2" w:rsidRDefault="00A327E6" w:rsidP="00415FA2">
            <w:pPr>
              <w:spacing w:before="0" w:after="0" w:line="320" w:lineRule="atLeast"/>
              <w:jc w:val="center"/>
              <w:rPr>
                <w:i/>
                <w:szCs w:val="24"/>
                <w:lang w:eastAsia="zh-TW"/>
              </w:rPr>
            </w:pPr>
          </w:p>
        </w:tc>
      </w:tr>
      <w:tr w:rsidR="00A327E6" w:rsidRPr="0021796A" w:rsidTr="00415FA2">
        <w:trPr>
          <w:trHeight w:val="20"/>
        </w:trPr>
        <w:tc>
          <w:tcPr>
            <w:tcW w:w="2715" w:type="dxa"/>
            <w:tcBorders>
              <w:top w:val="nil"/>
              <w:bottom w:val="nil"/>
              <w:right w:val="nil"/>
            </w:tcBorders>
            <w:noWrap/>
            <w:vAlign w:val="center"/>
          </w:tcPr>
          <w:p w:rsidR="00A327E6" w:rsidRPr="00415FA2" w:rsidRDefault="00A327E6" w:rsidP="00D92952">
            <w:pPr>
              <w:spacing w:before="0" w:after="0" w:line="320" w:lineRule="atLeast"/>
              <w:ind w:firstLineChars="223" w:firstLine="536"/>
              <w:rPr>
                <w:b/>
                <w:bCs/>
                <w:color w:val="104E8B"/>
                <w:szCs w:val="24"/>
                <w:lang w:eastAsia="zh-TW"/>
              </w:rPr>
            </w:pPr>
            <w:r w:rsidRPr="00415FA2">
              <w:rPr>
                <w:b/>
                <w:bCs/>
                <w:szCs w:val="24"/>
                <w:lang w:eastAsia="zh-TW"/>
              </w:rPr>
              <w:t>Low</w:t>
            </w:r>
          </w:p>
        </w:tc>
        <w:tc>
          <w:tcPr>
            <w:tcW w:w="1080"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417"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1.0</w:t>
            </w:r>
          </w:p>
        </w:tc>
        <w:tc>
          <w:tcPr>
            <w:tcW w:w="1418"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1.0</w:t>
            </w:r>
          </w:p>
        </w:tc>
        <w:tc>
          <w:tcPr>
            <w:tcW w:w="1417"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1.0</w:t>
            </w:r>
          </w:p>
        </w:tc>
        <w:tc>
          <w:tcPr>
            <w:tcW w:w="1418" w:type="dxa"/>
            <w:tcBorders>
              <w:top w:val="nil"/>
              <w:left w:val="nil"/>
              <w:bottom w:val="nil"/>
            </w:tcBorders>
            <w:noWrap/>
            <w:vAlign w:val="center"/>
          </w:tcPr>
          <w:p w:rsidR="00A327E6" w:rsidRPr="00415FA2" w:rsidRDefault="00A327E6" w:rsidP="00415FA2">
            <w:pPr>
              <w:spacing w:before="0" w:after="0" w:line="320" w:lineRule="atLeast"/>
              <w:jc w:val="center"/>
              <w:rPr>
                <w:i/>
                <w:szCs w:val="24"/>
                <w:lang w:eastAsia="zh-TW"/>
              </w:rPr>
            </w:pPr>
          </w:p>
        </w:tc>
      </w:tr>
      <w:tr w:rsidR="00A327E6" w:rsidRPr="0021796A" w:rsidTr="00415FA2">
        <w:trPr>
          <w:trHeight w:val="20"/>
        </w:trPr>
        <w:tc>
          <w:tcPr>
            <w:tcW w:w="2715" w:type="dxa"/>
            <w:tcBorders>
              <w:top w:val="nil"/>
              <w:bottom w:val="nil"/>
              <w:right w:val="nil"/>
            </w:tcBorders>
            <w:noWrap/>
            <w:vAlign w:val="center"/>
          </w:tcPr>
          <w:p w:rsidR="00A327E6" w:rsidRPr="00415FA2" w:rsidRDefault="00A327E6" w:rsidP="00D92952">
            <w:pPr>
              <w:spacing w:before="0" w:after="0" w:line="320" w:lineRule="atLeast"/>
              <w:ind w:firstLineChars="223" w:firstLine="536"/>
              <w:rPr>
                <w:b/>
                <w:bCs/>
                <w:color w:val="000000"/>
                <w:szCs w:val="24"/>
                <w:lang w:eastAsia="zh-TW"/>
              </w:rPr>
            </w:pPr>
            <w:r w:rsidRPr="00415FA2">
              <w:rPr>
                <w:b/>
                <w:bCs/>
                <w:color w:val="000000"/>
                <w:szCs w:val="24"/>
                <w:lang w:eastAsia="zh-TW"/>
              </w:rPr>
              <w:t>Medium</w:t>
            </w:r>
          </w:p>
        </w:tc>
        <w:tc>
          <w:tcPr>
            <w:tcW w:w="1080"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417"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1.0</w:t>
            </w:r>
          </w:p>
        </w:tc>
        <w:tc>
          <w:tcPr>
            <w:tcW w:w="1418"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0.7</w:t>
            </w:r>
          </w:p>
        </w:tc>
        <w:tc>
          <w:tcPr>
            <w:tcW w:w="1417"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1.6</w:t>
            </w:r>
          </w:p>
        </w:tc>
        <w:tc>
          <w:tcPr>
            <w:tcW w:w="1418" w:type="dxa"/>
            <w:tcBorders>
              <w:top w:val="nil"/>
              <w:left w:val="nil"/>
              <w:bottom w:val="nil"/>
            </w:tcBorders>
            <w:noWrap/>
            <w:vAlign w:val="center"/>
          </w:tcPr>
          <w:p w:rsidR="00A327E6" w:rsidRPr="00415FA2" w:rsidRDefault="00A327E6" w:rsidP="00415FA2">
            <w:pPr>
              <w:spacing w:before="0" w:after="0" w:line="320" w:lineRule="atLeast"/>
              <w:jc w:val="center"/>
              <w:rPr>
                <w:i/>
                <w:szCs w:val="24"/>
                <w:lang w:eastAsia="zh-TW"/>
              </w:rPr>
            </w:pPr>
            <w:r w:rsidRPr="00415FA2">
              <w:rPr>
                <w:i/>
                <w:szCs w:val="24"/>
                <w:lang w:eastAsia="zh-TW"/>
              </w:rPr>
              <w:t>0.89</w:t>
            </w:r>
          </w:p>
        </w:tc>
      </w:tr>
      <w:tr w:rsidR="00A327E6" w:rsidRPr="0021796A" w:rsidTr="00415FA2">
        <w:trPr>
          <w:trHeight w:val="20"/>
        </w:trPr>
        <w:tc>
          <w:tcPr>
            <w:tcW w:w="2715" w:type="dxa"/>
            <w:tcBorders>
              <w:top w:val="nil"/>
              <w:bottom w:val="single" w:sz="8" w:space="0" w:color="4F81BD"/>
              <w:right w:val="nil"/>
            </w:tcBorders>
            <w:noWrap/>
            <w:vAlign w:val="center"/>
          </w:tcPr>
          <w:p w:rsidR="00A327E6" w:rsidRPr="00415FA2" w:rsidRDefault="00A327E6" w:rsidP="00D92952">
            <w:pPr>
              <w:spacing w:before="0" w:after="0" w:line="320" w:lineRule="atLeast"/>
              <w:ind w:firstLineChars="223" w:firstLine="536"/>
              <w:rPr>
                <w:b/>
                <w:bCs/>
                <w:color w:val="104E8B"/>
                <w:szCs w:val="24"/>
                <w:lang w:eastAsia="zh-TW"/>
              </w:rPr>
            </w:pPr>
            <w:r w:rsidRPr="00415FA2">
              <w:rPr>
                <w:b/>
                <w:bCs/>
                <w:szCs w:val="24"/>
                <w:lang w:eastAsia="zh-TW"/>
              </w:rPr>
              <w:t>High</w:t>
            </w:r>
          </w:p>
        </w:tc>
        <w:tc>
          <w:tcPr>
            <w:tcW w:w="1080"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szCs w:val="24"/>
                <w:lang w:eastAsia="zh-TW"/>
              </w:rPr>
            </w:pPr>
          </w:p>
        </w:tc>
        <w:tc>
          <w:tcPr>
            <w:tcW w:w="1417"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0.8</w:t>
            </w:r>
          </w:p>
        </w:tc>
        <w:tc>
          <w:tcPr>
            <w:tcW w:w="1418"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0.4</w:t>
            </w:r>
          </w:p>
        </w:tc>
        <w:tc>
          <w:tcPr>
            <w:tcW w:w="1417"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1.7</w:t>
            </w:r>
          </w:p>
        </w:tc>
        <w:tc>
          <w:tcPr>
            <w:tcW w:w="1418" w:type="dxa"/>
            <w:tcBorders>
              <w:top w:val="nil"/>
              <w:left w:val="nil"/>
              <w:bottom w:val="single" w:sz="8" w:space="0" w:color="4F81BD"/>
            </w:tcBorders>
            <w:noWrap/>
            <w:vAlign w:val="center"/>
          </w:tcPr>
          <w:p w:rsidR="00A327E6" w:rsidRPr="00415FA2" w:rsidRDefault="00A327E6" w:rsidP="00415FA2">
            <w:pPr>
              <w:spacing w:before="0" w:after="0" w:line="320" w:lineRule="atLeast"/>
              <w:jc w:val="center"/>
              <w:rPr>
                <w:i/>
                <w:szCs w:val="24"/>
                <w:lang w:eastAsia="zh-TW"/>
              </w:rPr>
            </w:pPr>
            <w:r w:rsidRPr="00415FA2">
              <w:rPr>
                <w:i/>
                <w:szCs w:val="24"/>
                <w:lang w:eastAsia="zh-TW"/>
              </w:rPr>
              <w:t>0.62</w:t>
            </w:r>
          </w:p>
        </w:tc>
      </w:tr>
      <w:tr w:rsidR="00A327E6" w:rsidRPr="0021796A" w:rsidTr="00415FA2">
        <w:trPr>
          <w:trHeight w:val="20"/>
        </w:trPr>
        <w:tc>
          <w:tcPr>
            <w:tcW w:w="9465" w:type="dxa"/>
            <w:gridSpan w:val="6"/>
            <w:tcBorders>
              <w:top w:val="single" w:sz="8" w:space="0" w:color="4F81BD"/>
              <w:bottom w:val="single" w:sz="8" w:space="0" w:color="4F81BD"/>
            </w:tcBorders>
          </w:tcPr>
          <w:p w:rsidR="00A327E6" w:rsidRPr="00415FA2" w:rsidRDefault="00A327E6" w:rsidP="00415FA2">
            <w:pPr>
              <w:spacing w:before="0" w:after="0" w:line="320" w:lineRule="atLeast"/>
              <w:rPr>
                <w:b/>
                <w:bCs/>
                <w:szCs w:val="24"/>
                <w:lang w:eastAsia="zh-TW"/>
              </w:rPr>
            </w:pPr>
            <w:r w:rsidRPr="00415FA2">
              <w:rPr>
                <w:bCs/>
                <w:szCs w:val="24"/>
                <w:vertAlign w:val="superscript"/>
                <w:lang w:eastAsia="zh-TW"/>
              </w:rPr>
              <w:t>a</w:t>
            </w:r>
            <w:r w:rsidRPr="00415FA2">
              <w:rPr>
                <w:bCs/>
                <w:szCs w:val="24"/>
                <w:lang w:eastAsia="zh-TW"/>
              </w:rPr>
              <w:t>All models were adjusted for age, sex, race, ethnicity, household income (PIR), education, smoking status, and background air pollution exposure. Respiratory outcome models were also adjusted for household indoor smoking. Cardiovascular outcome models (MI and CHD) were also adjusted for binge drinking, diabetes, hypertension, high cholesterol, and family history of heart disease. Exposure to background air pollution was adjusted using estimated residential background PM</w:t>
            </w:r>
            <w:r w:rsidRPr="00415FA2">
              <w:rPr>
                <w:bCs/>
                <w:szCs w:val="24"/>
                <w:vertAlign w:val="subscript"/>
                <w:lang w:eastAsia="zh-TW"/>
              </w:rPr>
              <w:t xml:space="preserve">2.5 </w:t>
            </w:r>
            <w:r w:rsidRPr="00415FA2">
              <w:rPr>
                <w:bCs/>
                <w:szCs w:val="24"/>
                <w:lang w:eastAsia="zh-TW"/>
              </w:rPr>
              <w:t>concentrations and residential proximity to a major road (&lt;200 meters).</w:t>
            </w:r>
          </w:p>
          <w:p w:rsidR="00A327E6" w:rsidRPr="00415FA2" w:rsidRDefault="00A327E6" w:rsidP="00415FA2">
            <w:pPr>
              <w:spacing w:before="0" w:after="0" w:line="320" w:lineRule="atLeast"/>
              <w:rPr>
                <w:b/>
                <w:bCs/>
                <w:szCs w:val="24"/>
                <w:lang w:eastAsia="zh-TW"/>
              </w:rPr>
            </w:pPr>
            <w:r w:rsidRPr="00415FA2">
              <w:rPr>
                <w:bCs/>
                <w:szCs w:val="24"/>
                <w:vertAlign w:val="superscript"/>
                <w:lang w:eastAsia="zh-TW"/>
              </w:rPr>
              <w:t>b</w:t>
            </w:r>
            <w:r w:rsidRPr="00415FA2">
              <w:rPr>
                <w:bCs/>
                <w:szCs w:val="24"/>
                <w:lang w:eastAsia="zh-TW"/>
              </w:rPr>
              <w:t>Analysis conducted among those with current asthma. Also adjusted for BMI, alcohol intake, GERD, and use of chemicals such as pesticides in the home.</w:t>
            </w:r>
          </w:p>
          <w:p w:rsidR="00A327E6" w:rsidRPr="00415FA2" w:rsidRDefault="00A327E6" w:rsidP="00415FA2">
            <w:pPr>
              <w:spacing w:before="0" w:after="0" w:line="320" w:lineRule="atLeast"/>
              <w:rPr>
                <w:b/>
                <w:bCs/>
                <w:szCs w:val="24"/>
                <w:lang w:eastAsia="zh-TW"/>
              </w:rPr>
            </w:pPr>
            <w:r w:rsidRPr="00415FA2">
              <w:rPr>
                <w:bCs/>
                <w:szCs w:val="24"/>
                <w:vertAlign w:val="superscript"/>
                <w:lang w:eastAsia="zh-TW"/>
              </w:rPr>
              <w:t>c</w:t>
            </w:r>
            <w:r w:rsidRPr="00415FA2">
              <w:rPr>
                <w:bCs/>
                <w:szCs w:val="24"/>
                <w:lang w:eastAsia="zh-TW"/>
              </w:rPr>
              <w:t>Also adjusted for use of chemicals such as pesticides in the home.</w:t>
            </w:r>
          </w:p>
        </w:tc>
      </w:tr>
    </w:tbl>
    <w:p w:rsidR="00A327E6" w:rsidRDefault="00A327E6" w:rsidP="00E44AAF">
      <w:pPr>
        <w:pStyle w:val="NormalIndent"/>
        <w:spacing w:before="100" w:beforeAutospacing="1" w:after="100" w:afterAutospacing="1" w:line="400" w:lineRule="atLeast"/>
        <w:ind w:firstLine="0"/>
        <w:rPr>
          <w:szCs w:val="24"/>
        </w:rPr>
      </w:pPr>
    </w:p>
    <w:p w:rsidR="00A327E6" w:rsidRPr="0021796A" w:rsidRDefault="00A327E6" w:rsidP="00517414">
      <w:pPr>
        <w:pStyle w:val="NormalIndent"/>
        <w:spacing w:before="100" w:beforeAutospacing="1" w:after="100" w:afterAutospacing="1" w:line="400" w:lineRule="atLeast"/>
        <w:rPr>
          <w:szCs w:val="24"/>
        </w:rPr>
      </w:pPr>
      <w:r>
        <w:rPr>
          <w:szCs w:val="24"/>
        </w:rPr>
        <w:t>Although</w:t>
      </w:r>
      <w:r w:rsidRPr="0021796A">
        <w:rPr>
          <w:szCs w:val="24"/>
        </w:rPr>
        <w:t xml:space="preserve"> higher prevalence</w:t>
      </w:r>
      <w:r>
        <w:rPr>
          <w:szCs w:val="24"/>
        </w:rPr>
        <w:t>s</w:t>
      </w:r>
      <w:r w:rsidRPr="0021796A">
        <w:rPr>
          <w:szCs w:val="24"/>
        </w:rPr>
        <w:t xml:space="preserve"> of </w:t>
      </w:r>
      <w:r>
        <w:rPr>
          <w:szCs w:val="24"/>
        </w:rPr>
        <w:t xml:space="preserve">current and </w:t>
      </w:r>
      <w:r w:rsidRPr="0021796A">
        <w:rPr>
          <w:szCs w:val="24"/>
        </w:rPr>
        <w:t xml:space="preserve">probable asthma </w:t>
      </w:r>
      <w:r>
        <w:rPr>
          <w:szCs w:val="24"/>
        </w:rPr>
        <w:t xml:space="preserve">were </w:t>
      </w:r>
      <w:r w:rsidRPr="0021796A">
        <w:rPr>
          <w:szCs w:val="24"/>
        </w:rPr>
        <w:t xml:space="preserve">observed in the high exposure area </w:t>
      </w:r>
      <w:r>
        <w:rPr>
          <w:szCs w:val="24"/>
        </w:rPr>
        <w:t xml:space="preserve">in crude, univariate, analyses (Table 6.5), </w:t>
      </w:r>
      <w:r w:rsidRPr="0021796A">
        <w:rPr>
          <w:szCs w:val="24"/>
        </w:rPr>
        <w:t>when potential confounding factors were controlled for in th</w:t>
      </w:r>
      <w:r>
        <w:rPr>
          <w:szCs w:val="24"/>
        </w:rPr>
        <w:t>is</w:t>
      </w:r>
      <w:r w:rsidRPr="0021796A">
        <w:rPr>
          <w:szCs w:val="24"/>
        </w:rPr>
        <w:t xml:space="preserve"> analysis, no difference</w:t>
      </w:r>
      <w:r>
        <w:rPr>
          <w:szCs w:val="24"/>
        </w:rPr>
        <w:t>s</w:t>
      </w:r>
      <w:r w:rsidRPr="0021796A">
        <w:rPr>
          <w:szCs w:val="24"/>
        </w:rPr>
        <w:t xml:space="preserve"> w</w:t>
      </w:r>
      <w:r>
        <w:rPr>
          <w:szCs w:val="24"/>
        </w:rPr>
        <w:t>ere</w:t>
      </w:r>
      <w:r w:rsidRPr="0021796A">
        <w:rPr>
          <w:szCs w:val="24"/>
        </w:rPr>
        <w:t xml:space="preserve"> observed across the high, medium,</w:t>
      </w:r>
      <w:r>
        <w:rPr>
          <w:szCs w:val="24"/>
        </w:rPr>
        <w:t xml:space="preserve"> and low </w:t>
      </w:r>
      <w:r w:rsidRPr="0021796A">
        <w:rPr>
          <w:szCs w:val="24"/>
        </w:rPr>
        <w:t>exposure areas</w:t>
      </w:r>
      <w:r w:rsidRPr="00252129">
        <w:rPr>
          <w:szCs w:val="24"/>
        </w:rPr>
        <w:t xml:space="preserve"> </w:t>
      </w:r>
      <w:r>
        <w:rPr>
          <w:szCs w:val="24"/>
        </w:rPr>
        <w:t>for</w:t>
      </w:r>
      <w:r w:rsidRPr="0021796A">
        <w:rPr>
          <w:szCs w:val="24"/>
        </w:rPr>
        <w:t xml:space="preserve"> the likelihood of </w:t>
      </w:r>
      <w:r>
        <w:rPr>
          <w:szCs w:val="24"/>
        </w:rPr>
        <w:t xml:space="preserve">current or </w:t>
      </w:r>
      <w:r w:rsidRPr="0021796A">
        <w:rPr>
          <w:szCs w:val="24"/>
        </w:rPr>
        <w:t>probable asthma.  Tests of trend were not significant for any of the targeted respiratory outcomes.</w:t>
      </w:r>
    </w:p>
    <w:p w:rsidR="00A327E6" w:rsidRPr="0021796A" w:rsidRDefault="00A327E6" w:rsidP="00517414">
      <w:pPr>
        <w:pStyle w:val="NormalIndent"/>
        <w:spacing w:before="100" w:beforeAutospacing="1" w:after="100" w:afterAutospacing="1" w:line="400" w:lineRule="atLeast"/>
        <w:rPr>
          <w:szCs w:val="24"/>
        </w:rPr>
      </w:pPr>
      <w:r w:rsidRPr="0021796A">
        <w:rPr>
          <w:szCs w:val="24"/>
        </w:rPr>
        <w:t>The likelihood of non-fatal myocardial infarction and coronary heart disease were not found to be different across air pollution exposure areas</w:t>
      </w:r>
      <w:r>
        <w:rPr>
          <w:szCs w:val="24"/>
        </w:rPr>
        <w:t xml:space="preserve">.  </w:t>
      </w:r>
      <w:r w:rsidRPr="0021796A">
        <w:rPr>
          <w:szCs w:val="24"/>
        </w:rPr>
        <w:t>Tests of trend were not significant for any of the targeted cardiovascular outcomes.</w:t>
      </w:r>
    </w:p>
    <w:p w:rsidR="00A327E6" w:rsidRDefault="00A327E6" w:rsidP="00517414">
      <w:pPr>
        <w:pStyle w:val="NormalIndent"/>
        <w:spacing w:before="100" w:beforeAutospacing="1" w:after="100" w:afterAutospacing="1" w:line="400" w:lineRule="atLeast"/>
        <w:rPr>
          <w:szCs w:val="24"/>
        </w:rPr>
      </w:pPr>
      <w:r>
        <w:rPr>
          <w:szCs w:val="24"/>
        </w:rPr>
        <w:t xml:space="preserve">Taking length of residence into account, respiratory and cardiovascular disease associations were re-evaluated in </w:t>
      </w:r>
      <w:r w:rsidRPr="0021796A">
        <w:rPr>
          <w:szCs w:val="24"/>
        </w:rPr>
        <w:t xml:space="preserve">individuals </w:t>
      </w:r>
      <w:r>
        <w:rPr>
          <w:szCs w:val="24"/>
        </w:rPr>
        <w:t>having</w:t>
      </w:r>
      <w:r w:rsidRPr="0021796A">
        <w:rPr>
          <w:szCs w:val="24"/>
        </w:rPr>
        <w:t xml:space="preserve"> lived in their current exposure area</w:t>
      </w:r>
      <w:r>
        <w:rPr>
          <w:szCs w:val="24"/>
        </w:rPr>
        <w:t xml:space="preserve">s for at least 1, 3, 5, or 10 years.  </w:t>
      </w:r>
      <w:r w:rsidRPr="0021796A">
        <w:rPr>
          <w:szCs w:val="24"/>
        </w:rPr>
        <w:t>The results</w:t>
      </w:r>
      <w:r>
        <w:rPr>
          <w:szCs w:val="24"/>
        </w:rPr>
        <w:t xml:space="preserve"> for each length of residence analysis</w:t>
      </w:r>
      <w:r w:rsidRPr="0021796A">
        <w:rPr>
          <w:szCs w:val="24"/>
        </w:rPr>
        <w:t xml:space="preserve"> are presented in </w:t>
      </w:r>
      <w:r>
        <w:rPr>
          <w:szCs w:val="24"/>
        </w:rPr>
        <w:t xml:space="preserve">Table 6-8.  </w:t>
      </w:r>
      <w:r w:rsidRPr="0021796A">
        <w:rPr>
          <w:szCs w:val="24"/>
        </w:rPr>
        <w:t>Overall, restrict</w:t>
      </w:r>
      <w:r>
        <w:rPr>
          <w:szCs w:val="24"/>
        </w:rPr>
        <w:t>ing</w:t>
      </w:r>
      <w:r w:rsidRPr="0021796A">
        <w:rPr>
          <w:szCs w:val="24"/>
        </w:rPr>
        <w:t xml:space="preserve"> the analyses to individuals w</w:t>
      </w:r>
      <w:r>
        <w:rPr>
          <w:szCs w:val="24"/>
        </w:rPr>
        <w:t>ho had lived in their current exposure areas for 3 or more years</w:t>
      </w:r>
      <w:r w:rsidRPr="0021796A">
        <w:rPr>
          <w:szCs w:val="24"/>
        </w:rPr>
        <w:t xml:space="preserve"> </w:t>
      </w:r>
      <w:r>
        <w:rPr>
          <w:szCs w:val="24"/>
        </w:rPr>
        <w:t xml:space="preserve">and for 5 or more years produced </w:t>
      </w:r>
      <w:r w:rsidRPr="0021796A">
        <w:rPr>
          <w:szCs w:val="24"/>
        </w:rPr>
        <w:t>stronger associations between potential airport-related air pollution exposure and most of the targeted respiratory outcomes</w:t>
      </w:r>
      <w:r>
        <w:rPr>
          <w:szCs w:val="24"/>
        </w:rPr>
        <w:t xml:space="preserve">.  </w:t>
      </w:r>
      <w:r w:rsidRPr="0021796A">
        <w:rPr>
          <w:szCs w:val="24"/>
        </w:rPr>
        <w:t>T</w:t>
      </w:r>
      <w:r>
        <w:rPr>
          <w:szCs w:val="24"/>
        </w:rPr>
        <w:t xml:space="preserve">hese stronger associations </w:t>
      </w:r>
      <w:r w:rsidRPr="0021796A">
        <w:rPr>
          <w:szCs w:val="24"/>
        </w:rPr>
        <w:t xml:space="preserve">reach the level of statistical significance for COPD </w:t>
      </w:r>
      <w:r>
        <w:rPr>
          <w:szCs w:val="24"/>
        </w:rPr>
        <w:t xml:space="preserve">(3+ years OR=1.8, 95% CI: 1.1-3.0) </w:t>
      </w:r>
      <w:r w:rsidRPr="0021796A">
        <w:rPr>
          <w:szCs w:val="24"/>
        </w:rPr>
        <w:t>and</w:t>
      </w:r>
      <w:r>
        <w:rPr>
          <w:szCs w:val="24"/>
        </w:rPr>
        <w:t xml:space="preserve"> </w:t>
      </w:r>
      <w:r w:rsidRPr="0021796A">
        <w:rPr>
          <w:szCs w:val="24"/>
        </w:rPr>
        <w:t>are of borderline significance for current asthma with medication use</w:t>
      </w:r>
      <w:r>
        <w:rPr>
          <w:szCs w:val="24"/>
        </w:rPr>
        <w:t xml:space="preserve"> (5+ years OR=1.7, 95% CI: 1.0-3.0) in the high exposure area compared to the low exposure area.  These stronger associations did not persist when restricting to individuals with</w:t>
      </w:r>
      <w:r w:rsidRPr="0021796A">
        <w:rPr>
          <w:szCs w:val="24"/>
        </w:rPr>
        <w:t xml:space="preserve"> 10+ years</w:t>
      </w:r>
      <w:r>
        <w:rPr>
          <w:szCs w:val="24"/>
        </w:rPr>
        <w:t xml:space="preserve"> residence in their current exposure areas</w:t>
      </w:r>
      <w:r w:rsidRPr="0021796A">
        <w:rPr>
          <w:szCs w:val="24"/>
        </w:rPr>
        <w:t xml:space="preserve">, possibly due to the loss of sample size or possibly because length of residence isn’t a strong factor for these </w:t>
      </w:r>
      <w:r>
        <w:rPr>
          <w:szCs w:val="24"/>
        </w:rPr>
        <w:t>outcomes beyond 5 years or so.</w:t>
      </w:r>
    </w:p>
    <w:p w:rsidR="00A327E6" w:rsidRDefault="00A327E6" w:rsidP="00517414">
      <w:pPr>
        <w:pStyle w:val="NormalIndent"/>
        <w:spacing w:before="100" w:beforeAutospacing="1" w:after="100" w:afterAutospacing="1" w:line="400" w:lineRule="atLeast"/>
        <w:rPr>
          <w:szCs w:val="24"/>
        </w:rPr>
      </w:pPr>
      <w:r w:rsidRPr="0021796A">
        <w:rPr>
          <w:szCs w:val="24"/>
        </w:rPr>
        <w:t>For MI and CHD, there is very little change in effect when length of residency in an exposure area is considered except for the 10+ years analysis</w:t>
      </w:r>
      <w:r>
        <w:rPr>
          <w:szCs w:val="24"/>
        </w:rPr>
        <w:t xml:space="preserve">.  </w:t>
      </w:r>
      <w:r w:rsidRPr="0021796A">
        <w:rPr>
          <w:szCs w:val="24"/>
        </w:rPr>
        <w:t xml:space="preserve">For those longer term residents, the estimated likelihood of MI is somewhat higher for those in the medium and high exposure areas compared to those in </w:t>
      </w:r>
      <w:r>
        <w:rPr>
          <w:szCs w:val="24"/>
        </w:rPr>
        <w:t xml:space="preserve">the low, but the association is not statistically significant.  </w:t>
      </w:r>
      <w:r w:rsidRPr="0021796A">
        <w:rPr>
          <w:szCs w:val="24"/>
        </w:rPr>
        <w:t xml:space="preserve">Conversely, the estimated likelihood of CHD is lower in the medium and high exposure areas compared to those in the </w:t>
      </w:r>
      <w:r>
        <w:rPr>
          <w:szCs w:val="24"/>
        </w:rPr>
        <w:t>low, but again the results are not statistically significant</w:t>
      </w:r>
    </w:p>
    <w:p w:rsidR="00A327E6" w:rsidRDefault="00A327E6" w:rsidP="00E44AAF">
      <w:pPr>
        <w:pStyle w:val="NormalIndent"/>
        <w:spacing w:before="100" w:beforeAutospacing="1" w:after="100" w:afterAutospacing="1" w:line="400" w:lineRule="atLeast"/>
        <w:ind w:firstLine="547"/>
        <w:rPr>
          <w:szCs w:val="24"/>
        </w:rPr>
      </w:pPr>
    </w:p>
    <w:p w:rsidR="00A327E6" w:rsidRPr="00B72794" w:rsidRDefault="00A327E6" w:rsidP="00E44AAF">
      <w:pPr>
        <w:pStyle w:val="NormalIndent"/>
        <w:spacing w:before="100" w:beforeAutospacing="1" w:after="100" w:afterAutospacing="1" w:line="400" w:lineRule="atLeast"/>
        <w:ind w:firstLine="547"/>
        <w:rPr>
          <w:szCs w:val="24"/>
        </w:rPr>
        <w:sectPr w:rsidR="00A327E6" w:rsidRPr="00B72794" w:rsidSect="00932A53">
          <w:pgSz w:w="12240" w:h="15840"/>
          <w:pgMar w:top="1440" w:right="1440" w:bottom="1440" w:left="1440" w:header="720" w:footer="720" w:gutter="0"/>
          <w:cols w:space="720"/>
          <w:docGrid w:linePitch="360"/>
        </w:sectPr>
      </w:pPr>
    </w:p>
    <w:p w:rsidR="00A327E6" w:rsidRPr="005908D3" w:rsidRDefault="00A327E6" w:rsidP="00FD064C">
      <w:pPr>
        <w:pStyle w:val="Caption"/>
        <w:spacing w:after="0" w:line="240" w:lineRule="auto"/>
        <w:rPr>
          <w:szCs w:val="24"/>
          <w:vertAlign w:val="superscript"/>
        </w:rPr>
      </w:pPr>
      <w:bookmarkStart w:id="223" w:name="RANGE!A1:U40"/>
      <w:bookmarkStart w:id="224" w:name="_Toc386796301"/>
      <w:bookmarkStart w:id="225" w:name="_Toc336343182"/>
      <w:bookmarkEnd w:id="223"/>
      <w:r>
        <w:t xml:space="preserve">Table </w:t>
      </w:r>
      <w:fldSimple w:instr=" STYLEREF 1 \s ">
        <w:r>
          <w:rPr>
            <w:noProof/>
          </w:rPr>
          <w:t>6</w:t>
        </w:r>
      </w:fldSimple>
      <w:r>
        <w:noBreakHyphen/>
      </w:r>
      <w:fldSimple w:instr=" SEQ Table \* ARABIC \s 1 ">
        <w:r>
          <w:rPr>
            <w:noProof/>
          </w:rPr>
          <w:t>8</w:t>
        </w:r>
      </w:fldSimple>
      <w:r>
        <w:t xml:space="preserve">.  </w:t>
      </w:r>
      <w:r w:rsidRPr="0021796A">
        <w:rPr>
          <w:szCs w:val="24"/>
        </w:rPr>
        <w:t xml:space="preserve">Estimated Exposure to Airport-related Air Pollution and Odds of Respiratory and Cardiovascular Disease Among Adults </w:t>
      </w:r>
      <w:r>
        <w:rPr>
          <w:szCs w:val="24"/>
        </w:rPr>
        <w:t xml:space="preserve">Living </w:t>
      </w:r>
      <w:r w:rsidRPr="0021796A">
        <w:rPr>
          <w:szCs w:val="24"/>
        </w:rPr>
        <w:t xml:space="preserve">in the </w:t>
      </w:r>
      <w:r>
        <w:rPr>
          <w:szCs w:val="24"/>
        </w:rPr>
        <w:t xml:space="preserve">Logan Airport Health Study Area </w:t>
      </w:r>
      <w:r w:rsidRPr="0021796A">
        <w:rPr>
          <w:szCs w:val="24"/>
        </w:rPr>
        <w:t>Who Have Resided in their Respective Exposure Area fo</w:t>
      </w:r>
      <w:r>
        <w:rPr>
          <w:szCs w:val="24"/>
        </w:rPr>
        <w:t>r at least 1, 3, 5, or 10 years</w:t>
      </w:r>
      <w:r w:rsidRPr="0021796A">
        <w:rPr>
          <w:szCs w:val="24"/>
          <w:vertAlign w:val="superscript"/>
        </w:rPr>
        <w:t>a</w:t>
      </w:r>
      <w:bookmarkEnd w:id="224"/>
    </w:p>
    <w:p w:rsidR="00A327E6" w:rsidRDefault="00A327E6" w:rsidP="00CD7770">
      <w:pPr>
        <w:spacing w:line="400" w:lineRule="atLeast"/>
        <w:ind w:left="720"/>
        <w:sectPr w:rsidR="00A327E6" w:rsidSect="00D42FC1">
          <w:pgSz w:w="15840" w:h="12240" w:orient="landscape" w:code="1"/>
          <w:pgMar w:top="1440" w:right="1440" w:bottom="1008" w:left="1440" w:header="720" w:footer="720" w:gutter="0"/>
          <w:cols w:space="720"/>
          <w:docGrid w:linePitch="360"/>
        </w:sectPr>
      </w:pPr>
      <w:bookmarkStart w:id="226" w:name="_MON_1444137313"/>
      <w:bookmarkEnd w:id="226"/>
      <w:r>
        <w:pict>
          <v:shape id="_x0000_i1036" type="#_x0000_t75" style="width:600pt;height:382.2pt">
            <v:imagedata r:id="rId29" o:title=""/>
          </v:shape>
        </w:pict>
      </w:r>
    </w:p>
    <w:p w:rsidR="00A327E6" w:rsidRPr="0021796A" w:rsidRDefault="00A327E6" w:rsidP="00E44AAF">
      <w:pPr>
        <w:spacing w:before="100" w:beforeAutospacing="1" w:after="100" w:afterAutospacing="1" w:line="400" w:lineRule="atLeast"/>
        <w:rPr>
          <w:rStyle w:val="Emphasis"/>
          <w:b/>
          <w:szCs w:val="24"/>
        </w:rPr>
      </w:pPr>
      <w:bookmarkStart w:id="227" w:name="_Toc350413102"/>
      <w:r w:rsidRPr="0021796A">
        <w:rPr>
          <w:rStyle w:val="Emphasis"/>
          <w:b/>
          <w:szCs w:val="24"/>
        </w:rPr>
        <w:t>Children</w:t>
      </w:r>
      <w:bookmarkEnd w:id="227"/>
    </w:p>
    <w:p w:rsidR="00A327E6" w:rsidRPr="0021796A" w:rsidRDefault="00A327E6" w:rsidP="00517414">
      <w:pPr>
        <w:pStyle w:val="NormalIndent"/>
        <w:spacing w:before="100" w:beforeAutospacing="1" w:after="100" w:afterAutospacing="1" w:line="400" w:lineRule="atLeast"/>
        <w:rPr>
          <w:szCs w:val="24"/>
        </w:rPr>
      </w:pPr>
      <w:r>
        <w:rPr>
          <w:szCs w:val="24"/>
        </w:rPr>
        <w:t>Table 6-9</w:t>
      </w:r>
      <w:r w:rsidRPr="0021796A">
        <w:rPr>
          <w:szCs w:val="24"/>
        </w:rPr>
        <w:t xml:space="preserve"> presents results of multivariate logistic regression models for associations between estimated airport-related air pollution exposure and respiratory outcomes in children</w:t>
      </w:r>
      <w:r>
        <w:rPr>
          <w:szCs w:val="24"/>
        </w:rPr>
        <w:t xml:space="preserve">.  </w:t>
      </w:r>
      <w:r w:rsidRPr="0021796A">
        <w:rPr>
          <w:szCs w:val="24"/>
        </w:rPr>
        <w:t>There were no differences across respiratory health outcomes in children in the unadjusted univariate analysis.  No as</w:t>
      </w:r>
      <w:r>
        <w:rPr>
          <w:szCs w:val="24"/>
        </w:rPr>
        <w:t>sociations were observed across</w:t>
      </w:r>
      <w:r w:rsidRPr="0021796A">
        <w:rPr>
          <w:szCs w:val="24"/>
        </w:rPr>
        <w:t xml:space="preserve"> air pollution exposure areas for either lifetime asthma or current asthma that requires use of medication; nor were asthmatic children in different air pollution exposure areas more or less likely to visit the hospital for asthma-related illness.</w:t>
      </w:r>
    </w:p>
    <w:p w:rsidR="00A327E6" w:rsidRDefault="00A327E6" w:rsidP="00517414">
      <w:pPr>
        <w:pStyle w:val="NormalIndent"/>
        <w:spacing w:before="100" w:beforeAutospacing="1" w:after="100" w:afterAutospacing="1" w:line="400" w:lineRule="atLeast"/>
        <w:rPr>
          <w:szCs w:val="24"/>
        </w:rPr>
      </w:pPr>
      <w:r w:rsidRPr="0021796A">
        <w:rPr>
          <w:szCs w:val="24"/>
        </w:rPr>
        <w:t>The strongest statistically significant association between air pollution exposure area and respiratory outcomes in children was observed for the likelihood of probable (or undiagnosed) asthma, which was 3.6 times higher for childre</w:t>
      </w:r>
      <w:r>
        <w:rPr>
          <w:szCs w:val="24"/>
        </w:rPr>
        <w:t>n in the high</w:t>
      </w:r>
      <w:r w:rsidRPr="0021796A">
        <w:rPr>
          <w:szCs w:val="24"/>
        </w:rPr>
        <w:t xml:space="preserve"> exposure are</w:t>
      </w:r>
      <w:r>
        <w:rPr>
          <w:szCs w:val="24"/>
        </w:rPr>
        <w:t>a compared to those in the low</w:t>
      </w:r>
      <w:r w:rsidRPr="0021796A">
        <w:rPr>
          <w:szCs w:val="24"/>
        </w:rPr>
        <w:t xml:space="preserve"> exposure </w:t>
      </w:r>
      <w:r>
        <w:rPr>
          <w:szCs w:val="24"/>
        </w:rPr>
        <w:t xml:space="preserve">area (OR=3.6, 95% CI: 1.1-11).  </w:t>
      </w:r>
      <w:r w:rsidRPr="0021796A">
        <w:rPr>
          <w:szCs w:val="24"/>
        </w:rPr>
        <w:t>There was also a statistically significant trend of higher likelihood of probable asthma in children with increasing potential exposure to airport-related air pollution (p=0.03).</w:t>
      </w:r>
      <w:r>
        <w:rPr>
          <w:szCs w:val="24"/>
        </w:rPr>
        <w:t xml:space="preserve">  </w:t>
      </w:r>
    </w:p>
    <w:p w:rsidR="00A327E6" w:rsidRDefault="00A327E6" w:rsidP="00E44AAF">
      <w:pPr>
        <w:spacing w:before="0" w:after="0" w:line="400" w:lineRule="atLeast"/>
        <w:rPr>
          <w:szCs w:val="24"/>
        </w:rPr>
      </w:pPr>
      <w:r>
        <w:rPr>
          <w:szCs w:val="24"/>
        </w:rPr>
        <w:br w:type="page"/>
      </w:r>
    </w:p>
    <w:p w:rsidR="00A327E6" w:rsidRDefault="00A327E6" w:rsidP="00E17A00">
      <w:pPr>
        <w:pStyle w:val="Caption"/>
        <w:spacing w:before="0" w:after="0" w:line="240" w:lineRule="auto"/>
        <w:rPr>
          <w:szCs w:val="24"/>
          <w:vertAlign w:val="superscript"/>
        </w:rPr>
      </w:pPr>
      <w:bookmarkStart w:id="228" w:name="_Toc386796302"/>
      <w:r w:rsidRPr="00F63F64">
        <w:t xml:space="preserve">Table </w:t>
      </w:r>
      <w:fldSimple w:instr=" STYLEREF 1 \s ">
        <w:r>
          <w:rPr>
            <w:noProof/>
          </w:rPr>
          <w:t>6</w:t>
        </w:r>
      </w:fldSimple>
      <w:r>
        <w:noBreakHyphen/>
      </w:r>
      <w:fldSimple w:instr=" SEQ Table \* ARABIC \s 1 ">
        <w:r>
          <w:rPr>
            <w:noProof/>
          </w:rPr>
          <w:t>9</w:t>
        </w:r>
      </w:fldSimple>
      <w:r w:rsidRPr="00F63F64">
        <w:t xml:space="preserve">.  </w:t>
      </w:r>
      <w:r w:rsidRPr="00F63F64">
        <w:rPr>
          <w:szCs w:val="24"/>
        </w:rPr>
        <w:t>Estimated Exposure to Airport-related Air Pollution and Adjusted Odds of Respiratory Disease Among Children in the Logan Airport Health Study Area (2005)</w:t>
      </w:r>
      <w:r>
        <w:rPr>
          <w:szCs w:val="24"/>
          <w:vertAlign w:val="superscript"/>
        </w:rPr>
        <w:t>a</w:t>
      </w:r>
      <w:bookmarkEnd w:id="228"/>
    </w:p>
    <w:p w:rsidR="00A327E6" w:rsidRPr="00E17A00" w:rsidRDefault="00A327E6" w:rsidP="00E17A00">
      <w:pPr>
        <w:spacing w:before="0" w:after="0" w:line="240" w:lineRule="auto"/>
      </w:pPr>
    </w:p>
    <w:tbl>
      <w:tblPr>
        <w:tblW w:w="9558" w:type="dxa"/>
        <w:tblBorders>
          <w:top w:val="single" w:sz="8" w:space="0" w:color="4F81BD"/>
          <w:left w:val="single" w:sz="8" w:space="0" w:color="4F81BD"/>
          <w:bottom w:val="single" w:sz="8" w:space="0" w:color="4F81BD"/>
          <w:right w:val="single" w:sz="8" w:space="0" w:color="4F81BD"/>
        </w:tblBorders>
        <w:tblLayout w:type="fixed"/>
        <w:tblLook w:val="00A0"/>
      </w:tblPr>
      <w:tblGrid>
        <w:gridCol w:w="2898"/>
        <w:gridCol w:w="1079"/>
        <w:gridCol w:w="1395"/>
        <w:gridCol w:w="1395"/>
        <w:gridCol w:w="1395"/>
        <w:gridCol w:w="1396"/>
      </w:tblGrid>
      <w:tr w:rsidR="00A327E6" w:rsidRPr="008D7424" w:rsidTr="00415FA2">
        <w:trPr>
          <w:trHeight w:val="648"/>
        </w:trPr>
        <w:tc>
          <w:tcPr>
            <w:tcW w:w="2898" w:type="dxa"/>
            <w:tcBorders>
              <w:top w:val="single" w:sz="8" w:space="0" w:color="4F81BD"/>
              <w:bottom w:val="single" w:sz="8" w:space="0" w:color="4F81BD"/>
            </w:tcBorders>
            <w:shd w:val="clear" w:color="auto" w:fill="4F81BD"/>
            <w:noWrap/>
            <w:vAlign w:val="center"/>
          </w:tcPr>
          <w:p w:rsidR="00A327E6" w:rsidRPr="00415FA2" w:rsidRDefault="00A327E6" w:rsidP="00415FA2">
            <w:pPr>
              <w:spacing w:before="0" w:after="0" w:line="240" w:lineRule="auto"/>
              <w:rPr>
                <w:b/>
                <w:bCs/>
                <w:color w:val="FFFFFF"/>
                <w:szCs w:val="24"/>
                <w:lang w:eastAsia="zh-TW"/>
              </w:rPr>
            </w:pPr>
            <w:r w:rsidRPr="00415FA2">
              <w:rPr>
                <w:bCs/>
                <w:color w:val="FFFFFF"/>
                <w:szCs w:val="24"/>
                <w:lang w:eastAsia="zh-TW"/>
              </w:rPr>
              <w:t>Health Outcome</w:t>
            </w:r>
          </w:p>
        </w:tc>
        <w:tc>
          <w:tcPr>
            <w:tcW w:w="1079" w:type="dxa"/>
            <w:tcBorders>
              <w:top w:val="single" w:sz="8" w:space="0" w:color="4F81BD"/>
              <w:left w:val="single" w:sz="8" w:space="0" w:color="4F81BD"/>
              <w:bottom w:val="single" w:sz="8" w:space="0" w:color="4F81BD"/>
              <w:right w:val="single" w:sz="8" w:space="0" w:color="4F81BD"/>
            </w:tcBorders>
            <w:shd w:val="clear" w:color="auto" w:fill="4F81BD"/>
            <w:noWrap/>
            <w:vAlign w:val="center"/>
          </w:tcPr>
          <w:p w:rsidR="00A327E6" w:rsidRPr="00415FA2" w:rsidRDefault="00A327E6" w:rsidP="00415FA2">
            <w:pPr>
              <w:spacing w:before="0" w:after="0" w:line="240" w:lineRule="auto"/>
              <w:jc w:val="center"/>
              <w:rPr>
                <w:b/>
                <w:bCs/>
                <w:color w:val="FFFFFF"/>
                <w:szCs w:val="24"/>
                <w:lang w:eastAsia="zh-TW"/>
              </w:rPr>
            </w:pPr>
            <w:r w:rsidRPr="00415FA2">
              <w:rPr>
                <w:bCs/>
                <w:color w:val="FFFFFF"/>
                <w:szCs w:val="24"/>
                <w:lang w:eastAsia="zh-TW"/>
              </w:rPr>
              <w:t>Sample Size</w:t>
            </w:r>
          </w:p>
        </w:tc>
        <w:tc>
          <w:tcPr>
            <w:tcW w:w="1395" w:type="dxa"/>
            <w:tcBorders>
              <w:top w:val="single" w:sz="8" w:space="0" w:color="4F81BD"/>
              <w:bottom w:val="single" w:sz="8" w:space="0" w:color="4F81BD"/>
            </w:tcBorders>
            <w:shd w:val="clear" w:color="auto" w:fill="4F81BD"/>
            <w:noWrap/>
            <w:vAlign w:val="center"/>
          </w:tcPr>
          <w:p w:rsidR="00A327E6" w:rsidRPr="00415FA2" w:rsidRDefault="00A327E6" w:rsidP="00415FA2">
            <w:pPr>
              <w:spacing w:before="0" w:after="0" w:line="240" w:lineRule="auto"/>
              <w:jc w:val="center"/>
              <w:rPr>
                <w:b/>
                <w:bCs/>
                <w:color w:val="FFFFFF"/>
                <w:szCs w:val="24"/>
                <w:lang w:eastAsia="zh-TW"/>
              </w:rPr>
            </w:pPr>
            <w:r w:rsidRPr="00415FA2">
              <w:rPr>
                <w:bCs/>
                <w:color w:val="FFFFFF"/>
                <w:szCs w:val="24"/>
                <w:lang w:eastAsia="zh-TW"/>
              </w:rPr>
              <w:t xml:space="preserve">Odds </w:t>
            </w:r>
          </w:p>
          <w:p w:rsidR="00A327E6" w:rsidRPr="00415FA2" w:rsidRDefault="00A327E6" w:rsidP="00415FA2">
            <w:pPr>
              <w:spacing w:before="0" w:after="0" w:line="240" w:lineRule="auto"/>
              <w:jc w:val="center"/>
              <w:rPr>
                <w:b/>
                <w:bCs/>
                <w:color w:val="FFFFFF"/>
                <w:szCs w:val="24"/>
                <w:vertAlign w:val="superscript"/>
                <w:lang w:eastAsia="zh-TW"/>
              </w:rPr>
            </w:pPr>
            <w:r w:rsidRPr="00415FA2">
              <w:rPr>
                <w:bCs/>
                <w:color w:val="FFFFFF"/>
                <w:szCs w:val="24"/>
                <w:lang w:eastAsia="zh-TW"/>
              </w:rPr>
              <w:t>Ratio</w:t>
            </w:r>
          </w:p>
        </w:tc>
        <w:tc>
          <w:tcPr>
            <w:tcW w:w="1395" w:type="dxa"/>
            <w:tcBorders>
              <w:top w:val="single" w:sz="8" w:space="0" w:color="4F81BD"/>
              <w:left w:val="single" w:sz="8" w:space="0" w:color="4F81BD"/>
              <w:bottom w:val="single" w:sz="8" w:space="0" w:color="4F81BD"/>
              <w:right w:val="single" w:sz="8" w:space="0" w:color="4F81BD"/>
            </w:tcBorders>
            <w:shd w:val="clear" w:color="auto" w:fill="4F81BD"/>
            <w:noWrap/>
            <w:vAlign w:val="center"/>
          </w:tcPr>
          <w:p w:rsidR="00A327E6" w:rsidRPr="00415FA2" w:rsidRDefault="00A327E6" w:rsidP="00415FA2">
            <w:pPr>
              <w:spacing w:before="0" w:after="0" w:line="240" w:lineRule="auto"/>
              <w:jc w:val="center"/>
              <w:rPr>
                <w:b/>
                <w:bCs/>
                <w:color w:val="FFFFFF"/>
                <w:szCs w:val="24"/>
                <w:lang w:eastAsia="zh-TW"/>
              </w:rPr>
            </w:pPr>
            <w:r w:rsidRPr="00415FA2">
              <w:rPr>
                <w:bCs/>
                <w:color w:val="FFFFFF"/>
                <w:szCs w:val="24"/>
                <w:lang w:eastAsia="zh-TW"/>
              </w:rPr>
              <w:t>Lower 95% CI</w:t>
            </w:r>
          </w:p>
        </w:tc>
        <w:tc>
          <w:tcPr>
            <w:tcW w:w="1395" w:type="dxa"/>
            <w:tcBorders>
              <w:top w:val="single" w:sz="8" w:space="0" w:color="4F81BD"/>
              <w:bottom w:val="single" w:sz="8" w:space="0" w:color="4F81BD"/>
            </w:tcBorders>
            <w:shd w:val="clear" w:color="auto" w:fill="4F81BD"/>
            <w:noWrap/>
            <w:vAlign w:val="center"/>
          </w:tcPr>
          <w:p w:rsidR="00A327E6" w:rsidRPr="00415FA2" w:rsidRDefault="00A327E6" w:rsidP="00415FA2">
            <w:pPr>
              <w:spacing w:before="0" w:after="0" w:line="240" w:lineRule="auto"/>
              <w:jc w:val="center"/>
              <w:rPr>
                <w:b/>
                <w:bCs/>
                <w:color w:val="FFFFFF"/>
                <w:szCs w:val="24"/>
                <w:lang w:eastAsia="zh-TW"/>
              </w:rPr>
            </w:pPr>
            <w:r w:rsidRPr="00415FA2">
              <w:rPr>
                <w:bCs/>
                <w:color w:val="FFFFFF"/>
                <w:szCs w:val="24"/>
                <w:lang w:eastAsia="zh-TW"/>
              </w:rPr>
              <w:t xml:space="preserve">Upper </w:t>
            </w:r>
          </w:p>
          <w:p w:rsidR="00A327E6" w:rsidRPr="00415FA2" w:rsidRDefault="00A327E6" w:rsidP="00415FA2">
            <w:pPr>
              <w:spacing w:before="0" w:after="0" w:line="240" w:lineRule="auto"/>
              <w:jc w:val="center"/>
              <w:rPr>
                <w:b/>
                <w:bCs/>
                <w:color w:val="FFFFFF"/>
                <w:szCs w:val="24"/>
                <w:lang w:eastAsia="zh-TW"/>
              </w:rPr>
            </w:pPr>
            <w:r w:rsidRPr="00415FA2">
              <w:rPr>
                <w:bCs/>
                <w:color w:val="FFFFFF"/>
                <w:szCs w:val="24"/>
                <w:lang w:eastAsia="zh-TW"/>
              </w:rPr>
              <w:t>95% CI</w:t>
            </w:r>
          </w:p>
        </w:tc>
        <w:tc>
          <w:tcPr>
            <w:tcW w:w="1396" w:type="dxa"/>
            <w:tcBorders>
              <w:top w:val="single" w:sz="8" w:space="0" w:color="4F81BD"/>
              <w:left w:val="single" w:sz="8" w:space="0" w:color="4F81BD"/>
              <w:bottom w:val="single" w:sz="8" w:space="0" w:color="4F81BD"/>
            </w:tcBorders>
            <w:shd w:val="clear" w:color="auto" w:fill="4F81BD"/>
            <w:noWrap/>
            <w:vAlign w:val="center"/>
          </w:tcPr>
          <w:p w:rsidR="00A327E6" w:rsidRPr="00415FA2" w:rsidRDefault="00A327E6" w:rsidP="00415FA2">
            <w:pPr>
              <w:spacing w:before="0" w:after="0" w:line="240" w:lineRule="auto"/>
              <w:jc w:val="center"/>
              <w:rPr>
                <w:b/>
                <w:bCs/>
                <w:color w:val="FFFFFF"/>
                <w:szCs w:val="24"/>
                <w:lang w:eastAsia="zh-TW"/>
              </w:rPr>
            </w:pPr>
            <w:r w:rsidRPr="00415FA2">
              <w:rPr>
                <w:bCs/>
                <w:color w:val="FFFFFF"/>
                <w:szCs w:val="24"/>
                <w:lang w:eastAsia="zh-TW"/>
              </w:rPr>
              <w:t>p-value</w:t>
            </w:r>
          </w:p>
        </w:tc>
      </w:tr>
      <w:tr w:rsidR="00A327E6" w:rsidRPr="008D7424" w:rsidTr="00415FA2">
        <w:trPr>
          <w:trHeight w:val="315"/>
        </w:trPr>
        <w:tc>
          <w:tcPr>
            <w:tcW w:w="2898" w:type="dxa"/>
            <w:tcBorders>
              <w:top w:val="single" w:sz="8" w:space="0" w:color="4F81BD"/>
              <w:bottom w:val="nil"/>
              <w:right w:val="nil"/>
            </w:tcBorders>
            <w:noWrap/>
            <w:vAlign w:val="center"/>
          </w:tcPr>
          <w:p w:rsidR="00A327E6" w:rsidRPr="00415FA2" w:rsidRDefault="00A327E6" w:rsidP="00415FA2">
            <w:pPr>
              <w:spacing w:before="0" w:after="0" w:line="320" w:lineRule="atLeast"/>
              <w:rPr>
                <w:b/>
                <w:bCs/>
                <w:szCs w:val="24"/>
                <w:lang w:eastAsia="zh-TW"/>
              </w:rPr>
            </w:pPr>
            <w:r w:rsidRPr="00415FA2">
              <w:rPr>
                <w:b/>
                <w:bCs/>
                <w:szCs w:val="24"/>
                <w:lang w:eastAsia="zh-TW"/>
              </w:rPr>
              <w:t>Lifetime Asthma</w:t>
            </w:r>
          </w:p>
        </w:tc>
        <w:tc>
          <w:tcPr>
            <w:tcW w:w="1079" w:type="dxa"/>
            <w:tcBorders>
              <w:top w:val="single" w:sz="8" w:space="0" w:color="4F81BD"/>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2081</w:t>
            </w:r>
          </w:p>
        </w:tc>
        <w:tc>
          <w:tcPr>
            <w:tcW w:w="1395" w:type="dxa"/>
            <w:tcBorders>
              <w:top w:val="single" w:sz="8" w:space="0" w:color="4F81BD"/>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395" w:type="dxa"/>
            <w:tcBorders>
              <w:top w:val="single" w:sz="8" w:space="0" w:color="4F81BD"/>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395" w:type="dxa"/>
            <w:tcBorders>
              <w:top w:val="single" w:sz="8" w:space="0" w:color="4F81BD"/>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396" w:type="dxa"/>
            <w:tcBorders>
              <w:top w:val="single" w:sz="8" w:space="0" w:color="4F81BD"/>
              <w:left w:val="nil"/>
              <w:bottom w:val="nil"/>
            </w:tcBorders>
            <w:noWrap/>
            <w:vAlign w:val="center"/>
          </w:tcPr>
          <w:p w:rsidR="00A327E6" w:rsidRPr="00415FA2" w:rsidRDefault="00A327E6" w:rsidP="00415FA2">
            <w:pPr>
              <w:spacing w:before="0" w:after="0" w:line="320" w:lineRule="atLeast"/>
              <w:jc w:val="center"/>
              <w:rPr>
                <w:i/>
                <w:szCs w:val="24"/>
                <w:lang w:eastAsia="zh-TW"/>
              </w:rPr>
            </w:pPr>
          </w:p>
        </w:tc>
      </w:tr>
      <w:tr w:rsidR="00A327E6" w:rsidRPr="008D7424" w:rsidTr="00415FA2">
        <w:trPr>
          <w:trHeight w:val="315"/>
        </w:trPr>
        <w:tc>
          <w:tcPr>
            <w:tcW w:w="2898" w:type="dxa"/>
            <w:tcBorders>
              <w:top w:val="nil"/>
              <w:bottom w:val="nil"/>
              <w:right w:val="nil"/>
            </w:tcBorders>
            <w:noWrap/>
            <w:vAlign w:val="center"/>
          </w:tcPr>
          <w:p w:rsidR="00A327E6" w:rsidRPr="00415FA2" w:rsidRDefault="00A327E6" w:rsidP="00D92952">
            <w:pPr>
              <w:spacing w:before="0" w:after="0" w:line="320" w:lineRule="atLeast"/>
              <w:ind w:firstLineChars="200" w:firstLine="480"/>
              <w:rPr>
                <w:b/>
                <w:bCs/>
                <w:color w:val="104E8B"/>
                <w:szCs w:val="24"/>
                <w:lang w:eastAsia="zh-TW"/>
              </w:rPr>
            </w:pPr>
            <w:r w:rsidRPr="00415FA2">
              <w:rPr>
                <w:b/>
                <w:bCs/>
                <w:szCs w:val="24"/>
                <w:lang w:eastAsia="zh-TW"/>
              </w:rPr>
              <w:t>Low</w:t>
            </w:r>
          </w:p>
        </w:tc>
        <w:tc>
          <w:tcPr>
            <w:tcW w:w="1079"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395"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1.0</w:t>
            </w:r>
          </w:p>
        </w:tc>
        <w:tc>
          <w:tcPr>
            <w:tcW w:w="1395"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1.0</w:t>
            </w:r>
          </w:p>
        </w:tc>
        <w:tc>
          <w:tcPr>
            <w:tcW w:w="1395"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1.0</w:t>
            </w:r>
          </w:p>
        </w:tc>
        <w:tc>
          <w:tcPr>
            <w:tcW w:w="1396" w:type="dxa"/>
            <w:tcBorders>
              <w:top w:val="nil"/>
              <w:left w:val="nil"/>
              <w:bottom w:val="nil"/>
            </w:tcBorders>
            <w:noWrap/>
            <w:vAlign w:val="center"/>
          </w:tcPr>
          <w:p w:rsidR="00A327E6" w:rsidRPr="00415FA2" w:rsidRDefault="00A327E6" w:rsidP="00415FA2">
            <w:pPr>
              <w:spacing w:before="0" w:after="0" w:line="320" w:lineRule="atLeast"/>
              <w:jc w:val="center"/>
              <w:rPr>
                <w:i/>
                <w:szCs w:val="24"/>
                <w:lang w:eastAsia="zh-TW"/>
              </w:rPr>
            </w:pPr>
          </w:p>
        </w:tc>
      </w:tr>
      <w:tr w:rsidR="00A327E6" w:rsidRPr="008D7424" w:rsidTr="00415FA2">
        <w:trPr>
          <w:trHeight w:val="315"/>
        </w:trPr>
        <w:tc>
          <w:tcPr>
            <w:tcW w:w="2898" w:type="dxa"/>
            <w:tcBorders>
              <w:top w:val="nil"/>
              <w:bottom w:val="nil"/>
              <w:right w:val="nil"/>
            </w:tcBorders>
            <w:noWrap/>
            <w:vAlign w:val="center"/>
          </w:tcPr>
          <w:p w:rsidR="00A327E6" w:rsidRPr="00415FA2" w:rsidRDefault="00A327E6" w:rsidP="00D92952">
            <w:pPr>
              <w:spacing w:before="0" w:after="0" w:line="320" w:lineRule="atLeast"/>
              <w:ind w:firstLineChars="200" w:firstLine="480"/>
              <w:rPr>
                <w:b/>
                <w:bCs/>
                <w:color w:val="000000"/>
                <w:szCs w:val="24"/>
                <w:lang w:eastAsia="zh-TW"/>
              </w:rPr>
            </w:pPr>
            <w:r w:rsidRPr="00415FA2">
              <w:rPr>
                <w:b/>
                <w:bCs/>
                <w:color w:val="000000"/>
                <w:szCs w:val="24"/>
                <w:lang w:eastAsia="zh-TW"/>
              </w:rPr>
              <w:t>Medium</w:t>
            </w:r>
          </w:p>
        </w:tc>
        <w:tc>
          <w:tcPr>
            <w:tcW w:w="1079"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395"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0.9</w:t>
            </w:r>
          </w:p>
        </w:tc>
        <w:tc>
          <w:tcPr>
            <w:tcW w:w="1395"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0.6</w:t>
            </w:r>
          </w:p>
        </w:tc>
        <w:tc>
          <w:tcPr>
            <w:tcW w:w="1395"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1.3</w:t>
            </w:r>
          </w:p>
        </w:tc>
        <w:tc>
          <w:tcPr>
            <w:tcW w:w="1396" w:type="dxa"/>
            <w:tcBorders>
              <w:top w:val="nil"/>
              <w:left w:val="nil"/>
              <w:bottom w:val="nil"/>
            </w:tcBorders>
            <w:noWrap/>
            <w:vAlign w:val="center"/>
          </w:tcPr>
          <w:p w:rsidR="00A327E6" w:rsidRPr="00415FA2" w:rsidRDefault="00A327E6" w:rsidP="00415FA2">
            <w:pPr>
              <w:spacing w:before="0" w:after="0" w:line="320" w:lineRule="atLeast"/>
              <w:jc w:val="center"/>
              <w:rPr>
                <w:i/>
                <w:szCs w:val="24"/>
                <w:lang w:eastAsia="zh-TW"/>
              </w:rPr>
            </w:pPr>
            <w:r w:rsidRPr="00415FA2">
              <w:rPr>
                <w:i/>
                <w:szCs w:val="24"/>
                <w:lang w:eastAsia="zh-TW"/>
              </w:rPr>
              <w:t>0.51</w:t>
            </w:r>
          </w:p>
        </w:tc>
      </w:tr>
      <w:tr w:rsidR="00A327E6" w:rsidRPr="008D7424" w:rsidTr="00415FA2">
        <w:trPr>
          <w:trHeight w:val="315"/>
        </w:trPr>
        <w:tc>
          <w:tcPr>
            <w:tcW w:w="2898" w:type="dxa"/>
            <w:tcBorders>
              <w:top w:val="nil"/>
              <w:bottom w:val="single" w:sz="8" w:space="0" w:color="4F81BD"/>
              <w:right w:val="nil"/>
            </w:tcBorders>
            <w:noWrap/>
            <w:vAlign w:val="center"/>
          </w:tcPr>
          <w:p w:rsidR="00A327E6" w:rsidRPr="00415FA2" w:rsidRDefault="00A327E6" w:rsidP="00D92952">
            <w:pPr>
              <w:spacing w:before="0" w:after="0" w:line="320" w:lineRule="atLeast"/>
              <w:ind w:firstLineChars="200" w:firstLine="480"/>
              <w:rPr>
                <w:b/>
                <w:bCs/>
                <w:color w:val="104E8B"/>
                <w:szCs w:val="24"/>
                <w:lang w:eastAsia="zh-TW"/>
              </w:rPr>
            </w:pPr>
            <w:r w:rsidRPr="00415FA2">
              <w:rPr>
                <w:b/>
                <w:bCs/>
                <w:szCs w:val="24"/>
                <w:lang w:eastAsia="zh-TW"/>
              </w:rPr>
              <w:t>High</w:t>
            </w:r>
          </w:p>
        </w:tc>
        <w:tc>
          <w:tcPr>
            <w:tcW w:w="1079"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szCs w:val="24"/>
                <w:lang w:eastAsia="zh-TW"/>
              </w:rPr>
            </w:pPr>
          </w:p>
        </w:tc>
        <w:tc>
          <w:tcPr>
            <w:tcW w:w="1395"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1.0</w:t>
            </w:r>
          </w:p>
        </w:tc>
        <w:tc>
          <w:tcPr>
            <w:tcW w:w="1395"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0.6</w:t>
            </w:r>
          </w:p>
        </w:tc>
        <w:tc>
          <w:tcPr>
            <w:tcW w:w="1395"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1.6</w:t>
            </w:r>
          </w:p>
        </w:tc>
        <w:tc>
          <w:tcPr>
            <w:tcW w:w="1396" w:type="dxa"/>
            <w:tcBorders>
              <w:top w:val="nil"/>
              <w:left w:val="nil"/>
              <w:bottom w:val="single" w:sz="8" w:space="0" w:color="4F81BD"/>
            </w:tcBorders>
            <w:noWrap/>
            <w:vAlign w:val="center"/>
          </w:tcPr>
          <w:p w:rsidR="00A327E6" w:rsidRPr="00415FA2" w:rsidRDefault="00A327E6" w:rsidP="00415FA2">
            <w:pPr>
              <w:spacing w:before="0" w:after="0" w:line="320" w:lineRule="atLeast"/>
              <w:jc w:val="center"/>
              <w:rPr>
                <w:i/>
                <w:szCs w:val="24"/>
                <w:lang w:eastAsia="zh-TW"/>
              </w:rPr>
            </w:pPr>
            <w:r w:rsidRPr="00415FA2">
              <w:rPr>
                <w:i/>
                <w:szCs w:val="24"/>
                <w:lang w:eastAsia="zh-TW"/>
              </w:rPr>
              <w:t>0.94</w:t>
            </w:r>
          </w:p>
        </w:tc>
      </w:tr>
      <w:tr w:rsidR="00A327E6" w:rsidRPr="008D7424" w:rsidTr="00415FA2">
        <w:trPr>
          <w:trHeight w:val="315"/>
        </w:trPr>
        <w:tc>
          <w:tcPr>
            <w:tcW w:w="2898" w:type="dxa"/>
            <w:tcBorders>
              <w:top w:val="single" w:sz="8" w:space="0" w:color="4F81BD"/>
              <w:bottom w:val="nil"/>
              <w:right w:val="nil"/>
            </w:tcBorders>
            <w:noWrap/>
            <w:vAlign w:val="center"/>
          </w:tcPr>
          <w:p w:rsidR="00A327E6" w:rsidRPr="00415FA2" w:rsidRDefault="00A327E6" w:rsidP="00415FA2">
            <w:pPr>
              <w:spacing w:before="0" w:after="0" w:line="320" w:lineRule="atLeast"/>
              <w:rPr>
                <w:b/>
                <w:bCs/>
                <w:szCs w:val="24"/>
                <w:vertAlign w:val="superscript"/>
                <w:lang w:eastAsia="zh-TW"/>
              </w:rPr>
            </w:pPr>
            <w:r w:rsidRPr="00415FA2">
              <w:rPr>
                <w:b/>
                <w:bCs/>
                <w:szCs w:val="24"/>
                <w:lang w:eastAsia="zh-TW"/>
              </w:rPr>
              <w:t>Current Asthma</w:t>
            </w:r>
            <w:r w:rsidRPr="00415FA2">
              <w:rPr>
                <w:b/>
                <w:bCs/>
                <w:szCs w:val="24"/>
                <w:vertAlign w:val="superscript"/>
                <w:lang w:eastAsia="zh-TW"/>
              </w:rPr>
              <w:t>b</w:t>
            </w:r>
          </w:p>
        </w:tc>
        <w:tc>
          <w:tcPr>
            <w:tcW w:w="1079" w:type="dxa"/>
            <w:tcBorders>
              <w:top w:val="single" w:sz="8" w:space="0" w:color="4F81BD"/>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2072</w:t>
            </w:r>
          </w:p>
        </w:tc>
        <w:tc>
          <w:tcPr>
            <w:tcW w:w="1395" w:type="dxa"/>
            <w:tcBorders>
              <w:top w:val="single" w:sz="8" w:space="0" w:color="4F81BD"/>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395" w:type="dxa"/>
            <w:tcBorders>
              <w:top w:val="single" w:sz="8" w:space="0" w:color="4F81BD"/>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395" w:type="dxa"/>
            <w:tcBorders>
              <w:top w:val="single" w:sz="8" w:space="0" w:color="4F81BD"/>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396" w:type="dxa"/>
            <w:tcBorders>
              <w:top w:val="single" w:sz="8" w:space="0" w:color="4F81BD"/>
              <w:left w:val="nil"/>
              <w:bottom w:val="nil"/>
            </w:tcBorders>
            <w:noWrap/>
            <w:vAlign w:val="center"/>
          </w:tcPr>
          <w:p w:rsidR="00A327E6" w:rsidRPr="00415FA2" w:rsidRDefault="00A327E6" w:rsidP="00415FA2">
            <w:pPr>
              <w:spacing w:before="0" w:after="0" w:line="320" w:lineRule="atLeast"/>
              <w:jc w:val="center"/>
              <w:rPr>
                <w:szCs w:val="24"/>
                <w:lang w:eastAsia="zh-TW"/>
              </w:rPr>
            </w:pPr>
          </w:p>
        </w:tc>
      </w:tr>
      <w:tr w:rsidR="00A327E6" w:rsidRPr="008D7424" w:rsidTr="00415FA2">
        <w:trPr>
          <w:trHeight w:val="315"/>
        </w:trPr>
        <w:tc>
          <w:tcPr>
            <w:tcW w:w="2898" w:type="dxa"/>
            <w:tcBorders>
              <w:top w:val="nil"/>
              <w:bottom w:val="nil"/>
              <w:right w:val="nil"/>
            </w:tcBorders>
            <w:noWrap/>
            <w:vAlign w:val="center"/>
          </w:tcPr>
          <w:p w:rsidR="00A327E6" w:rsidRPr="00415FA2" w:rsidRDefault="00A327E6" w:rsidP="00D92952">
            <w:pPr>
              <w:spacing w:before="0" w:after="0" w:line="320" w:lineRule="atLeast"/>
              <w:ind w:firstLineChars="200" w:firstLine="480"/>
              <w:rPr>
                <w:b/>
                <w:bCs/>
                <w:color w:val="104E8B"/>
                <w:szCs w:val="24"/>
                <w:lang w:eastAsia="zh-TW"/>
              </w:rPr>
            </w:pPr>
            <w:r w:rsidRPr="00415FA2">
              <w:rPr>
                <w:b/>
                <w:bCs/>
                <w:szCs w:val="24"/>
                <w:lang w:eastAsia="zh-TW"/>
              </w:rPr>
              <w:t>Low</w:t>
            </w:r>
          </w:p>
        </w:tc>
        <w:tc>
          <w:tcPr>
            <w:tcW w:w="1079"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395"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1.0</w:t>
            </w:r>
          </w:p>
        </w:tc>
        <w:tc>
          <w:tcPr>
            <w:tcW w:w="1395"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1.0</w:t>
            </w:r>
          </w:p>
        </w:tc>
        <w:tc>
          <w:tcPr>
            <w:tcW w:w="1395"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1.0</w:t>
            </w:r>
          </w:p>
        </w:tc>
        <w:tc>
          <w:tcPr>
            <w:tcW w:w="1396" w:type="dxa"/>
            <w:tcBorders>
              <w:top w:val="nil"/>
              <w:left w:val="nil"/>
              <w:bottom w:val="nil"/>
            </w:tcBorders>
            <w:noWrap/>
            <w:vAlign w:val="center"/>
          </w:tcPr>
          <w:p w:rsidR="00A327E6" w:rsidRPr="00415FA2" w:rsidRDefault="00A327E6" w:rsidP="00415FA2">
            <w:pPr>
              <w:spacing w:before="0" w:after="0" w:line="320" w:lineRule="atLeast"/>
              <w:jc w:val="center"/>
              <w:rPr>
                <w:szCs w:val="24"/>
                <w:lang w:eastAsia="zh-TW"/>
              </w:rPr>
            </w:pPr>
          </w:p>
        </w:tc>
      </w:tr>
      <w:tr w:rsidR="00A327E6" w:rsidRPr="008D7424" w:rsidTr="00415FA2">
        <w:trPr>
          <w:trHeight w:val="315"/>
        </w:trPr>
        <w:tc>
          <w:tcPr>
            <w:tcW w:w="2898" w:type="dxa"/>
            <w:tcBorders>
              <w:top w:val="nil"/>
              <w:bottom w:val="nil"/>
              <w:right w:val="nil"/>
            </w:tcBorders>
            <w:noWrap/>
            <w:vAlign w:val="center"/>
          </w:tcPr>
          <w:p w:rsidR="00A327E6" w:rsidRPr="00415FA2" w:rsidRDefault="00A327E6" w:rsidP="00D92952">
            <w:pPr>
              <w:spacing w:before="0" w:after="0" w:line="320" w:lineRule="atLeast"/>
              <w:ind w:firstLineChars="200" w:firstLine="480"/>
              <w:rPr>
                <w:b/>
                <w:bCs/>
                <w:color w:val="000000"/>
                <w:szCs w:val="24"/>
                <w:lang w:eastAsia="zh-TW"/>
              </w:rPr>
            </w:pPr>
            <w:r w:rsidRPr="00415FA2">
              <w:rPr>
                <w:b/>
                <w:bCs/>
                <w:color w:val="000000"/>
                <w:szCs w:val="24"/>
                <w:lang w:eastAsia="zh-TW"/>
              </w:rPr>
              <w:t>Medium</w:t>
            </w:r>
          </w:p>
        </w:tc>
        <w:tc>
          <w:tcPr>
            <w:tcW w:w="1079"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395"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1.0</w:t>
            </w:r>
          </w:p>
        </w:tc>
        <w:tc>
          <w:tcPr>
            <w:tcW w:w="1395"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0.7</w:t>
            </w:r>
          </w:p>
        </w:tc>
        <w:tc>
          <w:tcPr>
            <w:tcW w:w="1395"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1.6</w:t>
            </w:r>
          </w:p>
        </w:tc>
        <w:tc>
          <w:tcPr>
            <w:tcW w:w="1396" w:type="dxa"/>
            <w:tcBorders>
              <w:top w:val="nil"/>
              <w:left w:val="nil"/>
              <w:bottom w:val="nil"/>
            </w:tcBorders>
            <w:noWrap/>
            <w:vAlign w:val="center"/>
          </w:tcPr>
          <w:p w:rsidR="00A327E6" w:rsidRPr="00415FA2" w:rsidRDefault="00A327E6" w:rsidP="00415FA2">
            <w:pPr>
              <w:spacing w:before="0" w:after="0" w:line="320" w:lineRule="atLeast"/>
              <w:jc w:val="center"/>
              <w:rPr>
                <w:i/>
                <w:szCs w:val="24"/>
                <w:lang w:eastAsia="zh-TW"/>
              </w:rPr>
            </w:pPr>
            <w:r w:rsidRPr="00415FA2">
              <w:rPr>
                <w:i/>
                <w:szCs w:val="24"/>
                <w:lang w:eastAsia="zh-TW"/>
              </w:rPr>
              <w:t>0.90</w:t>
            </w:r>
          </w:p>
        </w:tc>
      </w:tr>
      <w:tr w:rsidR="00A327E6" w:rsidRPr="008D7424" w:rsidTr="00415FA2">
        <w:trPr>
          <w:trHeight w:val="315"/>
        </w:trPr>
        <w:tc>
          <w:tcPr>
            <w:tcW w:w="2898" w:type="dxa"/>
            <w:tcBorders>
              <w:top w:val="nil"/>
              <w:bottom w:val="single" w:sz="8" w:space="0" w:color="4F81BD"/>
              <w:right w:val="nil"/>
            </w:tcBorders>
            <w:noWrap/>
            <w:vAlign w:val="center"/>
          </w:tcPr>
          <w:p w:rsidR="00A327E6" w:rsidRPr="00415FA2" w:rsidRDefault="00A327E6" w:rsidP="00D92952">
            <w:pPr>
              <w:spacing w:before="0" w:after="0" w:line="320" w:lineRule="atLeast"/>
              <w:ind w:firstLineChars="200" w:firstLine="480"/>
              <w:rPr>
                <w:b/>
                <w:bCs/>
                <w:color w:val="104E8B"/>
                <w:szCs w:val="24"/>
                <w:lang w:eastAsia="zh-TW"/>
              </w:rPr>
            </w:pPr>
            <w:r w:rsidRPr="00415FA2">
              <w:rPr>
                <w:b/>
                <w:bCs/>
                <w:szCs w:val="24"/>
                <w:lang w:eastAsia="zh-TW"/>
              </w:rPr>
              <w:t>High</w:t>
            </w:r>
          </w:p>
        </w:tc>
        <w:tc>
          <w:tcPr>
            <w:tcW w:w="1079"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szCs w:val="24"/>
                <w:lang w:eastAsia="zh-TW"/>
              </w:rPr>
            </w:pPr>
          </w:p>
        </w:tc>
        <w:tc>
          <w:tcPr>
            <w:tcW w:w="1395"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1.2</w:t>
            </w:r>
          </w:p>
        </w:tc>
        <w:tc>
          <w:tcPr>
            <w:tcW w:w="1395"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0.7</w:t>
            </w:r>
          </w:p>
        </w:tc>
        <w:tc>
          <w:tcPr>
            <w:tcW w:w="1395"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2.3</w:t>
            </w:r>
          </w:p>
        </w:tc>
        <w:tc>
          <w:tcPr>
            <w:tcW w:w="1396" w:type="dxa"/>
            <w:tcBorders>
              <w:top w:val="nil"/>
              <w:left w:val="nil"/>
              <w:bottom w:val="single" w:sz="8" w:space="0" w:color="4F81BD"/>
            </w:tcBorders>
            <w:noWrap/>
            <w:vAlign w:val="center"/>
          </w:tcPr>
          <w:p w:rsidR="00A327E6" w:rsidRPr="00415FA2" w:rsidRDefault="00A327E6" w:rsidP="00415FA2">
            <w:pPr>
              <w:spacing w:before="0" w:after="0" w:line="320" w:lineRule="atLeast"/>
              <w:jc w:val="center"/>
              <w:rPr>
                <w:i/>
                <w:szCs w:val="24"/>
                <w:lang w:eastAsia="zh-TW"/>
              </w:rPr>
            </w:pPr>
            <w:r w:rsidRPr="00415FA2">
              <w:rPr>
                <w:i/>
                <w:szCs w:val="24"/>
                <w:lang w:eastAsia="zh-TW"/>
              </w:rPr>
              <w:t>0.52</w:t>
            </w:r>
          </w:p>
        </w:tc>
      </w:tr>
      <w:tr w:rsidR="00A327E6" w:rsidRPr="008D7424" w:rsidTr="00415FA2">
        <w:trPr>
          <w:trHeight w:val="315"/>
        </w:trPr>
        <w:tc>
          <w:tcPr>
            <w:tcW w:w="2898" w:type="dxa"/>
            <w:tcBorders>
              <w:top w:val="single" w:sz="8" w:space="0" w:color="4F81BD"/>
              <w:bottom w:val="nil"/>
              <w:right w:val="nil"/>
            </w:tcBorders>
            <w:noWrap/>
            <w:vAlign w:val="center"/>
          </w:tcPr>
          <w:p w:rsidR="00A327E6" w:rsidRPr="00415FA2" w:rsidRDefault="00A327E6" w:rsidP="00415FA2">
            <w:pPr>
              <w:spacing w:before="0" w:after="0" w:line="240" w:lineRule="auto"/>
              <w:rPr>
                <w:b/>
                <w:bCs/>
                <w:szCs w:val="24"/>
                <w:vertAlign w:val="superscript"/>
                <w:lang w:eastAsia="zh-TW"/>
              </w:rPr>
            </w:pPr>
            <w:r w:rsidRPr="00415FA2">
              <w:rPr>
                <w:b/>
                <w:bCs/>
                <w:szCs w:val="24"/>
                <w:lang w:eastAsia="zh-TW"/>
              </w:rPr>
              <w:t>Current Asthma with Medication Use</w:t>
            </w:r>
          </w:p>
        </w:tc>
        <w:tc>
          <w:tcPr>
            <w:tcW w:w="1079" w:type="dxa"/>
            <w:tcBorders>
              <w:top w:val="single" w:sz="8" w:space="0" w:color="4F81BD"/>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2071</w:t>
            </w:r>
          </w:p>
        </w:tc>
        <w:tc>
          <w:tcPr>
            <w:tcW w:w="1395" w:type="dxa"/>
            <w:tcBorders>
              <w:top w:val="single" w:sz="8" w:space="0" w:color="4F81BD"/>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395" w:type="dxa"/>
            <w:tcBorders>
              <w:top w:val="single" w:sz="8" w:space="0" w:color="4F81BD"/>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395" w:type="dxa"/>
            <w:tcBorders>
              <w:top w:val="single" w:sz="8" w:space="0" w:color="4F81BD"/>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396" w:type="dxa"/>
            <w:tcBorders>
              <w:top w:val="single" w:sz="8" w:space="0" w:color="4F81BD"/>
              <w:left w:val="nil"/>
              <w:bottom w:val="nil"/>
            </w:tcBorders>
            <w:noWrap/>
            <w:vAlign w:val="center"/>
          </w:tcPr>
          <w:p w:rsidR="00A327E6" w:rsidRPr="00415FA2" w:rsidRDefault="00A327E6" w:rsidP="00415FA2">
            <w:pPr>
              <w:spacing w:before="0" w:after="0" w:line="320" w:lineRule="atLeast"/>
              <w:jc w:val="center"/>
              <w:rPr>
                <w:szCs w:val="24"/>
                <w:lang w:eastAsia="zh-TW"/>
              </w:rPr>
            </w:pPr>
          </w:p>
        </w:tc>
      </w:tr>
      <w:tr w:rsidR="00A327E6" w:rsidRPr="008D7424" w:rsidTr="00415FA2">
        <w:trPr>
          <w:trHeight w:val="315"/>
        </w:trPr>
        <w:tc>
          <w:tcPr>
            <w:tcW w:w="2898" w:type="dxa"/>
            <w:tcBorders>
              <w:top w:val="nil"/>
              <w:bottom w:val="nil"/>
              <w:right w:val="nil"/>
            </w:tcBorders>
            <w:noWrap/>
            <w:vAlign w:val="center"/>
          </w:tcPr>
          <w:p w:rsidR="00A327E6" w:rsidRPr="00415FA2" w:rsidRDefault="00A327E6" w:rsidP="00D92952">
            <w:pPr>
              <w:spacing w:before="0" w:after="0" w:line="320" w:lineRule="atLeast"/>
              <w:ind w:firstLineChars="200" w:firstLine="480"/>
              <w:rPr>
                <w:b/>
                <w:bCs/>
                <w:color w:val="104E8B"/>
                <w:szCs w:val="24"/>
                <w:lang w:eastAsia="zh-TW"/>
              </w:rPr>
            </w:pPr>
            <w:r w:rsidRPr="00415FA2">
              <w:rPr>
                <w:b/>
                <w:bCs/>
                <w:szCs w:val="24"/>
                <w:lang w:eastAsia="zh-TW"/>
              </w:rPr>
              <w:t>Low</w:t>
            </w:r>
          </w:p>
        </w:tc>
        <w:tc>
          <w:tcPr>
            <w:tcW w:w="1079"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395"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1.0</w:t>
            </w:r>
          </w:p>
        </w:tc>
        <w:tc>
          <w:tcPr>
            <w:tcW w:w="1395"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1.0</w:t>
            </w:r>
          </w:p>
        </w:tc>
        <w:tc>
          <w:tcPr>
            <w:tcW w:w="1395"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1.0</w:t>
            </w:r>
          </w:p>
        </w:tc>
        <w:tc>
          <w:tcPr>
            <w:tcW w:w="1396" w:type="dxa"/>
            <w:tcBorders>
              <w:top w:val="nil"/>
              <w:left w:val="nil"/>
              <w:bottom w:val="nil"/>
            </w:tcBorders>
            <w:noWrap/>
            <w:vAlign w:val="center"/>
          </w:tcPr>
          <w:p w:rsidR="00A327E6" w:rsidRPr="00415FA2" w:rsidRDefault="00A327E6" w:rsidP="00415FA2">
            <w:pPr>
              <w:spacing w:before="0" w:after="0" w:line="320" w:lineRule="atLeast"/>
              <w:jc w:val="center"/>
              <w:rPr>
                <w:szCs w:val="24"/>
                <w:lang w:eastAsia="zh-TW"/>
              </w:rPr>
            </w:pPr>
          </w:p>
        </w:tc>
      </w:tr>
      <w:tr w:rsidR="00A327E6" w:rsidRPr="008D7424" w:rsidTr="00415FA2">
        <w:trPr>
          <w:trHeight w:val="315"/>
        </w:trPr>
        <w:tc>
          <w:tcPr>
            <w:tcW w:w="2898" w:type="dxa"/>
            <w:tcBorders>
              <w:top w:val="nil"/>
              <w:bottom w:val="nil"/>
              <w:right w:val="nil"/>
            </w:tcBorders>
            <w:noWrap/>
            <w:vAlign w:val="center"/>
          </w:tcPr>
          <w:p w:rsidR="00A327E6" w:rsidRPr="00415FA2" w:rsidRDefault="00A327E6" w:rsidP="00D92952">
            <w:pPr>
              <w:spacing w:before="0" w:after="0" w:line="320" w:lineRule="atLeast"/>
              <w:ind w:firstLineChars="200" w:firstLine="480"/>
              <w:rPr>
                <w:b/>
                <w:bCs/>
                <w:color w:val="104E8B"/>
                <w:szCs w:val="24"/>
                <w:lang w:eastAsia="zh-TW"/>
              </w:rPr>
            </w:pPr>
            <w:r w:rsidRPr="00415FA2">
              <w:rPr>
                <w:b/>
                <w:bCs/>
                <w:szCs w:val="24"/>
                <w:lang w:eastAsia="zh-TW"/>
              </w:rPr>
              <w:t>Medium</w:t>
            </w:r>
          </w:p>
        </w:tc>
        <w:tc>
          <w:tcPr>
            <w:tcW w:w="1079"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395"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0.9</w:t>
            </w:r>
          </w:p>
        </w:tc>
        <w:tc>
          <w:tcPr>
            <w:tcW w:w="1395"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0.6</w:t>
            </w:r>
          </w:p>
        </w:tc>
        <w:tc>
          <w:tcPr>
            <w:tcW w:w="1395"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1.5</w:t>
            </w:r>
          </w:p>
        </w:tc>
        <w:tc>
          <w:tcPr>
            <w:tcW w:w="1396" w:type="dxa"/>
            <w:tcBorders>
              <w:top w:val="nil"/>
              <w:left w:val="nil"/>
              <w:bottom w:val="nil"/>
            </w:tcBorders>
            <w:noWrap/>
            <w:vAlign w:val="center"/>
          </w:tcPr>
          <w:p w:rsidR="00A327E6" w:rsidRPr="00415FA2" w:rsidRDefault="00A327E6" w:rsidP="00415FA2">
            <w:pPr>
              <w:spacing w:before="0" w:after="0" w:line="320" w:lineRule="atLeast"/>
              <w:jc w:val="center"/>
              <w:rPr>
                <w:i/>
                <w:szCs w:val="24"/>
                <w:lang w:eastAsia="zh-TW"/>
              </w:rPr>
            </w:pPr>
            <w:r w:rsidRPr="00415FA2">
              <w:rPr>
                <w:i/>
                <w:szCs w:val="24"/>
                <w:lang w:eastAsia="zh-TW"/>
              </w:rPr>
              <w:t>0.75</w:t>
            </w:r>
          </w:p>
        </w:tc>
      </w:tr>
      <w:tr w:rsidR="00A327E6" w:rsidRPr="008D7424" w:rsidTr="00415FA2">
        <w:trPr>
          <w:trHeight w:val="315"/>
        </w:trPr>
        <w:tc>
          <w:tcPr>
            <w:tcW w:w="2898" w:type="dxa"/>
            <w:tcBorders>
              <w:top w:val="nil"/>
              <w:bottom w:val="single" w:sz="8" w:space="0" w:color="4F81BD"/>
              <w:right w:val="nil"/>
            </w:tcBorders>
            <w:noWrap/>
            <w:vAlign w:val="center"/>
          </w:tcPr>
          <w:p w:rsidR="00A327E6" w:rsidRPr="00415FA2" w:rsidRDefault="00A327E6" w:rsidP="00D92952">
            <w:pPr>
              <w:spacing w:before="0" w:after="0" w:line="320" w:lineRule="atLeast"/>
              <w:ind w:firstLineChars="200" w:firstLine="480"/>
              <w:rPr>
                <w:b/>
                <w:bCs/>
                <w:color w:val="104E8B"/>
                <w:szCs w:val="24"/>
                <w:lang w:eastAsia="zh-TW"/>
              </w:rPr>
            </w:pPr>
            <w:r w:rsidRPr="00415FA2">
              <w:rPr>
                <w:b/>
                <w:bCs/>
                <w:szCs w:val="24"/>
                <w:lang w:eastAsia="zh-TW"/>
              </w:rPr>
              <w:t>High</w:t>
            </w:r>
          </w:p>
        </w:tc>
        <w:tc>
          <w:tcPr>
            <w:tcW w:w="1079"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szCs w:val="24"/>
                <w:lang w:eastAsia="zh-TW"/>
              </w:rPr>
            </w:pPr>
          </w:p>
        </w:tc>
        <w:tc>
          <w:tcPr>
            <w:tcW w:w="1395"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1.0</w:t>
            </w:r>
          </w:p>
        </w:tc>
        <w:tc>
          <w:tcPr>
            <w:tcW w:w="1395"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0.5</w:t>
            </w:r>
          </w:p>
        </w:tc>
        <w:tc>
          <w:tcPr>
            <w:tcW w:w="1395"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2.0</w:t>
            </w:r>
          </w:p>
        </w:tc>
        <w:tc>
          <w:tcPr>
            <w:tcW w:w="1396" w:type="dxa"/>
            <w:tcBorders>
              <w:top w:val="nil"/>
              <w:left w:val="nil"/>
              <w:bottom w:val="single" w:sz="8" w:space="0" w:color="4F81BD"/>
            </w:tcBorders>
            <w:noWrap/>
            <w:vAlign w:val="center"/>
          </w:tcPr>
          <w:p w:rsidR="00A327E6" w:rsidRPr="00415FA2" w:rsidRDefault="00A327E6" w:rsidP="00415FA2">
            <w:pPr>
              <w:spacing w:before="0" w:after="0" w:line="320" w:lineRule="atLeast"/>
              <w:jc w:val="center"/>
              <w:rPr>
                <w:i/>
                <w:szCs w:val="24"/>
                <w:lang w:eastAsia="zh-TW"/>
              </w:rPr>
            </w:pPr>
            <w:r w:rsidRPr="00415FA2">
              <w:rPr>
                <w:i/>
                <w:szCs w:val="24"/>
                <w:lang w:eastAsia="zh-TW"/>
              </w:rPr>
              <w:t>0.90</w:t>
            </w:r>
          </w:p>
        </w:tc>
      </w:tr>
      <w:tr w:rsidR="00A327E6" w:rsidRPr="008D7424" w:rsidTr="00415FA2">
        <w:trPr>
          <w:trHeight w:val="315"/>
        </w:trPr>
        <w:tc>
          <w:tcPr>
            <w:tcW w:w="2898" w:type="dxa"/>
            <w:tcBorders>
              <w:top w:val="single" w:sz="8" w:space="0" w:color="4F81BD"/>
              <w:bottom w:val="nil"/>
              <w:right w:val="nil"/>
            </w:tcBorders>
            <w:noWrap/>
            <w:vAlign w:val="center"/>
          </w:tcPr>
          <w:p w:rsidR="00A327E6" w:rsidRPr="00415FA2" w:rsidRDefault="00A327E6" w:rsidP="00415FA2">
            <w:pPr>
              <w:spacing w:before="0" w:after="0" w:line="320" w:lineRule="atLeast"/>
              <w:rPr>
                <w:b/>
                <w:bCs/>
                <w:szCs w:val="24"/>
                <w:vertAlign w:val="superscript"/>
                <w:lang w:eastAsia="zh-TW"/>
              </w:rPr>
            </w:pPr>
            <w:r w:rsidRPr="00415FA2">
              <w:rPr>
                <w:b/>
                <w:bCs/>
                <w:szCs w:val="24"/>
                <w:lang w:eastAsia="zh-TW"/>
              </w:rPr>
              <w:t>Probable Asthma</w:t>
            </w:r>
            <w:r w:rsidRPr="00415FA2">
              <w:rPr>
                <w:b/>
                <w:bCs/>
                <w:szCs w:val="24"/>
                <w:vertAlign w:val="superscript"/>
                <w:lang w:eastAsia="zh-TW"/>
              </w:rPr>
              <w:t>b</w:t>
            </w:r>
          </w:p>
        </w:tc>
        <w:tc>
          <w:tcPr>
            <w:tcW w:w="1079" w:type="dxa"/>
            <w:tcBorders>
              <w:top w:val="single" w:sz="8" w:space="0" w:color="4F81BD"/>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1644</w:t>
            </w:r>
          </w:p>
        </w:tc>
        <w:tc>
          <w:tcPr>
            <w:tcW w:w="1395" w:type="dxa"/>
            <w:tcBorders>
              <w:top w:val="single" w:sz="8" w:space="0" w:color="4F81BD"/>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395" w:type="dxa"/>
            <w:tcBorders>
              <w:top w:val="single" w:sz="8" w:space="0" w:color="4F81BD"/>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395" w:type="dxa"/>
            <w:tcBorders>
              <w:top w:val="single" w:sz="8" w:space="0" w:color="4F81BD"/>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396" w:type="dxa"/>
            <w:tcBorders>
              <w:top w:val="single" w:sz="8" w:space="0" w:color="4F81BD"/>
              <w:left w:val="nil"/>
              <w:bottom w:val="nil"/>
            </w:tcBorders>
            <w:noWrap/>
            <w:vAlign w:val="center"/>
          </w:tcPr>
          <w:p w:rsidR="00A327E6" w:rsidRPr="00415FA2" w:rsidRDefault="00A327E6" w:rsidP="00415FA2">
            <w:pPr>
              <w:spacing w:before="0" w:after="0" w:line="320" w:lineRule="atLeast"/>
              <w:jc w:val="center"/>
              <w:rPr>
                <w:i/>
                <w:szCs w:val="24"/>
                <w:lang w:eastAsia="zh-TW"/>
              </w:rPr>
            </w:pPr>
          </w:p>
        </w:tc>
      </w:tr>
      <w:tr w:rsidR="00A327E6" w:rsidRPr="008D7424" w:rsidTr="00415FA2">
        <w:trPr>
          <w:trHeight w:val="315"/>
        </w:trPr>
        <w:tc>
          <w:tcPr>
            <w:tcW w:w="2898" w:type="dxa"/>
            <w:tcBorders>
              <w:top w:val="nil"/>
              <w:bottom w:val="nil"/>
              <w:right w:val="nil"/>
            </w:tcBorders>
            <w:noWrap/>
            <w:vAlign w:val="center"/>
          </w:tcPr>
          <w:p w:rsidR="00A327E6" w:rsidRPr="00415FA2" w:rsidRDefault="00A327E6" w:rsidP="00D92952">
            <w:pPr>
              <w:spacing w:before="0" w:after="0" w:line="320" w:lineRule="atLeast"/>
              <w:ind w:firstLineChars="200" w:firstLine="480"/>
              <w:rPr>
                <w:b/>
                <w:bCs/>
                <w:color w:val="104E8B"/>
                <w:szCs w:val="24"/>
                <w:lang w:eastAsia="zh-TW"/>
              </w:rPr>
            </w:pPr>
            <w:r w:rsidRPr="00415FA2">
              <w:rPr>
                <w:b/>
                <w:bCs/>
                <w:szCs w:val="24"/>
                <w:lang w:eastAsia="zh-TW"/>
              </w:rPr>
              <w:t>Low</w:t>
            </w:r>
          </w:p>
        </w:tc>
        <w:tc>
          <w:tcPr>
            <w:tcW w:w="1079"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395"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1.0</w:t>
            </w:r>
          </w:p>
        </w:tc>
        <w:tc>
          <w:tcPr>
            <w:tcW w:w="1395"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1.0</w:t>
            </w:r>
          </w:p>
        </w:tc>
        <w:tc>
          <w:tcPr>
            <w:tcW w:w="1395"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1.0</w:t>
            </w:r>
          </w:p>
        </w:tc>
        <w:tc>
          <w:tcPr>
            <w:tcW w:w="1396" w:type="dxa"/>
            <w:tcBorders>
              <w:top w:val="nil"/>
              <w:left w:val="nil"/>
              <w:bottom w:val="nil"/>
            </w:tcBorders>
            <w:noWrap/>
            <w:vAlign w:val="center"/>
          </w:tcPr>
          <w:p w:rsidR="00A327E6" w:rsidRPr="00415FA2" w:rsidRDefault="00A327E6" w:rsidP="00415FA2">
            <w:pPr>
              <w:spacing w:before="0" w:after="0" w:line="320" w:lineRule="atLeast"/>
              <w:jc w:val="center"/>
              <w:rPr>
                <w:i/>
                <w:szCs w:val="24"/>
                <w:lang w:eastAsia="zh-TW"/>
              </w:rPr>
            </w:pPr>
          </w:p>
        </w:tc>
      </w:tr>
      <w:tr w:rsidR="00A327E6" w:rsidRPr="008D7424" w:rsidTr="00415FA2">
        <w:trPr>
          <w:trHeight w:val="315"/>
        </w:trPr>
        <w:tc>
          <w:tcPr>
            <w:tcW w:w="2898" w:type="dxa"/>
            <w:tcBorders>
              <w:top w:val="nil"/>
              <w:bottom w:val="nil"/>
              <w:right w:val="nil"/>
            </w:tcBorders>
            <w:noWrap/>
            <w:vAlign w:val="center"/>
          </w:tcPr>
          <w:p w:rsidR="00A327E6" w:rsidRPr="00415FA2" w:rsidRDefault="00A327E6" w:rsidP="00D92952">
            <w:pPr>
              <w:spacing w:before="0" w:after="0" w:line="320" w:lineRule="atLeast"/>
              <w:ind w:firstLineChars="200" w:firstLine="480"/>
              <w:rPr>
                <w:b/>
                <w:bCs/>
                <w:color w:val="000000"/>
                <w:szCs w:val="24"/>
                <w:lang w:eastAsia="zh-TW"/>
              </w:rPr>
            </w:pPr>
            <w:r w:rsidRPr="00415FA2">
              <w:rPr>
                <w:b/>
                <w:bCs/>
                <w:color w:val="000000"/>
                <w:szCs w:val="24"/>
                <w:lang w:eastAsia="zh-TW"/>
              </w:rPr>
              <w:t>Medium</w:t>
            </w:r>
          </w:p>
        </w:tc>
        <w:tc>
          <w:tcPr>
            <w:tcW w:w="1079"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395"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1.3</w:t>
            </w:r>
          </w:p>
        </w:tc>
        <w:tc>
          <w:tcPr>
            <w:tcW w:w="1395"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0.5</w:t>
            </w:r>
          </w:p>
        </w:tc>
        <w:tc>
          <w:tcPr>
            <w:tcW w:w="1395"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3.0</w:t>
            </w:r>
          </w:p>
        </w:tc>
        <w:tc>
          <w:tcPr>
            <w:tcW w:w="1396" w:type="dxa"/>
            <w:tcBorders>
              <w:top w:val="nil"/>
              <w:left w:val="nil"/>
              <w:bottom w:val="nil"/>
            </w:tcBorders>
            <w:noWrap/>
            <w:vAlign w:val="center"/>
          </w:tcPr>
          <w:p w:rsidR="00A327E6" w:rsidRPr="00415FA2" w:rsidRDefault="00A327E6" w:rsidP="00415FA2">
            <w:pPr>
              <w:spacing w:before="0" w:after="0" w:line="320" w:lineRule="atLeast"/>
              <w:jc w:val="center"/>
              <w:rPr>
                <w:i/>
                <w:szCs w:val="24"/>
                <w:lang w:eastAsia="zh-TW"/>
              </w:rPr>
            </w:pPr>
            <w:r w:rsidRPr="00415FA2">
              <w:rPr>
                <w:i/>
                <w:szCs w:val="24"/>
                <w:lang w:eastAsia="zh-TW"/>
              </w:rPr>
              <w:t>0.58</w:t>
            </w:r>
          </w:p>
        </w:tc>
      </w:tr>
      <w:tr w:rsidR="00A327E6" w:rsidRPr="008D7424" w:rsidTr="00415FA2">
        <w:trPr>
          <w:trHeight w:val="315"/>
        </w:trPr>
        <w:tc>
          <w:tcPr>
            <w:tcW w:w="2898" w:type="dxa"/>
            <w:tcBorders>
              <w:top w:val="nil"/>
              <w:bottom w:val="single" w:sz="8" w:space="0" w:color="4F81BD"/>
              <w:right w:val="nil"/>
            </w:tcBorders>
            <w:noWrap/>
            <w:vAlign w:val="center"/>
          </w:tcPr>
          <w:p w:rsidR="00A327E6" w:rsidRPr="00415FA2" w:rsidRDefault="00A327E6" w:rsidP="00D92952">
            <w:pPr>
              <w:spacing w:before="0" w:after="0" w:line="320" w:lineRule="atLeast"/>
              <w:ind w:firstLineChars="200" w:firstLine="480"/>
              <w:rPr>
                <w:b/>
                <w:bCs/>
                <w:color w:val="104E8B"/>
                <w:szCs w:val="24"/>
                <w:lang w:eastAsia="zh-TW"/>
              </w:rPr>
            </w:pPr>
            <w:r w:rsidRPr="00415FA2">
              <w:rPr>
                <w:b/>
                <w:bCs/>
                <w:szCs w:val="24"/>
                <w:lang w:eastAsia="zh-TW"/>
              </w:rPr>
              <w:t>High</w:t>
            </w:r>
          </w:p>
        </w:tc>
        <w:tc>
          <w:tcPr>
            <w:tcW w:w="1079"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szCs w:val="24"/>
                <w:lang w:eastAsia="zh-TW"/>
              </w:rPr>
            </w:pPr>
          </w:p>
        </w:tc>
        <w:tc>
          <w:tcPr>
            <w:tcW w:w="1395"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3.6</w:t>
            </w:r>
          </w:p>
        </w:tc>
        <w:tc>
          <w:tcPr>
            <w:tcW w:w="1395"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1.1</w:t>
            </w:r>
          </w:p>
        </w:tc>
        <w:tc>
          <w:tcPr>
            <w:tcW w:w="1395"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11</w:t>
            </w:r>
          </w:p>
        </w:tc>
        <w:tc>
          <w:tcPr>
            <w:tcW w:w="1396" w:type="dxa"/>
            <w:tcBorders>
              <w:top w:val="nil"/>
              <w:left w:val="nil"/>
              <w:bottom w:val="single" w:sz="8" w:space="0" w:color="4F81BD"/>
            </w:tcBorders>
            <w:noWrap/>
            <w:vAlign w:val="center"/>
          </w:tcPr>
          <w:p w:rsidR="00A327E6" w:rsidRPr="00415FA2" w:rsidRDefault="00A327E6" w:rsidP="00415FA2">
            <w:pPr>
              <w:spacing w:before="0" w:after="0" w:line="320" w:lineRule="atLeast"/>
              <w:jc w:val="center"/>
              <w:rPr>
                <w:i/>
                <w:szCs w:val="24"/>
                <w:lang w:eastAsia="zh-TW"/>
              </w:rPr>
            </w:pPr>
            <w:r w:rsidRPr="00415FA2">
              <w:rPr>
                <w:i/>
                <w:szCs w:val="24"/>
                <w:lang w:eastAsia="zh-TW"/>
              </w:rPr>
              <w:t>0.03</w:t>
            </w:r>
          </w:p>
        </w:tc>
      </w:tr>
      <w:tr w:rsidR="00A327E6" w:rsidRPr="008D7424" w:rsidTr="00415FA2">
        <w:trPr>
          <w:trHeight w:val="315"/>
        </w:trPr>
        <w:tc>
          <w:tcPr>
            <w:tcW w:w="2898" w:type="dxa"/>
            <w:tcBorders>
              <w:top w:val="single" w:sz="8" w:space="0" w:color="4F81BD"/>
              <w:bottom w:val="nil"/>
              <w:right w:val="nil"/>
            </w:tcBorders>
            <w:noWrap/>
            <w:vAlign w:val="center"/>
          </w:tcPr>
          <w:p w:rsidR="00A327E6" w:rsidRPr="00415FA2" w:rsidRDefault="00A327E6" w:rsidP="00415FA2">
            <w:pPr>
              <w:spacing w:before="0" w:after="0" w:line="320" w:lineRule="atLeast"/>
              <w:rPr>
                <w:b/>
                <w:bCs/>
                <w:szCs w:val="24"/>
                <w:lang w:eastAsia="zh-TW"/>
              </w:rPr>
            </w:pPr>
            <w:r w:rsidRPr="00415FA2">
              <w:rPr>
                <w:b/>
                <w:bCs/>
                <w:szCs w:val="24"/>
                <w:lang w:eastAsia="zh-TW"/>
              </w:rPr>
              <w:t>Asthma Hospitalization</w:t>
            </w:r>
          </w:p>
        </w:tc>
        <w:tc>
          <w:tcPr>
            <w:tcW w:w="1079" w:type="dxa"/>
            <w:tcBorders>
              <w:top w:val="single" w:sz="8" w:space="0" w:color="4F81BD"/>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319</w:t>
            </w:r>
          </w:p>
        </w:tc>
        <w:tc>
          <w:tcPr>
            <w:tcW w:w="1395" w:type="dxa"/>
            <w:tcBorders>
              <w:top w:val="single" w:sz="8" w:space="0" w:color="4F81BD"/>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395" w:type="dxa"/>
            <w:tcBorders>
              <w:top w:val="single" w:sz="8" w:space="0" w:color="4F81BD"/>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395" w:type="dxa"/>
            <w:tcBorders>
              <w:top w:val="single" w:sz="8" w:space="0" w:color="4F81BD"/>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396" w:type="dxa"/>
            <w:tcBorders>
              <w:top w:val="single" w:sz="8" w:space="0" w:color="4F81BD"/>
              <w:left w:val="nil"/>
              <w:bottom w:val="nil"/>
            </w:tcBorders>
            <w:noWrap/>
            <w:vAlign w:val="center"/>
          </w:tcPr>
          <w:p w:rsidR="00A327E6" w:rsidRPr="00415FA2" w:rsidRDefault="00A327E6" w:rsidP="00415FA2">
            <w:pPr>
              <w:spacing w:before="0" w:after="0" w:line="320" w:lineRule="atLeast"/>
              <w:jc w:val="center"/>
              <w:rPr>
                <w:i/>
                <w:szCs w:val="24"/>
                <w:lang w:eastAsia="zh-TW"/>
              </w:rPr>
            </w:pPr>
          </w:p>
        </w:tc>
      </w:tr>
      <w:tr w:rsidR="00A327E6" w:rsidRPr="008D7424" w:rsidTr="00415FA2">
        <w:trPr>
          <w:trHeight w:val="315"/>
        </w:trPr>
        <w:tc>
          <w:tcPr>
            <w:tcW w:w="2898" w:type="dxa"/>
            <w:tcBorders>
              <w:top w:val="nil"/>
              <w:bottom w:val="nil"/>
              <w:right w:val="nil"/>
            </w:tcBorders>
            <w:noWrap/>
            <w:vAlign w:val="center"/>
          </w:tcPr>
          <w:p w:rsidR="00A327E6" w:rsidRPr="00415FA2" w:rsidRDefault="00A327E6" w:rsidP="00D92952">
            <w:pPr>
              <w:spacing w:before="0" w:after="0" w:line="320" w:lineRule="atLeast"/>
              <w:ind w:firstLineChars="200" w:firstLine="480"/>
              <w:rPr>
                <w:b/>
                <w:bCs/>
                <w:color w:val="104E8B"/>
                <w:szCs w:val="24"/>
                <w:lang w:eastAsia="zh-TW"/>
              </w:rPr>
            </w:pPr>
            <w:r w:rsidRPr="00415FA2">
              <w:rPr>
                <w:b/>
                <w:bCs/>
                <w:szCs w:val="24"/>
                <w:lang w:eastAsia="zh-TW"/>
              </w:rPr>
              <w:t>Low</w:t>
            </w:r>
          </w:p>
        </w:tc>
        <w:tc>
          <w:tcPr>
            <w:tcW w:w="1079"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395"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1.0</w:t>
            </w:r>
          </w:p>
        </w:tc>
        <w:tc>
          <w:tcPr>
            <w:tcW w:w="1395"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1.0</w:t>
            </w:r>
          </w:p>
        </w:tc>
        <w:tc>
          <w:tcPr>
            <w:tcW w:w="1395"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1.0</w:t>
            </w:r>
          </w:p>
        </w:tc>
        <w:tc>
          <w:tcPr>
            <w:tcW w:w="1396" w:type="dxa"/>
            <w:tcBorders>
              <w:top w:val="nil"/>
              <w:left w:val="nil"/>
              <w:bottom w:val="nil"/>
            </w:tcBorders>
            <w:noWrap/>
            <w:vAlign w:val="center"/>
          </w:tcPr>
          <w:p w:rsidR="00A327E6" w:rsidRPr="00415FA2" w:rsidRDefault="00A327E6" w:rsidP="00415FA2">
            <w:pPr>
              <w:spacing w:before="0" w:after="0" w:line="320" w:lineRule="atLeast"/>
              <w:jc w:val="center"/>
              <w:rPr>
                <w:i/>
                <w:szCs w:val="24"/>
                <w:lang w:eastAsia="zh-TW"/>
              </w:rPr>
            </w:pPr>
          </w:p>
        </w:tc>
      </w:tr>
      <w:tr w:rsidR="00A327E6" w:rsidRPr="008D7424" w:rsidTr="00415FA2">
        <w:trPr>
          <w:trHeight w:val="315"/>
        </w:trPr>
        <w:tc>
          <w:tcPr>
            <w:tcW w:w="2898" w:type="dxa"/>
            <w:tcBorders>
              <w:top w:val="nil"/>
              <w:bottom w:val="nil"/>
              <w:right w:val="nil"/>
            </w:tcBorders>
            <w:noWrap/>
            <w:vAlign w:val="center"/>
          </w:tcPr>
          <w:p w:rsidR="00A327E6" w:rsidRPr="00415FA2" w:rsidRDefault="00A327E6" w:rsidP="00D92952">
            <w:pPr>
              <w:spacing w:before="0" w:after="0" w:line="320" w:lineRule="atLeast"/>
              <w:ind w:firstLineChars="200" w:firstLine="480"/>
              <w:rPr>
                <w:b/>
                <w:bCs/>
                <w:color w:val="000000"/>
                <w:szCs w:val="24"/>
                <w:lang w:eastAsia="zh-TW"/>
              </w:rPr>
            </w:pPr>
            <w:r w:rsidRPr="00415FA2">
              <w:rPr>
                <w:b/>
                <w:bCs/>
                <w:color w:val="000000"/>
                <w:szCs w:val="24"/>
                <w:lang w:eastAsia="zh-TW"/>
              </w:rPr>
              <w:t>Medium</w:t>
            </w:r>
          </w:p>
        </w:tc>
        <w:tc>
          <w:tcPr>
            <w:tcW w:w="1079"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395"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0.6</w:t>
            </w:r>
          </w:p>
        </w:tc>
        <w:tc>
          <w:tcPr>
            <w:tcW w:w="1395"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0.3</w:t>
            </w:r>
          </w:p>
        </w:tc>
        <w:tc>
          <w:tcPr>
            <w:tcW w:w="1395"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1.5</w:t>
            </w:r>
          </w:p>
        </w:tc>
        <w:tc>
          <w:tcPr>
            <w:tcW w:w="1396" w:type="dxa"/>
            <w:tcBorders>
              <w:top w:val="nil"/>
              <w:left w:val="nil"/>
              <w:bottom w:val="nil"/>
            </w:tcBorders>
            <w:noWrap/>
            <w:vAlign w:val="center"/>
          </w:tcPr>
          <w:p w:rsidR="00A327E6" w:rsidRPr="00415FA2" w:rsidRDefault="00A327E6" w:rsidP="00415FA2">
            <w:pPr>
              <w:spacing w:before="0" w:after="0" w:line="320" w:lineRule="atLeast"/>
              <w:jc w:val="center"/>
              <w:rPr>
                <w:i/>
                <w:szCs w:val="24"/>
                <w:lang w:eastAsia="zh-TW"/>
              </w:rPr>
            </w:pPr>
            <w:r w:rsidRPr="00415FA2">
              <w:rPr>
                <w:i/>
                <w:szCs w:val="24"/>
                <w:lang w:eastAsia="zh-TW"/>
              </w:rPr>
              <w:t>0.33</w:t>
            </w:r>
          </w:p>
        </w:tc>
      </w:tr>
      <w:tr w:rsidR="00A327E6" w:rsidRPr="008D7424" w:rsidTr="00415FA2">
        <w:trPr>
          <w:trHeight w:val="315"/>
        </w:trPr>
        <w:tc>
          <w:tcPr>
            <w:tcW w:w="2898" w:type="dxa"/>
            <w:tcBorders>
              <w:top w:val="nil"/>
              <w:bottom w:val="single" w:sz="8" w:space="0" w:color="4F81BD"/>
              <w:right w:val="nil"/>
            </w:tcBorders>
            <w:noWrap/>
            <w:vAlign w:val="center"/>
          </w:tcPr>
          <w:p w:rsidR="00A327E6" w:rsidRPr="00415FA2" w:rsidRDefault="00A327E6" w:rsidP="00D92952">
            <w:pPr>
              <w:spacing w:before="0" w:after="0" w:line="320" w:lineRule="atLeast"/>
              <w:ind w:firstLineChars="200" w:firstLine="480"/>
              <w:rPr>
                <w:b/>
                <w:bCs/>
                <w:color w:val="104E8B"/>
                <w:szCs w:val="24"/>
                <w:lang w:eastAsia="zh-TW"/>
              </w:rPr>
            </w:pPr>
            <w:r w:rsidRPr="00415FA2">
              <w:rPr>
                <w:b/>
                <w:bCs/>
                <w:szCs w:val="24"/>
                <w:lang w:eastAsia="zh-TW"/>
              </w:rPr>
              <w:t>High</w:t>
            </w:r>
          </w:p>
        </w:tc>
        <w:tc>
          <w:tcPr>
            <w:tcW w:w="1079"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szCs w:val="24"/>
                <w:lang w:eastAsia="zh-TW"/>
              </w:rPr>
            </w:pPr>
          </w:p>
        </w:tc>
        <w:tc>
          <w:tcPr>
            <w:tcW w:w="1395"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1.0</w:t>
            </w:r>
          </w:p>
        </w:tc>
        <w:tc>
          <w:tcPr>
            <w:tcW w:w="1395"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0.3</w:t>
            </w:r>
          </w:p>
        </w:tc>
        <w:tc>
          <w:tcPr>
            <w:tcW w:w="1395"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3.3</w:t>
            </w:r>
          </w:p>
        </w:tc>
        <w:tc>
          <w:tcPr>
            <w:tcW w:w="1396" w:type="dxa"/>
            <w:tcBorders>
              <w:top w:val="nil"/>
              <w:left w:val="nil"/>
              <w:bottom w:val="single" w:sz="8" w:space="0" w:color="4F81BD"/>
            </w:tcBorders>
            <w:noWrap/>
            <w:vAlign w:val="center"/>
          </w:tcPr>
          <w:p w:rsidR="00A327E6" w:rsidRPr="00415FA2" w:rsidRDefault="00A327E6" w:rsidP="00415FA2">
            <w:pPr>
              <w:spacing w:before="0" w:after="0" w:line="320" w:lineRule="atLeast"/>
              <w:jc w:val="center"/>
              <w:rPr>
                <w:i/>
                <w:szCs w:val="24"/>
                <w:lang w:eastAsia="zh-TW"/>
              </w:rPr>
            </w:pPr>
            <w:r w:rsidRPr="00415FA2">
              <w:rPr>
                <w:i/>
                <w:szCs w:val="24"/>
                <w:lang w:eastAsia="zh-TW"/>
              </w:rPr>
              <w:t>0.96</w:t>
            </w:r>
          </w:p>
        </w:tc>
      </w:tr>
      <w:tr w:rsidR="00A327E6" w:rsidRPr="008D7424" w:rsidTr="00415FA2">
        <w:trPr>
          <w:trHeight w:val="315"/>
        </w:trPr>
        <w:tc>
          <w:tcPr>
            <w:tcW w:w="2898" w:type="dxa"/>
            <w:tcBorders>
              <w:top w:val="single" w:sz="8" w:space="0" w:color="4F81BD"/>
              <w:bottom w:val="nil"/>
              <w:right w:val="nil"/>
            </w:tcBorders>
            <w:noWrap/>
            <w:vAlign w:val="center"/>
          </w:tcPr>
          <w:p w:rsidR="00A327E6" w:rsidRPr="00415FA2" w:rsidRDefault="00A327E6" w:rsidP="00415FA2">
            <w:pPr>
              <w:spacing w:before="0" w:after="0" w:line="240" w:lineRule="auto"/>
              <w:rPr>
                <w:b/>
                <w:bCs/>
                <w:szCs w:val="24"/>
                <w:lang w:eastAsia="zh-TW"/>
              </w:rPr>
            </w:pPr>
            <w:r w:rsidRPr="00415FA2">
              <w:rPr>
                <w:b/>
                <w:bCs/>
                <w:szCs w:val="24"/>
                <w:lang w:eastAsia="zh-TW"/>
              </w:rPr>
              <w:t>Chronic Bronchitis /</w:t>
            </w:r>
          </w:p>
          <w:p w:rsidR="00A327E6" w:rsidRPr="00415FA2" w:rsidRDefault="00A327E6" w:rsidP="00415FA2">
            <w:pPr>
              <w:spacing w:before="0" w:after="0" w:line="240" w:lineRule="auto"/>
              <w:rPr>
                <w:b/>
                <w:bCs/>
                <w:szCs w:val="24"/>
                <w:lang w:eastAsia="zh-TW"/>
              </w:rPr>
            </w:pPr>
            <w:r w:rsidRPr="00415FA2">
              <w:rPr>
                <w:b/>
                <w:bCs/>
                <w:szCs w:val="24"/>
                <w:lang w:eastAsia="zh-TW"/>
              </w:rPr>
              <w:t>Chest Infections</w:t>
            </w:r>
          </w:p>
        </w:tc>
        <w:tc>
          <w:tcPr>
            <w:tcW w:w="1079" w:type="dxa"/>
            <w:tcBorders>
              <w:top w:val="single" w:sz="8" w:space="0" w:color="4F81BD"/>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2082</w:t>
            </w:r>
          </w:p>
        </w:tc>
        <w:tc>
          <w:tcPr>
            <w:tcW w:w="1395" w:type="dxa"/>
            <w:tcBorders>
              <w:top w:val="single" w:sz="8" w:space="0" w:color="4F81BD"/>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395" w:type="dxa"/>
            <w:tcBorders>
              <w:top w:val="single" w:sz="8" w:space="0" w:color="4F81BD"/>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395" w:type="dxa"/>
            <w:tcBorders>
              <w:top w:val="single" w:sz="8" w:space="0" w:color="4F81BD"/>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396" w:type="dxa"/>
            <w:tcBorders>
              <w:top w:val="single" w:sz="8" w:space="0" w:color="4F81BD"/>
              <w:left w:val="nil"/>
              <w:bottom w:val="nil"/>
            </w:tcBorders>
            <w:noWrap/>
            <w:vAlign w:val="center"/>
          </w:tcPr>
          <w:p w:rsidR="00A327E6" w:rsidRPr="00415FA2" w:rsidRDefault="00A327E6" w:rsidP="00415FA2">
            <w:pPr>
              <w:spacing w:before="0" w:after="0" w:line="320" w:lineRule="atLeast"/>
              <w:jc w:val="center"/>
              <w:rPr>
                <w:i/>
                <w:szCs w:val="24"/>
                <w:lang w:eastAsia="zh-TW"/>
              </w:rPr>
            </w:pPr>
          </w:p>
        </w:tc>
      </w:tr>
      <w:tr w:rsidR="00A327E6" w:rsidRPr="008D7424" w:rsidTr="00415FA2">
        <w:trPr>
          <w:trHeight w:val="315"/>
        </w:trPr>
        <w:tc>
          <w:tcPr>
            <w:tcW w:w="2898" w:type="dxa"/>
            <w:tcBorders>
              <w:top w:val="nil"/>
              <w:bottom w:val="nil"/>
              <w:right w:val="nil"/>
            </w:tcBorders>
            <w:noWrap/>
            <w:vAlign w:val="center"/>
          </w:tcPr>
          <w:p w:rsidR="00A327E6" w:rsidRPr="00415FA2" w:rsidRDefault="00A327E6" w:rsidP="00D92952">
            <w:pPr>
              <w:spacing w:before="0" w:after="0" w:line="320" w:lineRule="atLeast"/>
              <w:ind w:firstLineChars="200" w:firstLine="480"/>
              <w:rPr>
                <w:b/>
                <w:bCs/>
                <w:color w:val="104E8B"/>
                <w:szCs w:val="24"/>
                <w:lang w:eastAsia="zh-TW"/>
              </w:rPr>
            </w:pPr>
            <w:r w:rsidRPr="00415FA2">
              <w:rPr>
                <w:b/>
                <w:bCs/>
                <w:szCs w:val="24"/>
                <w:lang w:eastAsia="zh-TW"/>
              </w:rPr>
              <w:t>Low</w:t>
            </w:r>
          </w:p>
        </w:tc>
        <w:tc>
          <w:tcPr>
            <w:tcW w:w="1079"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395"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1.0</w:t>
            </w:r>
          </w:p>
        </w:tc>
        <w:tc>
          <w:tcPr>
            <w:tcW w:w="1395"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1.0</w:t>
            </w:r>
          </w:p>
        </w:tc>
        <w:tc>
          <w:tcPr>
            <w:tcW w:w="1395"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1.0</w:t>
            </w:r>
          </w:p>
        </w:tc>
        <w:tc>
          <w:tcPr>
            <w:tcW w:w="1396" w:type="dxa"/>
            <w:tcBorders>
              <w:top w:val="nil"/>
              <w:left w:val="nil"/>
              <w:bottom w:val="nil"/>
            </w:tcBorders>
            <w:noWrap/>
            <w:vAlign w:val="center"/>
          </w:tcPr>
          <w:p w:rsidR="00A327E6" w:rsidRPr="00415FA2" w:rsidRDefault="00A327E6" w:rsidP="00415FA2">
            <w:pPr>
              <w:spacing w:before="0" w:after="0" w:line="320" w:lineRule="atLeast"/>
              <w:jc w:val="center"/>
              <w:rPr>
                <w:i/>
                <w:szCs w:val="24"/>
                <w:lang w:eastAsia="zh-TW"/>
              </w:rPr>
            </w:pPr>
          </w:p>
        </w:tc>
      </w:tr>
      <w:tr w:rsidR="00A327E6" w:rsidRPr="008D7424" w:rsidTr="00415FA2">
        <w:trPr>
          <w:trHeight w:val="315"/>
        </w:trPr>
        <w:tc>
          <w:tcPr>
            <w:tcW w:w="2898" w:type="dxa"/>
            <w:tcBorders>
              <w:top w:val="nil"/>
              <w:bottom w:val="nil"/>
              <w:right w:val="nil"/>
            </w:tcBorders>
            <w:noWrap/>
            <w:vAlign w:val="center"/>
          </w:tcPr>
          <w:p w:rsidR="00A327E6" w:rsidRPr="00415FA2" w:rsidRDefault="00A327E6" w:rsidP="00D92952">
            <w:pPr>
              <w:spacing w:before="0" w:after="0" w:line="320" w:lineRule="atLeast"/>
              <w:ind w:firstLineChars="200" w:firstLine="480"/>
              <w:rPr>
                <w:b/>
                <w:bCs/>
                <w:color w:val="000000"/>
                <w:szCs w:val="24"/>
                <w:lang w:eastAsia="zh-TW"/>
              </w:rPr>
            </w:pPr>
            <w:r w:rsidRPr="00415FA2">
              <w:rPr>
                <w:b/>
                <w:bCs/>
                <w:color w:val="000000"/>
                <w:szCs w:val="24"/>
                <w:lang w:eastAsia="zh-TW"/>
              </w:rPr>
              <w:t>Medium</w:t>
            </w:r>
          </w:p>
        </w:tc>
        <w:tc>
          <w:tcPr>
            <w:tcW w:w="1079"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395"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1.2</w:t>
            </w:r>
          </w:p>
        </w:tc>
        <w:tc>
          <w:tcPr>
            <w:tcW w:w="1395"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0.6</w:t>
            </w:r>
          </w:p>
        </w:tc>
        <w:tc>
          <w:tcPr>
            <w:tcW w:w="1395"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2.2</w:t>
            </w:r>
          </w:p>
        </w:tc>
        <w:tc>
          <w:tcPr>
            <w:tcW w:w="1396" w:type="dxa"/>
            <w:tcBorders>
              <w:top w:val="nil"/>
              <w:left w:val="nil"/>
              <w:bottom w:val="nil"/>
            </w:tcBorders>
            <w:noWrap/>
            <w:vAlign w:val="center"/>
          </w:tcPr>
          <w:p w:rsidR="00A327E6" w:rsidRPr="00415FA2" w:rsidRDefault="00A327E6" w:rsidP="00415FA2">
            <w:pPr>
              <w:spacing w:before="0" w:after="0" w:line="320" w:lineRule="atLeast"/>
              <w:jc w:val="center"/>
              <w:rPr>
                <w:i/>
                <w:szCs w:val="24"/>
                <w:lang w:eastAsia="zh-TW"/>
              </w:rPr>
            </w:pPr>
            <w:r w:rsidRPr="00415FA2">
              <w:rPr>
                <w:i/>
                <w:szCs w:val="24"/>
                <w:lang w:eastAsia="zh-TW"/>
              </w:rPr>
              <w:t>0.61</w:t>
            </w:r>
          </w:p>
        </w:tc>
      </w:tr>
      <w:tr w:rsidR="00A327E6" w:rsidRPr="008D7424" w:rsidTr="00415FA2">
        <w:trPr>
          <w:trHeight w:val="315"/>
        </w:trPr>
        <w:tc>
          <w:tcPr>
            <w:tcW w:w="2898" w:type="dxa"/>
            <w:tcBorders>
              <w:top w:val="nil"/>
              <w:bottom w:val="single" w:sz="8" w:space="0" w:color="4F81BD"/>
              <w:right w:val="nil"/>
            </w:tcBorders>
            <w:noWrap/>
            <w:vAlign w:val="center"/>
          </w:tcPr>
          <w:p w:rsidR="00A327E6" w:rsidRPr="00415FA2" w:rsidRDefault="00A327E6" w:rsidP="00D92952">
            <w:pPr>
              <w:spacing w:before="0" w:after="0" w:line="320" w:lineRule="atLeast"/>
              <w:ind w:firstLineChars="200" w:firstLine="480"/>
              <w:rPr>
                <w:b/>
                <w:bCs/>
                <w:color w:val="104E8B"/>
                <w:szCs w:val="24"/>
                <w:lang w:eastAsia="zh-TW"/>
              </w:rPr>
            </w:pPr>
            <w:r w:rsidRPr="00415FA2">
              <w:rPr>
                <w:b/>
                <w:bCs/>
                <w:szCs w:val="24"/>
                <w:lang w:eastAsia="zh-TW"/>
              </w:rPr>
              <w:t>High</w:t>
            </w:r>
          </w:p>
        </w:tc>
        <w:tc>
          <w:tcPr>
            <w:tcW w:w="1079"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szCs w:val="24"/>
                <w:lang w:eastAsia="zh-TW"/>
              </w:rPr>
            </w:pPr>
          </w:p>
        </w:tc>
        <w:tc>
          <w:tcPr>
            <w:tcW w:w="1395"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1.7</w:t>
            </w:r>
          </w:p>
        </w:tc>
        <w:tc>
          <w:tcPr>
            <w:tcW w:w="1395"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0.7</w:t>
            </w:r>
          </w:p>
        </w:tc>
        <w:tc>
          <w:tcPr>
            <w:tcW w:w="1395"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4.0</w:t>
            </w:r>
          </w:p>
        </w:tc>
        <w:tc>
          <w:tcPr>
            <w:tcW w:w="1396" w:type="dxa"/>
            <w:tcBorders>
              <w:top w:val="nil"/>
              <w:left w:val="nil"/>
              <w:bottom w:val="single" w:sz="8" w:space="0" w:color="4F81BD"/>
            </w:tcBorders>
            <w:noWrap/>
            <w:vAlign w:val="center"/>
          </w:tcPr>
          <w:p w:rsidR="00A327E6" w:rsidRPr="00415FA2" w:rsidRDefault="00A327E6" w:rsidP="00415FA2">
            <w:pPr>
              <w:spacing w:before="0" w:after="0" w:line="320" w:lineRule="atLeast"/>
              <w:jc w:val="center"/>
              <w:rPr>
                <w:i/>
                <w:szCs w:val="24"/>
                <w:lang w:eastAsia="zh-TW"/>
              </w:rPr>
            </w:pPr>
            <w:r w:rsidRPr="00415FA2">
              <w:rPr>
                <w:i/>
                <w:szCs w:val="24"/>
                <w:lang w:eastAsia="zh-TW"/>
              </w:rPr>
              <w:t>0.25</w:t>
            </w:r>
          </w:p>
        </w:tc>
      </w:tr>
      <w:tr w:rsidR="00A327E6" w:rsidRPr="008D7424" w:rsidTr="00415FA2">
        <w:trPr>
          <w:trHeight w:val="547"/>
        </w:trPr>
        <w:tc>
          <w:tcPr>
            <w:tcW w:w="9558" w:type="dxa"/>
            <w:gridSpan w:val="6"/>
            <w:tcBorders>
              <w:top w:val="single" w:sz="8" w:space="0" w:color="4F81BD"/>
              <w:bottom w:val="single" w:sz="8" w:space="0" w:color="4F81BD"/>
            </w:tcBorders>
          </w:tcPr>
          <w:p w:rsidR="00A327E6" w:rsidRPr="00415FA2" w:rsidRDefault="00A327E6" w:rsidP="00415FA2">
            <w:pPr>
              <w:spacing w:before="0" w:after="0" w:line="320" w:lineRule="atLeast"/>
              <w:rPr>
                <w:b/>
                <w:bCs/>
                <w:szCs w:val="24"/>
                <w:lang w:eastAsia="zh-TW"/>
              </w:rPr>
            </w:pPr>
            <w:r w:rsidRPr="00415FA2">
              <w:rPr>
                <w:bCs/>
                <w:szCs w:val="24"/>
                <w:vertAlign w:val="superscript"/>
                <w:lang w:eastAsia="zh-TW"/>
              </w:rPr>
              <w:t>a</w:t>
            </w:r>
            <w:r w:rsidRPr="00415FA2">
              <w:rPr>
                <w:bCs/>
                <w:szCs w:val="24"/>
                <w:lang w:eastAsia="zh-TW"/>
              </w:rPr>
              <w:t>All models were adjusted for age, sex, household income (PIR), maternal education, household indoor smoking, household NO2 sources, household allergens, household mold, and background air pollution exposure. Exposure to background air pollution was adjusted using estimated residential background PM</w:t>
            </w:r>
            <w:r w:rsidRPr="00415FA2">
              <w:rPr>
                <w:bCs/>
                <w:szCs w:val="24"/>
                <w:vertAlign w:val="subscript"/>
                <w:lang w:eastAsia="zh-TW"/>
              </w:rPr>
              <w:t>2.5</w:t>
            </w:r>
            <w:r w:rsidRPr="00415FA2">
              <w:rPr>
                <w:bCs/>
                <w:szCs w:val="24"/>
                <w:lang w:eastAsia="zh-TW"/>
              </w:rPr>
              <w:t xml:space="preserve"> concentrations and residential proximity to a major road (&lt;200 meters).</w:t>
            </w:r>
          </w:p>
          <w:p w:rsidR="00A327E6" w:rsidRPr="00415FA2" w:rsidRDefault="00A327E6" w:rsidP="00415FA2">
            <w:pPr>
              <w:spacing w:before="0" w:after="0" w:line="320" w:lineRule="atLeast"/>
              <w:rPr>
                <w:b/>
                <w:bCs/>
                <w:szCs w:val="24"/>
                <w:lang w:eastAsia="zh-TW"/>
              </w:rPr>
            </w:pPr>
            <w:r w:rsidRPr="00415FA2">
              <w:rPr>
                <w:bCs/>
                <w:szCs w:val="24"/>
                <w:vertAlign w:val="superscript"/>
                <w:lang w:eastAsia="zh-TW"/>
              </w:rPr>
              <w:t>b</w:t>
            </w:r>
            <w:r w:rsidRPr="00415FA2">
              <w:rPr>
                <w:bCs/>
                <w:szCs w:val="24"/>
                <w:lang w:eastAsia="zh-TW"/>
              </w:rPr>
              <w:t>Test of trend for this association was statistically significant (p&lt;0.05).</w:t>
            </w:r>
          </w:p>
        </w:tc>
      </w:tr>
    </w:tbl>
    <w:p w:rsidR="00A327E6" w:rsidRDefault="00A327E6" w:rsidP="00E44AAF">
      <w:pPr>
        <w:pStyle w:val="NormalIndent"/>
        <w:spacing w:before="100" w:beforeAutospacing="1" w:after="100" w:afterAutospacing="1" w:line="400" w:lineRule="atLeast"/>
        <w:ind w:firstLine="547"/>
        <w:rPr>
          <w:szCs w:val="24"/>
        </w:rPr>
      </w:pPr>
    </w:p>
    <w:p w:rsidR="00A327E6" w:rsidRPr="0021796A" w:rsidRDefault="00A327E6" w:rsidP="00DD7B35">
      <w:pPr>
        <w:pStyle w:val="Heading2"/>
        <w:spacing w:line="240" w:lineRule="auto"/>
      </w:pPr>
      <w:bookmarkStart w:id="229" w:name="_Toc350413103"/>
      <w:bookmarkStart w:id="230" w:name="_Toc388543116"/>
      <w:r w:rsidRPr="0021796A">
        <w:t>Adjusted Multivariate Regression Models: Associations between Audito</w:t>
      </w:r>
      <w:r>
        <w:t xml:space="preserve">ry Health Effects and </w:t>
      </w:r>
      <w:r w:rsidRPr="0021796A">
        <w:t xml:space="preserve">Noise Exposure </w:t>
      </w:r>
      <w:r>
        <w:t>A</w:t>
      </w:r>
      <w:r w:rsidRPr="0021796A">
        <w:t>reas</w:t>
      </w:r>
      <w:bookmarkEnd w:id="229"/>
      <w:bookmarkEnd w:id="230"/>
      <w:r w:rsidRPr="0021796A">
        <w:t xml:space="preserve"> </w:t>
      </w:r>
    </w:p>
    <w:p w:rsidR="00A327E6" w:rsidRPr="008F509F" w:rsidRDefault="00A327E6" w:rsidP="00517414">
      <w:pPr>
        <w:pStyle w:val="NormalIndent"/>
        <w:spacing w:before="100" w:beforeAutospacing="1" w:after="100" w:afterAutospacing="1" w:line="400" w:lineRule="atLeast"/>
        <w:sectPr w:rsidR="00A327E6" w:rsidRPr="008F509F" w:rsidSect="00F0365A">
          <w:footerReference w:type="default" r:id="rId30"/>
          <w:pgSz w:w="12240" w:h="15840" w:code="1"/>
          <w:pgMar w:top="1440" w:right="1440" w:bottom="1440" w:left="1440" w:header="720" w:footer="720" w:gutter="0"/>
          <w:cols w:space="720"/>
          <w:docGrid w:linePitch="360"/>
        </w:sectPr>
      </w:pPr>
      <w:r w:rsidRPr="008F509F">
        <w:rPr>
          <w:szCs w:val="24"/>
        </w:rPr>
        <w:t>Table 6-10 presents results of multivariate logistic regression models for associations between categories of airport-related noise exposure and auditory health outcomes in adults and children.  Children’s analyses were adjusted for the presence or absence of home soundproofing obtained from Massport as part of their noise abatement program.  Massport soundproofing was evaluated in adult models, as well, but was not found to have any effect on the association between noise exposure category and hearing impairment and so was not included in final models.  No statistically significant associations were observed for either adults or children and confidence intervals were wide</w:t>
      </w:r>
      <w:r>
        <w:rPr>
          <w:szCs w:val="24"/>
        </w:rPr>
        <w:t xml:space="preserve">.  </w:t>
      </w:r>
      <w:r w:rsidRPr="008F509F">
        <w:rPr>
          <w:szCs w:val="24"/>
        </w:rPr>
        <w:t>The direction of effect indicated by the ORs (lower than 1 or higher than 1) varied for the three outcomes evaluated in adults.</w:t>
      </w:r>
      <w:bookmarkStart w:id="231" w:name="_Toc336343185"/>
      <w:bookmarkStart w:id="232" w:name="_Toc344363033"/>
      <w:bookmarkStart w:id="233" w:name="_Toc344476507"/>
      <w:bookmarkEnd w:id="225"/>
    </w:p>
    <w:p w:rsidR="00A327E6" w:rsidRDefault="00A327E6" w:rsidP="00E17A00">
      <w:pPr>
        <w:pStyle w:val="Caption"/>
        <w:spacing w:before="0" w:after="0" w:line="240" w:lineRule="auto"/>
        <w:rPr>
          <w:szCs w:val="24"/>
        </w:rPr>
      </w:pPr>
      <w:bookmarkStart w:id="234" w:name="_Toc386796303"/>
      <w:r>
        <w:t xml:space="preserve">Table </w:t>
      </w:r>
      <w:fldSimple w:instr=" STYLEREF 1 \s ">
        <w:r>
          <w:rPr>
            <w:noProof/>
          </w:rPr>
          <w:t>6</w:t>
        </w:r>
      </w:fldSimple>
      <w:r>
        <w:noBreakHyphen/>
      </w:r>
      <w:fldSimple w:instr=" SEQ Table \* ARABIC \s 1 ">
        <w:r>
          <w:rPr>
            <w:noProof/>
          </w:rPr>
          <w:t>10</w:t>
        </w:r>
      </w:fldSimple>
      <w:r>
        <w:t xml:space="preserve">.  </w:t>
      </w:r>
      <w:r w:rsidRPr="0021796A">
        <w:rPr>
          <w:szCs w:val="24"/>
        </w:rPr>
        <w:t>Estimated Exposure to Airport-related Noise and Adjusted Odds of Auditory Impairment Among Adults and Children Living in the Logan Airport Health Study Area (2005)</w:t>
      </w:r>
      <w:bookmarkEnd w:id="234"/>
    </w:p>
    <w:tbl>
      <w:tblPr>
        <w:tblpPr w:leftFromText="180" w:rightFromText="180" w:vertAnchor="text" w:horzAnchor="margin" w:tblpY="339"/>
        <w:tblW w:w="9645" w:type="dxa"/>
        <w:tblBorders>
          <w:top w:val="single" w:sz="8" w:space="0" w:color="4F81BD"/>
          <w:left w:val="single" w:sz="8" w:space="0" w:color="4F81BD"/>
          <w:bottom w:val="single" w:sz="8" w:space="0" w:color="4F81BD"/>
          <w:right w:val="single" w:sz="8" w:space="0" w:color="4F81BD"/>
        </w:tblBorders>
        <w:tblLayout w:type="fixed"/>
        <w:tblLook w:val="00A0"/>
      </w:tblPr>
      <w:tblGrid>
        <w:gridCol w:w="3255"/>
        <w:gridCol w:w="1080"/>
        <w:gridCol w:w="1327"/>
        <w:gridCol w:w="1328"/>
        <w:gridCol w:w="1327"/>
        <w:gridCol w:w="1328"/>
      </w:tblGrid>
      <w:tr w:rsidR="00A327E6" w:rsidRPr="0021796A" w:rsidTr="00415FA2">
        <w:trPr>
          <w:trHeight w:val="630"/>
        </w:trPr>
        <w:tc>
          <w:tcPr>
            <w:tcW w:w="3255" w:type="dxa"/>
            <w:tcBorders>
              <w:top w:val="single" w:sz="8" w:space="0" w:color="4F81BD"/>
              <w:bottom w:val="single" w:sz="8" w:space="0" w:color="4F81BD"/>
            </w:tcBorders>
            <w:shd w:val="clear" w:color="auto" w:fill="4F81BD"/>
            <w:noWrap/>
            <w:vAlign w:val="center"/>
          </w:tcPr>
          <w:p w:rsidR="00A327E6" w:rsidRPr="00415FA2" w:rsidRDefault="00A327E6" w:rsidP="00415FA2">
            <w:pPr>
              <w:spacing w:before="0" w:after="0" w:line="240" w:lineRule="auto"/>
              <w:rPr>
                <w:b/>
                <w:bCs/>
                <w:color w:val="FFFFFF"/>
                <w:szCs w:val="24"/>
                <w:lang w:eastAsia="zh-TW"/>
              </w:rPr>
            </w:pPr>
            <w:r w:rsidRPr="00415FA2">
              <w:rPr>
                <w:b/>
                <w:bCs/>
                <w:color w:val="FFFFFF"/>
                <w:szCs w:val="24"/>
                <w:lang w:eastAsia="zh-TW"/>
              </w:rPr>
              <w:t>Health Outcome</w:t>
            </w:r>
          </w:p>
        </w:tc>
        <w:tc>
          <w:tcPr>
            <w:tcW w:w="1080" w:type="dxa"/>
            <w:tcBorders>
              <w:top w:val="single" w:sz="8" w:space="0" w:color="4F81BD"/>
              <w:left w:val="single" w:sz="8" w:space="0" w:color="4F81BD"/>
              <w:bottom w:val="single" w:sz="8" w:space="0" w:color="4F81BD"/>
              <w:right w:val="single" w:sz="8" w:space="0" w:color="4F81BD"/>
            </w:tcBorders>
            <w:shd w:val="clear" w:color="auto" w:fill="4F81BD"/>
            <w:vAlign w:val="center"/>
          </w:tcPr>
          <w:p w:rsidR="00A327E6" w:rsidRPr="00415FA2" w:rsidRDefault="00A327E6" w:rsidP="00415FA2">
            <w:pPr>
              <w:spacing w:before="0" w:after="0" w:line="240" w:lineRule="auto"/>
              <w:jc w:val="center"/>
              <w:rPr>
                <w:b/>
                <w:bCs/>
                <w:color w:val="FFFFFF"/>
                <w:szCs w:val="24"/>
                <w:lang w:eastAsia="zh-TW"/>
              </w:rPr>
            </w:pPr>
            <w:r w:rsidRPr="00415FA2">
              <w:rPr>
                <w:b/>
                <w:bCs/>
                <w:color w:val="FFFFFF"/>
                <w:szCs w:val="24"/>
                <w:lang w:eastAsia="zh-TW"/>
              </w:rPr>
              <w:t>Sample Size</w:t>
            </w:r>
          </w:p>
        </w:tc>
        <w:tc>
          <w:tcPr>
            <w:tcW w:w="1327" w:type="dxa"/>
            <w:tcBorders>
              <w:top w:val="single" w:sz="8" w:space="0" w:color="4F81BD"/>
              <w:bottom w:val="single" w:sz="8" w:space="0" w:color="4F81BD"/>
            </w:tcBorders>
            <w:shd w:val="clear" w:color="auto" w:fill="4F81BD"/>
            <w:noWrap/>
            <w:vAlign w:val="center"/>
          </w:tcPr>
          <w:p w:rsidR="00A327E6" w:rsidRPr="00415FA2" w:rsidRDefault="00A327E6" w:rsidP="00415FA2">
            <w:pPr>
              <w:spacing w:before="0" w:after="0" w:line="240" w:lineRule="auto"/>
              <w:jc w:val="center"/>
              <w:rPr>
                <w:b/>
                <w:bCs/>
                <w:color w:val="FFFFFF"/>
                <w:szCs w:val="24"/>
                <w:lang w:eastAsia="zh-TW"/>
              </w:rPr>
            </w:pPr>
            <w:r w:rsidRPr="00415FA2">
              <w:rPr>
                <w:b/>
                <w:bCs/>
                <w:color w:val="FFFFFF"/>
                <w:szCs w:val="24"/>
                <w:lang w:eastAsia="zh-TW"/>
              </w:rPr>
              <w:t>Odds Ratio</w:t>
            </w:r>
          </w:p>
        </w:tc>
        <w:tc>
          <w:tcPr>
            <w:tcW w:w="1328" w:type="dxa"/>
            <w:tcBorders>
              <w:top w:val="single" w:sz="8" w:space="0" w:color="4F81BD"/>
              <w:left w:val="single" w:sz="8" w:space="0" w:color="4F81BD"/>
              <w:bottom w:val="single" w:sz="8" w:space="0" w:color="4F81BD"/>
              <w:right w:val="single" w:sz="8" w:space="0" w:color="4F81BD"/>
            </w:tcBorders>
            <w:shd w:val="clear" w:color="auto" w:fill="4F81BD"/>
            <w:vAlign w:val="center"/>
          </w:tcPr>
          <w:p w:rsidR="00A327E6" w:rsidRPr="00415FA2" w:rsidRDefault="00A327E6" w:rsidP="00415FA2">
            <w:pPr>
              <w:spacing w:before="0" w:after="0" w:line="240" w:lineRule="auto"/>
              <w:jc w:val="center"/>
              <w:rPr>
                <w:b/>
                <w:bCs/>
                <w:color w:val="FFFFFF"/>
                <w:szCs w:val="24"/>
                <w:lang w:eastAsia="zh-TW"/>
              </w:rPr>
            </w:pPr>
            <w:r w:rsidRPr="00415FA2">
              <w:rPr>
                <w:b/>
                <w:bCs/>
                <w:color w:val="FFFFFF"/>
                <w:szCs w:val="24"/>
                <w:lang w:eastAsia="zh-TW"/>
              </w:rPr>
              <w:t>Lower 95% CI</w:t>
            </w:r>
          </w:p>
        </w:tc>
        <w:tc>
          <w:tcPr>
            <w:tcW w:w="1327" w:type="dxa"/>
            <w:tcBorders>
              <w:top w:val="single" w:sz="8" w:space="0" w:color="4F81BD"/>
              <w:bottom w:val="single" w:sz="8" w:space="0" w:color="4F81BD"/>
            </w:tcBorders>
            <w:shd w:val="clear" w:color="auto" w:fill="4F81BD"/>
            <w:vAlign w:val="center"/>
          </w:tcPr>
          <w:p w:rsidR="00A327E6" w:rsidRPr="00415FA2" w:rsidRDefault="00A327E6" w:rsidP="00415FA2">
            <w:pPr>
              <w:spacing w:before="0" w:after="0" w:line="240" w:lineRule="auto"/>
              <w:jc w:val="center"/>
              <w:rPr>
                <w:b/>
                <w:bCs/>
                <w:color w:val="FFFFFF"/>
                <w:szCs w:val="24"/>
                <w:lang w:eastAsia="zh-TW"/>
              </w:rPr>
            </w:pPr>
            <w:r w:rsidRPr="00415FA2">
              <w:rPr>
                <w:b/>
                <w:bCs/>
                <w:color w:val="FFFFFF"/>
                <w:szCs w:val="24"/>
                <w:lang w:eastAsia="zh-TW"/>
              </w:rPr>
              <w:t>Upper 95% CI</w:t>
            </w:r>
          </w:p>
        </w:tc>
        <w:tc>
          <w:tcPr>
            <w:tcW w:w="1328" w:type="dxa"/>
            <w:tcBorders>
              <w:top w:val="single" w:sz="8" w:space="0" w:color="4F81BD"/>
              <w:left w:val="single" w:sz="8" w:space="0" w:color="4F81BD"/>
              <w:bottom w:val="single" w:sz="8" w:space="0" w:color="4F81BD"/>
            </w:tcBorders>
            <w:shd w:val="clear" w:color="auto" w:fill="4F81BD"/>
            <w:noWrap/>
            <w:vAlign w:val="center"/>
          </w:tcPr>
          <w:p w:rsidR="00A327E6" w:rsidRPr="00415FA2" w:rsidRDefault="00A327E6" w:rsidP="00415FA2">
            <w:pPr>
              <w:spacing w:before="0" w:after="0" w:line="240" w:lineRule="auto"/>
              <w:jc w:val="center"/>
              <w:rPr>
                <w:b/>
                <w:bCs/>
                <w:color w:val="FFFFFF"/>
                <w:szCs w:val="24"/>
                <w:lang w:eastAsia="zh-TW"/>
              </w:rPr>
            </w:pPr>
            <w:r w:rsidRPr="00415FA2">
              <w:rPr>
                <w:b/>
                <w:bCs/>
                <w:color w:val="FFFFFF"/>
                <w:szCs w:val="24"/>
                <w:lang w:eastAsia="zh-TW"/>
              </w:rPr>
              <w:t>p-value</w:t>
            </w:r>
          </w:p>
        </w:tc>
      </w:tr>
      <w:tr w:rsidR="00A327E6" w:rsidRPr="0021796A" w:rsidTr="00415FA2">
        <w:trPr>
          <w:trHeight w:val="315"/>
        </w:trPr>
        <w:tc>
          <w:tcPr>
            <w:tcW w:w="3255" w:type="dxa"/>
            <w:tcBorders>
              <w:top w:val="single" w:sz="8" w:space="0" w:color="4F81BD"/>
              <w:bottom w:val="nil"/>
              <w:right w:val="nil"/>
            </w:tcBorders>
            <w:shd w:val="clear" w:color="auto" w:fill="DBE5F1"/>
            <w:noWrap/>
            <w:vAlign w:val="center"/>
          </w:tcPr>
          <w:p w:rsidR="00A327E6" w:rsidRPr="00415FA2" w:rsidRDefault="00A327E6" w:rsidP="00415FA2">
            <w:pPr>
              <w:spacing w:before="0" w:after="0" w:line="320" w:lineRule="atLeast"/>
              <w:rPr>
                <w:b/>
                <w:bCs/>
                <w:szCs w:val="24"/>
                <w:vertAlign w:val="superscript"/>
                <w:lang w:eastAsia="zh-TW"/>
              </w:rPr>
            </w:pPr>
            <w:r w:rsidRPr="00415FA2">
              <w:rPr>
                <w:b/>
                <w:bCs/>
                <w:szCs w:val="24"/>
                <w:lang w:eastAsia="zh-TW"/>
              </w:rPr>
              <w:t>Adults</w:t>
            </w:r>
            <w:r w:rsidRPr="00415FA2">
              <w:rPr>
                <w:b/>
                <w:bCs/>
                <w:szCs w:val="24"/>
                <w:vertAlign w:val="superscript"/>
                <w:lang w:eastAsia="zh-TW"/>
              </w:rPr>
              <w:t>a</w:t>
            </w:r>
          </w:p>
        </w:tc>
        <w:tc>
          <w:tcPr>
            <w:tcW w:w="1080" w:type="dxa"/>
            <w:tcBorders>
              <w:top w:val="single" w:sz="8" w:space="0" w:color="4F81BD"/>
              <w:left w:val="nil"/>
              <w:bottom w:val="nil"/>
              <w:right w:val="nil"/>
            </w:tcBorders>
            <w:shd w:val="clear" w:color="auto" w:fill="DBE5F1"/>
            <w:noWrap/>
            <w:vAlign w:val="center"/>
          </w:tcPr>
          <w:p w:rsidR="00A327E6" w:rsidRPr="00415FA2" w:rsidRDefault="00A327E6" w:rsidP="00415FA2">
            <w:pPr>
              <w:spacing w:before="0" w:after="0" w:line="320" w:lineRule="atLeast"/>
              <w:jc w:val="center"/>
              <w:rPr>
                <w:b/>
                <w:szCs w:val="24"/>
                <w:lang w:eastAsia="zh-TW"/>
              </w:rPr>
            </w:pPr>
          </w:p>
        </w:tc>
        <w:tc>
          <w:tcPr>
            <w:tcW w:w="1327" w:type="dxa"/>
            <w:tcBorders>
              <w:top w:val="single" w:sz="8" w:space="0" w:color="4F81BD"/>
              <w:left w:val="nil"/>
              <w:bottom w:val="nil"/>
              <w:right w:val="nil"/>
            </w:tcBorders>
            <w:shd w:val="clear" w:color="auto" w:fill="DBE5F1"/>
            <w:noWrap/>
            <w:vAlign w:val="center"/>
          </w:tcPr>
          <w:p w:rsidR="00A327E6" w:rsidRPr="00415FA2" w:rsidRDefault="00A327E6" w:rsidP="00415FA2">
            <w:pPr>
              <w:spacing w:before="0" w:after="0" w:line="320" w:lineRule="atLeast"/>
              <w:jc w:val="center"/>
              <w:rPr>
                <w:b/>
                <w:szCs w:val="24"/>
                <w:lang w:eastAsia="zh-TW"/>
              </w:rPr>
            </w:pPr>
          </w:p>
        </w:tc>
        <w:tc>
          <w:tcPr>
            <w:tcW w:w="1328" w:type="dxa"/>
            <w:tcBorders>
              <w:top w:val="single" w:sz="8" w:space="0" w:color="4F81BD"/>
              <w:left w:val="nil"/>
              <w:bottom w:val="nil"/>
              <w:right w:val="nil"/>
            </w:tcBorders>
            <w:shd w:val="clear" w:color="auto" w:fill="DBE5F1"/>
            <w:noWrap/>
            <w:vAlign w:val="center"/>
          </w:tcPr>
          <w:p w:rsidR="00A327E6" w:rsidRPr="00415FA2" w:rsidRDefault="00A327E6" w:rsidP="00415FA2">
            <w:pPr>
              <w:spacing w:before="0" w:after="0" w:line="320" w:lineRule="atLeast"/>
              <w:jc w:val="center"/>
              <w:rPr>
                <w:b/>
                <w:szCs w:val="24"/>
                <w:lang w:eastAsia="zh-TW"/>
              </w:rPr>
            </w:pPr>
          </w:p>
        </w:tc>
        <w:tc>
          <w:tcPr>
            <w:tcW w:w="1327" w:type="dxa"/>
            <w:tcBorders>
              <w:top w:val="single" w:sz="8" w:space="0" w:color="4F81BD"/>
              <w:left w:val="nil"/>
              <w:bottom w:val="nil"/>
              <w:right w:val="nil"/>
            </w:tcBorders>
            <w:shd w:val="clear" w:color="auto" w:fill="DBE5F1"/>
            <w:noWrap/>
            <w:vAlign w:val="center"/>
          </w:tcPr>
          <w:p w:rsidR="00A327E6" w:rsidRPr="00415FA2" w:rsidRDefault="00A327E6" w:rsidP="00415FA2">
            <w:pPr>
              <w:spacing w:before="0" w:after="0" w:line="320" w:lineRule="atLeast"/>
              <w:jc w:val="center"/>
              <w:rPr>
                <w:b/>
                <w:szCs w:val="24"/>
                <w:lang w:eastAsia="zh-TW"/>
              </w:rPr>
            </w:pPr>
          </w:p>
        </w:tc>
        <w:tc>
          <w:tcPr>
            <w:tcW w:w="1328" w:type="dxa"/>
            <w:tcBorders>
              <w:top w:val="single" w:sz="8" w:space="0" w:color="4F81BD"/>
              <w:left w:val="nil"/>
              <w:bottom w:val="nil"/>
            </w:tcBorders>
            <w:shd w:val="clear" w:color="auto" w:fill="DBE5F1"/>
            <w:noWrap/>
            <w:vAlign w:val="center"/>
          </w:tcPr>
          <w:p w:rsidR="00A327E6" w:rsidRPr="00415FA2" w:rsidRDefault="00A327E6" w:rsidP="00415FA2">
            <w:pPr>
              <w:spacing w:before="0" w:after="0" w:line="320" w:lineRule="atLeast"/>
              <w:jc w:val="center"/>
              <w:rPr>
                <w:b/>
                <w:szCs w:val="24"/>
                <w:lang w:eastAsia="zh-TW"/>
              </w:rPr>
            </w:pPr>
          </w:p>
        </w:tc>
      </w:tr>
      <w:tr w:rsidR="00A327E6" w:rsidRPr="0021796A" w:rsidTr="00415FA2">
        <w:trPr>
          <w:trHeight w:val="315"/>
        </w:trPr>
        <w:tc>
          <w:tcPr>
            <w:tcW w:w="3255" w:type="dxa"/>
            <w:tcBorders>
              <w:top w:val="nil"/>
              <w:bottom w:val="nil"/>
              <w:right w:val="nil"/>
            </w:tcBorders>
            <w:noWrap/>
            <w:vAlign w:val="center"/>
          </w:tcPr>
          <w:p w:rsidR="00A327E6" w:rsidRPr="00415FA2" w:rsidRDefault="00A327E6" w:rsidP="00D92952">
            <w:pPr>
              <w:spacing w:before="0" w:after="0" w:line="320" w:lineRule="atLeast"/>
              <w:ind w:firstLineChars="100" w:firstLine="240"/>
              <w:rPr>
                <w:b/>
                <w:bCs/>
                <w:color w:val="104E8B"/>
                <w:szCs w:val="24"/>
                <w:lang w:eastAsia="zh-TW"/>
              </w:rPr>
            </w:pPr>
            <w:r w:rsidRPr="00415FA2">
              <w:rPr>
                <w:b/>
                <w:bCs/>
                <w:szCs w:val="24"/>
                <w:lang w:eastAsia="zh-TW"/>
              </w:rPr>
              <w:t>Hearing Impairment</w:t>
            </w:r>
          </w:p>
        </w:tc>
        <w:tc>
          <w:tcPr>
            <w:tcW w:w="1080"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5714</w:t>
            </w:r>
          </w:p>
        </w:tc>
        <w:tc>
          <w:tcPr>
            <w:tcW w:w="1327"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328"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327"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328" w:type="dxa"/>
            <w:tcBorders>
              <w:top w:val="nil"/>
              <w:left w:val="nil"/>
              <w:bottom w:val="nil"/>
            </w:tcBorders>
            <w:noWrap/>
            <w:vAlign w:val="center"/>
          </w:tcPr>
          <w:p w:rsidR="00A327E6" w:rsidRPr="00415FA2" w:rsidRDefault="00A327E6" w:rsidP="00415FA2">
            <w:pPr>
              <w:spacing w:before="0" w:after="0" w:line="320" w:lineRule="atLeast"/>
              <w:jc w:val="center"/>
              <w:rPr>
                <w:szCs w:val="24"/>
                <w:lang w:eastAsia="zh-TW"/>
              </w:rPr>
            </w:pPr>
          </w:p>
        </w:tc>
      </w:tr>
      <w:tr w:rsidR="00A327E6" w:rsidRPr="0021796A" w:rsidTr="00415FA2">
        <w:trPr>
          <w:trHeight w:val="315"/>
        </w:trPr>
        <w:tc>
          <w:tcPr>
            <w:tcW w:w="3255" w:type="dxa"/>
            <w:tcBorders>
              <w:top w:val="nil"/>
              <w:bottom w:val="nil"/>
              <w:right w:val="nil"/>
            </w:tcBorders>
            <w:noWrap/>
            <w:vAlign w:val="center"/>
          </w:tcPr>
          <w:p w:rsidR="00A327E6" w:rsidRPr="00415FA2" w:rsidRDefault="00A327E6" w:rsidP="00D92952">
            <w:pPr>
              <w:spacing w:before="0" w:after="0" w:line="320" w:lineRule="atLeast"/>
              <w:ind w:firstLineChars="300" w:firstLine="721"/>
              <w:rPr>
                <w:b/>
                <w:bCs/>
                <w:color w:val="104E8B"/>
                <w:szCs w:val="24"/>
                <w:lang w:eastAsia="zh-TW"/>
              </w:rPr>
            </w:pPr>
            <w:r w:rsidRPr="00415FA2">
              <w:rPr>
                <w:b/>
                <w:bCs/>
                <w:szCs w:val="24"/>
                <w:lang w:eastAsia="zh-TW"/>
              </w:rPr>
              <w:t>Low, ≤ 59 dB</w:t>
            </w:r>
          </w:p>
        </w:tc>
        <w:tc>
          <w:tcPr>
            <w:tcW w:w="1080"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327"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1.0</w:t>
            </w:r>
          </w:p>
        </w:tc>
        <w:tc>
          <w:tcPr>
            <w:tcW w:w="1328"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1.0</w:t>
            </w:r>
          </w:p>
        </w:tc>
        <w:tc>
          <w:tcPr>
            <w:tcW w:w="1327"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1.0</w:t>
            </w:r>
          </w:p>
        </w:tc>
        <w:tc>
          <w:tcPr>
            <w:tcW w:w="1328" w:type="dxa"/>
            <w:tcBorders>
              <w:top w:val="nil"/>
              <w:left w:val="nil"/>
              <w:bottom w:val="nil"/>
            </w:tcBorders>
            <w:noWrap/>
            <w:vAlign w:val="center"/>
          </w:tcPr>
          <w:p w:rsidR="00A327E6" w:rsidRPr="00415FA2" w:rsidRDefault="00A327E6" w:rsidP="00415FA2">
            <w:pPr>
              <w:spacing w:before="0" w:after="0" w:line="320" w:lineRule="atLeast"/>
              <w:jc w:val="center"/>
              <w:rPr>
                <w:szCs w:val="24"/>
                <w:lang w:eastAsia="zh-TW"/>
              </w:rPr>
            </w:pPr>
          </w:p>
        </w:tc>
      </w:tr>
      <w:tr w:rsidR="00A327E6" w:rsidRPr="0021796A" w:rsidTr="00415FA2">
        <w:trPr>
          <w:trHeight w:val="315"/>
        </w:trPr>
        <w:tc>
          <w:tcPr>
            <w:tcW w:w="3255" w:type="dxa"/>
            <w:tcBorders>
              <w:top w:val="nil"/>
              <w:bottom w:val="nil"/>
              <w:right w:val="nil"/>
            </w:tcBorders>
            <w:noWrap/>
            <w:vAlign w:val="center"/>
          </w:tcPr>
          <w:p w:rsidR="00A327E6" w:rsidRPr="00415FA2" w:rsidRDefault="00A327E6" w:rsidP="00D92952">
            <w:pPr>
              <w:spacing w:before="0" w:after="0" w:line="320" w:lineRule="atLeast"/>
              <w:ind w:firstLineChars="300" w:firstLine="721"/>
              <w:rPr>
                <w:b/>
                <w:bCs/>
                <w:color w:val="000000"/>
                <w:szCs w:val="24"/>
                <w:lang w:eastAsia="zh-TW"/>
              </w:rPr>
            </w:pPr>
            <w:r w:rsidRPr="00415FA2">
              <w:rPr>
                <w:b/>
                <w:bCs/>
                <w:color w:val="000000"/>
                <w:szCs w:val="24"/>
                <w:lang w:eastAsia="zh-TW"/>
              </w:rPr>
              <w:t>Medium, 60-64 dB</w:t>
            </w:r>
          </w:p>
        </w:tc>
        <w:tc>
          <w:tcPr>
            <w:tcW w:w="1080"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327"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0.6</w:t>
            </w:r>
          </w:p>
        </w:tc>
        <w:tc>
          <w:tcPr>
            <w:tcW w:w="1328"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0.4</w:t>
            </w:r>
          </w:p>
        </w:tc>
        <w:tc>
          <w:tcPr>
            <w:tcW w:w="1327"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1.0</w:t>
            </w:r>
          </w:p>
        </w:tc>
        <w:tc>
          <w:tcPr>
            <w:tcW w:w="1328" w:type="dxa"/>
            <w:tcBorders>
              <w:top w:val="nil"/>
              <w:left w:val="nil"/>
              <w:bottom w:val="nil"/>
            </w:tcBorders>
            <w:noWrap/>
            <w:vAlign w:val="center"/>
          </w:tcPr>
          <w:p w:rsidR="00A327E6" w:rsidRPr="00415FA2" w:rsidRDefault="00A327E6" w:rsidP="00415FA2">
            <w:pPr>
              <w:spacing w:before="0" w:after="0" w:line="320" w:lineRule="atLeast"/>
              <w:jc w:val="center"/>
              <w:rPr>
                <w:i/>
                <w:szCs w:val="24"/>
                <w:lang w:eastAsia="zh-TW"/>
              </w:rPr>
            </w:pPr>
            <w:r w:rsidRPr="00415FA2">
              <w:rPr>
                <w:i/>
                <w:szCs w:val="24"/>
                <w:lang w:eastAsia="zh-TW"/>
              </w:rPr>
              <w:t>0.07</w:t>
            </w:r>
          </w:p>
        </w:tc>
      </w:tr>
      <w:tr w:rsidR="00A327E6" w:rsidRPr="0021796A" w:rsidTr="00415FA2">
        <w:trPr>
          <w:trHeight w:val="315"/>
        </w:trPr>
        <w:tc>
          <w:tcPr>
            <w:tcW w:w="3255" w:type="dxa"/>
            <w:tcBorders>
              <w:top w:val="nil"/>
              <w:bottom w:val="single" w:sz="8" w:space="0" w:color="4F81BD"/>
              <w:right w:val="nil"/>
            </w:tcBorders>
            <w:noWrap/>
            <w:vAlign w:val="center"/>
          </w:tcPr>
          <w:p w:rsidR="00A327E6" w:rsidRPr="00415FA2" w:rsidRDefault="00A327E6" w:rsidP="00D92952">
            <w:pPr>
              <w:spacing w:before="0" w:after="0" w:line="320" w:lineRule="atLeast"/>
              <w:ind w:firstLineChars="300" w:firstLine="721"/>
              <w:rPr>
                <w:b/>
                <w:bCs/>
                <w:color w:val="104E8B"/>
                <w:szCs w:val="24"/>
                <w:lang w:eastAsia="zh-TW"/>
              </w:rPr>
            </w:pPr>
            <w:r w:rsidRPr="00415FA2">
              <w:rPr>
                <w:b/>
                <w:bCs/>
                <w:szCs w:val="24"/>
                <w:lang w:eastAsia="zh-TW"/>
              </w:rPr>
              <w:t>High, ≥ 65 dB</w:t>
            </w:r>
          </w:p>
        </w:tc>
        <w:tc>
          <w:tcPr>
            <w:tcW w:w="1080"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szCs w:val="24"/>
                <w:lang w:eastAsia="zh-TW"/>
              </w:rPr>
            </w:pPr>
          </w:p>
        </w:tc>
        <w:tc>
          <w:tcPr>
            <w:tcW w:w="1327"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0.9</w:t>
            </w:r>
          </w:p>
        </w:tc>
        <w:tc>
          <w:tcPr>
            <w:tcW w:w="1328"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0.3</w:t>
            </w:r>
          </w:p>
        </w:tc>
        <w:tc>
          <w:tcPr>
            <w:tcW w:w="1327"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2.5</w:t>
            </w:r>
          </w:p>
        </w:tc>
        <w:tc>
          <w:tcPr>
            <w:tcW w:w="1328" w:type="dxa"/>
            <w:tcBorders>
              <w:top w:val="nil"/>
              <w:left w:val="nil"/>
              <w:bottom w:val="single" w:sz="8" w:space="0" w:color="4F81BD"/>
            </w:tcBorders>
            <w:noWrap/>
            <w:vAlign w:val="center"/>
          </w:tcPr>
          <w:p w:rsidR="00A327E6" w:rsidRPr="00415FA2" w:rsidRDefault="00A327E6" w:rsidP="00415FA2">
            <w:pPr>
              <w:spacing w:before="0" w:after="0" w:line="320" w:lineRule="atLeast"/>
              <w:jc w:val="center"/>
              <w:rPr>
                <w:i/>
                <w:szCs w:val="24"/>
                <w:lang w:eastAsia="zh-TW"/>
              </w:rPr>
            </w:pPr>
            <w:r w:rsidRPr="00415FA2">
              <w:rPr>
                <w:i/>
                <w:szCs w:val="24"/>
                <w:lang w:eastAsia="zh-TW"/>
              </w:rPr>
              <w:t>0.80</w:t>
            </w:r>
          </w:p>
        </w:tc>
      </w:tr>
      <w:tr w:rsidR="00A327E6" w:rsidRPr="0021796A" w:rsidTr="00415FA2">
        <w:trPr>
          <w:trHeight w:val="630"/>
        </w:trPr>
        <w:tc>
          <w:tcPr>
            <w:tcW w:w="3255" w:type="dxa"/>
            <w:tcBorders>
              <w:top w:val="single" w:sz="8" w:space="0" w:color="4F81BD"/>
              <w:bottom w:val="nil"/>
              <w:right w:val="nil"/>
            </w:tcBorders>
            <w:vAlign w:val="center"/>
          </w:tcPr>
          <w:p w:rsidR="00A327E6" w:rsidRPr="00415FA2" w:rsidRDefault="00A327E6" w:rsidP="00D92952">
            <w:pPr>
              <w:spacing w:before="0" w:after="0" w:line="240" w:lineRule="auto"/>
              <w:ind w:firstLineChars="100" w:firstLine="240"/>
              <w:rPr>
                <w:b/>
                <w:bCs/>
                <w:color w:val="104E8B"/>
                <w:szCs w:val="24"/>
                <w:lang w:eastAsia="zh-TW"/>
              </w:rPr>
            </w:pPr>
            <w:r w:rsidRPr="00415FA2">
              <w:rPr>
                <w:b/>
                <w:bCs/>
                <w:szCs w:val="24"/>
                <w:lang w:eastAsia="zh-TW"/>
              </w:rPr>
              <w:t xml:space="preserve">Hearing Impairment </w:t>
            </w:r>
          </w:p>
          <w:p w:rsidR="00A327E6" w:rsidRPr="00415FA2" w:rsidRDefault="00A327E6" w:rsidP="00D92952">
            <w:pPr>
              <w:spacing w:before="0" w:after="0" w:line="240" w:lineRule="auto"/>
              <w:ind w:firstLineChars="100" w:firstLine="240"/>
              <w:rPr>
                <w:b/>
                <w:bCs/>
                <w:color w:val="104E8B"/>
                <w:szCs w:val="24"/>
                <w:vertAlign w:val="superscript"/>
                <w:lang w:eastAsia="zh-TW"/>
              </w:rPr>
            </w:pPr>
            <w:r w:rsidRPr="00415FA2">
              <w:rPr>
                <w:b/>
                <w:bCs/>
                <w:szCs w:val="24"/>
                <w:lang w:eastAsia="zh-TW"/>
              </w:rPr>
              <w:t>and Uses Hearing Aid</w:t>
            </w:r>
            <w:r w:rsidRPr="00415FA2">
              <w:rPr>
                <w:b/>
                <w:bCs/>
                <w:szCs w:val="24"/>
                <w:vertAlign w:val="superscript"/>
                <w:lang w:eastAsia="zh-TW"/>
              </w:rPr>
              <w:t>b</w:t>
            </w:r>
          </w:p>
        </w:tc>
        <w:tc>
          <w:tcPr>
            <w:tcW w:w="1080" w:type="dxa"/>
            <w:tcBorders>
              <w:top w:val="single" w:sz="8" w:space="0" w:color="4F81BD"/>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3693</w:t>
            </w:r>
          </w:p>
        </w:tc>
        <w:tc>
          <w:tcPr>
            <w:tcW w:w="1327" w:type="dxa"/>
            <w:tcBorders>
              <w:top w:val="single" w:sz="8" w:space="0" w:color="4F81BD"/>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328" w:type="dxa"/>
            <w:tcBorders>
              <w:top w:val="single" w:sz="8" w:space="0" w:color="4F81BD"/>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327" w:type="dxa"/>
            <w:tcBorders>
              <w:top w:val="single" w:sz="8" w:space="0" w:color="4F81BD"/>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328" w:type="dxa"/>
            <w:tcBorders>
              <w:top w:val="single" w:sz="8" w:space="0" w:color="4F81BD"/>
              <w:left w:val="nil"/>
              <w:bottom w:val="nil"/>
            </w:tcBorders>
            <w:noWrap/>
            <w:vAlign w:val="center"/>
          </w:tcPr>
          <w:p w:rsidR="00A327E6" w:rsidRPr="00415FA2" w:rsidRDefault="00A327E6" w:rsidP="00415FA2">
            <w:pPr>
              <w:spacing w:before="0" w:after="0" w:line="320" w:lineRule="atLeast"/>
              <w:jc w:val="center"/>
              <w:rPr>
                <w:i/>
                <w:szCs w:val="24"/>
                <w:lang w:eastAsia="zh-TW"/>
              </w:rPr>
            </w:pPr>
          </w:p>
        </w:tc>
      </w:tr>
      <w:tr w:rsidR="00A327E6" w:rsidRPr="0021796A" w:rsidTr="00415FA2">
        <w:trPr>
          <w:trHeight w:val="315"/>
        </w:trPr>
        <w:tc>
          <w:tcPr>
            <w:tcW w:w="3255" w:type="dxa"/>
            <w:tcBorders>
              <w:top w:val="nil"/>
              <w:bottom w:val="nil"/>
              <w:right w:val="nil"/>
            </w:tcBorders>
            <w:noWrap/>
            <w:vAlign w:val="center"/>
          </w:tcPr>
          <w:p w:rsidR="00A327E6" w:rsidRPr="00415FA2" w:rsidRDefault="00A327E6" w:rsidP="00D92952">
            <w:pPr>
              <w:spacing w:before="0" w:after="0" w:line="320" w:lineRule="atLeast"/>
              <w:ind w:firstLineChars="300" w:firstLine="721"/>
              <w:rPr>
                <w:b/>
                <w:bCs/>
                <w:color w:val="104E8B"/>
                <w:szCs w:val="24"/>
                <w:lang w:eastAsia="zh-TW"/>
              </w:rPr>
            </w:pPr>
            <w:r w:rsidRPr="00415FA2">
              <w:rPr>
                <w:b/>
                <w:bCs/>
                <w:szCs w:val="24"/>
                <w:lang w:eastAsia="zh-TW"/>
              </w:rPr>
              <w:t>Low, ≤ 59 dB</w:t>
            </w:r>
          </w:p>
        </w:tc>
        <w:tc>
          <w:tcPr>
            <w:tcW w:w="1080"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327"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1.0</w:t>
            </w:r>
          </w:p>
        </w:tc>
        <w:tc>
          <w:tcPr>
            <w:tcW w:w="1328"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1.0</w:t>
            </w:r>
          </w:p>
        </w:tc>
        <w:tc>
          <w:tcPr>
            <w:tcW w:w="1327"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1.0</w:t>
            </w:r>
          </w:p>
        </w:tc>
        <w:tc>
          <w:tcPr>
            <w:tcW w:w="1328" w:type="dxa"/>
            <w:tcBorders>
              <w:top w:val="nil"/>
              <w:left w:val="nil"/>
              <w:bottom w:val="nil"/>
            </w:tcBorders>
            <w:noWrap/>
            <w:vAlign w:val="center"/>
          </w:tcPr>
          <w:p w:rsidR="00A327E6" w:rsidRPr="00415FA2" w:rsidRDefault="00A327E6" w:rsidP="00415FA2">
            <w:pPr>
              <w:spacing w:before="0" w:after="0" w:line="320" w:lineRule="atLeast"/>
              <w:jc w:val="center"/>
              <w:rPr>
                <w:i/>
                <w:szCs w:val="24"/>
                <w:lang w:eastAsia="zh-TW"/>
              </w:rPr>
            </w:pPr>
          </w:p>
        </w:tc>
      </w:tr>
      <w:tr w:rsidR="00A327E6" w:rsidRPr="0021796A" w:rsidTr="00415FA2">
        <w:trPr>
          <w:trHeight w:val="315"/>
        </w:trPr>
        <w:tc>
          <w:tcPr>
            <w:tcW w:w="3255" w:type="dxa"/>
            <w:tcBorders>
              <w:top w:val="nil"/>
              <w:bottom w:val="nil"/>
              <w:right w:val="nil"/>
            </w:tcBorders>
            <w:noWrap/>
            <w:vAlign w:val="center"/>
          </w:tcPr>
          <w:p w:rsidR="00A327E6" w:rsidRPr="00415FA2" w:rsidRDefault="00A327E6" w:rsidP="00D92952">
            <w:pPr>
              <w:spacing w:before="0" w:after="0" w:line="320" w:lineRule="atLeast"/>
              <w:ind w:firstLineChars="300" w:firstLine="721"/>
              <w:rPr>
                <w:b/>
                <w:bCs/>
                <w:color w:val="000000"/>
                <w:szCs w:val="24"/>
                <w:lang w:eastAsia="zh-TW"/>
              </w:rPr>
            </w:pPr>
            <w:r w:rsidRPr="00415FA2">
              <w:rPr>
                <w:b/>
                <w:bCs/>
                <w:color w:val="000000"/>
                <w:szCs w:val="24"/>
                <w:lang w:eastAsia="zh-TW"/>
              </w:rPr>
              <w:t>Medium, 60-64 dB</w:t>
            </w:r>
          </w:p>
        </w:tc>
        <w:tc>
          <w:tcPr>
            <w:tcW w:w="1080"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327"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0.6</w:t>
            </w:r>
          </w:p>
        </w:tc>
        <w:tc>
          <w:tcPr>
            <w:tcW w:w="1328"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0.2</w:t>
            </w:r>
          </w:p>
        </w:tc>
        <w:tc>
          <w:tcPr>
            <w:tcW w:w="1327"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1.7</w:t>
            </w:r>
          </w:p>
        </w:tc>
        <w:tc>
          <w:tcPr>
            <w:tcW w:w="1328" w:type="dxa"/>
            <w:tcBorders>
              <w:top w:val="nil"/>
              <w:left w:val="nil"/>
              <w:bottom w:val="nil"/>
            </w:tcBorders>
            <w:noWrap/>
            <w:vAlign w:val="center"/>
          </w:tcPr>
          <w:p w:rsidR="00A327E6" w:rsidRPr="00415FA2" w:rsidRDefault="00A327E6" w:rsidP="00415FA2">
            <w:pPr>
              <w:spacing w:before="0" w:after="0" w:line="320" w:lineRule="atLeast"/>
              <w:jc w:val="center"/>
              <w:rPr>
                <w:i/>
                <w:szCs w:val="24"/>
                <w:lang w:eastAsia="zh-TW"/>
              </w:rPr>
            </w:pPr>
            <w:r w:rsidRPr="00415FA2">
              <w:rPr>
                <w:i/>
                <w:szCs w:val="24"/>
                <w:lang w:eastAsia="zh-TW"/>
              </w:rPr>
              <w:t>0.32</w:t>
            </w:r>
          </w:p>
        </w:tc>
      </w:tr>
      <w:tr w:rsidR="00A327E6" w:rsidRPr="0021796A" w:rsidTr="00415FA2">
        <w:trPr>
          <w:trHeight w:val="315"/>
        </w:trPr>
        <w:tc>
          <w:tcPr>
            <w:tcW w:w="3255" w:type="dxa"/>
            <w:tcBorders>
              <w:top w:val="nil"/>
              <w:bottom w:val="single" w:sz="8" w:space="0" w:color="4F81BD"/>
              <w:right w:val="nil"/>
            </w:tcBorders>
            <w:noWrap/>
            <w:vAlign w:val="center"/>
          </w:tcPr>
          <w:p w:rsidR="00A327E6" w:rsidRPr="00415FA2" w:rsidRDefault="00A327E6" w:rsidP="00D92952">
            <w:pPr>
              <w:spacing w:before="0" w:after="0" w:line="320" w:lineRule="atLeast"/>
              <w:ind w:firstLineChars="300" w:firstLine="721"/>
              <w:rPr>
                <w:b/>
                <w:bCs/>
                <w:color w:val="104E8B"/>
                <w:szCs w:val="24"/>
                <w:lang w:eastAsia="zh-TW"/>
              </w:rPr>
            </w:pPr>
            <w:r w:rsidRPr="00415FA2">
              <w:rPr>
                <w:b/>
                <w:bCs/>
                <w:szCs w:val="24"/>
                <w:lang w:eastAsia="zh-TW"/>
              </w:rPr>
              <w:t>High, ≥ 65 dB</w:t>
            </w:r>
          </w:p>
        </w:tc>
        <w:tc>
          <w:tcPr>
            <w:tcW w:w="1080"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szCs w:val="24"/>
                <w:lang w:eastAsia="zh-TW"/>
              </w:rPr>
            </w:pPr>
          </w:p>
        </w:tc>
        <w:tc>
          <w:tcPr>
            <w:tcW w:w="1327"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1.9</w:t>
            </w:r>
          </w:p>
        </w:tc>
        <w:tc>
          <w:tcPr>
            <w:tcW w:w="1328"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0.2</w:t>
            </w:r>
          </w:p>
        </w:tc>
        <w:tc>
          <w:tcPr>
            <w:tcW w:w="1327"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15</w:t>
            </w:r>
          </w:p>
        </w:tc>
        <w:tc>
          <w:tcPr>
            <w:tcW w:w="1328" w:type="dxa"/>
            <w:tcBorders>
              <w:top w:val="nil"/>
              <w:left w:val="nil"/>
              <w:bottom w:val="single" w:sz="8" w:space="0" w:color="4F81BD"/>
            </w:tcBorders>
            <w:noWrap/>
            <w:vAlign w:val="center"/>
          </w:tcPr>
          <w:p w:rsidR="00A327E6" w:rsidRPr="00415FA2" w:rsidRDefault="00A327E6" w:rsidP="00415FA2">
            <w:pPr>
              <w:spacing w:before="0" w:after="0" w:line="320" w:lineRule="atLeast"/>
              <w:jc w:val="center"/>
              <w:rPr>
                <w:i/>
                <w:szCs w:val="24"/>
                <w:lang w:eastAsia="zh-TW"/>
              </w:rPr>
            </w:pPr>
            <w:r w:rsidRPr="00415FA2">
              <w:rPr>
                <w:i/>
                <w:szCs w:val="24"/>
                <w:lang w:eastAsia="zh-TW"/>
              </w:rPr>
              <w:t>0.54</w:t>
            </w:r>
          </w:p>
        </w:tc>
      </w:tr>
      <w:tr w:rsidR="00A327E6" w:rsidRPr="0021796A" w:rsidTr="00415FA2">
        <w:trPr>
          <w:trHeight w:val="315"/>
        </w:trPr>
        <w:tc>
          <w:tcPr>
            <w:tcW w:w="3255" w:type="dxa"/>
            <w:tcBorders>
              <w:top w:val="single" w:sz="8" w:space="0" w:color="4F81BD"/>
              <w:bottom w:val="nil"/>
              <w:right w:val="nil"/>
            </w:tcBorders>
            <w:noWrap/>
            <w:vAlign w:val="center"/>
          </w:tcPr>
          <w:p w:rsidR="00A327E6" w:rsidRPr="00415FA2" w:rsidRDefault="00A327E6" w:rsidP="00D92952">
            <w:pPr>
              <w:spacing w:before="0" w:after="0" w:line="320" w:lineRule="atLeast"/>
              <w:ind w:firstLineChars="100" w:firstLine="240"/>
              <w:rPr>
                <w:b/>
                <w:bCs/>
                <w:color w:val="104E8B"/>
                <w:szCs w:val="24"/>
                <w:lang w:eastAsia="zh-TW"/>
              </w:rPr>
            </w:pPr>
            <w:r w:rsidRPr="00415FA2">
              <w:rPr>
                <w:b/>
                <w:bCs/>
                <w:szCs w:val="24"/>
                <w:lang w:eastAsia="zh-TW"/>
              </w:rPr>
              <w:t>Tinnitus</w:t>
            </w:r>
          </w:p>
        </w:tc>
        <w:tc>
          <w:tcPr>
            <w:tcW w:w="1080" w:type="dxa"/>
            <w:tcBorders>
              <w:top w:val="single" w:sz="8" w:space="0" w:color="4F81BD"/>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5775</w:t>
            </w:r>
          </w:p>
        </w:tc>
        <w:tc>
          <w:tcPr>
            <w:tcW w:w="1327" w:type="dxa"/>
            <w:tcBorders>
              <w:top w:val="single" w:sz="8" w:space="0" w:color="4F81BD"/>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328" w:type="dxa"/>
            <w:tcBorders>
              <w:top w:val="single" w:sz="8" w:space="0" w:color="4F81BD"/>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327" w:type="dxa"/>
            <w:tcBorders>
              <w:top w:val="single" w:sz="8" w:space="0" w:color="4F81BD"/>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328" w:type="dxa"/>
            <w:tcBorders>
              <w:top w:val="single" w:sz="8" w:space="0" w:color="4F81BD"/>
              <w:left w:val="nil"/>
              <w:bottom w:val="nil"/>
            </w:tcBorders>
            <w:noWrap/>
            <w:vAlign w:val="center"/>
          </w:tcPr>
          <w:p w:rsidR="00A327E6" w:rsidRPr="00415FA2" w:rsidRDefault="00A327E6" w:rsidP="00415FA2">
            <w:pPr>
              <w:spacing w:before="0" w:after="0" w:line="320" w:lineRule="atLeast"/>
              <w:jc w:val="center"/>
              <w:rPr>
                <w:i/>
                <w:szCs w:val="24"/>
                <w:lang w:eastAsia="zh-TW"/>
              </w:rPr>
            </w:pPr>
          </w:p>
        </w:tc>
      </w:tr>
      <w:tr w:rsidR="00A327E6" w:rsidRPr="0021796A" w:rsidTr="00415FA2">
        <w:trPr>
          <w:trHeight w:val="315"/>
        </w:trPr>
        <w:tc>
          <w:tcPr>
            <w:tcW w:w="3255" w:type="dxa"/>
            <w:tcBorders>
              <w:top w:val="nil"/>
              <w:bottom w:val="nil"/>
              <w:right w:val="nil"/>
            </w:tcBorders>
            <w:noWrap/>
            <w:vAlign w:val="center"/>
          </w:tcPr>
          <w:p w:rsidR="00A327E6" w:rsidRPr="00415FA2" w:rsidRDefault="00A327E6" w:rsidP="00D92952">
            <w:pPr>
              <w:spacing w:before="0" w:after="0" w:line="320" w:lineRule="atLeast"/>
              <w:ind w:firstLineChars="300" w:firstLine="721"/>
              <w:rPr>
                <w:b/>
                <w:bCs/>
                <w:color w:val="104E8B"/>
                <w:szCs w:val="24"/>
                <w:lang w:eastAsia="zh-TW"/>
              </w:rPr>
            </w:pPr>
            <w:r w:rsidRPr="00415FA2">
              <w:rPr>
                <w:b/>
                <w:bCs/>
                <w:szCs w:val="24"/>
                <w:lang w:eastAsia="zh-TW"/>
              </w:rPr>
              <w:t>Low, ≤ 59 dB</w:t>
            </w:r>
          </w:p>
        </w:tc>
        <w:tc>
          <w:tcPr>
            <w:tcW w:w="1080"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327"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1.0</w:t>
            </w:r>
          </w:p>
        </w:tc>
        <w:tc>
          <w:tcPr>
            <w:tcW w:w="1328"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1.0</w:t>
            </w:r>
          </w:p>
        </w:tc>
        <w:tc>
          <w:tcPr>
            <w:tcW w:w="1327"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1.0</w:t>
            </w:r>
          </w:p>
        </w:tc>
        <w:tc>
          <w:tcPr>
            <w:tcW w:w="1328" w:type="dxa"/>
            <w:tcBorders>
              <w:top w:val="nil"/>
              <w:left w:val="nil"/>
              <w:bottom w:val="nil"/>
            </w:tcBorders>
            <w:noWrap/>
            <w:vAlign w:val="center"/>
          </w:tcPr>
          <w:p w:rsidR="00A327E6" w:rsidRPr="00415FA2" w:rsidRDefault="00A327E6" w:rsidP="00415FA2">
            <w:pPr>
              <w:spacing w:before="0" w:after="0" w:line="320" w:lineRule="atLeast"/>
              <w:jc w:val="center"/>
              <w:rPr>
                <w:szCs w:val="24"/>
                <w:lang w:eastAsia="zh-TW"/>
              </w:rPr>
            </w:pPr>
          </w:p>
        </w:tc>
      </w:tr>
      <w:tr w:rsidR="00A327E6" w:rsidRPr="0021796A" w:rsidTr="00415FA2">
        <w:trPr>
          <w:trHeight w:val="315"/>
        </w:trPr>
        <w:tc>
          <w:tcPr>
            <w:tcW w:w="3255" w:type="dxa"/>
            <w:tcBorders>
              <w:top w:val="nil"/>
              <w:bottom w:val="nil"/>
              <w:right w:val="nil"/>
            </w:tcBorders>
            <w:noWrap/>
            <w:vAlign w:val="center"/>
          </w:tcPr>
          <w:p w:rsidR="00A327E6" w:rsidRPr="00415FA2" w:rsidRDefault="00A327E6" w:rsidP="00D92952">
            <w:pPr>
              <w:spacing w:before="0" w:after="0" w:line="320" w:lineRule="atLeast"/>
              <w:ind w:firstLineChars="300" w:firstLine="721"/>
              <w:rPr>
                <w:b/>
                <w:bCs/>
                <w:color w:val="000000"/>
                <w:szCs w:val="24"/>
                <w:lang w:eastAsia="zh-TW"/>
              </w:rPr>
            </w:pPr>
            <w:r w:rsidRPr="00415FA2">
              <w:rPr>
                <w:b/>
                <w:bCs/>
                <w:color w:val="000000"/>
                <w:szCs w:val="24"/>
                <w:lang w:eastAsia="zh-TW"/>
              </w:rPr>
              <w:t>Medium, 60-64 dB</w:t>
            </w:r>
          </w:p>
        </w:tc>
        <w:tc>
          <w:tcPr>
            <w:tcW w:w="1080"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327"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0.8</w:t>
            </w:r>
          </w:p>
        </w:tc>
        <w:tc>
          <w:tcPr>
            <w:tcW w:w="1328"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0.5</w:t>
            </w:r>
          </w:p>
        </w:tc>
        <w:tc>
          <w:tcPr>
            <w:tcW w:w="1327"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1.5</w:t>
            </w:r>
          </w:p>
        </w:tc>
        <w:tc>
          <w:tcPr>
            <w:tcW w:w="1328" w:type="dxa"/>
            <w:tcBorders>
              <w:top w:val="nil"/>
              <w:left w:val="nil"/>
              <w:bottom w:val="nil"/>
            </w:tcBorders>
            <w:noWrap/>
            <w:vAlign w:val="center"/>
          </w:tcPr>
          <w:p w:rsidR="00A327E6" w:rsidRPr="00415FA2" w:rsidRDefault="00A327E6" w:rsidP="00415FA2">
            <w:pPr>
              <w:spacing w:before="0" w:after="0" w:line="320" w:lineRule="atLeast"/>
              <w:jc w:val="center"/>
              <w:rPr>
                <w:i/>
                <w:szCs w:val="24"/>
                <w:lang w:eastAsia="zh-TW"/>
              </w:rPr>
            </w:pPr>
            <w:r w:rsidRPr="00415FA2">
              <w:rPr>
                <w:i/>
                <w:szCs w:val="24"/>
                <w:lang w:eastAsia="zh-TW"/>
              </w:rPr>
              <w:t>0.53</w:t>
            </w:r>
          </w:p>
        </w:tc>
      </w:tr>
      <w:tr w:rsidR="00A327E6" w:rsidRPr="0021796A" w:rsidTr="00415FA2">
        <w:trPr>
          <w:trHeight w:val="315"/>
        </w:trPr>
        <w:tc>
          <w:tcPr>
            <w:tcW w:w="3255" w:type="dxa"/>
            <w:tcBorders>
              <w:top w:val="nil"/>
              <w:bottom w:val="single" w:sz="8" w:space="0" w:color="4F81BD"/>
              <w:right w:val="nil"/>
            </w:tcBorders>
            <w:noWrap/>
            <w:vAlign w:val="center"/>
          </w:tcPr>
          <w:p w:rsidR="00A327E6" w:rsidRPr="00415FA2" w:rsidRDefault="00A327E6" w:rsidP="00D92952">
            <w:pPr>
              <w:spacing w:before="0" w:after="0" w:line="320" w:lineRule="atLeast"/>
              <w:ind w:firstLineChars="300" w:firstLine="721"/>
              <w:rPr>
                <w:b/>
                <w:bCs/>
                <w:color w:val="104E8B"/>
                <w:szCs w:val="24"/>
                <w:lang w:eastAsia="zh-TW"/>
              </w:rPr>
            </w:pPr>
            <w:r w:rsidRPr="00415FA2">
              <w:rPr>
                <w:b/>
                <w:bCs/>
                <w:szCs w:val="24"/>
                <w:lang w:eastAsia="zh-TW"/>
              </w:rPr>
              <w:t>High, ≥ 65 dB</w:t>
            </w:r>
          </w:p>
        </w:tc>
        <w:tc>
          <w:tcPr>
            <w:tcW w:w="1080"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szCs w:val="24"/>
                <w:lang w:eastAsia="zh-TW"/>
              </w:rPr>
            </w:pPr>
          </w:p>
        </w:tc>
        <w:tc>
          <w:tcPr>
            <w:tcW w:w="1327"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0.5</w:t>
            </w:r>
          </w:p>
        </w:tc>
        <w:tc>
          <w:tcPr>
            <w:tcW w:w="1328"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0.1</w:t>
            </w:r>
          </w:p>
        </w:tc>
        <w:tc>
          <w:tcPr>
            <w:tcW w:w="1327"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2.1</w:t>
            </w:r>
          </w:p>
        </w:tc>
        <w:tc>
          <w:tcPr>
            <w:tcW w:w="1328" w:type="dxa"/>
            <w:tcBorders>
              <w:top w:val="nil"/>
              <w:left w:val="nil"/>
              <w:bottom w:val="single" w:sz="8" w:space="0" w:color="4F81BD"/>
            </w:tcBorders>
            <w:noWrap/>
            <w:vAlign w:val="center"/>
          </w:tcPr>
          <w:p w:rsidR="00A327E6" w:rsidRPr="00415FA2" w:rsidRDefault="00A327E6" w:rsidP="00415FA2">
            <w:pPr>
              <w:spacing w:before="0" w:after="0" w:line="320" w:lineRule="atLeast"/>
              <w:jc w:val="center"/>
              <w:rPr>
                <w:i/>
                <w:szCs w:val="24"/>
                <w:lang w:eastAsia="zh-TW"/>
              </w:rPr>
            </w:pPr>
            <w:r w:rsidRPr="00415FA2">
              <w:rPr>
                <w:i/>
                <w:szCs w:val="24"/>
                <w:lang w:eastAsia="zh-TW"/>
              </w:rPr>
              <w:t>0.35</w:t>
            </w:r>
          </w:p>
        </w:tc>
      </w:tr>
      <w:tr w:rsidR="00A327E6" w:rsidRPr="0021796A" w:rsidTr="00415FA2">
        <w:trPr>
          <w:trHeight w:val="315"/>
        </w:trPr>
        <w:tc>
          <w:tcPr>
            <w:tcW w:w="3255" w:type="dxa"/>
            <w:tcBorders>
              <w:top w:val="single" w:sz="8" w:space="0" w:color="4F81BD"/>
              <w:bottom w:val="nil"/>
              <w:right w:val="nil"/>
            </w:tcBorders>
            <w:shd w:val="clear" w:color="auto" w:fill="DBE5F1"/>
            <w:noWrap/>
            <w:vAlign w:val="center"/>
          </w:tcPr>
          <w:p w:rsidR="00A327E6" w:rsidRPr="00415FA2" w:rsidRDefault="00A327E6" w:rsidP="00415FA2">
            <w:pPr>
              <w:spacing w:before="0" w:after="0" w:line="320" w:lineRule="atLeast"/>
              <w:rPr>
                <w:b/>
                <w:bCs/>
                <w:szCs w:val="24"/>
                <w:vertAlign w:val="superscript"/>
                <w:lang w:eastAsia="zh-TW"/>
              </w:rPr>
            </w:pPr>
            <w:r w:rsidRPr="00415FA2">
              <w:rPr>
                <w:b/>
                <w:bCs/>
                <w:szCs w:val="24"/>
                <w:lang w:eastAsia="zh-TW"/>
              </w:rPr>
              <w:t>Children</w:t>
            </w:r>
            <w:r w:rsidRPr="00415FA2">
              <w:rPr>
                <w:b/>
                <w:bCs/>
                <w:szCs w:val="24"/>
                <w:vertAlign w:val="superscript"/>
                <w:lang w:eastAsia="zh-TW"/>
              </w:rPr>
              <w:t>c</w:t>
            </w:r>
          </w:p>
        </w:tc>
        <w:tc>
          <w:tcPr>
            <w:tcW w:w="1080" w:type="dxa"/>
            <w:tcBorders>
              <w:top w:val="single" w:sz="8" w:space="0" w:color="4F81BD"/>
              <w:left w:val="nil"/>
              <w:bottom w:val="nil"/>
              <w:right w:val="nil"/>
            </w:tcBorders>
            <w:shd w:val="clear" w:color="auto" w:fill="DBE5F1"/>
            <w:noWrap/>
            <w:vAlign w:val="center"/>
          </w:tcPr>
          <w:p w:rsidR="00A327E6" w:rsidRPr="00415FA2" w:rsidRDefault="00A327E6" w:rsidP="00415FA2">
            <w:pPr>
              <w:spacing w:before="0" w:after="0" w:line="320" w:lineRule="atLeast"/>
              <w:jc w:val="center"/>
              <w:rPr>
                <w:szCs w:val="24"/>
                <w:lang w:eastAsia="zh-TW"/>
              </w:rPr>
            </w:pPr>
          </w:p>
        </w:tc>
        <w:tc>
          <w:tcPr>
            <w:tcW w:w="1327" w:type="dxa"/>
            <w:tcBorders>
              <w:top w:val="single" w:sz="8" w:space="0" w:color="4F81BD"/>
              <w:left w:val="nil"/>
              <w:bottom w:val="nil"/>
              <w:right w:val="nil"/>
            </w:tcBorders>
            <w:shd w:val="clear" w:color="auto" w:fill="DBE5F1"/>
            <w:noWrap/>
            <w:vAlign w:val="center"/>
          </w:tcPr>
          <w:p w:rsidR="00A327E6" w:rsidRPr="00415FA2" w:rsidRDefault="00A327E6" w:rsidP="00415FA2">
            <w:pPr>
              <w:spacing w:before="0" w:after="0" w:line="320" w:lineRule="atLeast"/>
              <w:jc w:val="center"/>
              <w:rPr>
                <w:szCs w:val="24"/>
                <w:lang w:eastAsia="zh-TW"/>
              </w:rPr>
            </w:pPr>
          </w:p>
        </w:tc>
        <w:tc>
          <w:tcPr>
            <w:tcW w:w="1328" w:type="dxa"/>
            <w:tcBorders>
              <w:top w:val="single" w:sz="8" w:space="0" w:color="4F81BD"/>
              <w:left w:val="nil"/>
              <w:bottom w:val="nil"/>
              <w:right w:val="nil"/>
            </w:tcBorders>
            <w:shd w:val="clear" w:color="auto" w:fill="DBE5F1"/>
            <w:noWrap/>
            <w:vAlign w:val="center"/>
          </w:tcPr>
          <w:p w:rsidR="00A327E6" w:rsidRPr="00415FA2" w:rsidRDefault="00A327E6" w:rsidP="00415FA2">
            <w:pPr>
              <w:spacing w:before="0" w:after="0" w:line="320" w:lineRule="atLeast"/>
              <w:jc w:val="center"/>
              <w:rPr>
                <w:szCs w:val="24"/>
                <w:lang w:eastAsia="zh-TW"/>
              </w:rPr>
            </w:pPr>
          </w:p>
        </w:tc>
        <w:tc>
          <w:tcPr>
            <w:tcW w:w="1327" w:type="dxa"/>
            <w:tcBorders>
              <w:top w:val="single" w:sz="8" w:space="0" w:color="4F81BD"/>
              <w:left w:val="nil"/>
              <w:bottom w:val="nil"/>
              <w:right w:val="nil"/>
            </w:tcBorders>
            <w:shd w:val="clear" w:color="auto" w:fill="DBE5F1"/>
            <w:noWrap/>
            <w:vAlign w:val="center"/>
          </w:tcPr>
          <w:p w:rsidR="00A327E6" w:rsidRPr="00415FA2" w:rsidRDefault="00A327E6" w:rsidP="00415FA2">
            <w:pPr>
              <w:spacing w:before="0" w:after="0" w:line="320" w:lineRule="atLeast"/>
              <w:jc w:val="center"/>
              <w:rPr>
                <w:szCs w:val="24"/>
                <w:lang w:eastAsia="zh-TW"/>
              </w:rPr>
            </w:pPr>
          </w:p>
        </w:tc>
        <w:tc>
          <w:tcPr>
            <w:tcW w:w="1328" w:type="dxa"/>
            <w:tcBorders>
              <w:top w:val="single" w:sz="8" w:space="0" w:color="4F81BD"/>
              <w:left w:val="nil"/>
              <w:bottom w:val="nil"/>
            </w:tcBorders>
            <w:shd w:val="clear" w:color="auto" w:fill="DBE5F1"/>
            <w:noWrap/>
            <w:vAlign w:val="center"/>
          </w:tcPr>
          <w:p w:rsidR="00A327E6" w:rsidRPr="00415FA2" w:rsidRDefault="00A327E6" w:rsidP="00415FA2">
            <w:pPr>
              <w:spacing w:before="0" w:after="0" w:line="320" w:lineRule="atLeast"/>
              <w:jc w:val="center"/>
              <w:rPr>
                <w:i/>
                <w:szCs w:val="24"/>
                <w:lang w:eastAsia="zh-TW"/>
              </w:rPr>
            </w:pPr>
          </w:p>
        </w:tc>
      </w:tr>
      <w:tr w:rsidR="00A327E6" w:rsidRPr="0021796A" w:rsidTr="00415FA2">
        <w:trPr>
          <w:trHeight w:val="375"/>
        </w:trPr>
        <w:tc>
          <w:tcPr>
            <w:tcW w:w="3255" w:type="dxa"/>
            <w:tcBorders>
              <w:top w:val="nil"/>
              <w:bottom w:val="nil"/>
              <w:right w:val="nil"/>
            </w:tcBorders>
            <w:noWrap/>
            <w:vAlign w:val="center"/>
          </w:tcPr>
          <w:p w:rsidR="00A327E6" w:rsidRPr="00415FA2" w:rsidRDefault="00A327E6" w:rsidP="00D92952">
            <w:pPr>
              <w:spacing w:before="0" w:after="0" w:line="320" w:lineRule="atLeast"/>
              <w:ind w:firstLineChars="100" w:firstLine="240"/>
              <w:rPr>
                <w:b/>
                <w:bCs/>
                <w:color w:val="104E8B"/>
                <w:szCs w:val="24"/>
                <w:lang w:eastAsia="zh-TW"/>
              </w:rPr>
            </w:pPr>
            <w:r w:rsidRPr="00415FA2">
              <w:rPr>
                <w:b/>
                <w:bCs/>
                <w:szCs w:val="24"/>
                <w:lang w:eastAsia="zh-TW"/>
              </w:rPr>
              <w:t>Hearing Impairment</w:t>
            </w:r>
          </w:p>
        </w:tc>
        <w:tc>
          <w:tcPr>
            <w:tcW w:w="1080"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2105</w:t>
            </w:r>
          </w:p>
        </w:tc>
        <w:tc>
          <w:tcPr>
            <w:tcW w:w="1327"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328"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327"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328" w:type="dxa"/>
            <w:tcBorders>
              <w:top w:val="nil"/>
              <w:left w:val="nil"/>
              <w:bottom w:val="nil"/>
            </w:tcBorders>
            <w:noWrap/>
            <w:vAlign w:val="center"/>
          </w:tcPr>
          <w:p w:rsidR="00A327E6" w:rsidRPr="00415FA2" w:rsidRDefault="00A327E6" w:rsidP="00415FA2">
            <w:pPr>
              <w:spacing w:before="0" w:after="0" w:line="320" w:lineRule="atLeast"/>
              <w:jc w:val="center"/>
              <w:rPr>
                <w:i/>
                <w:szCs w:val="24"/>
                <w:lang w:eastAsia="zh-TW"/>
              </w:rPr>
            </w:pPr>
          </w:p>
        </w:tc>
      </w:tr>
      <w:tr w:rsidR="00A327E6" w:rsidRPr="0021796A" w:rsidTr="00415FA2">
        <w:trPr>
          <w:trHeight w:val="315"/>
        </w:trPr>
        <w:tc>
          <w:tcPr>
            <w:tcW w:w="3255" w:type="dxa"/>
            <w:tcBorders>
              <w:top w:val="nil"/>
              <w:bottom w:val="nil"/>
              <w:right w:val="nil"/>
            </w:tcBorders>
            <w:noWrap/>
            <w:vAlign w:val="center"/>
          </w:tcPr>
          <w:p w:rsidR="00A327E6" w:rsidRPr="00415FA2" w:rsidRDefault="00A327E6" w:rsidP="00D92952">
            <w:pPr>
              <w:spacing w:before="0" w:after="0" w:line="320" w:lineRule="atLeast"/>
              <w:ind w:firstLineChars="300" w:firstLine="721"/>
              <w:rPr>
                <w:b/>
                <w:bCs/>
                <w:color w:val="104E8B"/>
                <w:szCs w:val="24"/>
                <w:lang w:eastAsia="zh-TW"/>
              </w:rPr>
            </w:pPr>
            <w:r w:rsidRPr="00415FA2">
              <w:rPr>
                <w:b/>
                <w:bCs/>
                <w:szCs w:val="24"/>
                <w:lang w:eastAsia="zh-TW"/>
              </w:rPr>
              <w:t>Low, ≤ 59 dB</w:t>
            </w:r>
          </w:p>
        </w:tc>
        <w:tc>
          <w:tcPr>
            <w:tcW w:w="1080"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327"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1.0</w:t>
            </w:r>
          </w:p>
        </w:tc>
        <w:tc>
          <w:tcPr>
            <w:tcW w:w="1328"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1.0</w:t>
            </w:r>
          </w:p>
        </w:tc>
        <w:tc>
          <w:tcPr>
            <w:tcW w:w="1327"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r w:rsidRPr="00415FA2">
              <w:rPr>
                <w:szCs w:val="24"/>
                <w:lang w:eastAsia="zh-TW"/>
              </w:rPr>
              <w:t>1.0</w:t>
            </w:r>
          </w:p>
        </w:tc>
        <w:tc>
          <w:tcPr>
            <w:tcW w:w="1328" w:type="dxa"/>
            <w:tcBorders>
              <w:top w:val="nil"/>
              <w:left w:val="nil"/>
              <w:bottom w:val="nil"/>
            </w:tcBorders>
            <w:noWrap/>
            <w:vAlign w:val="center"/>
          </w:tcPr>
          <w:p w:rsidR="00A327E6" w:rsidRPr="00415FA2" w:rsidRDefault="00A327E6" w:rsidP="00415FA2">
            <w:pPr>
              <w:spacing w:before="0" w:after="0" w:line="320" w:lineRule="atLeast"/>
              <w:jc w:val="center"/>
              <w:rPr>
                <w:i/>
                <w:szCs w:val="24"/>
                <w:lang w:eastAsia="zh-TW"/>
              </w:rPr>
            </w:pPr>
          </w:p>
        </w:tc>
      </w:tr>
      <w:tr w:rsidR="00A327E6" w:rsidRPr="0021796A" w:rsidTr="00415FA2">
        <w:trPr>
          <w:trHeight w:val="315"/>
        </w:trPr>
        <w:tc>
          <w:tcPr>
            <w:tcW w:w="3255" w:type="dxa"/>
            <w:tcBorders>
              <w:top w:val="nil"/>
              <w:bottom w:val="nil"/>
              <w:right w:val="nil"/>
            </w:tcBorders>
            <w:noWrap/>
            <w:vAlign w:val="center"/>
          </w:tcPr>
          <w:p w:rsidR="00A327E6" w:rsidRPr="00415FA2" w:rsidRDefault="00A327E6" w:rsidP="00D92952">
            <w:pPr>
              <w:spacing w:before="0" w:after="0" w:line="320" w:lineRule="atLeast"/>
              <w:ind w:firstLineChars="300" w:firstLine="721"/>
              <w:rPr>
                <w:b/>
                <w:bCs/>
                <w:color w:val="000000"/>
                <w:szCs w:val="24"/>
                <w:lang w:eastAsia="zh-TW"/>
              </w:rPr>
            </w:pPr>
            <w:r w:rsidRPr="00415FA2">
              <w:rPr>
                <w:b/>
                <w:bCs/>
                <w:color w:val="000000"/>
                <w:szCs w:val="24"/>
                <w:lang w:eastAsia="zh-TW"/>
              </w:rPr>
              <w:t>Medium, 60-64 dB</w:t>
            </w:r>
          </w:p>
        </w:tc>
        <w:tc>
          <w:tcPr>
            <w:tcW w:w="1080" w:type="dxa"/>
            <w:tcBorders>
              <w:top w:val="nil"/>
              <w:left w:val="nil"/>
              <w:bottom w:val="nil"/>
              <w:right w:val="nil"/>
            </w:tcBorders>
            <w:noWrap/>
            <w:vAlign w:val="center"/>
          </w:tcPr>
          <w:p w:rsidR="00A327E6" w:rsidRPr="00415FA2" w:rsidRDefault="00A327E6" w:rsidP="00415FA2">
            <w:pPr>
              <w:spacing w:before="0" w:after="0" w:line="320" w:lineRule="atLeast"/>
              <w:jc w:val="center"/>
              <w:rPr>
                <w:szCs w:val="24"/>
                <w:lang w:eastAsia="zh-TW"/>
              </w:rPr>
            </w:pPr>
          </w:p>
        </w:tc>
        <w:tc>
          <w:tcPr>
            <w:tcW w:w="1327" w:type="dxa"/>
            <w:tcBorders>
              <w:top w:val="nil"/>
              <w:left w:val="nil"/>
              <w:bottom w:val="nil"/>
              <w:right w:val="nil"/>
            </w:tcBorders>
            <w:noWrap/>
            <w:vAlign w:val="center"/>
          </w:tcPr>
          <w:p w:rsidR="00A327E6" w:rsidRPr="00415FA2" w:rsidRDefault="00A327E6" w:rsidP="00415FA2">
            <w:pPr>
              <w:spacing w:before="0" w:after="0" w:line="320" w:lineRule="atLeast"/>
              <w:jc w:val="center"/>
              <w:rPr>
                <w:color w:val="000000"/>
                <w:szCs w:val="24"/>
                <w:lang w:eastAsia="zh-TW"/>
              </w:rPr>
            </w:pPr>
            <w:r w:rsidRPr="00415FA2">
              <w:rPr>
                <w:color w:val="000000"/>
                <w:szCs w:val="24"/>
                <w:lang w:eastAsia="zh-TW"/>
              </w:rPr>
              <w:t>0.</w:t>
            </w:r>
            <w:r w:rsidRPr="00415FA2">
              <w:rPr>
                <w:rFonts w:cs="Calibri"/>
                <w:color w:val="000000"/>
                <w:szCs w:val="24"/>
                <w:lang w:eastAsia="zh-TW"/>
              </w:rPr>
              <w:t>7</w:t>
            </w:r>
          </w:p>
        </w:tc>
        <w:tc>
          <w:tcPr>
            <w:tcW w:w="1328" w:type="dxa"/>
            <w:tcBorders>
              <w:top w:val="nil"/>
              <w:left w:val="nil"/>
              <w:bottom w:val="nil"/>
              <w:right w:val="nil"/>
            </w:tcBorders>
            <w:noWrap/>
            <w:vAlign w:val="center"/>
          </w:tcPr>
          <w:p w:rsidR="00A327E6" w:rsidRPr="00415FA2" w:rsidRDefault="00A327E6" w:rsidP="00415FA2">
            <w:pPr>
              <w:spacing w:before="0" w:after="0" w:line="320" w:lineRule="atLeast"/>
              <w:jc w:val="center"/>
              <w:rPr>
                <w:color w:val="000000"/>
                <w:szCs w:val="24"/>
                <w:lang w:eastAsia="zh-TW"/>
              </w:rPr>
            </w:pPr>
            <w:r w:rsidRPr="00415FA2">
              <w:rPr>
                <w:color w:val="000000"/>
                <w:szCs w:val="24"/>
                <w:lang w:eastAsia="zh-TW"/>
              </w:rPr>
              <w:t>0.</w:t>
            </w:r>
            <w:r w:rsidRPr="00415FA2">
              <w:rPr>
                <w:rFonts w:cs="Calibri"/>
                <w:color w:val="000000"/>
                <w:szCs w:val="24"/>
                <w:lang w:eastAsia="zh-TW"/>
              </w:rPr>
              <w:t>3</w:t>
            </w:r>
          </w:p>
        </w:tc>
        <w:tc>
          <w:tcPr>
            <w:tcW w:w="1327" w:type="dxa"/>
            <w:tcBorders>
              <w:top w:val="nil"/>
              <w:left w:val="nil"/>
              <w:bottom w:val="nil"/>
              <w:right w:val="nil"/>
            </w:tcBorders>
            <w:noWrap/>
            <w:vAlign w:val="center"/>
          </w:tcPr>
          <w:p w:rsidR="00A327E6" w:rsidRPr="00415FA2" w:rsidRDefault="00A327E6" w:rsidP="00415FA2">
            <w:pPr>
              <w:spacing w:before="0" w:after="0" w:line="320" w:lineRule="atLeast"/>
              <w:jc w:val="center"/>
              <w:rPr>
                <w:color w:val="000000"/>
                <w:szCs w:val="24"/>
                <w:lang w:eastAsia="zh-TW"/>
              </w:rPr>
            </w:pPr>
            <w:r w:rsidRPr="00415FA2">
              <w:rPr>
                <w:rFonts w:cs="Calibri"/>
                <w:color w:val="000000"/>
                <w:szCs w:val="24"/>
                <w:lang w:eastAsia="zh-TW"/>
              </w:rPr>
              <w:t>2.0</w:t>
            </w:r>
          </w:p>
        </w:tc>
        <w:tc>
          <w:tcPr>
            <w:tcW w:w="1328" w:type="dxa"/>
            <w:tcBorders>
              <w:top w:val="nil"/>
              <w:left w:val="nil"/>
              <w:bottom w:val="nil"/>
            </w:tcBorders>
            <w:noWrap/>
            <w:vAlign w:val="center"/>
          </w:tcPr>
          <w:p w:rsidR="00A327E6" w:rsidRPr="00415FA2" w:rsidRDefault="00A327E6" w:rsidP="00415FA2">
            <w:pPr>
              <w:spacing w:before="0" w:after="0" w:line="320" w:lineRule="atLeast"/>
              <w:jc w:val="center"/>
              <w:rPr>
                <w:i/>
                <w:szCs w:val="24"/>
                <w:lang w:eastAsia="zh-TW"/>
              </w:rPr>
            </w:pPr>
            <w:r w:rsidRPr="00415FA2">
              <w:rPr>
                <w:i/>
                <w:szCs w:val="24"/>
                <w:lang w:eastAsia="zh-TW"/>
              </w:rPr>
              <w:t>0.53</w:t>
            </w:r>
          </w:p>
        </w:tc>
      </w:tr>
      <w:tr w:rsidR="00A327E6" w:rsidRPr="0021796A" w:rsidTr="00415FA2">
        <w:trPr>
          <w:trHeight w:val="315"/>
        </w:trPr>
        <w:tc>
          <w:tcPr>
            <w:tcW w:w="3255" w:type="dxa"/>
            <w:tcBorders>
              <w:top w:val="nil"/>
              <w:bottom w:val="single" w:sz="8" w:space="0" w:color="4F81BD"/>
              <w:right w:val="nil"/>
            </w:tcBorders>
            <w:noWrap/>
            <w:vAlign w:val="center"/>
          </w:tcPr>
          <w:p w:rsidR="00A327E6" w:rsidRPr="00415FA2" w:rsidRDefault="00A327E6" w:rsidP="00D92952">
            <w:pPr>
              <w:spacing w:before="0" w:after="0" w:line="320" w:lineRule="atLeast"/>
              <w:ind w:firstLineChars="300" w:firstLine="721"/>
              <w:rPr>
                <w:b/>
                <w:bCs/>
                <w:color w:val="104E8B"/>
                <w:szCs w:val="24"/>
                <w:lang w:eastAsia="zh-TW"/>
              </w:rPr>
            </w:pPr>
            <w:r w:rsidRPr="00415FA2">
              <w:rPr>
                <w:b/>
                <w:bCs/>
                <w:szCs w:val="24"/>
                <w:lang w:eastAsia="zh-TW"/>
              </w:rPr>
              <w:t>High, ≥ 65 dB</w:t>
            </w:r>
          </w:p>
        </w:tc>
        <w:tc>
          <w:tcPr>
            <w:tcW w:w="1080"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szCs w:val="24"/>
                <w:lang w:eastAsia="zh-TW"/>
              </w:rPr>
            </w:pPr>
          </w:p>
        </w:tc>
        <w:tc>
          <w:tcPr>
            <w:tcW w:w="1327"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color w:val="000000"/>
                <w:szCs w:val="24"/>
                <w:lang w:eastAsia="zh-TW"/>
              </w:rPr>
            </w:pPr>
            <w:r w:rsidRPr="00415FA2">
              <w:rPr>
                <w:color w:val="000000"/>
                <w:szCs w:val="24"/>
                <w:lang w:eastAsia="zh-TW"/>
              </w:rPr>
              <w:t>1.</w:t>
            </w:r>
            <w:r w:rsidRPr="00415FA2">
              <w:rPr>
                <w:rFonts w:cs="Calibri"/>
                <w:color w:val="000000"/>
                <w:szCs w:val="24"/>
                <w:lang w:eastAsia="zh-TW"/>
              </w:rPr>
              <w:t>7</w:t>
            </w:r>
          </w:p>
        </w:tc>
        <w:tc>
          <w:tcPr>
            <w:tcW w:w="1328"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color w:val="000000"/>
                <w:szCs w:val="24"/>
                <w:lang w:eastAsia="zh-TW"/>
              </w:rPr>
            </w:pPr>
            <w:r w:rsidRPr="00415FA2">
              <w:rPr>
                <w:color w:val="000000"/>
                <w:szCs w:val="24"/>
                <w:lang w:eastAsia="zh-TW"/>
              </w:rPr>
              <w:t>0.</w:t>
            </w:r>
            <w:r w:rsidRPr="00415FA2">
              <w:rPr>
                <w:rFonts w:cs="Calibri"/>
                <w:color w:val="000000"/>
                <w:szCs w:val="24"/>
                <w:lang w:eastAsia="zh-TW"/>
              </w:rPr>
              <w:t>4</w:t>
            </w:r>
          </w:p>
        </w:tc>
        <w:tc>
          <w:tcPr>
            <w:tcW w:w="1327" w:type="dxa"/>
            <w:tcBorders>
              <w:top w:val="nil"/>
              <w:left w:val="nil"/>
              <w:bottom w:val="single" w:sz="8" w:space="0" w:color="4F81BD"/>
              <w:right w:val="nil"/>
            </w:tcBorders>
            <w:noWrap/>
            <w:vAlign w:val="center"/>
          </w:tcPr>
          <w:p w:rsidR="00A327E6" w:rsidRPr="00415FA2" w:rsidRDefault="00A327E6" w:rsidP="00415FA2">
            <w:pPr>
              <w:spacing w:before="0" w:after="0" w:line="320" w:lineRule="atLeast"/>
              <w:jc w:val="center"/>
              <w:rPr>
                <w:color w:val="000000"/>
                <w:szCs w:val="24"/>
                <w:lang w:eastAsia="zh-TW"/>
              </w:rPr>
            </w:pPr>
            <w:r w:rsidRPr="00415FA2">
              <w:rPr>
                <w:color w:val="000000"/>
                <w:szCs w:val="24"/>
                <w:lang w:eastAsia="zh-TW"/>
              </w:rPr>
              <w:t>7.</w:t>
            </w:r>
            <w:r w:rsidRPr="00415FA2">
              <w:rPr>
                <w:rFonts w:cs="Calibri"/>
                <w:color w:val="000000"/>
                <w:szCs w:val="24"/>
                <w:lang w:eastAsia="zh-TW"/>
              </w:rPr>
              <w:t>5</w:t>
            </w:r>
          </w:p>
        </w:tc>
        <w:tc>
          <w:tcPr>
            <w:tcW w:w="1328" w:type="dxa"/>
            <w:tcBorders>
              <w:top w:val="nil"/>
              <w:left w:val="nil"/>
              <w:bottom w:val="single" w:sz="8" w:space="0" w:color="4F81BD"/>
            </w:tcBorders>
            <w:noWrap/>
            <w:vAlign w:val="center"/>
          </w:tcPr>
          <w:p w:rsidR="00A327E6" w:rsidRPr="00415FA2" w:rsidRDefault="00A327E6" w:rsidP="00415FA2">
            <w:pPr>
              <w:spacing w:before="0" w:after="0" w:line="320" w:lineRule="atLeast"/>
              <w:jc w:val="center"/>
              <w:rPr>
                <w:i/>
                <w:szCs w:val="24"/>
                <w:lang w:eastAsia="zh-TW"/>
              </w:rPr>
            </w:pPr>
            <w:r w:rsidRPr="00415FA2">
              <w:rPr>
                <w:i/>
                <w:szCs w:val="24"/>
                <w:lang w:eastAsia="zh-TW"/>
              </w:rPr>
              <w:t>0.50</w:t>
            </w:r>
          </w:p>
        </w:tc>
      </w:tr>
      <w:tr w:rsidR="00A327E6" w:rsidRPr="0021796A" w:rsidTr="00415FA2">
        <w:trPr>
          <w:trHeight w:val="645"/>
        </w:trPr>
        <w:tc>
          <w:tcPr>
            <w:tcW w:w="9645" w:type="dxa"/>
            <w:gridSpan w:val="6"/>
            <w:tcBorders>
              <w:top w:val="single" w:sz="8" w:space="0" w:color="4F81BD"/>
              <w:bottom w:val="single" w:sz="8" w:space="0" w:color="4F81BD"/>
            </w:tcBorders>
          </w:tcPr>
          <w:p w:rsidR="00A327E6" w:rsidRPr="00415FA2" w:rsidRDefault="00A327E6" w:rsidP="00415FA2">
            <w:pPr>
              <w:spacing w:before="0" w:after="0" w:line="240" w:lineRule="auto"/>
              <w:rPr>
                <w:b/>
                <w:bCs/>
                <w:szCs w:val="24"/>
                <w:lang w:eastAsia="zh-TW"/>
              </w:rPr>
            </w:pPr>
            <w:r w:rsidRPr="00415FA2">
              <w:rPr>
                <w:bCs/>
                <w:szCs w:val="24"/>
                <w:vertAlign w:val="superscript"/>
                <w:lang w:eastAsia="zh-TW"/>
              </w:rPr>
              <w:t>a</w:t>
            </w:r>
            <w:r w:rsidRPr="00415FA2">
              <w:rPr>
                <w:bCs/>
                <w:szCs w:val="24"/>
                <w:lang w:eastAsia="zh-TW"/>
              </w:rPr>
              <w:t>All adult models were adjusted for age, sex, race, ethnicity, household income (PIR), education, smoking status, and occupational noise exposure.</w:t>
            </w:r>
          </w:p>
          <w:p w:rsidR="00A327E6" w:rsidRPr="00415FA2" w:rsidRDefault="00A327E6" w:rsidP="00415FA2">
            <w:pPr>
              <w:spacing w:before="0" w:after="0" w:line="240" w:lineRule="auto"/>
              <w:rPr>
                <w:b/>
                <w:bCs/>
                <w:szCs w:val="24"/>
                <w:lang w:eastAsia="zh-TW"/>
              </w:rPr>
            </w:pPr>
            <w:r w:rsidRPr="00415FA2">
              <w:rPr>
                <w:bCs/>
                <w:szCs w:val="24"/>
                <w:vertAlign w:val="superscript"/>
                <w:lang w:eastAsia="zh-TW"/>
              </w:rPr>
              <w:t>b</w:t>
            </w:r>
            <w:r w:rsidRPr="00415FA2">
              <w:rPr>
                <w:bCs/>
                <w:szCs w:val="24"/>
                <w:lang w:eastAsia="zh-TW"/>
              </w:rPr>
              <w:t>Hearing impairment combined with hearing aid use was assessed only among adults aged 40 years or greater due to very low prevalence in younger adults.</w:t>
            </w:r>
          </w:p>
          <w:p w:rsidR="00A327E6" w:rsidRPr="00415FA2" w:rsidRDefault="00A327E6" w:rsidP="00415FA2">
            <w:pPr>
              <w:spacing w:before="0" w:after="0" w:line="240" w:lineRule="auto"/>
              <w:rPr>
                <w:b/>
                <w:bCs/>
                <w:szCs w:val="24"/>
                <w:lang w:eastAsia="zh-TW"/>
              </w:rPr>
            </w:pPr>
            <w:r w:rsidRPr="00415FA2">
              <w:rPr>
                <w:bCs/>
                <w:szCs w:val="24"/>
                <w:vertAlign w:val="superscript"/>
                <w:lang w:eastAsia="zh-TW"/>
              </w:rPr>
              <w:t>c</w:t>
            </w:r>
            <w:r w:rsidRPr="00415FA2">
              <w:rPr>
                <w:bCs/>
                <w:szCs w:val="24"/>
                <w:lang w:eastAsia="zh-TW"/>
              </w:rPr>
              <w:t>Children’s hearing impairment model adjusted for age, sex, household income (PIR), maternal education, household indoor smoking, household mold, and Massport soundproofing.</w:t>
            </w:r>
          </w:p>
        </w:tc>
      </w:tr>
    </w:tbl>
    <w:p w:rsidR="00A327E6" w:rsidRDefault="00A327E6" w:rsidP="00B23A37"/>
    <w:p w:rsidR="00A327E6" w:rsidRDefault="00A327E6" w:rsidP="00B23A37"/>
    <w:p w:rsidR="00A327E6" w:rsidRDefault="00A327E6" w:rsidP="00B23A37"/>
    <w:p w:rsidR="00A327E6" w:rsidRDefault="00A327E6" w:rsidP="00B23A37"/>
    <w:p w:rsidR="00A327E6" w:rsidRDefault="00A327E6">
      <w:pPr>
        <w:spacing w:before="0" w:after="0" w:line="240" w:lineRule="auto"/>
      </w:pPr>
      <w:r>
        <w:br w:type="page"/>
      </w:r>
    </w:p>
    <w:p w:rsidR="00A327E6" w:rsidRPr="0021796A" w:rsidRDefault="00A327E6" w:rsidP="00D31B86">
      <w:pPr>
        <w:pStyle w:val="Heading1"/>
        <w:spacing w:before="100" w:beforeAutospacing="1" w:after="100" w:afterAutospacing="1" w:line="400" w:lineRule="atLeast"/>
        <w:rPr>
          <w:sz w:val="24"/>
          <w:szCs w:val="24"/>
        </w:rPr>
      </w:pPr>
      <w:bookmarkStart w:id="235" w:name="_Toc388543117"/>
      <w:r w:rsidRPr="0021796A">
        <w:rPr>
          <w:sz w:val="24"/>
          <w:szCs w:val="24"/>
        </w:rPr>
        <w:t>DISCUSSION</w:t>
      </w:r>
      <w:bookmarkEnd w:id="235"/>
    </w:p>
    <w:p w:rsidR="00A327E6" w:rsidRPr="0021796A" w:rsidRDefault="00A327E6" w:rsidP="00264409">
      <w:pPr>
        <w:pStyle w:val="NormalIndent"/>
        <w:spacing w:before="100" w:beforeAutospacing="1" w:after="100" w:afterAutospacing="1" w:line="400" w:lineRule="atLeast"/>
        <w:rPr>
          <w:rFonts w:cs="Calibri"/>
          <w:szCs w:val="24"/>
        </w:rPr>
      </w:pPr>
      <w:r w:rsidRPr="0021796A">
        <w:rPr>
          <w:rFonts w:cs="Calibri"/>
          <w:szCs w:val="24"/>
        </w:rPr>
        <w:t>As directed by the Massachusetts legislature, the MDPH/BEH conducted an assessment of health impacts of Logan Airport on residents of seventeen communities located within a 5 mile radius of the airport</w:t>
      </w:r>
      <w:r>
        <w:rPr>
          <w:rFonts w:cs="Calibri"/>
          <w:szCs w:val="24"/>
        </w:rPr>
        <w:t xml:space="preserve">.  </w:t>
      </w:r>
      <w:r w:rsidRPr="0021796A">
        <w:rPr>
          <w:rFonts w:cs="Calibri"/>
          <w:szCs w:val="24"/>
        </w:rPr>
        <w:t xml:space="preserve">With input from key stakeholders, including residents and local health departments, and from experts in the fields of epidemiology, risk assessment, survey design and administration, and air pollution modeling, the MDPH/BEH designed and conducted a cross-sectional disease and symptom prevalence study.  The purpose of the study was to investigate associations between potential </w:t>
      </w:r>
      <w:r w:rsidRPr="00294F22">
        <w:rPr>
          <w:rFonts w:cs="Calibri"/>
          <w:szCs w:val="24"/>
        </w:rPr>
        <w:t>exposure to airport emissions and</w:t>
      </w:r>
      <w:r w:rsidRPr="0021796A">
        <w:rPr>
          <w:rFonts w:cs="Calibri"/>
          <w:szCs w:val="24"/>
        </w:rPr>
        <w:t xml:space="preserve"> adverse respiratory, cardiovascular, and auditory health outcomes among residents of seventeen communities surrounding Logan Airport.</w:t>
      </w:r>
    </w:p>
    <w:p w:rsidR="00A327E6" w:rsidRPr="0021796A" w:rsidRDefault="00A327E6" w:rsidP="00E44AAF">
      <w:pPr>
        <w:pStyle w:val="NormalIndent"/>
        <w:spacing w:before="100" w:beforeAutospacing="1" w:after="100" w:afterAutospacing="1" w:line="400" w:lineRule="atLeast"/>
        <w:rPr>
          <w:rFonts w:cs="Calibri"/>
          <w:szCs w:val="24"/>
        </w:rPr>
      </w:pPr>
      <w:r w:rsidRPr="0021796A">
        <w:rPr>
          <w:rFonts w:cs="Calibri"/>
          <w:szCs w:val="24"/>
        </w:rPr>
        <w:t>The study area was geographically stratified into three exposure areas based on the best available data for predicting ambient concentrations of air pollution and noise associated with operations at the airport</w:t>
      </w:r>
      <w:r>
        <w:rPr>
          <w:rFonts w:cs="Calibri"/>
          <w:szCs w:val="24"/>
        </w:rPr>
        <w:t xml:space="preserve">.  </w:t>
      </w:r>
      <w:r w:rsidRPr="0021796A">
        <w:rPr>
          <w:rFonts w:cs="Calibri"/>
          <w:szCs w:val="24"/>
        </w:rPr>
        <w:t>In addition, a sample of residents from across the study area, statistically representative of the total study area, was interviewed to collect information on the prevalence of the targeted health outcomes and other relevant demographic and risk factor information</w:t>
      </w:r>
      <w:r>
        <w:rPr>
          <w:rFonts w:cs="Calibri"/>
          <w:szCs w:val="24"/>
        </w:rPr>
        <w:t xml:space="preserve">.  </w:t>
      </w:r>
      <w:r w:rsidRPr="0021796A">
        <w:rPr>
          <w:rFonts w:cs="Calibri"/>
          <w:szCs w:val="24"/>
        </w:rPr>
        <w:t>The prevalence estimates of respiratory, cardiovascular, and auditory outcomes in the LAHS communities were initially compared to those of the state of MA to evaluate the general burden of disease in the study area</w:t>
      </w:r>
      <w:r>
        <w:rPr>
          <w:rFonts w:cs="Calibri"/>
          <w:szCs w:val="24"/>
        </w:rPr>
        <w:t xml:space="preserve">.  </w:t>
      </w:r>
      <w:r w:rsidRPr="0021796A">
        <w:rPr>
          <w:rFonts w:cs="Calibri"/>
          <w:szCs w:val="24"/>
        </w:rPr>
        <w:t>Finally, statistical analyses were conducted to address the primary goal of the LAHS, which was to determine whether residents living in areas with greater potential for airport-related exposures were more likely to experience the targeted health outcomes compared to residents living in areas with lesser potential for airport-related exposures</w:t>
      </w:r>
      <w:r>
        <w:rPr>
          <w:rFonts w:cs="Calibri"/>
          <w:szCs w:val="24"/>
        </w:rPr>
        <w:t xml:space="preserve">.  </w:t>
      </w:r>
      <w:r w:rsidRPr="0021796A">
        <w:rPr>
          <w:rFonts w:cs="Calibri"/>
          <w:szCs w:val="24"/>
        </w:rPr>
        <w:t>The final analyses also took into consideration the effects of confounding factors, such as smoking, which could mask or mimic the Logan-related exposure under study.</w:t>
      </w:r>
    </w:p>
    <w:p w:rsidR="00A327E6" w:rsidRPr="0021796A" w:rsidRDefault="00A327E6" w:rsidP="00E44AAF">
      <w:pPr>
        <w:pStyle w:val="NormalIndent"/>
        <w:spacing w:before="100" w:beforeAutospacing="1" w:after="100" w:afterAutospacing="1" w:line="400" w:lineRule="atLeast"/>
        <w:rPr>
          <w:rFonts w:cs="Calibri"/>
          <w:szCs w:val="24"/>
        </w:rPr>
      </w:pPr>
      <w:r w:rsidRPr="0021796A">
        <w:rPr>
          <w:rFonts w:cs="Calibri"/>
          <w:szCs w:val="24"/>
        </w:rPr>
        <w:t xml:space="preserve">Overall, the population of the LAHS area appeared to have a greater burden of current and lifetime asthma in both adults and children than the state as a whole.  In contrast, the prevalence of cardiovascular disease was lower than observed statewide.  Patterns in the prevalence of these outcomes emerged as analyses looked more closely at where individuals lived in the study area and after accounting for other risk factors for the outcomes investigated.  </w:t>
      </w:r>
    </w:p>
    <w:p w:rsidR="00A327E6" w:rsidRPr="0021796A" w:rsidRDefault="00A327E6" w:rsidP="00E44AAF">
      <w:pPr>
        <w:pStyle w:val="NormalIndent"/>
        <w:spacing w:before="100" w:beforeAutospacing="1" w:after="100" w:afterAutospacing="1" w:line="400" w:lineRule="atLeast"/>
        <w:rPr>
          <w:rFonts w:cs="Calibri"/>
          <w:szCs w:val="24"/>
        </w:rPr>
      </w:pPr>
      <w:r w:rsidRPr="0021796A">
        <w:rPr>
          <w:rFonts w:cs="Calibri"/>
          <w:szCs w:val="24"/>
        </w:rPr>
        <w:t>Even though current and lifetime asthma appeared to be high in the LAHS total adult population, when considering the po</w:t>
      </w:r>
      <w:r>
        <w:rPr>
          <w:rFonts w:cs="Calibri"/>
          <w:szCs w:val="24"/>
        </w:rPr>
        <w:t>tential for exposure to airport-</w:t>
      </w:r>
      <w:r w:rsidRPr="0021796A">
        <w:rPr>
          <w:rFonts w:cs="Calibri"/>
          <w:szCs w:val="24"/>
        </w:rPr>
        <w:t xml:space="preserve">related air pollution and other risk factors for asthma, these outcomes did not appear associated with Logan Airport.  </w:t>
      </w:r>
      <w:r w:rsidRPr="00B25460">
        <w:rPr>
          <w:rFonts w:cs="Calibri"/>
          <w:szCs w:val="24"/>
        </w:rPr>
        <w:t>Final analyses in adults did indicate that</w:t>
      </w:r>
      <w:r>
        <w:rPr>
          <w:rFonts w:cs="Calibri"/>
          <w:szCs w:val="24"/>
        </w:rPr>
        <w:t xml:space="preserve"> COPD was statistically significantly higher for residents who lived 3 or more years in the high exposure area.</w:t>
      </w:r>
    </w:p>
    <w:p w:rsidR="00A327E6" w:rsidRPr="0021796A" w:rsidRDefault="00A327E6" w:rsidP="00E44AAF">
      <w:pPr>
        <w:pStyle w:val="NormalIndent"/>
        <w:spacing w:before="100" w:beforeAutospacing="1" w:after="100" w:afterAutospacing="1" w:line="400" w:lineRule="atLeast"/>
        <w:rPr>
          <w:rFonts w:cs="Calibri"/>
          <w:szCs w:val="24"/>
        </w:rPr>
      </w:pPr>
      <w:r w:rsidRPr="0021796A">
        <w:rPr>
          <w:rFonts w:cs="Calibri"/>
          <w:szCs w:val="24"/>
        </w:rPr>
        <w:t>The more in-depth statistical analyses did not alter the initial conclusion that cardiovascular disease was not higher in the LAHS population.  The reported occurrence of both heart attacks and coronary heart disease were not found to be associated with potential exposure to pollutants from the airport.</w:t>
      </w:r>
    </w:p>
    <w:p w:rsidR="00A327E6" w:rsidRPr="0021796A" w:rsidRDefault="00A327E6" w:rsidP="00E44AAF">
      <w:pPr>
        <w:pStyle w:val="NormalIndent"/>
        <w:spacing w:before="100" w:beforeAutospacing="1" w:after="100" w:afterAutospacing="1" w:line="400" w:lineRule="atLeast"/>
        <w:rPr>
          <w:rFonts w:cs="Calibri"/>
          <w:szCs w:val="24"/>
        </w:rPr>
      </w:pPr>
      <w:r w:rsidRPr="0021796A">
        <w:rPr>
          <w:rFonts w:cs="Calibri"/>
          <w:szCs w:val="24"/>
        </w:rPr>
        <w:t>The strongest results for children were somewhat different from those observed for adults.  Children who lived in the high exposure area had a greater likelihood of undiagnosed asthma (probable asthma) than</w:t>
      </w:r>
      <w:r>
        <w:rPr>
          <w:rFonts w:cs="Calibri"/>
          <w:szCs w:val="24"/>
        </w:rPr>
        <w:t xml:space="preserve"> children who lived in the low</w:t>
      </w:r>
      <w:r w:rsidRPr="0021796A">
        <w:rPr>
          <w:rFonts w:cs="Calibri"/>
          <w:szCs w:val="24"/>
        </w:rPr>
        <w:t xml:space="preserve"> exposure area.  </w:t>
      </w:r>
    </w:p>
    <w:p w:rsidR="00A327E6" w:rsidRPr="0021796A" w:rsidRDefault="00A327E6" w:rsidP="00E44AAF">
      <w:pPr>
        <w:pStyle w:val="NormalIndent"/>
        <w:spacing w:before="100" w:beforeAutospacing="1" w:after="100" w:afterAutospacing="1" w:line="400" w:lineRule="atLeast"/>
        <w:rPr>
          <w:rFonts w:cs="Calibri"/>
          <w:szCs w:val="24"/>
        </w:rPr>
      </w:pPr>
      <w:r w:rsidRPr="0021796A">
        <w:rPr>
          <w:rFonts w:cs="Calibri"/>
          <w:szCs w:val="24"/>
        </w:rPr>
        <w:t>The following discussion presents how the related scientific literature and the methods employed in the LAHS support its findings.  Limitations in the methods and their possible impact on the results are also discussed.</w:t>
      </w:r>
    </w:p>
    <w:p w:rsidR="00A327E6" w:rsidRPr="0021796A" w:rsidRDefault="00A327E6" w:rsidP="00E44AAF">
      <w:pPr>
        <w:spacing w:before="100" w:beforeAutospacing="1" w:after="100" w:afterAutospacing="1" w:line="400" w:lineRule="atLeast"/>
        <w:rPr>
          <w:rStyle w:val="Emphasis"/>
          <w:b/>
          <w:szCs w:val="24"/>
        </w:rPr>
      </w:pPr>
      <w:r w:rsidRPr="0021796A">
        <w:rPr>
          <w:rStyle w:val="Emphasis"/>
          <w:b/>
          <w:szCs w:val="24"/>
        </w:rPr>
        <w:t>Respiratory Outcomes</w:t>
      </w:r>
    </w:p>
    <w:p w:rsidR="00A327E6" w:rsidRPr="0021796A" w:rsidRDefault="00A327E6" w:rsidP="00E44AAF">
      <w:pPr>
        <w:pStyle w:val="NormalIndent"/>
        <w:spacing w:before="100" w:beforeAutospacing="1" w:after="100" w:afterAutospacing="1" w:line="400" w:lineRule="atLeast"/>
        <w:rPr>
          <w:szCs w:val="24"/>
        </w:rPr>
      </w:pPr>
      <w:r w:rsidRPr="0021796A">
        <w:rPr>
          <w:szCs w:val="24"/>
        </w:rPr>
        <w:t>The burden of asthma in both adults and children in the LAHS area was found to be higher than that of the statewide population of adults and children.  For children, the 2005 prevalence of asthma (current and lifetime) was statistically significantly higher in the LAHS area than in the state as a whole</w:t>
      </w:r>
      <w:r>
        <w:rPr>
          <w:szCs w:val="24"/>
        </w:rPr>
        <w:t xml:space="preserve">.  </w:t>
      </w:r>
      <w:r w:rsidRPr="0021796A">
        <w:rPr>
          <w:szCs w:val="24"/>
        </w:rPr>
        <w:t>This result is not particularly surprising considering that the LAHS area is made up of the largest metropolitan region of MA, including the city of Boston, and it is well-recognized that urban areas tend to have higher rates of respiratory disease including asthma (</w:t>
      </w:r>
      <w:r>
        <w:rPr>
          <w:szCs w:val="24"/>
        </w:rPr>
        <w:t>Sunyer et al., 1997</w:t>
      </w:r>
      <w:r w:rsidRPr="0021796A">
        <w:rPr>
          <w:szCs w:val="24"/>
        </w:rPr>
        <w:t xml:space="preserve">; Galea et al., 2005; </w:t>
      </w:r>
      <w:r>
        <w:rPr>
          <w:szCs w:val="24"/>
        </w:rPr>
        <w:t>Cohen</w:t>
      </w:r>
      <w:r w:rsidRPr="0021796A">
        <w:rPr>
          <w:szCs w:val="24"/>
        </w:rPr>
        <w:t xml:space="preserve"> et al., 2006), particularly among children (Corburn et al., 2006; Clougherty et al., 2007; Gern et al., 2009)</w:t>
      </w:r>
      <w:r>
        <w:rPr>
          <w:szCs w:val="24"/>
        </w:rPr>
        <w:t xml:space="preserve">.  </w:t>
      </w:r>
      <w:r w:rsidRPr="0021796A">
        <w:rPr>
          <w:szCs w:val="24"/>
        </w:rPr>
        <w:t xml:space="preserve">Many factors have been suggested to explain the increased asthma risk in urban areas including low socioeconomic status (Gern et al., 2009), stress and violence (Williams et al., 2009), exposure to rodent and cockroach allergens, indoor exposures to mold and environmental tobacco smoke, and air pollution (Corburn et al., 2006). </w:t>
      </w:r>
    </w:p>
    <w:p w:rsidR="00A327E6" w:rsidRPr="008F509F" w:rsidRDefault="00A327E6" w:rsidP="00E44AAF">
      <w:pPr>
        <w:pStyle w:val="NormalIndent"/>
        <w:spacing w:before="100" w:beforeAutospacing="1" w:after="100" w:afterAutospacing="1" w:line="400" w:lineRule="atLeast"/>
        <w:rPr>
          <w:szCs w:val="24"/>
        </w:rPr>
      </w:pPr>
      <w:r w:rsidRPr="008F509F">
        <w:rPr>
          <w:szCs w:val="24"/>
        </w:rPr>
        <w:t>The role of air pollution in t</w:t>
      </w:r>
      <w:r w:rsidRPr="008F509F">
        <w:rPr>
          <w:rFonts w:cs="Calibri"/>
          <w:szCs w:val="24"/>
        </w:rPr>
        <w:t xml:space="preserve">he higher prevalence of lifetime and current asthma among adults and children living in the LAHS area </w:t>
      </w:r>
      <w:r w:rsidRPr="008F509F">
        <w:rPr>
          <w:szCs w:val="24"/>
        </w:rPr>
        <w:t>is less clear based upon the scientific literature</w:t>
      </w:r>
      <w:r>
        <w:rPr>
          <w:szCs w:val="24"/>
        </w:rPr>
        <w:t xml:space="preserve">.  </w:t>
      </w:r>
      <w:r w:rsidRPr="008F509F">
        <w:rPr>
          <w:szCs w:val="24"/>
        </w:rPr>
        <w:t>Although still under investigation, research on the association between air pollution exposure and asthma prevalence and/or development has thus far been less consistent than that of air pollution and exacerbation of asthma and respiratory symptoms</w:t>
      </w:r>
      <w:r>
        <w:rPr>
          <w:szCs w:val="24"/>
        </w:rPr>
        <w:t xml:space="preserve">.  </w:t>
      </w:r>
      <w:r w:rsidRPr="008F509F">
        <w:rPr>
          <w:szCs w:val="24"/>
        </w:rPr>
        <w:t>In children, a large cross-sectional study of asthma (&gt;500,000 children in 105 cities/51 countries) called the International Study of Asthma and Allergies in Childhood (ISAAC), found no association between change in prevalence in asthma and change in PM</w:t>
      </w:r>
      <w:r w:rsidRPr="0021796A">
        <w:rPr>
          <w:szCs w:val="24"/>
          <w:vertAlign w:val="subscript"/>
        </w:rPr>
        <w:t>2.5</w:t>
      </w:r>
      <w:r w:rsidRPr="008F509F">
        <w:rPr>
          <w:szCs w:val="24"/>
        </w:rPr>
        <w:t xml:space="preserve"> levels (Anderson et al., 2010).  On the other hand, when evaluating traffic-related exposures, most studies have observed an association with asthma prevalence (Braback et al., 2009; Jerrett et al., 2008; Lindgren et al., 2010; McConnell, 2006; McConnell et al., 2010; Salam et al., 2008); however, not all traffic-related exposure studies find an effect on asthma prevalence (Pujades-Rodriguez et al., 2009).  Lo</w:t>
      </w:r>
      <w:r w:rsidRPr="008F509F">
        <w:rPr>
          <w:rFonts w:cs="Calibri"/>
          <w:szCs w:val="24"/>
        </w:rPr>
        <w:t>ng term exposure to ozone (O</w:t>
      </w:r>
      <w:r w:rsidRPr="0021796A">
        <w:rPr>
          <w:rFonts w:cs="Calibri"/>
          <w:szCs w:val="24"/>
          <w:vertAlign w:val="subscript"/>
        </w:rPr>
        <w:t>3</w:t>
      </w:r>
      <w:r w:rsidRPr="008F509F">
        <w:rPr>
          <w:rFonts w:cs="Calibri"/>
          <w:szCs w:val="24"/>
        </w:rPr>
        <w:t>), in particular, has been associated with both new-onset asthma in children and increased respiratory symptoms in current asthmatics (US EPA, 2013)</w:t>
      </w:r>
      <w:r>
        <w:rPr>
          <w:rFonts w:cs="Calibri"/>
          <w:szCs w:val="24"/>
        </w:rPr>
        <w:t xml:space="preserve">.  </w:t>
      </w:r>
      <w:r w:rsidRPr="008F509F">
        <w:rPr>
          <w:rFonts w:cs="Calibri"/>
          <w:szCs w:val="24"/>
        </w:rPr>
        <w:t>Notably, f</w:t>
      </w:r>
      <w:r w:rsidRPr="008F509F">
        <w:rPr>
          <w:szCs w:val="24"/>
        </w:rPr>
        <w:t>rom 1997-2008, the eastern part of MA including the LAHS area was designated as being in moderate non-attainment for the US EPA 8-hour ambient standard for ground level ozone (US EPA, 2013).</w:t>
      </w:r>
    </w:p>
    <w:p w:rsidR="00A327E6" w:rsidRDefault="00A327E6" w:rsidP="00E44AAF">
      <w:pPr>
        <w:pStyle w:val="NormalIndent"/>
        <w:spacing w:before="100" w:beforeAutospacing="1" w:after="100" w:afterAutospacing="1" w:line="400" w:lineRule="atLeast"/>
        <w:rPr>
          <w:szCs w:val="24"/>
        </w:rPr>
      </w:pPr>
      <w:r w:rsidRPr="008F509F">
        <w:rPr>
          <w:szCs w:val="24"/>
        </w:rPr>
        <w:t xml:space="preserve">When specifically investigating the </w:t>
      </w:r>
      <w:r w:rsidRPr="008F509F">
        <w:rPr>
          <w:rFonts w:cs="Calibri"/>
          <w:szCs w:val="24"/>
        </w:rPr>
        <w:t>role of the airport on respiratory disease in the LAHS area, lifetime and current asthma prevalence were not found to be associated with predicted airport-related exposures for adults or children</w:t>
      </w:r>
      <w:r>
        <w:rPr>
          <w:rFonts w:cs="Calibri"/>
          <w:szCs w:val="24"/>
        </w:rPr>
        <w:t xml:space="preserve">.  </w:t>
      </w:r>
      <w:r w:rsidRPr="008F509F">
        <w:rPr>
          <w:szCs w:val="24"/>
        </w:rPr>
        <w:t>However, among children not diagnosed with asthma, the odds of experiencing asthma-related symptoms (probable asthma) were 3.6 times higher for those in the high compared to the low airport-related air pollution exposure area (95% CI: 1.2-11)</w:t>
      </w:r>
      <w:r>
        <w:rPr>
          <w:szCs w:val="24"/>
        </w:rPr>
        <w:t xml:space="preserve">.  </w:t>
      </w:r>
      <w:r w:rsidRPr="008F509F">
        <w:rPr>
          <w:szCs w:val="24"/>
        </w:rPr>
        <w:t>This finding was statistically significant even after adjusting for numerous other factors including demographic variables, background air pollution, and household exposures to tobacco smoke, NO</w:t>
      </w:r>
      <w:r w:rsidRPr="0021796A">
        <w:rPr>
          <w:szCs w:val="24"/>
          <w:vertAlign w:val="subscript"/>
        </w:rPr>
        <w:t>2</w:t>
      </w:r>
      <w:r w:rsidRPr="008F509F">
        <w:rPr>
          <w:szCs w:val="24"/>
        </w:rPr>
        <w:t>, allergens, and mold.</w:t>
      </w:r>
      <w:r>
        <w:rPr>
          <w:szCs w:val="24"/>
        </w:rPr>
        <w:t xml:space="preserve"> </w:t>
      </w:r>
    </w:p>
    <w:p w:rsidR="00A327E6" w:rsidRPr="0021796A" w:rsidRDefault="00A327E6" w:rsidP="00DB4A3E">
      <w:pPr>
        <w:pStyle w:val="NormalIndent"/>
        <w:spacing w:before="100" w:beforeAutospacing="1" w:after="100" w:afterAutospacing="1" w:line="400" w:lineRule="atLeast"/>
        <w:rPr>
          <w:szCs w:val="24"/>
        </w:rPr>
      </w:pPr>
      <w:r w:rsidRPr="0021796A">
        <w:rPr>
          <w:szCs w:val="24"/>
        </w:rPr>
        <w:t xml:space="preserve">The increased prevalence of probable asthma has also been observed in other studies evaluating the associations between exposure to air pollution and respiratory symptoms in children (US EPA, 2009).  Multiple studies of children conducted worldwide have also observed significant associations between exposure to air pollution, notably </w:t>
      </w:r>
      <w:r>
        <w:rPr>
          <w:szCs w:val="24"/>
        </w:rPr>
        <w:t>particulate matter</w:t>
      </w:r>
      <w:r w:rsidRPr="0021796A">
        <w:rPr>
          <w:szCs w:val="24"/>
        </w:rPr>
        <w:t>, and respiratory symptoms (increase in cough, wheeze and bronchitis) and impairment of lung function in children (Kim et al., 2012; Penard-Morand et al., 2010; Schwartz, 2004).</w:t>
      </w:r>
    </w:p>
    <w:p w:rsidR="00A327E6" w:rsidRPr="004F593C" w:rsidRDefault="00A327E6" w:rsidP="004F593C">
      <w:pPr>
        <w:pStyle w:val="NormalIndent"/>
        <w:spacing w:before="100" w:beforeAutospacing="1" w:after="100" w:afterAutospacing="1" w:line="400" w:lineRule="atLeast"/>
        <w:rPr>
          <w:szCs w:val="24"/>
        </w:rPr>
      </w:pPr>
      <w:r w:rsidRPr="008F509F">
        <w:rPr>
          <w:szCs w:val="24"/>
        </w:rPr>
        <w:t xml:space="preserve">In this study, elevated odds of reporting physician-diagnosed COPD were observed among adults living in the high versus low airport-related air pollution exposure areas </w:t>
      </w:r>
      <w:r>
        <w:rPr>
          <w:szCs w:val="24"/>
        </w:rPr>
        <w:t xml:space="preserve">for 3 or more years </w:t>
      </w:r>
      <w:r w:rsidRPr="008F509F">
        <w:rPr>
          <w:szCs w:val="24"/>
        </w:rPr>
        <w:t>(OR=1.</w:t>
      </w:r>
      <w:r>
        <w:rPr>
          <w:szCs w:val="24"/>
        </w:rPr>
        <w:t>8</w:t>
      </w:r>
      <w:r w:rsidRPr="008F509F">
        <w:rPr>
          <w:szCs w:val="24"/>
        </w:rPr>
        <w:t xml:space="preserve">, 95% CI: </w:t>
      </w:r>
      <w:r>
        <w:rPr>
          <w:szCs w:val="24"/>
        </w:rPr>
        <w:t>1.1</w:t>
      </w:r>
      <w:r w:rsidRPr="008F509F">
        <w:rPr>
          <w:szCs w:val="24"/>
        </w:rPr>
        <w:t>-</w:t>
      </w:r>
      <w:r>
        <w:rPr>
          <w:szCs w:val="24"/>
        </w:rPr>
        <w:t>3.0</w:t>
      </w:r>
      <w:r w:rsidRPr="008F509F">
        <w:rPr>
          <w:szCs w:val="24"/>
        </w:rPr>
        <w:t xml:space="preserve">).  </w:t>
      </w:r>
      <w:r w:rsidRPr="0021796A">
        <w:rPr>
          <w:szCs w:val="24"/>
        </w:rPr>
        <w:t>Although smoking is a primary risk factor for COPD, the association between COPD and</w:t>
      </w:r>
      <w:r>
        <w:rPr>
          <w:szCs w:val="24"/>
        </w:rPr>
        <w:t xml:space="preserve"> the</w:t>
      </w:r>
      <w:r w:rsidRPr="0021796A">
        <w:rPr>
          <w:szCs w:val="24"/>
        </w:rPr>
        <w:t xml:space="preserve"> airport exposure category in this study was observed after adjusting for individual smoking status</w:t>
      </w:r>
      <w:r>
        <w:rPr>
          <w:szCs w:val="24"/>
        </w:rPr>
        <w:t>.  Recent studies have suggested that</w:t>
      </w:r>
      <w:r w:rsidRPr="0021796A">
        <w:rPr>
          <w:szCs w:val="24"/>
        </w:rPr>
        <w:t xml:space="preserve"> a large percentage of COPD diagnoses occurring in populations of never smokers (Salvi et al., 2009)</w:t>
      </w:r>
      <w:r>
        <w:rPr>
          <w:szCs w:val="24"/>
        </w:rPr>
        <w:t xml:space="preserve">.  </w:t>
      </w:r>
      <w:r w:rsidRPr="0021796A">
        <w:rPr>
          <w:szCs w:val="24"/>
        </w:rPr>
        <w:t>For example, Salvi et al. (2009) cites as evidence the findings from an analysis of NHANES III data suggesting that 25% of COPD cases in the US are in never-smokers.</w:t>
      </w:r>
    </w:p>
    <w:p w:rsidR="00A327E6" w:rsidRPr="004F593C" w:rsidRDefault="00A327E6" w:rsidP="004F593C">
      <w:pPr>
        <w:pStyle w:val="NormalIndent"/>
        <w:spacing w:before="100" w:beforeAutospacing="1" w:after="100" w:afterAutospacing="1" w:line="400" w:lineRule="atLeast"/>
        <w:rPr>
          <w:szCs w:val="24"/>
          <w:u w:val="single"/>
        </w:rPr>
      </w:pPr>
      <w:r w:rsidRPr="0021796A">
        <w:rPr>
          <w:szCs w:val="24"/>
        </w:rPr>
        <w:t>Literature related to air pollution and COPD also report significant associations between outdoor air pollution and COPD exacerbation including increased COPD hospital admissions and mortality (</w:t>
      </w:r>
      <w:r>
        <w:rPr>
          <w:szCs w:val="24"/>
        </w:rPr>
        <w:t>Samet et al., 2000</w:t>
      </w:r>
      <w:r w:rsidRPr="0021796A">
        <w:rPr>
          <w:szCs w:val="24"/>
        </w:rPr>
        <w:t>)</w:t>
      </w:r>
      <w:r>
        <w:rPr>
          <w:szCs w:val="24"/>
        </w:rPr>
        <w:t xml:space="preserve">.  </w:t>
      </w:r>
      <w:r w:rsidRPr="0021796A">
        <w:rPr>
          <w:szCs w:val="24"/>
        </w:rPr>
        <w:t>A review by Pope et al. (2006</w:t>
      </w:r>
      <w:r>
        <w:rPr>
          <w:szCs w:val="24"/>
        </w:rPr>
        <w:t>a</w:t>
      </w:r>
      <w:r w:rsidRPr="0021796A">
        <w:rPr>
          <w:szCs w:val="24"/>
        </w:rPr>
        <w:t>) cites epidemiologic evidence that long-term PM exposures are associated with lung function deficits and increased symptoms of obstructive airway disease (e.g., chronic cough, bronchitis), supporting the biological plausibility of the role of air pollution in exacerbating COPD</w:t>
      </w:r>
      <w:r>
        <w:rPr>
          <w:szCs w:val="24"/>
        </w:rPr>
        <w:t xml:space="preserve">.  </w:t>
      </w:r>
      <w:r w:rsidRPr="0021796A">
        <w:rPr>
          <w:szCs w:val="24"/>
        </w:rPr>
        <w:t>In addition, a small number of studies have evaluated the role of air pollution in the prevalence of COPD</w:t>
      </w:r>
      <w:r>
        <w:rPr>
          <w:szCs w:val="24"/>
        </w:rPr>
        <w:t xml:space="preserve">.  </w:t>
      </w:r>
      <w:r w:rsidRPr="0021796A">
        <w:rPr>
          <w:szCs w:val="24"/>
        </w:rPr>
        <w:t xml:space="preserve"> In a review of studies assessing the association between air pollution and COPD, </w:t>
      </w:r>
      <w:r>
        <w:rPr>
          <w:szCs w:val="24"/>
        </w:rPr>
        <w:t xml:space="preserve">Schikowski et al (2013) </w:t>
      </w:r>
      <w:r w:rsidRPr="0021796A">
        <w:rPr>
          <w:szCs w:val="24"/>
        </w:rPr>
        <w:t xml:space="preserve">concluded that results from several studies </w:t>
      </w:r>
      <w:r>
        <w:rPr>
          <w:szCs w:val="24"/>
        </w:rPr>
        <w:t>are suggestive, but inconclusive,</w:t>
      </w:r>
      <w:r w:rsidRPr="0021796A">
        <w:rPr>
          <w:szCs w:val="24"/>
        </w:rPr>
        <w:t xml:space="preserve"> that air pollution is related to </w:t>
      </w:r>
      <w:r>
        <w:rPr>
          <w:szCs w:val="24"/>
        </w:rPr>
        <w:t>the development</w:t>
      </w:r>
      <w:r w:rsidRPr="0021796A">
        <w:rPr>
          <w:szCs w:val="24"/>
        </w:rPr>
        <w:t xml:space="preserve"> of COPD.</w:t>
      </w:r>
      <w:r>
        <w:rPr>
          <w:szCs w:val="24"/>
        </w:rPr>
        <w:t xml:space="preserve">  </w:t>
      </w:r>
    </w:p>
    <w:p w:rsidR="00A327E6" w:rsidRPr="007A09DF" w:rsidRDefault="00A327E6" w:rsidP="007A09DF">
      <w:pPr>
        <w:pStyle w:val="NormalIndent"/>
        <w:spacing w:before="100" w:beforeAutospacing="1" w:after="100" w:afterAutospacing="1" w:line="400" w:lineRule="atLeast"/>
        <w:rPr>
          <w:rStyle w:val="Emphasis"/>
          <w:caps w:val="0"/>
          <w:color w:val="auto"/>
          <w:spacing w:val="0"/>
          <w:szCs w:val="24"/>
        </w:rPr>
      </w:pPr>
      <w:r w:rsidRPr="008F509F">
        <w:rPr>
          <w:szCs w:val="24"/>
        </w:rPr>
        <w:t>Both short- and long-term exposures to ambient air pollution, notably PM</w:t>
      </w:r>
      <w:r w:rsidRPr="0021796A">
        <w:rPr>
          <w:szCs w:val="24"/>
          <w:vertAlign w:val="subscript"/>
        </w:rPr>
        <w:t>2.5</w:t>
      </w:r>
      <w:r w:rsidRPr="008F509F">
        <w:rPr>
          <w:szCs w:val="24"/>
        </w:rPr>
        <w:t xml:space="preserve"> and NO</w:t>
      </w:r>
      <w:r w:rsidRPr="0021796A">
        <w:rPr>
          <w:szCs w:val="24"/>
          <w:vertAlign w:val="subscript"/>
        </w:rPr>
        <w:t>2,</w:t>
      </w:r>
      <w:r w:rsidRPr="008F509F">
        <w:rPr>
          <w:szCs w:val="24"/>
        </w:rPr>
        <w:t xml:space="preserve"> are associated with exacerbation of respiratory diseases (US EPA, 2009; US EPA 2008)</w:t>
      </w:r>
      <w:r>
        <w:rPr>
          <w:szCs w:val="24"/>
        </w:rPr>
        <w:t xml:space="preserve">.  </w:t>
      </w:r>
      <w:r w:rsidRPr="008F509F">
        <w:rPr>
          <w:szCs w:val="24"/>
        </w:rPr>
        <w:t>In the LAHS, there was evidence, though only of borderline</w:t>
      </w:r>
      <w:r>
        <w:rPr>
          <w:szCs w:val="24"/>
        </w:rPr>
        <w:t xml:space="preserve"> statistical significance</w:t>
      </w:r>
      <w:r w:rsidRPr="008F509F">
        <w:rPr>
          <w:szCs w:val="24"/>
        </w:rPr>
        <w:t xml:space="preserve">, that adults living </w:t>
      </w:r>
      <w:r>
        <w:rPr>
          <w:szCs w:val="24"/>
        </w:rPr>
        <w:t xml:space="preserve">for 5 or more years </w:t>
      </w:r>
      <w:r w:rsidRPr="008F509F">
        <w:rPr>
          <w:szCs w:val="24"/>
        </w:rPr>
        <w:t>in the high</w:t>
      </w:r>
      <w:r>
        <w:rPr>
          <w:szCs w:val="24"/>
        </w:rPr>
        <w:t xml:space="preserve"> air </w:t>
      </w:r>
      <w:r w:rsidRPr="008F509F">
        <w:rPr>
          <w:szCs w:val="24"/>
        </w:rPr>
        <w:t>pollutant exposure area had higher odds of current asthma requiring the use of medication (OR=</w:t>
      </w:r>
      <w:r>
        <w:rPr>
          <w:szCs w:val="24"/>
        </w:rPr>
        <w:t>1.7</w:t>
      </w:r>
      <w:r w:rsidRPr="008F509F">
        <w:rPr>
          <w:szCs w:val="24"/>
        </w:rPr>
        <w:t xml:space="preserve">, 95% CI: </w:t>
      </w:r>
      <w:r>
        <w:rPr>
          <w:szCs w:val="24"/>
        </w:rPr>
        <w:t>1.0</w:t>
      </w:r>
      <w:r w:rsidRPr="008F509F">
        <w:rPr>
          <w:szCs w:val="24"/>
        </w:rPr>
        <w:t>-</w:t>
      </w:r>
      <w:r>
        <w:rPr>
          <w:szCs w:val="24"/>
        </w:rPr>
        <w:t>3.0</w:t>
      </w:r>
      <w:r w:rsidRPr="008F509F">
        <w:rPr>
          <w:szCs w:val="24"/>
        </w:rPr>
        <w:t>)</w:t>
      </w:r>
      <w:r>
        <w:rPr>
          <w:szCs w:val="24"/>
        </w:rPr>
        <w:t xml:space="preserve">.  </w:t>
      </w:r>
      <w:r w:rsidRPr="008F509F">
        <w:rPr>
          <w:szCs w:val="24"/>
        </w:rPr>
        <w:t>These findings were adjusted for a number of potential confounding factors including, but not limited to, age, sex, race, household income (PIR), education, smoking status</w:t>
      </w:r>
      <w:r>
        <w:rPr>
          <w:szCs w:val="24"/>
        </w:rPr>
        <w:t>, and background air pollution.</w:t>
      </w:r>
    </w:p>
    <w:p w:rsidR="00A327E6" w:rsidRPr="0021796A" w:rsidRDefault="00A327E6" w:rsidP="00E44AAF">
      <w:pPr>
        <w:spacing w:before="100" w:beforeAutospacing="1" w:after="100" w:afterAutospacing="1" w:line="400" w:lineRule="atLeast"/>
        <w:rPr>
          <w:rStyle w:val="Emphasis"/>
          <w:b/>
          <w:szCs w:val="24"/>
        </w:rPr>
      </w:pPr>
      <w:r w:rsidRPr="0021796A">
        <w:rPr>
          <w:rStyle w:val="Emphasis"/>
          <w:b/>
          <w:szCs w:val="24"/>
        </w:rPr>
        <w:t>Cardiovascular Outcomes</w:t>
      </w:r>
    </w:p>
    <w:p w:rsidR="00A327E6" w:rsidRPr="0021796A" w:rsidRDefault="00A327E6" w:rsidP="00E44AAF">
      <w:pPr>
        <w:pStyle w:val="NormalIndent"/>
        <w:spacing w:before="100" w:beforeAutospacing="1" w:after="100" w:afterAutospacing="1" w:line="400" w:lineRule="atLeast"/>
        <w:rPr>
          <w:szCs w:val="24"/>
        </w:rPr>
      </w:pPr>
      <w:bookmarkStart w:id="236" w:name="_Toc349729850"/>
      <w:r w:rsidRPr="0021796A">
        <w:rPr>
          <w:szCs w:val="24"/>
        </w:rPr>
        <w:t>Prevalence of cardiovascular disease (CVD) in the LAHS area was found to be slightly lower than that of the state of MA as a whole, although the confidence intervals for the LAHS area and MA estimates overlap, suggesting that the differences may not be statistically significant</w:t>
      </w:r>
      <w:r>
        <w:rPr>
          <w:szCs w:val="24"/>
        </w:rPr>
        <w:t xml:space="preserve">.  </w:t>
      </w:r>
      <w:r w:rsidRPr="0021796A">
        <w:rPr>
          <w:szCs w:val="24"/>
        </w:rPr>
        <w:t>Although few studies have specifically examined urban versus rural prevalence of myocardial infarction or coronary heart disease in the US, the LAHS results appear to be consistent with those that have</w:t>
      </w:r>
      <w:r>
        <w:rPr>
          <w:szCs w:val="24"/>
        </w:rPr>
        <w:t xml:space="preserve">.  </w:t>
      </w:r>
      <w:r w:rsidRPr="0021796A">
        <w:rPr>
          <w:szCs w:val="24"/>
        </w:rPr>
        <w:t>For example, using data from the 2008 BRFSS, O’Connor and Wellenius (2012) found that the crude prevalence of coronary heart disease was 40% higher among respondents living in rural versus urban areas of the US. After adjusting for poverty, obesity, tobacco use, and other risk factors, the prevalence of coronary heart disease was still found to be higher in rural areas, but only by approximately 10% (O’Connor and Wellenius, 2012)</w:t>
      </w:r>
      <w:r>
        <w:rPr>
          <w:szCs w:val="24"/>
        </w:rPr>
        <w:t xml:space="preserve">.  </w:t>
      </w:r>
      <w:r w:rsidRPr="0021796A">
        <w:rPr>
          <w:szCs w:val="24"/>
        </w:rPr>
        <w:t xml:space="preserve">Separately, in a study of social determinants of CVD risk factors among men in Georgia, it was found that rural men were almost twice as likely to have two or more CVD risk factors than were urban men (Quarells et al., 2012). </w:t>
      </w:r>
    </w:p>
    <w:bookmarkEnd w:id="236"/>
    <w:p w:rsidR="00A327E6" w:rsidRPr="0021796A" w:rsidRDefault="00A327E6" w:rsidP="00E44AAF">
      <w:pPr>
        <w:pStyle w:val="NormalIndent"/>
        <w:spacing w:before="100" w:beforeAutospacing="1" w:after="100" w:afterAutospacing="1" w:line="400" w:lineRule="atLeast"/>
        <w:rPr>
          <w:szCs w:val="24"/>
        </w:rPr>
      </w:pPr>
      <w:r w:rsidRPr="0021796A">
        <w:rPr>
          <w:szCs w:val="24"/>
        </w:rPr>
        <w:t>When looking at cardiovascular morbidity (CHD and non-fatal heart attack) in the LAHS area by airport-related air pollution exposure category, no differences were observed</w:t>
      </w:r>
      <w:r>
        <w:rPr>
          <w:szCs w:val="24"/>
        </w:rPr>
        <w:t xml:space="preserve">.  </w:t>
      </w:r>
      <w:r w:rsidRPr="0021796A">
        <w:rPr>
          <w:szCs w:val="24"/>
        </w:rPr>
        <w:t>After adjusting for demographic and other risk factors, including diabetes, hypertension, high cholesterol, and family history of heart disease, the likelihood of CHD and non-fatal MI was still not different across airport-related exposure categories</w:t>
      </w:r>
      <w:r>
        <w:rPr>
          <w:szCs w:val="24"/>
        </w:rPr>
        <w:t xml:space="preserve">.  </w:t>
      </w:r>
      <w:r w:rsidRPr="0021796A">
        <w:rPr>
          <w:szCs w:val="24"/>
        </w:rPr>
        <w:t>Although exposure to air pollution, particularly PM, has been associated with MI and CHD, more studies have reported associations with mortality rather than morbidity (Pope et al., 2006</w:t>
      </w:r>
      <w:r>
        <w:rPr>
          <w:szCs w:val="24"/>
        </w:rPr>
        <w:t>a</w:t>
      </w:r>
      <w:r w:rsidRPr="0021796A">
        <w:rPr>
          <w:szCs w:val="24"/>
        </w:rPr>
        <w:t>).  Given the fact that this study measured self-reported health outcomes, only persons who survived to report their MI or CHD were included in this study.</w:t>
      </w:r>
    </w:p>
    <w:p w:rsidR="00A327E6" w:rsidRPr="0021796A" w:rsidRDefault="00A327E6" w:rsidP="00E44AAF">
      <w:pPr>
        <w:pStyle w:val="NormalIndent"/>
        <w:spacing w:before="100" w:beforeAutospacing="1" w:after="100" w:afterAutospacing="1" w:line="400" w:lineRule="atLeast"/>
        <w:rPr>
          <w:szCs w:val="24"/>
        </w:rPr>
      </w:pPr>
      <w:r w:rsidRPr="0021796A">
        <w:rPr>
          <w:szCs w:val="24"/>
        </w:rPr>
        <w:t>To address this limitation, MDPH/BEH analyzed mortality data from the MA Registry of Vital Records for differences in the crude 5-year average annual MI mortality rate (2001-2005) between the state of MA as a whole and each of the three airport-related air pollution exposure areas</w:t>
      </w:r>
      <w:r>
        <w:rPr>
          <w:szCs w:val="24"/>
        </w:rPr>
        <w:t xml:space="preserve">.  </w:t>
      </w:r>
      <w:r w:rsidRPr="0021796A">
        <w:rPr>
          <w:szCs w:val="24"/>
        </w:rPr>
        <w:t>Population data were obtained from the US Census and ArcGIS was used to assign census tracts and estimate total population for each of the LAHS exposure areas</w:t>
      </w:r>
      <w:r>
        <w:rPr>
          <w:szCs w:val="24"/>
        </w:rPr>
        <w:t xml:space="preserve">.  </w:t>
      </w:r>
      <w:r w:rsidRPr="0021796A">
        <w:rPr>
          <w:szCs w:val="24"/>
        </w:rPr>
        <w:t>No statistically significant differences were observed in the average annual MI mortality rates for each of the LAHS exposure areas and the state as a whole</w:t>
      </w:r>
      <w:r>
        <w:rPr>
          <w:szCs w:val="24"/>
        </w:rPr>
        <w:t xml:space="preserve">.  </w:t>
      </w:r>
      <w:r w:rsidRPr="0021796A">
        <w:rPr>
          <w:szCs w:val="24"/>
        </w:rPr>
        <w:t>Per 100,000 adults age 35 years and older, the annual average MI mortality rate was 99 for MA (9</w:t>
      </w:r>
      <w:r>
        <w:rPr>
          <w:szCs w:val="24"/>
        </w:rPr>
        <w:t>5% CI: 95-102), 88 for the low</w:t>
      </w:r>
      <w:r w:rsidRPr="0021796A">
        <w:rPr>
          <w:szCs w:val="24"/>
        </w:rPr>
        <w:t xml:space="preserve"> exposure area (95% CI: 80-96), 100 for the medium exposure area (95% CI: 84</w:t>
      </w:r>
      <w:r>
        <w:rPr>
          <w:szCs w:val="24"/>
        </w:rPr>
        <w:t>-116), and 92 for the high</w:t>
      </w:r>
      <w:r w:rsidRPr="0021796A">
        <w:rPr>
          <w:szCs w:val="24"/>
        </w:rPr>
        <w:t xml:space="preserve"> exposure area (95% CI: 63-121).</w:t>
      </w:r>
    </w:p>
    <w:p w:rsidR="00A327E6" w:rsidRPr="008F509F" w:rsidRDefault="00A327E6" w:rsidP="00E44AAF">
      <w:pPr>
        <w:pStyle w:val="NormalIndent"/>
        <w:spacing w:before="100" w:beforeAutospacing="1" w:after="100" w:afterAutospacing="1" w:line="400" w:lineRule="atLeast"/>
        <w:rPr>
          <w:szCs w:val="24"/>
        </w:rPr>
      </w:pPr>
      <w:r w:rsidRPr="008F509F">
        <w:rPr>
          <w:szCs w:val="24"/>
        </w:rPr>
        <w:t>Despite the lack of an association between potential airport-related air pollution exposure and CVD morbidity (crude and adjusted) or mortality (crude) in this study, it is well established that both long and short term exposure to ambient air pollution, including PM and NO</w:t>
      </w:r>
      <w:r w:rsidRPr="0021796A">
        <w:rPr>
          <w:szCs w:val="24"/>
          <w:vertAlign w:val="subscript"/>
        </w:rPr>
        <w:t>2</w:t>
      </w:r>
      <w:r w:rsidRPr="008F509F">
        <w:rPr>
          <w:szCs w:val="24"/>
        </w:rPr>
        <w:t>, increases risk of CVD (Atkinson et al., 2013; Peters et al., 2004; Miller at al., 2007; Schwartz et al., 1995; Wellenius et al., 2006).  Therefore, the lack of an association in this study suggests that airport-related exposures were not high enough to cause detectable impacts on CHD or MI morbidity in the LAHS area.  This does not rule out the possibility that small effects are present and undetectable with the current study’s sample size and/or measures of outcome.  For example, some studies have found associations between particulate matter exposure and sub-clinical measures of the development and progression of cardiovascular disease such as accelerated atherosclerosis, altered cardiac autonomic function, heart rate variability, and alterations in vascular tone (Brook et al., 2004; Peters et al., 2002)</w:t>
      </w:r>
      <w:r>
        <w:rPr>
          <w:szCs w:val="24"/>
        </w:rPr>
        <w:t xml:space="preserve">.  </w:t>
      </w:r>
      <w:r w:rsidRPr="008F509F">
        <w:rPr>
          <w:szCs w:val="24"/>
        </w:rPr>
        <w:t>Also notable is the fact that effect estimates in other studies are relatively small for associations between air pollution and CVD, particularly in comparison to other CVD risk factors (Pope et al., 2006a).</w:t>
      </w:r>
    </w:p>
    <w:p w:rsidR="00A327E6" w:rsidRDefault="00A327E6" w:rsidP="00E44AAF">
      <w:pPr>
        <w:spacing w:before="100" w:beforeAutospacing="1" w:after="100" w:afterAutospacing="1" w:line="400" w:lineRule="atLeast"/>
        <w:rPr>
          <w:rStyle w:val="Emphasis"/>
          <w:b/>
          <w:szCs w:val="24"/>
        </w:rPr>
      </w:pPr>
    </w:p>
    <w:p w:rsidR="00A327E6" w:rsidRDefault="00A327E6" w:rsidP="00E44AAF">
      <w:pPr>
        <w:spacing w:before="100" w:beforeAutospacing="1" w:after="100" w:afterAutospacing="1" w:line="400" w:lineRule="atLeast"/>
        <w:rPr>
          <w:rStyle w:val="Emphasis"/>
          <w:b/>
          <w:szCs w:val="24"/>
        </w:rPr>
      </w:pPr>
    </w:p>
    <w:p w:rsidR="00A327E6" w:rsidRDefault="00A327E6" w:rsidP="00E44AAF">
      <w:pPr>
        <w:spacing w:before="100" w:beforeAutospacing="1" w:after="100" w:afterAutospacing="1" w:line="400" w:lineRule="atLeast"/>
        <w:rPr>
          <w:rStyle w:val="Emphasis"/>
          <w:b/>
          <w:szCs w:val="24"/>
        </w:rPr>
      </w:pPr>
    </w:p>
    <w:p w:rsidR="00A327E6" w:rsidRPr="0021796A" w:rsidRDefault="00A327E6" w:rsidP="00E44AAF">
      <w:pPr>
        <w:spacing w:before="100" w:beforeAutospacing="1" w:after="100" w:afterAutospacing="1" w:line="400" w:lineRule="atLeast"/>
        <w:rPr>
          <w:rStyle w:val="Emphasis"/>
          <w:b/>
          <w:szCs w:val="24"/>
        </w:rPr>
      </w:pPr>
      <w:r w:rsidRPr="0021796A">
        <w:rPr>
          <w:rStyle w:val="Emphasis"/>
          <w:b/>
          <w:szCs w:val="24"/>
        </w:rPr>
        <w:t>Auditory Outcomes</w:t>
      </w:r>
    </w:p>
    <w:p w:rsidR="00A327E6" w:rsidRPr="0021796A" w:rsidRDefault="00A327E6" w:rsidP="00517414">
      <w:pPr>
        <w:pStyle w:val="NormalIndent"/>
        <w:spacing w:before="100" w:beforeAutospacing="1" w:after="100" w:afterAutospacing="1" w:line="400" w:lineRule="atLeast"/>
        <w:rPr>
          <w:szCs w:val="24"/>
        </w:rPr>
      </w:pPr>
      <w:r w:rsidRPr="0021796A">
        <w:rPr>
          <w:szCs w:val="24"/>
        </w:rPr>
        <w:t>In the LAHS, three auditory endpoints were evaluated in adults (hearing impairment, hearing impairment with hearing aid use, and tinnitus)</w:t>
      </w:r>
      <w:r>
        <w:rPr>
          <w:szCs w:val="24"/>
        </w:rPr>
        <w:t xml:space="preserve">.  </w:t>
      </w:r>
      <w:r w:rsidRPr="0021796A">
        <w:rPr>
          <w:szCs w:val="24"/>
        </w:rPr>
        <w:t>One auditory outcome (hearing impairment), was evaluated in children</w:t>
      </w:r>
      <w:r>
        <w:rPr>
          <w:szCs w:val="24"/>
        </w:rPr>
        <w:t xml:space="preserve">.  </w:t>
      </w:r>
      <w:r w:rsidRPr="0021796A">
        <w:rPr>
          <w:szCs w:val="24"/>
        </w:rPr>
        <w:t>This study did not find a relationship between any of the auditory outcomes evaluated and estimated airport-related noise exposure</w:t>
      </w:r>
      <w:r>
        <w:rPr>
          <w:szCs w:val="24"/>
        </w:rPr>
        <w:t xml:space="preserve">.  </w:t>
      </w:r>
      <w:r w:rsidRPr="0021796A">
        <w:rPr>
          <w:szCs w:val="24"/>
        </w:rPr>
        <w:t>Effect estimates had very wide confidence intervals and the direction of effect was inconsistent across the three outcomes evaluated in adults.</w:t>
      </w:r>
    </w:p>
    <w:p w:rsidR="00A327E6" w:rsidRPr="0021796A" w:rsidRDefault="00A327E6" w:rsidP="00517414">
      <w:pPr>
        <w:pStyle w:val="NormalIndent"/>
        <w:spacing w:before="100" w:beforeAutospacing="1" w:after="100" w:afterAutospacing="1" w:line="400" w:lineRule="atLeast"/>
        <w:rPr>
          <w:szCs w:val="24"/>
        </w:rPr>
      </w:pPr>
      <w:r w:rsidRPr="0021796A">
        <w:rPr>
          <w:szCs w:val="24"/>
        </w:rPr>
        <w:t>A recent study has reported NIHL in workers at airports (Pepper et al., 2003) and a few studies have reported reduced hearing ability in people living near an airport (Chen et al., 1997) but the data are limited.  One reason for not observing an association between airport-related noise and auditory endpoints in this study may be that residents are not exposed to sufficient noise levels to induce auditory impairment</w:t>
      </w:r>
      <w:r>
        <w:rPr>
          <w:szCs w:val="24"/>
        </w:rPr>
        <w:t xml:space="preserve">.  </w:t>
      </w:r>
      <w:r w:rsidRPr="0021796A">
        <w:rPr>
          <w:szCs w:val="24"/>
        </w:rPr>
        <w:t>The WHO recommendation for prevention of noise-induced hearing loss (NIHL) is that lifetime average daily exposure to environmental noise be less than 70 dB (Leq (24) &lt;70 dB).  This recommendation is estimated to prevent impairment in 95% of people exposed at or below the recommended level over an entire lifetime.  Noise contours modeled for the LAHS suggested that very few residents were exposed to airport-related noise above the 70 dB WHO recommendation</w:t>
      </w:r>
      <w:r>
        <w:rPr>
          <w:szCs w:val="24"/>
        </w:rPr>
        <w:t xml:space="preserve">.  </w:t>
      </w:r>
      <w:r w:rsidRPr="0021796A">
        <w:rPr>
          <w:szCs w:val="24"/>
        </w:rPr>
        <w:t>Due to this fact, and to account for uncertainties in the noise m</w:t>
      </w:r>
      <w:r>
        <w:rPr>
          <w:szCs w:val="24"/>
        </w:rPr>
        <w:t>odeling estimates, the high</w:t>
      </w:r>
      <w:r w:rsidRPr="0021796A">
        <w:rPr>
          <w:szCs w:val="24"/>
        </w:rPr>
        <w:t xml:space="preserve"> noise exposure ca</w:t>
      </w:r>
      <w:r>
        <w:rPr>
          <w:szCs w:val="24"/>
        </w:rPr>
        <w:t>tegory was defined by the 65 dB</w:t>
      </w:r>
      <w:r w:rsidRPr="0021796A">
        <w:rPr>
          <w:szCs w:val="24"/>
        </w:rPr>
        <w:t xml:space="preserve"> </w:t>
      </w:r>
      <w:r>
        <w:rPr>
          <w:szCs w:val="24"/>
        </w:rPr>
        <w:t xml:space="preserve">noise </w:t>
      </w:r>
      <w:r w:rsidRPr="0021796A">
        <w:rPr>
          <w:szCs w:val="24"/>
        </w:rPr>
        <w:t>contour line.  In addition, the WHO guideline value may underestimate auditory effects in sensitive subpopulations including children.  Finally, the Massport noise modeling contours as defined only predict noise levels associated with aircraft operations in the vicinity of the airport and not cumulative noise levels that residents are typically exposed to in their neighborhoods</w:t>
      </w:r>
      <w:r>
        <w:rPr>
          <w:szCs w:val="24"/>
        </w:rPr>
        <w:t xml:space="preserve">.  </w:t>
      </w:r>
      <w:r w:rsidRPr="0021796A">
        <w:rPr>
          <w:szCs w:val="24"/>
        </w:rPr>
        <w:t>In a cumulative sense, exposure to levels of airport-related noise below the WHO guideline could theoretically contribute to auditory impairment.  Nevertheless, no measure of hearing impairment was found to be elevated or more likely to occur amon</w:t>
      </w:r>
      <w:r>
        <w:rPr>
          <w:szCs w:val="24"/>
        </w:rPr>
        <w:t>g residents living in the high</w:t>
      </w:r>
      <w:r w:rsidRPr="0021796A">
        <w:rPr>
          <w:szCs w:val="24"/>
        </w:rPr>
        <w:t xml:space="preserve"> noise exposure area. </w:t>
      </w:r>
    </w:p>
    <w:p w:rsidR="00A327E6" w:rsidRPr="0021796A" w:rsidRDefault="00A327E6" w:rsidP="00517414">
      <w:pPr>
        <w:pStyle w:val="NormalIndent"/>
        <w:spacing w:before="100" w:beforeAutospacing="1" w:after="100" w:afterAutospacing="1" w:line="400" w:lineRule="atLeast"/>
        <w:rPr>
          <w:szCs w:val="24"/>
        </w:rPr>
      </w:pPr>
      <w:r w:rsidRPr="0021796A">
        <w:rPr>
          <w:szCs w:val="24"/>
        </w:rPr>
        <w:t>Another reason for not observing auditory health effects amo</w:t>
      </w:r>
      <w:r>
        <w:rPr>
          <w:szCs w:val="24"/>
        </w:rPr>
        <w:t>ng residents living in the high</w:t>
      </w:r>
      <w:r w:rsidRPr="0021796A">
        <w:rPr>
          <w:szCs w:val="24"/>
        </w:rPr>
        <w:t xml:space="preserve"> noise exposure area may be due </w:t>
      </w:r>
      <w:r>
        <w:rPr>
          <w:szCs w:val="24"/>
        </w:rPr>
        <w:t xml:space="preserve">in part </w:t>
      </w:r>
      <w:r w:rsidRPr="0021796A">
        <w:rPr>
          <w:szCs w:val="24"/>
        </w:rPr>
        <w:t xml:space="preserve">to the implementation of Massport’s noise abatement program, which provides soundproofing of homes and apartments within the 65 dB </w:t>
      </w:r>
      <w:r>
        <w:rPr>
          <w:szCs w:val="24"/>
        </w:rPr>
        <w:t xml:space="preserve">noise </w:t>
      </w:r>
      <w:r w:rsidRPr="0021796A">
        <w:rPr>
          <w:szCs w:val="24"/>
        </w:rPr>
        <w:t>contour.  Analysis of survey results indicated tha</w:t>
      </w:r>
      <w:r>
        <w:rPr>
          <w:szCs w:val="24"/>
        </w:rPr>
        <w:t>t 44% of residents in the high</w:t>
      </w:r>
      <w:r w:rsidRPr="0021796A">
        <w:rPr>
          <w:szCs w:val="24"/>
        </w:rPr>
        <w:t xml:space="preserve"> noise exposure area had received Massport soundproofing and 24% of residents in the medium exposure area had </w:t>
      </w:r>
      <w:r>
        <w:rPr>
          <w:szCs w:val="24"/>
        </w:rPr>
        <w:t>received the soundproofing (</w:t>
      </w:r>
      <w:r w:rsidRPr="0021796A">
        <w:rPr>
          <w:szCs w:val="24"/>
        </w:rPr>
        <w:t xml:space="preserve">Appendix </w:t>
      </w:r>
      <w:r>
        <w:rPr>
          <w:szCs w:val="24"/>
        </w:rPr>
        <w:t>C</w:t>
      </w:r>
      <w:r w:rsidRPr="0021796A">
        <w:rPr>
          <w:szCs w:val="24"/>
        </w:rPr>
        <w:t>).</w:t>
      </w:r>
    </w:p>
    <w:p w:rsidR="00A327E6" w:rsidRPr="0021796A" w:rsidRDefault="00A327E6" w:rsidP="00517414">
      <w:pPr>
        <w:pStyle w:val="NormalIndent"/>
        <w:spacing w:before="100" w:beforeAutospacing="1" w:after="100" w:afterAutospacing="1" w:line="400" w:lineRule="atLeast"/>
        <w:rPr>
          <w:szCs w:val="24"/>
        </w:rPr>
      </w:pPr>
      <w:r w:rsidRPr="0021796A">
        <w:rPr>
          <w:szCs w:val="24"/>
        </w:rPr>
        <w:t>Although adverse auditory o</w:t>
      </w:r>
      <w:r>
        <w:rPr>
          <w:szCs w:val="24"/>
        </w:rPr>
        <w:t>utcomes associated with airport-</w:t>
      </w:r>
      <w:r w:rsidRPr="0021796A">
        <w:rPr>
          <w:szCs w:val="24"/>
        </w:rPr>
        <w:t>related noise exposure were not observed, other health and quality of life endpoints may be influenced by exposure to airport-related noise</w:t>
      </w:r>
      <w:r>
        <w:rPr>
          <w:szCs w:val="24"/>
        </w:rPr>
        <w:t xml:space="preserve">.  </w:t>
      </w:r>
      <w:r w:rsidRPr="0021796A">
        <w:rPr>
          <w:szCs w:val="24"/>
        </w:rPr>
        <w:t>Some of these effects include annoyance, interference with speech and communication, sleep disturbance, stress, and cardiovascular impacts.  This study did not evaluate these endpoints</w:t>
      </w:r>
      <w:r>
        <w:rPr>
          <w:szCs w:val="24"/>
        </w:rPr>
        <w:t xml:space="preserve">.  </w:t>
      </w:r>
      <w:r w:rsidRPr="0021796A">
        <w:rPr>
          <w:szCs w:val="24"/>
        </w:rPr>
        <w:t>Regarding cardiovascular effects, only recently have studies begun to understand the potential impact of noise exposure on CVD health</w:t>
      </w:r>
      <w:r>
        <w:rPr>
          <w:szCs w:val="24"/>
        </w:rPr>
        <w:t xml:space="preserve">.  </w:t>
      </w:r>
      <w:r w:rsidRPr="0021796A">
        <w:rPr>
          <w:szCs w:val="24"/>
        </w:rPr>
        <w:t>For example, the Schiphol airport study</w:t>
      </w:r>
      <w:r>
        <w:rPr>
          <w:szCs w:val="24"/>
        </w:rPr>
        <w:t>, a multi-airport retrospective study of older people (65 years and older) in US (Correia et al., 2013, a study of residents living near Heathrow airport (Hansell et al., 2013)</w:t>
      </w:r>
      <w:r w:rsidRPr="0021796A">
        <w:rPr>
          <w:szCs w:val="24"/>
        </w:rPr>
        <w:t xml:space="preserve"> and a study in Switzerland (Huss et al., 2010) have reported emerging evidence of increased incidence of noise-related cardiovascular effects.  A review of the literature of these studies for the US FAA/NASA/Transport Canada sponsored Center of Excellence concluded that a pattern of increased incidence of cardiovascular effects, hypertension, and ischemic heart disease associated with noise appear to have emerged (Swift, 2010).</w:t>
      </w:r>
    </w:p>
    <w:p w:rsidR="00A327E6" w:rsidRPr="0021796A" w:rsidRDefault="00A327E6" w:rsidP="00E44AAF">
      <w:pPr>
        <w:spacing w:before="100" w:beforeAutospacing="1" w:after="100" w:afterAutospacing="1" w:line="400" w:lineRule="atLeast"/>
        <w:rPr>
          <w:rStyle w:val="Emphasis"/>
          <w:b/>
          <w:szCs w:val="24"/>
        </w:rPr>
      </w:pPr>
      <w:r w:rsidRPr="0021796A">
        <w:rPr>
          <w:rStyle w:val="Emphasis"/>
          <w:b/>
          <w:szCs w:val="24"/>
        </w:rPr>
        <w:t>Study Design Considerations</w:t>
      </w:r>
    </w:p>
    <w:p w:rsidR="00A327E6" w:rsidRPr="0021796A" w:rsidRDefault="00A327E6" w:rsidP="00517414">
      <w:pPr>
        <w:pStyle w:val="NormalIndent"/>
        <w:spacing w:before="100" w:beforeAutospacing="1" w:after="100" w:afterAutospacing="1" w:line="400" w:lineRule="atLeast"/>
        <w:rPr>
          <w:szCs w:val="24"/>
        </w:rPr>
      </w:pPr>
      <w:r w:rsidRPr="0021796A">
        <w:rPr>
          <w:szCs w:val="24"/>
        </w:rPr>
        <w:t>The Logan Airport Health Study (LAHS) was a cross-sectional study</w:t>
      </w:r>
      <w:r>
        <w:rPr>
          <w:szCs w:val="24"/>
        </w:rPr>
        <w:t xml:space="preserve">.  </w:t>
      </w:r>
      <w:r w:rsidRPr="0021796A">
        <w:rPr>
          <w:szCs w:val="24"/>
        </w:rPr>
        <w:t>Cross-sectional studies provide an overview of the rates and patterns of diseases and/or conditions in a population and provide insight into how they may relate to other characteristics of that area</w:t>
      </w:r>
      <w:r>
        <w:rPr>
          <w:szCs w:val="24"/>
        </w:rPr>
        <w:t xml:space="preserve">.  </w:t>
      </w:r>
      <w:r w:rsidRPr="0021796A">
        <w:rPr>
          <w:szCs w:val="24"/>
        </w:rPr>
        <w:t>Cross-sectional studies can be thought of as providing a snapshot of the population at a specific point in time</w:t>
      </w:r>
      <w:r>
        <w:rPr>
          <w:szCs w:val="24"/>
        </w:rPr>
        <w:t xml:space="preserve">.  </w:t>
      </w:r>
      <w:r w:rsidRPr="0021796A">
        <w:rPr>
          <w:szCs w:val="24"/>
        </w:rPr>
        <w:t>The survey instrument (questionnaire) for this study was designed to collect information about the prevalence in 2005 of targeted health outcomes within the LAHS area as a whole and, separately, within subdivisions of the study area believed to experience different potentials for exposure to airport-related air pollution and noise in 2005</w:t>
      </w:r>
      <w:r>
        <w:rPr>
          <w:szCs w:val="24"/>
        </w:rPr>
        <w:t xml:space="preserve">.  </w:t>
      </w:r>
      <w:r w:rsidRPr="0021796A">
        <w:rPr>
          <w:szCs w:val="24"/>
        </w:rPr>
        <w:t>It may not be possible to distinguish whether an individual’s exposure (</w:t>
      </w:r>
      <w:r>
        <w:rPr>
          <w:szCs w:val="24"/>
        </w:rPr>
        <w:t xml:space="preserve">i.e., </w:t>
      </w:r>
      <w:r w:rsidRPr="0021796A">
        <w:rPr>
          <w:szCs w:val="24"/>
        </w:rPr>
        <w:t xml:space="preserve"> location of current residence) preceded or followed the occurrence of a health outcome</w:t>
      </w:r>
      <w:r>
        <w:rPr>
          <w:szCs w:val="24"/>
        </w:rPr>
        <w:t xml:space="preserve">.  </w:t>
      </w:r>
      <w:r w:rsidRPr="0021796A">
        <w:rPr>
          <w:szCs w:val="24"/>
        </w:rPr>
        <w:t>For this reason, this study’s findings cannot determine cause and effect relationships, but they can allow us to demonstrate relative differences in disease burden and to develop inferences and hypotheses based on observed associations.</w:t>
      </w:r>
    </w:p>
    <w:p w:rsidR="00A327E6" w:rsidRPr="0021796A" w:rsidRDefault="00A327E6" w:rsidP="00517414">
      <w:pPr>
        <w:pStyle w:val="NormalIndent"/>
        <w:spacing w:before="100" w:beforeAutospacing="1" w:after="100" w:afterAutospacing="1" w:line="400" w:lineRule="atLeast"/>
        <w:rPr>
          <w:szCs w:val="24"/>
        </w:rPr>
      </w:pPr>
      <w:r w:rsidRPr="0021796A">
        <w:rPr>
          <w:szCs w:val="24"/>
        </w:rPr>
        <w:t>The survey instrument also sought to collect information on important potential confounders such as demographic factors, health behaviors, household and occupational exposures, and other risk factors for the targeted health outcomes</w:t>
      </w:r>
      <w:r>
        <w:rPr>
          <w:szCs w:val="24"/>
        </w:rPr>
        <w:t xml:space="preserve">.  </w:t>
      </w:r>
      <w:r w:rsidRPr="0021796A">
        <w:rPr>
          <w:szCs w:val="24"/>
        </w:rPr>
        <w:t>Although it was not feasible to collect information on every individual in the study area, techniques of RDD sampling and post-sampling statistical methodologies (</w:t>
      </w:r>
      <w:r>
        <w:rPr>
          <w:szCs w:val="24"/>
        </w:rPr>
        <w:t xml:space="preserve">e.g., </w:t>
      </w:r>
      <w:r w:rsidRPr="0021796A">
        <w:rPr>
          <w:szCs w:val="24"/>
        </w:rPr>
        <w:t>weighting of study data to population demographics) work to provide estimates of disease burden and disease-exposure associations that are meant to be generalizable to the entire study population, both those who actually participated in the survey and those who did not.  Another key aspect of the survey design was that the study area was divided into estimated exposure areas for the purpose of oversampling sections of the study area nearest the airport</w:t>
      </w:r>
      <w:r>
        <w:rPr>
          <w:szCs w:val="24"/>
        </w:rPr>
        <w:t xml:space="preserve">.  </w:t>
      </w:r>
      <w:r w:rsidRPr="0021796A">
        <w:rPr>
          <w:szCs w:val="24"/>
        </w:rPr>
        <w:t>This was done in order to achieve sample sizes in those areas sufficient for detecting significant effects should they be present.</w:t>
      </w:r>
    </w:p>
    <w:p w:rsidR="00A327E6" w:rsidRPr="0021796A" w:rsidRDefault="00A327E6" w:rsidP="00517414">
      <w:pPr>
        <w:pStyle w:val="NormalIndent"/>
        <w:spacing w:before="100" w:beforeAutospacing="1" w:after="100" w:afterAutospacing="1" w:line="400" w:lineRule="atLeast"/>
        <w:rPr>
          <w:szCs w:val="24"/>
        </w:rPr>
      </w:pPr>
      <w:r w:rsidRPr="0021796A">
        <w:rPr>
          <w:szCs w:val="24"/>
        </w:rPr>
        <w:t>The survey instrument was also pilot tested both in 2002 with a population near an airport in ME and, later (in 2005), with a small sample of individuals from the LAHS area</w:t>
      </w:r>
      <w:r>
        <w:rPr>
          <w:szCs w:val="24"/>
        </w:rPr>
        <w:t xml:space="preserve">.  </w:t>
      </w:r>
      <w:r w:rsidRPr="0021796A">
        <w:rPr>
          <w:szCs w:val="24"/>
        </w:rPr>
        <w:t>These efforts helped to improve introductory language to encourage participation and to refine questions for clarity, increasing respondent consistency in answers</w:t>
      </w:r>
      <w:r>
        <w:rPr>
          <w:szCs w:val="24"/>
        </w:rPr>
        <w:t xml:space="preserve">.  </w:t>
      </w:r>
      <w:r w:rsidRPr="0021796A">
        <w:rPr>
          <w:szCs w:val="24"/>
        </w:rPr>
        <w:t>One survey limitation, however, is that health outcome data acquired through a telephone survey are self-reported and, therefore, may be subject to some error.  For all outcomes in this study, persons were asked to self-report diseases and conditions; medical records review or physical examinations were not conducted.  A technique used to encourage consistency of reporting for health outcomes in the LAHS was that survey questions regarding specific health outcomes began, “Have you ever been told by a doctor that you have…?” Another limitation of telephone surveys is that they generally exclude residents that only use cell phones</w:t>
      </w:r>
      <w:r>
        <w:rPr>
          <w:szCs w:val="24"/>
        </w:rPr>
        <w:t xml:space="preserve">, although prevalence of cell-phone only households was still relatively low in 2005 at approximately 7% (Blumberg and Luke, 2007).  </w:t>
      </w:r>
      <w:r w:rsidRPr="0021796A">
        <w:rPr>
          <w:szCs w:val="24"/>
        </w:rPr>
        <w:t xml:space="preserve">The LAHS survey also only included only residents whose primary language was English or Spanish. </w:t>
      </w:r>
    </w:p>
    <w:p w:rsidR="00A327E6" w:rsidRPr="008F509F" w:rsidRDefault="00A327E6" w:rsidP="00E44AAF">
      <w:pPr>
        <w:pStyle w:val="NormalIndent"/>
        <w:spacing w:before="100" w:beforeAutospacing="1" w:after="100" w:afterAutospacing="1" w:line="400" w:lineRule="atLeast"/>
        <w:rPr>
          <w:rFonts w:cs="Calibri"/>
          <w:szCs w:val="24"/>
        </w:rPr>
      </w:pPr>
      <w:r w:rsidRPr="008F509F">
        <w:rPr>
          <w:szCs w:val="24"/>
        </w:rPr>
        <w:t>There is always the possibility of residual confounding or, in other words, factors other than the airport that are associated with the targeted health outcomes and that, when unaccounted for, could either mask effects of the airport or falsely appear as effects of the airport</w:t>
      </w:r>
      <w:r>
        <w:rPr>
          <w:szCs w:val="24"/>
        </w:rPr>
        <w:t xml:space="preserve">.  </w:t>
      </w:r>
      <w:r w:rsidRPr="008F509F">
        <w:rPr>
          <w:szCs w:val="24"/>
        </w:rPr>
        <w:t>However, this study benefited from the availability of data on a multitude of potential risk factors including smoking status, alcohol intake, occupational exposures to noise and respiratory irritants, and NO</w:t>
      </w:r>
      <w:r w:rsidRPr="0021796A">
        <w:rPr>
          <w:szCs w:val="24"/>
          <w:vertAlign w:val="subscript"/>
        </w:rPr>
        <w:t>2</w:t>
      </w:r>
      <w:r w:rsidRPr="008F509F">
        <w:rPr>
          <w:szCs w:val="24"/>
        </w:rPr>
        <w:t xml:space="preserve"> sources in the home, to name a few</w:t>
      </w:r>
      <w:r>
        <w:rPr>
          <w:szCs w:val="24"/>
        </w:rPr>
        <w:t xml:space="preserve">.  </w:t>
      </w:r>
      <w:r w:rsidRPr="008F509F">
        <w:rPr>
          <w:szCs w:val="24"/>
        </w:rPr>
        <w:t>M</w:t>
      </w:r>
      <w:r w:rsidRPr="008F509F">
        <w:rPr>
          <w:rFonts w:cs="Calibri"/>
          <w:szCs w:val="24"/>
        </w:rPr>
        <w:t>ultivariate logistic regression analyses were conducted to simultaneously adjust for these demographic, lifestyle, and other characteristics known to be risk factors for adverse respiratory, cardiovascular, or auditory outcomes.</w:t>
      </w:r>
    </w:p>
    <w:p w:rsidR="00A327E6" w:rsidRPr="0021796A" w:rsidRDefault="00A327E6" w:rsidP="00517414">
      <w:pPr>
        <w:pStyle w:val="NormalIndent"/>
        <w:spacing w:before="100" w:beforeAutospacing="1" w:after="100" w:afterAutospacing="1" w:line="400" w:lineRule="atLeast"/>
        <w:rPr>
          <w:szCs w:val="24"/>
        </w:rPr>
      </w:pPr>
      <w:r w:rsidRPr="0021796A">
        <w:rPr>
          <w:szCs w:val="24"/>
        </w:rPr>
        <w:t>One important example for this study was data collected on smo</w:t>
      </w:r>
      <w:r>
        <w:rPr>
          <w:szCs w:val="24"/>
        </w:rPr>
        <w:t>king status.  Although the low</w:t>
      </w:r>
      <w:r w:rsidRPr="0021796A">
        <w:rPr>
          <w:szCs w:val="24"/>
        </w:rPr>
        <w:t xml:space="preserve"> exposure area was found to have a slightly lower prevalence of current smoking c</w:t>
      </w:r>
      <w:r>
        <w:rPr>
          <w:szCs w:val="24"/>
        </w:rPr>
        <w:t>ompared to the medium and high</w:t>
      </w:r>
      <w:r w:rsidRPr="0021796A">
        <w:rPr>
          <w:szCs w:val="24"/>
        </w:rPr>
        <w:t xml:space="preserve"> </w:t>
      </w:r>
      <w:r>
        <w:rPr>
          <w:szCs w:val="24"/>
        </w:rPr>
        <w:t>exposure areas (17% in the low</w:t>
      </w:r>
      <w:r w:rsidRPr="0021796A">
        <w:rPr>
          <w:szCs w:val="24"/>
        </w:rPr>
        <w:t xml:space="preserve"> compared to 21% in both </w:t>
      </w:r>
      <w:r>
        <w:rPr>
          <w:szCs w:val="24"/>
        </w:rPr>
        <w:t>the high and medium areas,</w:t>
      </w:r>
      <w:r w:rsidRPr="0021796A">
        <w:rPr>
          <w:szCs w:val="24"/>
        </w:rPr>
        <w:t xml:space="preserve"> Appendix </w:t>
      </w:r>
      <w:r>
        <w:rPr>
          <w:szCs w:val="24"/>
        </w:rPr>
        <w:t>C</w:t>
      </w:r>
      <w:r w:rsidRPr="0021796A">
        <w:rPr>
          <w:szCs w:val="24"/>
        </w:rPr>
        <w:t>), this factor was controlled for by including smoking status as a covariate in multivariate regression models when looking at respiratory and cardiovascular outcomes</w:t>
      </w:r>
      <w:r>
        <w:rPr>
          <w:szCs w:val="24"/>
        </w:rPr>
        <w:t xml:space="preserve">.  </w:t>
      </w:r>
      <w:r w:rsidRPr="0021796A">
        <w:rPr>
          <w:szCs w:val="24"/>
        </w:rPr>
        <w:t>Other potential confounding factors, such as exposure to occupational dust and/or fumes, the presence of allergens in the home, and the presence of mold in the home, were assessed in multivariate regression models but were not found to have any meaningful impact on respiratory or cardiovascular results.</w:t>
      </w:r>
    </w:p>
    <w:p w:rsidR="00A327E6" w:rsidRPr="0021796A" w:rsidRDefault="00A327E6" w:rsidP="00E44AAF">
      <w:pPr>
        <w:spacing w:before="100" w:beforeAutospacing="1" w:after="100" w:afterAutospacing="1" w:line="400" w:lineRule="atLeast"/>
        <w:rPr>
          <w:rStyle w:val="Emphasis"/>
          <w:b/>
          <w:szCs w:val="24"/>
        </w:rPr>
      </w:pPr>
      <w:r w:rsidRPr="0021796A">
        <w:rPr>
          <w:rStyle w:val="Emphasis"/>
          <w:b/>
          <w:szCs w:val="24"/>
        </w:rPr>
        <w:t>Survey Participation</w:t>
      </w:r>
    </w:p>
    <w:p w:rsidR="00A327E6" w:rsidRPr="0021796A" w:rsidRDefault="00A327E6" w:rsidP="00517414">
      <w:pPr>
        <w:pStyle w:val="NormalIndent"/>
        <w:spacing w:before="100" w:beforeAutospacing="1" w:after="100" w:afterAutospacing="1" w:line="400" w:lineRule="atLeast"/>
        <w:rPr>
          <w:szCs w:val="24"/>
        </w:rPr>
      </w:pPr>
      <w:r w:rsidRPr="0021796A">
        <w:rPr>
          <w:szCs w:val="24"/>
        </w:rPr>
        <w:t>As previously discussed, statistical methodologies (e.g., weighting of the survey sample based on population demographics of the area) are employed to minimize possible response bias and help ensure that the results obtained are generalizable not only to all study participants but to the total study population from which the participants were selected</w:t>
      </w:r>
      <w:r>
        <w:rPr>
          <w:szCs w:val="24"/>
        </w:rPr>
        <w:t xml:space="preserve">.  </w:t>
      </w:r>
      <w:r w:rsidRPr="0021796A">
        <w:rPr>
          <w:szCs w:val="24"/>
        </w:rPr>
        <w:t>Response bias is important to minimize because its presence may reduce the study’s ability to detect associations even if they are present</w:t>
      </w:r>
      <w:r>
        <w:rPr>
          <w:szCs w:val="24"/>
        </w:rPr>
        <w:t xml:space="preserve">.  </w:t>
      </w:r>
      <w:r w:rsidRPr="0021796A">
        <w:rPr>
          <w:szCs w:val="24"/>
        </w:rPr>
        <w:t>Survey response rates are one factor that could affect the presence of response bias.</w:t>
      </w:r>
    </w:p>
    <w:p w:rsidR="00A327E6" w:rsidRPr="0021796A" w:rsidRDefault="00A327E6" w:rsidP="00517414">
      <w:pPr>
        <w:pStyle w:val="NormalIndent"/>
        <w:spacing w:before="100" w:beforeAutospacing="1" w:after="100" w:afterAutospacing="1" w:line="400" w:lineRule="atLeast"/>
        <w:rPr>
          <w:szCs w:val="24"/>
        </w:rPr>
      </w:pPr>
      <w:r w:rsidRPr="0021796A">
        <w:rPr>
          <w:szCs w:val="24"/>
        </w:rPr>
        <w:t>Although survey response rates are not solely predictive of the presence or absence of non-response bias in a study (Groves and Peytcheva 2008; Wagner 2012), extremely low response rates may indicate the need for a deeper assessment of potential bias</w:t>
      </w:r>
      <w:r>
        <w:rPr>
          <w:szCs w:val="24"/>
        </w:rPr>
        <w:t xml:space="preserve">.  </w:t>
      </w:r>
      <w:r w:rsidRPr="0021796A">
        <w:rPr>
          <w:szCs w:val="24"/>
        </w:rPr>
        <w:t>Response rates for telephone surveys have declined steadily over the past few decades, particularly since the mid-90s when call-blocking and screening technologies skyrocketed</w:t>
      </w:r>
      <w:r>
        <w:rPr>
          <w:szCs w:val="24"/>
        </w:rPr>
        <w:t xml:space="preserve"> (Curtin et al. 2005).  </w:t>
      </w:r>
      <w:r w:rsidRPr="0021796A">
        <w:rPr>
          <w:szCs w:val="24"/>
        </w:rPr>
        <w:t>Research examining the impact of such declines on selection bias and survey results has found, overwhelmingly, that lower response rates do not necessarily lead to biased results and most investigations have concluded that findings are not significantly different between initial responders and those recruited with more effort (Curtin et al. 2000; Davern et al. 2010</w:t>
      </w:r>
      <w:r>
        <w:rPr>
          <w:szCs w:val="24"/>
        </w:rPr>
        <w:t>; Keeter et al. 2000</w:t>
      </w:r>
      <w:r w:rsidRPr="0021796A">
        <w:rPr>
          <w:szCs w:val="24"/>
        </w:rPr>
        <w:t>).</w:t>
      </w:r>
    </w:p>
    <w:p w:rsidR="00A327E6" w:rsidRPr="0021796A" w:rsidRDefault="00A327E6" w:rsidP="00517414">
      <w:pPr>
        <w:pStyle w:val="NormalIndent"/>
        <w:spacing w:before="100" w:beforeAutospacing="1" w:after="100" w:afterAutospacing="1" w:line="400" w:lineRule="atLeast"/>
        <w:rPr>
          <w:szCs w:val="24"/>
        </w:rPr>
      </w:pPr>
      <w:r w:rsidRPr="0021796A">
        <w:rPr>
          <w:szCs w:val="24"/>
        </w:rPr>
        <w:t>The Council of American Survey Research Organizations (CASRO) method for estimating response rates (equivalent to the AAPOR RR3) is considered the most appropriate for surveys of the type used in the LAHS.  It is comparable to other RDD surveys conducted around the same time period, including for the response rate of the Massachusetts portion of the Behavioral Risk Factor Surveillance Survey (BRFSS)(CDC 2006).  The CASRO or AAPOR RR3 method estimated a response rate for the LAHS of 35%.</w:t>
      </w:r>
    </w:p>
    <w:p w:rsidR="00A327E6" w:rsidRPr="0021796A" w:rsidRDefault="00A327E6" w:rsidP="00517414">
      <w:pPr>
        <w:pStyle w:val="NormalIndent"/>
        <w:spacing w:before="100" w:beforeAutospacing="1" w:after="100" w:afterAutospacing="1" w:line="400" w:lineRule="atLeast"/>
        <w:rPr>
          <w:szCs w:val="24"/>
        </w:rPr>
      </w:pPr>
      <w:r w:rsidRPr="0021796A">
        <w:rPr>
          <w:szCs w:val="24"/>
        </w:rPr>
        <w:t>Although useful for comparison between studies, research strongly suggests that the RR3 method produces an underestimate of the true response rate (Brick et al. 2002)</w:t>
      </w:r>
      <w:r>
        <w:rPr>
          <w:szCs w:val="24"/>
        </w:rPr>
        <w:t xml:space="preserve">.  </w:t>
      </w:r>
      <w:r w:rsidRPr="0021796A">
        <w:rPr>
          <w:szCs w:val="24"/>
        </w:rPr>
        <w:t>The extent of underestimation varies depending on how much lower the proportion of eligible to ineligible telephone numbers actually was among unresolved numbers compared to those that were resolved</w:t>
      </w:r>
      <w:r>
        <w:rPr>
          <w:szCs w:val="24"/>
        </w:rPr>
        <w:t xml:space="preserve">.  </w:t>
      </w:r>
      <w:r w:rsidRPr="0021796A">
        <w:rPr>
          <w:szCs w:val="24"/>
        </w:rPr>
        <w:t>In contrast, the AAPOR RR5 response rate achieved for the LAHS (60%) can be thought of as the upper bound of the true rate.</w:t>
      </w:r>
    </w:p>
    <w:p w:rsidR="00A327E6" w:rsidRPr="0021796A" w:rsidRDefault="00A327E6" w:rsidP="00517414">
      <w:pPr>
        <w:pStyle w:val="NormalIndent"/>
        <w:spacing w:before="100" w:beforeAutospacing="1" w:after="100" w:afterAutospacing="1" w:line="400" w:lineRule="atLeast"/>
        <w:rPr>
          <w:szCs w:val="24"/>
        </w:rPr>
      </w:pPr>
      <w:r w:rsidRPr="0021796A">
        <w:rPr>
          <w:szCs w:val="24"/>
        </w:rPr>
        <w:t>Another useful indicator of the potential for selection bias is to examine the similarity or dissimilarity of response rates across different exposure areas</w:t>
      </w:r>
      <w:r>
        <w:rPr>
          <w:szCs w:val="24"/>
        </w:rPr>
        <w:t xml:space="preserve">.  </w:t>
      </w:r>
      <w:r w:rsidRPr="0021796A">
        <w:rPr>
          <w:szCs w:val="24"/>
        </w:rPr>
        <w:t>A higher response rate among communities closer to the airport, for example, could suggest that respondents in that area were more motivated to participate (although the survey instrument did not identify the airport as a subject of the study)</w:t>
      </w:r>
      <w:r>
        <w:rPr>
          <w:szCs w:val="24"/>
        </w:rPr>
        <w:t xml:space="preserve">.  </w:t>
      </w:r>
      <w:r w:rsidRPr="0021796A">
        <w:rPr>
          <w:szCs w:val="24"/>
        </w:rPr>
        <w:t>If respondents with personal experiences of adverse health outcomes are also more motivated to participate, then a higher response rate in areas closer to the airport could suggest a selection bias</w:t>
      </w:r>
      <w:r>
        <w:rPr>
          <w:szCs w:val="24"/>
        </w:rPr>
        <w:t xml:space="preserve">.  </w:t>
      </w:r>
    </w:p>
    <w:p w:rsidR="00A327E6" w:rsidRPr="0021796A" w:rsidRDefault="00A327E6" w:rsidP="00517414">
      <w:pPr>
        <w:pStyle w:val="NormalIndent"/>
        <w:spacing w:before="100" w:beforeAutospacing="1" w:after="100" w:afterAutospacing="1" w:line="400" w:lineRule="atLeast"/>
        <w:rPr>
          <w:szCs w:val="24"/>
        </w:rPr>
      </w:pPr>
      <w:r w:rsidRPr="0021796A">
        <w:rPr>
          <w:szCs w:val="24"/>
        </w:rPr>
        <w:t>For the LAHS, response rates were calculated for each of the three stages of RDD telephone sampling, which were designed to oversample portions of the study area closer to the airport</w:t>
      </w:r>
      <w:r>
        <w:rPr>
          <w:szCs w:val="24"/>
        </w:rPr>
        <w:t xml:space="preserve">.  </w:t>
      </w:r>
      <w:r w:rsidRPr="0021796A">
        <w:rPr>
          <w:szCs w:val="24"/>
        </w:rPr>
        <w:t>For Stage 1, which included telephone numbers across the entire study area, the RR3 and RR5 response rates were 34% and 60%, respectively</w:t>
      </w:r>
      <w:r>
        <w:rPr>
          <w:szCs w:val="24"/>
        </w:rPr>
        <w:t xml:space="preserve">.  </w:t>
      </w:r>
      <w:r w:rsidRPr="0021796A">
        <w:rPr>
          <w:szCs w:val="24"/>
        </w:rPr>
        <w:t>For Stage 2, which included telephone nu</w:t>
      </w:r>
      <w:r>
        <w:rPr>
          <w:szCs w:val="24"/>
        </w:rPr>
        <w:t>mbers from the medium and high</w:t>
      </w:r>
      <w:r w:rsidRPr="0021796A">
        <w:rPr>
          <w:szCs w:val="24"/>
        </w:rPr>
        <w:t xml:space="preserve"> exposure areas (as defined for survey oversampling), the RR3 and RR5 response rates were 33% and 59%, respectively</w:t>
      </w:r>
      <w:r>
        <w:rPr>
          <w:szCs w:val="24"/>
        </w:rPr>
        <w:t xml:space="preserve">.  </w:t>
      </w:r>
      <w:r w:rsidRPr="0021796A">
        <w:rPr>
          <w:szCs w:val="24"/>
        </w:rPr>
        <w:t>For Stage 3, which included teleph</w:t>
      </w:r>
      <w:r>
        <w:rPr>
          <w:szCs w:val="24"/>
        </w:rPr>
        <w:t>one numbers from only the high</w:t>
      </w:r>
      <w:r w:rsidRPr="0021796A">
        <w:rPr>
          <w:szCs w:val="24"/>
        </w:rPr>
        <w:t xml:space="preserve"> exposure oversampling area (within 1 mile of the airport or along a major aircraft flight path), the RR3 and RR5 response rates were 37% and 62%, respectively</w:t>
      </w:r>
      <w:r>
        <w:rPr>
          <w:szCs w:val="24"/>
        </w:rPr>
        <w:t xml:space="preserve">.  </w:t>
      </w:r>
      <w:r w:rsidRPr="0021796A">
        <w:rPr>
          <w:szCs w:val="24"/>
        </w:rPr>
        <w:t>Overall, response rates for the three stages of sampling were very similar with only a slightly higher rate for Stage 3, suggesting that residence near the airport was only weakly, if at all, related to the likelihood of participation in the LAHS.</w:t>
      </w:r>
    </w:p>
    <w:p w:rsidR="00A327E6" w:rsidRPr="0021796A" w:rsidRDefault="00A327E6" w:rsidP="00E44AAF">
      <w:pPr>
        <w:spacing w:before="100" w:beforeAutospacing="1" w:after="100" w:afterAutospacing="1" w:line="400" w:lineRule="atLeast"/>
        <w:rPr>
          <w:rStyle w:val="Emphasis"/>
          <w:b/>
          <w:szCs w:val="24"/>
        </w:rPr>
      </w:pPr>
      <w:r w:rsidRPr="0021796A">
        <w:rPr>
          <w:rStyle w:val="Emphasis"/>
          <w:b/>
          <w:szCs w:val="24"/>
        </w:rPr>
        <w:t>Exposure Assessment of Airport-Related Air Pollution</w:t>
      </w:r>
    </w:p>
    <w:p w:rsidR="00A327E6" w:rsidRPr="0021796A" w:rsidRDefault="00A327E6" w:rsidP="00E44AAF">
      <w:pPr>
        <w:pStyle w:val="NormalIndent"/>
        <w:spacing w:before="100" w:beforeAutospacing="1" w:after="100" w:afterAutospacing="1" w:line="400" w:lineRule="atLeast"/>
        <w:rPr>
          <w:szCs w:val="24"/>
        </w:rPr>
      </w:pPr>
      <w:r w:rsidRPr="0021796A">
        <w:rPr>
          <w:szCs w:val="24"/>
        </w:rPr>
        <w:t>A major strength of this study was the exposure assessment of airport-related emissions used to classify residential hou</w:t>
      </w:r>
      <w:r>
        <w:rPr>
          <w:szCs w:val="24"/>
        </w:rPr>
        <w:t>seholds into categories of low, medium, and high</w:t>
      </w:r>
      <w:r w:rsidRPr="0021796A">
        <w:rPr>
          <w:szCs w:val="24"/>
        </w:rPr>
        <w:t xml:space="preserve"> areas of potential exposure to air pollution from airport-related operations.  This study is believed to be the only study that has assessed the relative contribution of airport-related emissions using advanced air dispersion modeling to evaluate associations with health outcomes in the surrounding community.  The modeling analysis included all known sources of emissions and the temporal allocation of emissions from the takeoff and landing of aircraft by using a schedule of over 3</w:t>
      </w:r>
      <w:r>
        <w:rPr>
          <w:szCs w:val="24"/>
        </w:rPr>
        <w:t>5</w:t>
      </w:r>
      <w:r w:rsidRPr="0021796A">
        <w:rPr>
          <w:szCs w:val="24"/>
        </w:rPr>
        <w:t>0,000 aircraft operations (94% of total 2005 operations) quantified and provided by Massport</w:t>
      </w:r>
      <w:r>
        <w:rPr>
          <w:szCs w:val="24"/>
        </w:rPr>
        <w:t xml:space="preserve">.  </w:t>
      </w:r>
      <w:r w:rsidRPr="0021796A">
        <w:rPr>
          <w:szCs w:val="24"/>
        </w:rPr>
        <w:t>Emissions along flight paths up to an altitude of 3000 feet for takeoffs and landings were also included in the modeling analysis.</w:t>
      </w:r>
    </w:p>
    <w:p w:rsidR="00A327E6" w:rsidRPr="008F509F" w:rsidRDefault="00A327E6" w:rsidP="00517414">
      <w:pPr>
        <w:pStyle w:val="NormalIndent"/>
        <w:spacing w:before="100" w:beforeAutospacing="1" w:after="100" w:afterAutospacing="1" w:line="400" w:lineRule="atLeast"/>
        <w:rPr>
          <w:rFonts w:cs="Calibri"/>
          <w:szCs w:val="24"/>
        </w:rPr>
      </w:pPr>
      <w:r w:rsidRPr="008F509F">
        <w:rPr>
          <w:rFonts w:cs="Calibri"/>
          <w:szCs w:val="24"/>
        </w:rPr>
        <w:t>The air dispersion modeling allowed us to investigate concentrations of five pollutants (CO, NOx, PM</w:t>
      </w:r>
      <w:r w:rsidRPr="00573CF6">
        <w:rPr>
          <w:rFonts w:cs="Calibri"/>
          <w:szCs w:val="24"/>
          <w:vertAlign w:val="subscript"/>
        </w:rPr>
        <w:t>2.5</w:t>
      </w:r>
      <w:r w:rsidRPr="008F509F">
        <w:rPr>
          <w:rFonts w:cs="Calibri"/>
          <w:szCs w:val="24"/>
        </w:rPr>
        <w:t>, SOx, VOCs) across the study area for three different averaging times, 1-hour, 24-hour, and annual</w:t>
      </w:r>
      <w:r>
        <w:rPr>
          <w:rFonts w:cs="Calibri"/>
          <w:szCs w:val="24"/>
        </w:rPr>
        <w:t xml:space="preserve">.  </w:t>
      </w:r>
      <w:r w:rsidRPr="008F509F">
        <w:rPr>
          <w:rFonts w:cs="Calibri"/>
          <w:szCs w:val="24"/>
        </w:rPr>
        <w:t>Given the extremely high correlation of estimated concentrations of the five pollutants across the study area, a combined exposure variable was developed that encompassed all pollutants</w:t>
      </w:r>
      <w:r>
        <w:rPr>
          <w:rFonts w:cs="Calibri"/>
          <w:szCs w:val="24"/>
        </w:rPr>
        <w:t xml:space="preserve">.  </w:t>
      </w:r>
      <w:r w:rsidRPr="008F509F">
        <w:rPr>
          <w:rFonts w:cs="Calibri"/>
          <w:szCs w:val="24"/>
        </w:rPr>
        <w:t xml:space="preserve">Furthermore, although annual average pollutant concentrations were selected for developing cut-points for the three exposure areas, the spatial distribution of pollutants was extremely similar using concentrations for all three averaging times.  In other words, the high exposure area (as defined by the 80th percentile of annual average pollutant concentrations) also included the highest peak concentrations (1-hour and daily).  </w:t>
      </w:r>
    </w:p>
    <w:p w:rsidR="00A327E6" w:rsidRPr="008F509F" w:rsidRDefault="00A327E6" w:rsidP="00E44AAF">
      <w:pPr>
        <w:pStyle w:val="NormalIndent"/>
        <w:spacing w:before="100" w:beforeAutospacing="1" w:after="100" w:afterAutospacing="1" w:line="400" w:lineRule="atLeast"/>
        <w:rPr>
          <w:rFonts w:cs="Calibri"/>
          <w:szCs w:val="24"/>
        </w:rPr>
      </w:pPr>
      <w:r w:rsidRPr="008F509F">
        <w:rPr>
          <w:rFonts w:cs="Calibri"/>
          <w:szCs w:val="24"/>
        </w:rPr>
        <w:t>Evaluating three categories of exposure allowed for the clearest assessment of relative effects between those in potentially high airport-related exposure areas and those in a potentially low airport-related exposure area.  Nevertheless, an analysis using final multivariate adjusted regression models was also conducted to evaluate air pollution exposure on a continuous scale using PM</w:t>
      </w:r>
      <w:r>
        <w:rPr>
          <w:rFonts w:cs="Calibri"/>
          <w:szCs w:val="24"/>
          <w:vertAlign w:val="subscript"/>
        </w:rPr>
        <w:t>2.5</w:t>
      </w:r>
      <w:r w:rsidRPr="008F509F">
        <w:rPr>
          <w:rFonts w:cs="Calibri"/>
          <w:szCs w:val="24"/>
        </w:rPr>
        <w:t xml:space="preserve"> as the model compound in order to be sure that exposure misclassification from categorization did not limit power to detect associations. Results from continuous exposure analyses were similar to the categorical exposure analyses presented in this report (see Appendix </w:t>
      </w:r>
      <w:r>
        <w:rPr>
          <w:rFonts w:cs="Calibri"/>
          <w:szCs w:val="24"/>
        </w:rPr>
        <w:t>D</w:t>
      </w:r>
      <w:r w:rsidRPr="008F509F">
        <w:rPr>
          <w:rFonts w:cs="Calibri"/>
          <w:szCs w:val="24"/>
        </w:rPr>
        <w:t>).</w:t>
      </w:r>
    </w:p>
    <w:p w:rsidR="00A327E6" w:rsidRPr="0021796A" w:rsidRDefault="00A327E6" w:rsidP="00517414">
      <w:pPr>
        <w:pStyle w:val="NormalIndent"/>
        <w:spacing w:before="100" w:beforeAutospacing="1" w:after="100" w:afterAutospacing="1" w:line="400" w:lineRule="atLeast"/>
        <w:rPr>
          <w:szCs w:val="24"/>
        </w:rPr>
      </w:pPr>
      <w:r w:rsidRPr="0021796A">
        <w:rPr>
          <w:rFonts w:cs="Calibri"/>
          <w:szCs w:val="24"/>
        </w:rPr>
        <w:t>There is substantial evidence in the literature that particles are associated with respiratory and cardiovascular health effects, but there is evidence that other constituents within the complex mixture may also be relevant to human he</w:t>
      </w:r>
      <w:r>
        <w:rPr>
          <w:rFonts w:cs="Calibri"/>
          <w:szCs w:val="24"/>
        </w:rPr>
        <w:t>alth outcomes (Hu et al., 2008</w:t>
      </w:r>
      <w:r w:rsidRPr="0021796A">
        <w:rPr>
          <w:rFonts w:cs="Calibri"/>
          <w:szCs w:val="24"/>
        </w:rPr>
        <w:t>; Zhou et al., 2009)</w:t>
      </w:r>
      <w:r>
        <w:rPr>
          <w:rFonts w:cs="Calibri"/>
          <w:szCs w:val="24"/>
        </w:rPr>
        <w:t xml:space="preserve">.  </w:t>
      </w:r>
      <w:r w:rsidRPr="0021796A">
        <w:rPr>
          <w:rFonts w:cs="Calibri"/>
          <w:szCs w:val="24"/>
        </w:rPr>
        <w:t>The aggregate exposure metric allowed for qualitative consideration of the complex nature of the combustion of diesel, jet, and gasoline fuels that produce ultrafine, fine, and course particles, as well as gas or vapor-phase compounds</w:t>
      </w:r>
      <w:r>
        <w:rPr>
          <w:rFonts w:cs="Calibri"/>
          <w:szCs w:val="24"/>
        </w:rPr>
        <w:t xml:space="preserve">. </w:t>
      </w:r>
      <w:r w:rsidRPr="0021796A">
        <w:rPr>
          <w:rFonts w:cs="Calibri"/>
          <w:szCs w:val="24"/>
        </w:rPr>
        <w:t xml:space="preserve"> For this reason, associations observed in this study cannot necessarily be attributed to exposure to any one pollutant nor to any specific concentration</w:t>
      </w:r>
      <w:r>
        <w:rPr>
          <w:rFonts w:cs="Calibri"/>
          <w:szCs w:val="24"/>
        </w:rPr>
        <w:t xml:space="preserve">.  </w:t>
      </w:r>
      <w:r w:rsidRPr="0021796A">
        <w:rPr>
          <w:rFonts w:cs="Calibri"/>
          <w:szCs w:val="24"/>
        </w:rPr>
        <w:t>Rather, associations observed reflect differences in the likelihood of certain outcomes among those living in regions of the study area estimated to experience higher airport-related exposures relative to those living in a region of the study area estimated to experience lower airport-related exposures.</w:t>
      </w:r>
    </w:p>
    <w:p w:rsidR="00A327E6" w:rsidRPr="0021796A" w:rsidRDefault="00A327E6" w:rsidP="00E44AAF">
      <w:pPr>
        <w:pStyle w:val="NormalIndent"/>
        <w:spacing w:before="100" w:beforeAutospacing="1" w:after="100" w:afterAutospacing="1" w:line="400" w:lineRule="atLeast"/>
        <w:rPr>
          <w:szCs w:val="24"/>
        </w:rPr>
      </w:pPr>
      <w:r w:rsidRPr="0021796A">
        <w:rPr>
          <w:szCs w:val="24"/>
        </w:rPr>
        <w:t>The findings of the air dispersion modeling analysis with respect to levels of predicted pollutant concentrations, as well as the spatial and temporal variability of those concentrations across the study area, are consistent with other studies that have modeled airport operations (Ratliff et al., 2009; Adamkiewicz et al., 2010)</w:t>
      </w:r>
      <w:r>
        <w:rPr>
          <w:szCs w:val="24"/>
        </w:rPr>
        <w:t xml:space="preserve">.  </w:t>
      </w:r>
      <w:r w:rsidRPr="0021796A">
        <w:rPr>
          <w:szCs w:val="24"/>
        </w:rPr>
        <w:t>In particular, a spatial gradient was observed such that predicted air pollutant concentrations were highest near the airport and dropped off rapidly with increasing distance from the airport</w:t>
      </w:r>
      <w:r>
        <w:rPr>
          <w:szCs w:val="24"/>
        </w:rPr>
        <w:t xml:space="preserve">.  </w:t>
      </w:r>
      <w:r w:rsidRPr="0021796A">
        <w:rPr>
          <w:szCs w:val="24"/>
        </w:rPr>
        <w:t>The distribution of predicted air pollutant concentrations was also consistent with monitoring studies that have detected distinct upwind and downwind emission gradients at airports for certain pollutants [e.g., NOx (Adamkiewicz et al., 2010), black carbon (Morin, 2007), and ultrafine particles (Westerdahl et al., 2008)] and a rapid reduction in pollutant concentrations with distance from the airport.</w:t>
      </w:r>
    </w:p>
    <w:p w:rsidR="00A327E6" w:rsidRPr="008F509F" w:rsidRDefault="00A327E6" w:rsidP="00E44AAF">
      <w:pPr>
        <w:pStyle w:val="NormalIndent"/>
        <w:spacing w:before="100" w:beforeAutospacing="1" w:after="100" w:afterAutospacing="1" w:line="400" w:lineRule="atLeast"/>
        <w:rPr>
          <w:szCs w:val="24"/>
        </w:rPr>
      </w:pPr>
      <w:r w:rsidRPr="008F509F">
        <w:rPr>
          <w:szCs w:val="24"/>
        </w:rPr>
        <w:t>The complex mixture of air pollutants emitted from large urban airports, such as Logan Airport, are those characterized by combustion of various types of fuel (e.g., jet fuel, diesel fuel, and gasoline)</w:t>
      </w:r>
      <w:r>
        <w:rPr>
          <w:szCs w:val="24"/>
        </w:rPr>
        <w:t xml:space="preserve">.  </w:t>
      </w:r>
      <w:r w:rsidRPr="008F509F">
        <w:rPr>
          <w:szCs w:val="24"/>
        </w:rPr>
        <w:t>As such, airport emissions are similar to pollutants typically found in urban air including criteria air pollutants and numerous air toxics (Ratliff et al., 2009; Zhou et al., 2009)</w:t>
      </w:r>
      <w:r>
        <w:rPr>
          <w:szCs w:val="24"/>
        </w:rPr>
        <w:t xml:space="preserve">.  </w:t>
      </w:r>
      <w:r w:rsidRPr="008F509F">
        <w:rPr>
          <w:szCs w:val="24"/>
        </w:rPr>
        <w:t>As discussed previously, many of these pollutants, including PM</w:t>
      </w:r>
      <w:r w:rsidRPr="0021796A">
        <w:rPr>
          <w:szCs w:val="24"/>
          <w:vertAlign w:val="subscript"/>
        </w:rPr>
        <w:t>2.5</w:t>
      </w:r>
      <w:r>
        <w:rPr>
          <w:szCs w:val="24"/>
        </w:rPr>
        <w:t xml:space="preserve">, </w:t>
      </w:r>
      <w:r w:rsidRPr="008F509F">
        <w:rPr>
          <w:szCs w:val="24"/>
        </w:rPr>
        <w:t>PM</w:t>
      </w:r>
      <w:r w:rsidRPr="0021796A">
        <w:rPr>
          <w:szCs w:val="24"/>
          <w:vertAlign w:val="subscript"/>
        </w:rPr>
        <w:t>10</w:t>
      </w:r>
      <w:r>
        <w:rPr>
          <w:szCs w:val="24"/>
          <w:vertAlign w:val="subscript"/>
        </w:rPr>
        <w:t xml:space="preserve">, </w:t>
      </w:r>
      <w:r w:rsidRPr="008F509F">
        <w:rPr>
          <w:szCs w:val="24"/>
        </w:rPr>
        <w:t xml:space="preserve"> SO</w:t>
      </w:r>
      <w:r w:rsidRPr="0021796A">
        <w:rPr>
          <w:szCs w:val="24"/>
          <w:vertAlign w:val="subscript"/>
        </w:rPr>
        <w:t>2</w:t>
      </w:r>
      <w:r w:rsidRPr="008F509F">
        <w:rPr>
          <w:szCs w:val="24"/>
        </w:rPr>
        <w:t>, and NO</w:t>
      </w:r>
      <w:r w:rsidRPr="0021796A">
        <w:rPr>
          <w:szCs w:val="24"/>
          <w:vertAlign w:val="subscript"/>
        </w:rPr>
        <w:t>2</w:t>
      </w:r>
      <w:r w:rsidRPr="008F509F">
        <w:rPr>
          <w:szCs w:val="24"/>
        </w:rPr>
        <w:t xml:space="preserve">, have been associated with respiratory and cardiovascular endpoints similar to those measured in this study.  </w:t>
      </w:r>
    </w:p>
    <w:p w:rsidR="00A327E6" w:rsidRPr="0021796A" w:rsidRDefault="00A327E6" w:rsidP="00E44AAF">
      <w:pPr>
        <w:pStyle w:val="NormalIndent"/>
        <w:spacing w:before="100" w:beforeAutospacing="1" w:after="100" w:afterAutospacing="1" w:line="400" w:lineRule="atLeast"/>
        <w:rPr>
          <w:szCs w:val="24"/>
        </w:rPr>
      </w:pPr>
      <w:r w:rsidRPr="0021796A">
        <w:rPr>
          <w:szCs w:val="24"/>
        </w:rPr>
        <w:t>These health outcomes are consistent with those observed in studies of the impacts of air pollution at levels found in ambient air</w:t>
      </w:r>
      <w:r>
        <w:rPr>
          <w:szCs w:val="24"/>
        </w:rPr>
        <w:t xml:space="preserve">.  </w:t>
      </w:r>
      <w:r w:rsidRPr="0021796A">
        <w:rPr>
          <w:szCs w:val="24"/>
        </w:rPr>
        <w:t>However, comparison of the emissions inventory modeling of the airport done in this study to the total emissions inventory for the LAHS area indicates that the airport contributes only a small fraction to the total air pollutants emitted, which is consistent</w:t>
      </w:r>
      <w:r w:rsidRPr="0021796A">
        <w:rPr>
          <w:rFonts w:cs="Calibri"/>
          <w:szCs w:val="24"/>
        </w:rPr>
        <w:t xml:space="preserve"> with</w:t>
      </w:r>
      <w:r w:rsidRPr="0021796A">
        <w:rPr>
          <w:szCs w:val="24"/>
        </w:rPr>
        <w:t xml:space="preserve"> emissions inventory studies of most other large urban airports in the US that have been estimated to contribute only 1-2% of total emissions within a given airshed (Ratliff et al., 2009).  With the exception of probable asthma in children, the associations observed in this study were of either borderline statistical significance or not statistically significant</w:t>
      </w:r>
      <w:r>
        <w:rPr>
          <w:szCs w:val="24"/>
        </w:rPr>
        <w:t xml:space="preserve">.  </w:t>
      </w:r>
      <w:r w:rsidRPr="0021796A">
        <w:rPr>
          <w:szCs w:val="24"/>
        </w:rPr>
        <w:t>Furthermore, no associations were observed between CVD outcomes and estimated airport-related air pollution exposure</w:t>
      </w:r>
      <w:r>
        <w:rPr>
          <w:szCs w:val="24"/>
        </w:rPr>
        <w:t xml:space="preserve">.  </w:t>
      </w:r>
      <w:r w:rsidRPr="0021796A">
        <w:rPr>
          <w:szCs w:val="24"/>
        </w:rPr>
        <w:t xml:space="preserve">One possible reason for this is that the incremental contribution of air pollution concentrations from airport-related activities was relatively small compared to overall background concentrations. </w:t>
      </w:r>
    </w:p>
    <w:p w:rsidR="00A327E6" w:rsidRPr="008F509F" w:rsidRDefault="00A327E6" w:rsidP="00517414">
      <w:pPr>
        <w:pStyle w:val="NormalIndent"/>
        <w:spacing w:before="100" w:beforeAutospacing="1" w:after="100" w:afterAutospacing="1" w:line="400" w:lineRule="atLeast"/>
        <w:rPr>
          <w:szCs w:val="24"/>
        </w:rPr>
      </w:pPr>
      <w:r w:rsidRPr="008F509F">
        <w:rPr>
          <w:szCs w:val="24"/>
        </w:rPr>
        <w:t>To further assess our observations regarding the contribution of airport-related air pollution, the average airport-related PM</w:t>
      </w:r>
      <w:r w:rsidRPr="0021796A">
        <w:rPr>
          <w:szCs w:val="24"/>
          <w:vertAlign w:val="subscript"/>
        </w:rPr>
        <w:t>2.5</w:t>
      </w:r>
      <w:r w:rsidRPr="008F509F">
        <w:rPr>
          <w:szCs w:val="24"/>
        </w:rPr>
        <w:t xml:space="preserve"> concentration predicted from modeling the 2005 emissions inventory across the study area (using annual average concentrations) was compared to </w:t>
      </w:r>
      <w:r w:rsidRPr="008F509F">
        <w:rPr>
          <w:rFonts w:cs="Calibri"/>
          <w:szCs w:val="24"/>
        </w:rPr>
        <w:t>PM</w:t>
      </w:r>
      <w:r w:rsidRPr="0021796A">
        <w:rPr>
          <w:rFonts w:cs="Calibri"/>
          <w:szCs w:val="24"/>
          <w:vertAlign w:val="subscript"/>
        </w:rPr>
        <w:t xml:space="preserve">2.5 </w:t>
      </w:r>
      <w:r w:rsidRPr="008F509F">
        <w:rPr>
          <w:rFonts w:cs="Calibri"/>
          <w:szCs w:val="24"/>
        </w:rPr>
        <w:t>background concentrations</w:t>
      </w:r>
      <w:r w:rsidRPr="008F509F">
        <w:rPr>
          <w:szCs w:val="24"/>
        </w:rPr>
        <w:t xml:space="preserve"> from the nearest monitoring station, and the airport contribution was found </w:t>
      </w:r>
      <w:r w:rsidRPr="008F509F">
        <w:rPr>
          <w:rFonts w:cs="Calibri"/>
          <w:szCs w:val="24"/>
        </w:rPr>
        <w:t>to be less than 1 percent.  For the highest LAHS airport-related modeled concentrations (those greater than 75% of the maximum), the percent contribution to background concentrations for PM</w:t>
      </w:r>
      <w:r w:rsidRPr="0021796A">
        <w:rPr>
          <w:rFonts w:cs="Calibri"/>
          <w:szCs w:val="24"/>
          <w:vertAlign w:val="subscript"/>
        </w:rPr>
        <w:t xml:space="preserve">2.5 </w:t>
      </w:r>
      <w:r w:rsidRPr="008F509F">
        <w:rPr>
          <w:rFonts w:cs="Calibri"/>
          <w:szCs w:val="24"/>
        </w:rPr>
        <w:t xml:space="preserve">was 4.3%.  </w:t>
      </w:r>
      <w:r w:rsidRPr="008F509F">
        <w:rPr>
          <w:szCs w:val="24"/>
        </w:rPr>
        <w:t>The only study to model the air pollution emissions inventory for the entire US with and without aircraft emissions found that the percent increase due to aircraft emissions was about an order of magnitude less than the LAHS results (0.06% in non-attainment areas and 0.08% in all counties)</w:t>
      </w:r>
      <w:r>
        <w:rPr>
          <w:szCs w:val="24"/>
        </w:rPr>
        <w:t xml:space="preserve"> (Ratliff et al., 2009)</w:t>
      </w:r>
      <w:r w:rsidRPr="008F509F">
        <w:rPr>
          <w:szCs w:val="24"/>
        </w:rPr>
        <w:t xml:space="preserve">. </w:t>
      </w:r>
      <w:r>
        <w:rPr>
          <w:szCs w:val="24"/>
        </w:rPr>
        <w:t xml:space="preserve"> </w:t>
      </w:r>
      <w:r w:rsidRPr="008F509F">
        <w:rPr>
          <w:szCs w:val="24"/>
        </w:rPr>
        <w:t xml:space="preserve">Although there are known uncertainties in the emissions inventory (e.g., mobile source </w:t>
      </w:r>
      <w:r>
        <w:rPr>
          <w:szCs w:val="24"/>
        </w:rPr>
        <w:t xml:space="preserve">PM </w:t>
      </w:r>
      <w:r w:rsidRPr="008F509F">
        <w:rPr>
          <w:szCs w:val="24"/>
        </w:rPr>
        <w:t>emissions) and in the modeled concentrations, these uncertainties are not likely to significantly change the overall contribution of emissions to background concentrations. Although some associations with respiratory outcomes were observed in this study, it may be that the additional burden of airport-related air pollution to that already present in the ambient air from other sources is not strong enough for many of those associations to reach statistical significance given the sample size and study design.  Similarly, as noted previously, it may be that airport-related air pollution exposures were not high enough to cause observable CVD associations in this study.</w:t>
      </w:r>
    </w:p>
    <w:p w:rsidR="00A327E6" w:rsidRPr="0021796A" w:rsidRDefault="00A327E6" w:rsidP="00517414">
      <w:pPr>
        <w:pStyle w:val="NormalIndent"/>
        <w:spacing w:before="100" w:beforeAutospacing="1" w:after="100" w:afterAutospacing="1" w:line="400" w:lineRule="atLeast"/>
        <w:rPr>
          <w:szCs w:val="24"/>
        </w:rPr>
      </w:pPr>
      <w:r w:rsidRPr="0021796A">
        <w:rPr>
          <w:szCs w:val="24"/>
        </w:rPr>
        <w:t>Along with the fact that estimated airport-related annual average air pollutant concentrations were relatively low in the study area, another challenge was the issue of potential confounding by background air pollution</w:t>
      </w:r>
      <w:r>
        <w:rPr>
          <w:szCs w:val="24"/>
        </w:rPr>
        <w:t xml:space="preserve">.  </w:t>
      </w:r>
      <w:r w:rsidRPr="0021796A">
        <w:rPr>
          <w:szCs w:val="24"/>
        </w:rPr>
        <w:t>Background air pollution exposure is not thought to be uniform across the study area, particularly from residential proximity to major roadways (Gryparis et al., 2007; Levy et al., 2003)</w:t>
      </w:r>
      <w:r>
        <w:rPr>
          <w:szCs w:val="24"/>
        </w:rPr>
        <w:t xml:space="preserve">.  </w:t>
      </w:r>
      <w:r w:rsidRPr="0021796A">
        <w:rPr>
          <w:szCs w:val="24"/>
        </w:rPr>
        <w:t>For example, the percentage of people living within 200 meters of a major roadway was about two times highe</w:t>
      </w:r>
      <w:r>
        <w:rPr>
          <w:szCs w:val="24"/>
        </w:rPr>
        <w:t>r in the medium (22%) and high</w:t>
      </w:r>
      <w:r w:rsidRPr="0021796A">
        <w:rPr>
          <w:szCs w:val="24"/>
        </w:rPr>
        <w:t xml:space="preserve"> (24%) exposure areas</w:t>
      </w:r>
      <w:r>
        <w:rPr>
          <w:szCs w:val="24"/>
        </w:rPr>
        <w:t xml:space="preserve"> compared to the low</w:t>
      </w:r>
      <w:r w:rsidRPr="0021796A">
        <w:rPr>
          <w:szCs w:val="24"/>
        </w:rPr>
        <w:t xml:space="preserve"> exposur</w:t>
      </w:r>
      <w:r>
        <w:rPr>
          <w:szCs w:val="24"/>
        </w:rPr>
        <w:t>e area (13%)</w:t>
      </w:r>
      <w:r w:rsidRPr="0021796A">
        <w:rPr>
          <w:szCs w:val="24"/>
        </w:rPr>
        <w:t xml:space="preserve">. </w:t>
      </w:r>
      <w:r>
        <w:rPr>
          <w:szCs w:val="24"/>
        </w:rPr>
        <w:t xml:space="preserve"> </w:t>
      </w:r>
      <w:r w:rsidRPr="0021796A">
        <w:rPr>
          <w:szCs w:val="24"/>
        </w:rPr>
        <w:t>Recent literature identifies associations between proximity to traffic sources and induction of asthma incidence in children, and evidence is suggestive of inducing asthma in adults (Braback et al., 2009; Lindgren et al., 2010; McConnell, 2006; McConnell et al., 2010; Salam et al., 2008)</w:t>
      </w:r>
      <w:r>
        <w:rPr>
          <w:szCs w:val="24"/>
        </w:rPr>
        <w:t xml:space="preserve">.  </w:t>
      </w:r>
      <w:r w:rsidRPr="0021796A">
        <w:rPr>
          <w:szCs w:val="24"/>
        </w:rPr>
        <w:t>Recent studies have also reported an association between traffic-related exposures and an increased prevalence of COPD (Anders</w:t>
      </w:r>
      <w:r>
        <w:rPr>
          <w:szCs w:val="24"/>
        </w:rPr>
        <w:t>e</w:t>
      </w:r>
      <w:r w:rsidRPr="0021796A">
        <w:rPr>
          <w:szCs w:val="24"/>
        </w:rPr>
        <w:t>n et al., 2011; Lindgren et al, 2009).  For this reason, multivariate analyses in this study were adjusted for residential proximity to major roads</w:t>
      </w:r>
      <w:r>
        <w:rPr>
          <w:szCs w:val="24"/>
        </w:rPr>
        <w:t xml:space="preserve">.  </w:t>
      </w:r>
    </w:p>
    <w:p w:rsidR="00A327E6" w:rsidRPr="008F509F" w:rsidRDefault="00A327E6" w:rsidP="00517414">
      <w:pPr>
        <w:pStyle w:val="NormalIndent"/>
        <w:spacing w:before="100" w:beforeAutospacing="1" w:after="100" w:afterAutospacing="1" w:line="400" w:lineRule="atLeast"/>
        <w:rPr>
          <w:szCs w:val="24"/>
        </w:rPr>
      </w:pPr>
      <w:r w:rsidRPr="008F509F">
        <w:rPr>
          <w:szCs w:val="24"/>
        </w:rPr>
        <w:t>To address potential confounding from other major pollutant sources in the study area, such as those arising from industrial combustion emissions, multivariate regression analyses also included a measure of monitored background PM</w:t>
      </w:r>
      <w:r w:rsidRPr="0021796A">
        <w:rPr>
          <w:szCs w:val="24"/>
          <w:vertAlign w:val="subscript"/>
        </w:rPr>
        <w:t xml:space="preserve">2.5 </w:t>
      </w:r>
      <w:r w:rsidRPr="008F509F">
        <w:rPr>
          <w:szCs w:val="24"/>
        </w:rPr>
        <w:t>concentrations. Therefore, this study accounted for both overall background concentrations represented by centrally-located monitoring stations in the study area and the higher gradient near major roadways that is not captured by the central monitors</w:t>
      </w:r>
      <w:r>
        <w:rPr>
          <w:szCs w:val="24"/>
        </w:rPr>
        <w:t xml:space="preserve">.  </w:t>
      </w:r>
      <w:r w:rsidRPr="008F509F">
        <w:rPr>
          <w:szCs w:val="24"/>
        </w:rPr>
        <w:t xml:space="preserve">For background air pollution adjustment using air monitoring station data, </w:t>
      </w:r>
      <w:r w:rsidRPr="008F509F">
        <w:rPr>
          <w:rFonts w:cs="Calibri"/>
          <w:szCs w:val="24"/>
        </w:rPr>
        <w:t>PM</w:t>
      </w:r>
      <w:r w:rsidRPr="0021796A">
        <w:rPr>
          <w:rFonts w:cs="Calibri"/>
          <w:szCs w:val="24"/>
          <w:vertAlign w:val="subscript"/>
        </w:rPr>
        <w:t xml:space="preserve">2.5 </w:t>
      </w:r>
      <w:r w:rsidRPr="008F509F">
        <w:rPr>
          <w:rFonts w:cs="Calibri"/>
          <w:szCs w:val="24"/>
        </w:rPr>
        <w:t>concentrations were used because PM has been most strongly associated with respiratory and cardiovascular health effects in epidemiologic research (compared to other pollutants such as CO).  In addition, a study in Boston of the relationship between ambient measures of urban air pollution found that PM</w:t>
      </w:r>
      <w:r w:rsidRPr="0021796A">
        <w:rPr>
          <w:rFonts w:cs="Calibri"/>
          <w:szCs w:val="24"/>
          <w:vertAlign w:val="subscript"/>
        </w:rPr>
        <w:t xml:space="preserve">2.5 </w:t>
      </w:r>
      <w:r w:rsidRPr="008F509F">
        <w:rPr>
          <w:rFonts w:cs="Calibri"/>
          <w:szCs w:val="24"/>
        </w:rPr>
        <w:t>data from centrally-located monitors was strongly associated with personal exposure to PM</w:t>
      </w:r>
      <w:r w:rsidRPr="0021796A">
        <w:rPr>
          <w:rFonts w:cs="Calibri"/>
          <w:szCs w:val="24"/>
          <w:vertAlign w:val="subscript"/>
        </w:rPr>
        <w:t>2.5</w:t>
      </w:r>
      <w:r w:rsidRPr="008F509F">
        <w:rPr>
          <w:rFonts w:cs="Calibri"/>
          <w:szCs w:val="24"/>
        </w:rPr>
        <w:t>, supporting the use of PM</w:t>
      </w:r>
      <w:r w:rsidRPr="0021796A">
        <w:rPr>
          <w:rFonts w:cs="Calibri"/>
          <w:szCs w:val="24"/>
          <w:vertAlign w:val="subscript"/>
        </w:rPr>
        <w:t xml:space="preserve">2.5 </w:t>
      </w:r>
      <w:r w:rsidRPr="008F509F">
        <w:rPr>
          <w:rFonts w:cs="Calibri"/>
          <w:szCs w:val="24"/>
        </w:rPr>
        <w:t>data from central monitors for assessing exposure to PM</w:t>
      </w:r>
      <w:r w:rsidRPr="0021796A">
        <w:rPr>
          <w:rFonts w:cs="Calibri"/>
          <w:szCs w:val="24"/>
          <w:vertAlign w:val="subscript"/>
        </w:rPr>
        <w:t xml:space="preserve">2.5 </w:t>
      </w:r>
      <w:r w:rsidRPr="008F509F">
        <w:rPr>
          <w:rFonts w:cs="Calibri"/>
          <w:szCs w:val="24"/>
        </w:rPr>
        <w:t>in epidemiological studies (Koutrakis et al., 2005).  While NO</w:t>
      </w:r>
      <w:r w:rsidRPr="0021796A">
        <w:rPr>
          <w:rFonts w:cs="Calibri"/>
          <w:szCs w:val="24"/>
          <w:vertAlign w:val="subscript"/>
        </w:rPr>
        <w:t>x</w:t>
      </w:r>
      <w:r w:rsidRPr="008F509F">
        <w:rPr>
          <w:rFonts w:cs="Calibri"/>
          <w:szCs w:val="24"/>
        </w:rPr>
        <w:t xml:space="preserve"> is also an important pollutant with respect to respiratory effects, a recent analysis by US EPA found that centrally-located monitors are not optimally located to characterize NO</w:t>
      </w:r>
      <w:r w:rsidRPr="0021796A">
        <w:rPr>
          <w:rFonts w:cs="Calibri"/>
          <w:szCs w:val="24"/>
          <w:vertAlign w:val="subscript"/>
        </w:rPr>
        <w:t>x</w:t>
      </w:r>
      <w:r w:rsidRPr="008F509F">
        <w:rPr>
          <w:rFonts w:cs="Calibri"/>
          <w:szCs w:val="24"/>
        </w:rPr>
        <w:t xml:space="preserve"> exposures because the monitors were located primarily to model ozone formation.</w:t>
      </w:r>
    </w:p>
    <w:p w:rsidR="00A327E6" w:rsidRPr="0021796A" w:rsidRDefault="00A327E6" w:rsidP="00517414">
      <w:pPr>
        <w:pStyle w:val="NormalIndent"/>
        <w:spacing w:before="100" w:beforeAutospacing="1" w:after="100" w:afterAutospacing="1" w:line="400" w:lineRule="atLeast"/>
        <w:rPr>
          <w:szCs w:val="24"/>
        </w:rPr>
      </w:pPr>
      <w:r w:rsidRPr="0021796A">
        <w:rPr>
          <w:szCs w:val="24"/>
        </w:rPr>
        <w:t>Despite adjustment for both of these variables, fully accounting for variation in personal exposure to background air pollution was not possible in this study and may be a source of residual confounding, which could either mask effects of the airport or show false positive associations</w:t>
      </w:r>
      <w:r>
        <w:rPr>
          <w:szCs w:val="24"/>
        </w:rPr>
        <w:t xml:space="preserve">.  </w:t>
      </w:r>
      <w:r w:rsidRPr="0021796A">
        <w:rPr>
          <w:szCs w:val="24"/>
        </w:rPr>
        <w:t xml:space="preserve">For example, the various levels of exposure related to time activity patterns, such as increased exposure from exercising outdoors could not be considered. </w:t>
      </w:r>
    </w:p>
    <w:p w:rsidR="00A327E6" w:rsidRPr="0021796A" w:rsidRDefault="00A327E6" w:rsidP="00517414">
      <w:pPr>
        <w:pStyle w:val="NormalIndent"/>
        <w:spacing w:before="100" w:beforeAutospacing="1" w:after="100" w:afterAutospacing="1" w:line="400" w:lineRule="atLeast"/>
        <w:rPr>
          <w:szCs w:val="24"/>
        </w:rPr>
      </w:pPr>
      <w:r w:rsidRPr="0021796A">
        <w:rPr>
          <w:szCs w:val="24"/>
        </w:rPr>
        <w:t>A further method employed to isolate the effects of exposure to airport-related air pollution included consideration of the movement of residents into or out of the study area over time.  An important limitation in the exposure assessment is the potential misclassification of respondents due to different lengths of residence in the study area.  For example, some study respondents may have developed asthma or experienced a myocardial infarction prior to moving to their current residence</w:t>
      </w:r>
      <w:r>
        <w:rPr>
          <w:szCs w:val="24"/>
        </w:rPr>
        <w:t xml:space="preserve">.  </w:t>
      </w:r>
      <w:r w:rsidRPr="0021796A">
        <w:rPr>
          <w:szCs w:val="24"/>
        </w:rPr>
        <w:t>This type of migration effect could lead to mis-measurement of disease incidence since arrival in the study area, making it more difficult to assess true associations that may be present.</w:t>
      </w:r>
    </w:p>
    <w:p w:rsidR="00A327E6" w:rsidRPr="0021796A" w:rsidRDefault="00A327E6" w:rsidP="00517414">
      <w:pPr>
        <w:pStyle w:val="NormalIndent"/>
        <w:spacing w:before="100" w:beforeAutospacing="1" w:after="100" w:afterAutospacing="1" w:line="400" w:lineRule="atLeast"/>
        <w:rPr>
          <w:szCs w:val="24"/>
        </w:rPr>
      </w:pPr>
      <w:r w:rsidRPr="0021796A">
        <w:rPr>
          <w:szCs w:val="24"/>
        </w:rPr>
        <w:t>This limitation was partially addressed by performing sub-analyses in which associations were examined only among residents who had lived in their current exposure area (high, medium, low) for greater than 1, 3, 5, and 10 years</w:t>
      </w:r>
      <w:r>
        <w:rPr>
          <w:szCs w:val="24"/>
        </w:rPr>
        <w:t xml:space="preserve">.  </w:t>
      </w:r>
      <w:r w:rsidRPr="0021796A">
        <w:rPr>
          <w:szCs w:val="24"/>
        </w:rPr>
        <w:t>Those analyses indicated that consideration of migration may help clarify associations of exposure and disease in this population</w:t>
      </w:r>
      <w:r>
        <w:rPr>
          <w:szCs w:val="24"/>
        </w:rPr>
        <w:t xml:space="preserve">.  </w:t>
      </w:r>
      <w:r w:rsidRPr="0021796A">
        <w:rPr>
          <w:szCs w:val="24"/>
        </w:rPr>
        <w:t>For example, when the analyses were restricted to individuals who had lived in their current airport-related exposure area for at least 3 or more years, associations were strengthened for most of the targeted respiratory outcomes, including a statistically significantly higher likelihood of having COPD among adults in the high compared to the low airport-related air pollution exposure area</w:t>
      </w:r>
      <w:r>
        <w:rPr>
          <w:szCs w:val="24"/>
        </w:rPr>
        <w:t xml:space="preserve">.  </w:t>
      </w:r>
      <w:r w:rsidRPr="0021796A">
        <w:rPr>
          <w:szCs w:val="24"/>
        </w:rPr>
        <w:t>The association between airport-related air pollution exposure category and current asthma with medication use also strengthened with increasing length of residence fr</w:t>
      </w:r>
      <w:r>
        <w:rPr>
          <w:szCs w:val="24"/>
        </w:rPr>
        <w:t>om an odds ratio of 1.4 (high</w:t>
      </w:r>
      <w:r w:rsidRPr="0021796A">
        <w:rPr>
          <w:szCs w:val="24"/>
        </w:rPr>
        <w:t xml:space="preserve"> </w:t>
      </w:r>
      <w:r>
        <w:rPr>
          <w:szCs w:val="24"/>
        </w:rPr>
        <w:t>versus low</w:t>
      </w:r>
      <w:r w:rsidRPr="0021796A">
        <w:rPr>
          <w:szCs w:val="24"/>
        </w:rPr>
        <w:t>; p=0.20) in the total</w:t>
      </w:r>
      <w:r>
        <w:rPr>
          <w:szCs w:val="24"/>
        </w:rPr>
        <w:t xml:space="preserve"> study population to 1.7 (high versus low</w:t>
      </w:r>
      <w:r w:rsidRPr="0021796A">
        <w:rPr>
          <w:szCs w:val="24"/>
        </w:rPr>
        <w:t>; p=0.05) among those with 5+ years residence (Table 6-8)</w:t>
      </w:r>
      <w:r>
        <w:rPr>
          <w:szCs w:val="24"/>
        </w:rPr>
        <w:t xml:space="preserve">.  </w:t>
      </w:r>
      <w:r w:rsidRPr="0021796A">
        <w:rPr>
          <w:szCs w:val="24"/>
        </w:rPr>
        <w:t>These findings suggest that the respiratory impact of exposure to airport-related air pollution increases as the duration of exposure increases</w:t>
      </w:r>
      <w:r>
        <w:rPr>
          <w:szCs w:val="24"/>
        </w:rPr>
        <w:t xml:space="preserve">.  </w:t>
      </w:r>
      <w:r w:rsidRPr="0021796A">
        <w:rPr>
          <w:szCs w:val="24"/>
        </w:rPr>
        <w:t>For both COPD and current asthma with medication use, the association with airport-related exposure category lessened in the 10+ years of residence analysis, possibly due to loss of sample size or possibly because length of residence is not as strong a factor for these outcomes beyond 5 years or so.</w:t>
      </w:r>
    </w:p>
    <w:p w:rsidR="00A327E6" w:rsidRPr="0021796A" w:rsidRDefault="00A327E6" w:rsidP="00517414">
      <w:pPr>
        <w:pStyle w:val="NormalIndent"/>
        <w:spacing w:before="100" w:beforeAutospacing="1" w:after="100" w:afterAutospacing="1" w:line="400" w:lineRule="atLeast"/>
        <w:rPr>
          <w:szCs w:val="24"/>
        </w:rPr>
      </w:pPr>
      <w:r w:rsidRPr="0021796A">
        <w:rPr>
          <w:szCs w:val="24"/>
        </w:rPr>
        <w:t>For cardiovascular outcomes, attempting to refine the exposure measure by consideration of residential length did not help to elucidate any associations with potential airport-related exposure</w:t>
      </w:r>
      <w:r>
        <w:rPr>
          <w:szCs w:val="24"/>
        </w:rPr>
        <w:t xml:space="preserve">.  </w:t>
      </w:r>
      <w:r w:rsidRPr="0021796A">
        <w:rPr>
          <w:szCs w:val="24"/>
        </w:rPr>
        <w:t>For both MI and CHD, measures of effect (ORs) remained fairly null when restricting analyses to residents with longer lengths of residence</w:t>
      </w:r>
      <w:r>
        <w:rPr>
          <w:szCs w:val="24"/>
        </w:rPr>
        <w:t xml:space="preserve">.  </w:t>
      </w:r>
      <w:r w:rsidRPr="0021796A">
        <w:rPr>
          <w:szCs w:val="24"/>
        </w:rPr>
        <w:t>Since CVD outcomes involve biologic mechanisms that develop over time and involve a long lag time, one hypothesis was that assessing historical and/or longer exposures may lead to observable associations.  This was not the case and, in fact, review of the scientific literature reveals that the most robust results of the association between air pollution and CVD risk are demonstrated in studies using a case-crossover design, which examine short-term, acute exposures, particularly to PM (Peters et al., 2001;Wellenius et al., 2006).</w:t>
      </w:r>
    </w:p>
    <w:bookmarkEnd w:id="231"/>
    <w:bookmarkEnd w:id="232"/>
    <w:bookmarkEnd w:id="233"/>
    <w:p w:rsidR="00A327E6" w:rsidRDefault="00A327E6" w:rsidP="0021796A">
      <w:pPr>
        <w:spacing w:before="100" w:beforeAutospacing="1" w:after="100" w:afterAutospacing="1" w:line="480" w:lineRule="auto"/>
        <w:rPr>
          <w:szCs w:val="24"/>
        </w:rPr>
      </w:pPr>
    </w:p>
    <w:p w:rsidR="00A327E6" w:rsidRDefault="00A327E6" w:rsidP="0021796A">
      <w:pPr>
        <w:spacing w:before="100" w:beforeAutospacing="1" w:after="100" w:afterAutospacing="1" w:line="480" w:lineRule="auto"/>
        <w:rPr>
          <w:szCs w:val="24"/>
        </w:rPr>
      </w:pPr>
    </w:p>
    <w:p w:rsidR="00A327E6" w:rsidRDefault="00A327E6">
      <w:pPr>
        <w:spacing w:before="0" w:after="0" w:line="240" w:lineRule="auto"/>
        <w:rPr>
          <w:szCs w:val="24"/>
        </w:rPr>
      </w:pPr>
      <w:r>
        <w:rPr>
          <w:szCs w:val="24"/>
        </w:rPr>
        <w:br w:type="page"/>
      </w:r>
    </w:p>
    <w:p w:rsidR="00A327E6" w:rsidRPr="0021796A" w:rsidRDefault="00A327E6" w:rsidP="00676AA3">
      <w:pPr>
        <w:pStyle w:val="Heading1"/>
        <w:spacing w:before="100" w:beforeAutospacing="1" w:after="100" w:afterAutospacing="1" w:line="240" w:lineRule="auto"/>
        <w:rPr>
          <w:sz w:val="24"/>
          <w:szCs w:val="24"/>
        </w:rPr>
      </w:pPr>
      <w:bookmarkStart w:id="237" w:name="_Toc388543118"/>
      <w:r w:rsidRPr="0021796A">
        <w:rPr>
          <w:caps w:val="0"/>
          <w:sz w:val="24"/>
          <w:szCs w:val="24"/>
        </w:rPr>
        <w:t>CONCLUSIONS AND RECOMMENDATIONS</w:t>
      </w:r>
      <w:bookmarkEnd w:id="237"/>
    </w:p>
    <w:p w:rsidR="00A327E6" w:rsidRPr="003F2703" w:rsidRDefault="00A327E6" w:rsidP="005671A5">
      <w:pPr>
        <w:spacing w:line="360" w:lineRule="auto"/>
      </w:pPr>
      <w:r w:rsidRPr="003F2703">
        <w:t>The major conclusions of the Logan Airport Health Study are as follows:</w:t>
      </w:r>
    </w:p>
    <w:p w:rsidR="00A327E6" w:rsidRDefault="00A327E6" w:rsidP="0011221D">
      <w:pPr>
        <w:pStyle w:val="ListParagraph0"/>
        <w:numPr>
          <w:ilvl w:val="0"/>
          <w:numId w:val="13"/>
        </w:numPr>
        <w:spacing w:before="100" w:beforeAutospacing="1" w:after="100" w:afterAutospacing="1" w:line="300" w:lineRule="atLeast"/>
      </w:pPr>
      <w:r w:rsidRPr="0077375B">
        <w:t xml:space="preserve">Air dispersion modeling of airport related emissions using a state-of-the-art model indicates that the highest predicted pollutant concentrations associated with airport-related operations are near the perimeter of Logan Airport and fall off rapidly with increased distance.  This is a characteristic of the impact of sources </w:t>
      </w:r>
      <w:r>
        <w:t>that</w:t>
      </w:r>
      <w:r w:rsidRPr="0077375B">
        <w:t xml:space="preserve"> are primarily located near the ground surface.  </w:t>
      </w:r>
    </w:p>
    <w:p w:rsidR="00A327E6" w:rsidRDefault="00A327E6" w:rsidP="0011221D">
      <w:pPr>
        <w:pStyle w:val="ListParagraph0"/>
        <w:spacing w:before="100" w:beforeAutospacing="1" w:after="100" w:afterAutospacing="1" w:line="300" w:lineRule="atLeast"/>
      </w:pPr>
    </w:p>
    <w:p w:rsidR="00A327E6" w:rsidRDefault="00A327E6" w:rsidP="0011221D">
      <w:pPr>
        <w:pStyle w:val="ListParagraph0"/>
        <w:numPr>
          <w:ilvl w:val="0"/>
          <w:numId w:val="13"/>
        </w:numPr>
        <w:spacing w:before="100" w:beforeAutospacing="1" w:after="100" w:afterAutospacing="1" w:line="300" w:lineRule="atLeast"/>
      </w:pPr>
      <w:r w:rsidRPr="0077375B">
        <w:t xml:space="preserve">Consistent with findings of other airport studies, modeled concentrations of air pollutants are low relative to measured background air pollution concentrations.  </w:t>
      </w:r>
    </w:p>
    <w:p w:rsidR="00A327E6" w:rsidRDefault="00A327E6" w:rsidP="0011221D">
      <w:pPr>
        <w:pStyle w:val="ListParagraph0"/>
        <w:spacing w:before="100" w:beforeAutospacing="1" w:after="100" w:afterAutospacing="1" w:line="300" w:lineRule="atLeast"/>
      </w:pPr>
    </w:p>
    <w:p w:rsidR="00A327E6" w:rsidRDefault="00A327E6" w:rsidP="0011221D">
      <w:pPr>
        <w:pStyle w:val="ListParagraph0"/>
        <w:numPr>
          <w:ilvl w:val="0"/>
          <w:numId w:val="13"/>
        </w:numPr>
        <w:spacing w:before="100" w:beforeAutospacing="1" w:after="100" w:afterAutospacing="1" w:line="300" w:lineRule="atLeast"/>
      </w:pPr>
      <w:r w:rsidRPr="0077375B">
        <w:t>Evaluation of associations between airport-related pollutant concentrations and targeted health outcomes among the study area population detected some elevations in respirato</w:t>
      </w:r>
      <w:r>
        <w:t>ry health outcomes in the high</w:t>
      </w:r>
      <w:r w:rsidRPr="0077375B">
        <w:t xml:space="preserve"> exposure area.  </w:t>
      </w:r>
    </w:p>
    <w:p w:rsidR="00A327E6" w:rsidRDefault="00A327E6" w:rsidP="005E1912">
      <w:pPr>
        <w:spacing w:before="100" w:beforeAutospacing="1" w:after="100" w:afterAutospacing="1" w:line="300" w:lineRule="atLeast"/>
        <w:ind w:firstLine="720"/>
      </w:pPr>
      <w:r w:rsidRPr="0077375B">
        <w:t>Specifically:</w:t>
      </w:r>
    </w:p>
    <w:p w:rsidR="00A327E6" w:rsidRPr="0077375B" w:rsidRDefault="00A327E6" w:rsidP="00E17A00">
      <w:pPr>
        <w:pStyle w:val="ListParagraph0"/>
        <w:numPr>
          <w:ilvl w:val="0"/>
          <w:numId w:val="44"/>
        </w:numPr>
        <w:spacing w:before="100" w:beforeAutospacing="1" w:after="100" w:afterAutospacing="1" w:line="300" w:lineRule="atLeast"/>
      </w:pPr>
      <w:r w:rsidRPr="0077375B">
        <w:t xml:space="preserve">Among children, study results </w:t>
      </w:r>
      <w:r>
        <w:t>identified</w:t>
      </w:r>
      <w:r w:rsidRPr="0077375B">
        <w:t xml:space="preserve"> some respiratory effects indicative of undiagnosed asthma (i.e., probable asthma); children in the high exposure area were estimated to have </w:t>
      </w:r>
      <w:r>
        <w:t>three to four</w:t>
      </w:r>
      <w:r w:rsidRPr="0077375B">
        <w:t xml:space="preserve"> times the likelihood of this respiratory outcome compared with children in the low exposure area.    </w:t>
      </w:r>
    </w:p>
    <w:p w:rsidR="00A327E6" w:rsidRDefault="00A327E6" w:rsidP="00E17A00">
      <w:pPr>
        <w:pStyle w:val="ListParagraph0"/>
        <w:spacing w:before="100" w:beforeAutospacing="1" w:after="100" w:afterAutospacing="1" w:line="300" w:lineRule="atLeast"/>
      </w:pPr>
    </w:p>
    <w:p w:rsidR="00A327E6" w:rsidRDefault="00A327E6" w:rsidP="00E17A00">
      <w:pPr>
        <w:pStyle w:val="ListParagraph0"/>
        <w:numPr>
          <w:ilvl w:val="0"/>
          <w:numId w:val="44"/>
        </w:numPr>
        <w:spacing w:before="100" w:beforeAutospacing="1" w:after="100" w:afterAutospacing="1" w:line="300" w:lineRule="atLeast"/>
      </w:pPr>
      <w:r w:rsidRPr="007703FC">
        <w:t xml:space="preserve">Among adult residents, individuals diagnosed with chronic obstructive pulmonary disease (COPD) were statistically significantly more likely to </w:t>
      </w:r>
      <w:r>
        <w:t xml:space="preserve">have </w:t>
      </w:r>
      <w:r w:rsidRPr="007703FC">
        <w:t>live</w:t>
      </w:r>
      <w:r>
        <w:t>d</w:t>
      </w:r>
      <w:r w:rsidRPr="007703FC">
        <w:t xml:space="preserve"> in the high exposure area</w:t>
      </w:r>
      <w:r>
        <w:t xml:space="preserve"> for three or more years.</w:t>
      </w:r>
    </w:p>
    <w:p w:rsidR="00A327E6" w:rsidRDefault="00A327E6" w:rsidP="0011221D">
      <w:pPr>
        <w:pStyle w:val="ListParagraph0"/>
        <w:spacing w:before="100" w:beforeAutospacing="1" w:after="100" w:afterAutospacing="1" w:line="300" w:lineRule="atLeast"/>
      </w:pPr>
    </w:p>
    <w:p w:rsidR="00A327E6" w:rsidRDefault="00A327E6" w:rsidP="0011221D">
      <w:pPr>
        <w:pStyle w:val="ListParagraph0"/>
        <w:numPr>
          <w:ilvl w:val="0"/>
          <w:numId w:val="13"/>
        </w:numPr>
        <w:spacing w:before="100" w:beforeAutospacing="1" w:after="100" w:afterAutospacing="1" w:line="300" w:lineRule="atLeast"/>
      </w:pPr>
      <w:r>
        <w:t>There were no</w:t>
      </w:r>
      <w:r w:rsidRPr="0077375B">
        <w:t xml:space="preserve"> </w:t>
      </w:r>
      <w:r>
        <w:t xml:space="preserve">statistically significant </w:t>
      </w:r>
      <w:r w:rsidRPr="0077375B">
        <w:t xml:space="preserve">differences in cardiovascular outcomes in the study population across the high, medium, and low exposure areas.   </w:t>
      </w:r>
    </w:p>
    <w:p w:rsidR="00A327E6" w:rsidRDefault="00A327E6" w:rsidP="005E1912">
      <w:pPr>
        <w:pStyle w:val="ListParagraph0"/>
        <w:spacing w:before="100" w:beforeAutospacing="1" w:after="100" w:afterAutospacing="1" w:line="300" w:lineRule="atLeast"/>
      </w:pPr>
    </w:p>
    <w:p w:rsidR="00A327E6" w:rsidRPr="005671A5" w:rsidRDefault="00A327E6" w:rsidP="0011221D">
      <w:pPr>
        <w:pStyle w:val="ListParagraph0"/>
        <w:numPr>
          <w:ilvl w:val="0"/>
          <w:numId w:val="14"/>
        </w:numPr>
        <w:spacing w:before="100" w:beforeAutospacing="1" w:after="100" w:afterAutospacing="1" w:line="300" w:lineRule="atLeast"/>
      </w:pPr>
      <w:r>
        <w:t>There were no statistically significant differences with respect to h</w:t>
      </w:r>
      <w:r w:rsidRPr="0077375B">
        <w:t xml:space="preserve">earing loss in </w:t>
      </w:r>
      <w:r>
        <w:t xml:space="preserve">either </w:t>
      </w:r>
      <w:r w:rsidRPr="0077375B">
        <w:t xml:space="preserve">adults </w:t>
      </w:r>
      <w:r>
        <w:t>or</w:t>
      </w:r>
      <w:r w:rsidRPr="0077375B">
        <w:t xml:space="preserve"> children </w:t>
      </w:r>
      <w:r>
        <w:t>for those living in the high</w:t>
      </w:r>
      <w:r w:rsidRPr="0077375B">
        <w:t xml:space="preserve"> exposure area</w:t>
      </w:r>
      <w:r>
        <w:t xml:space="preserve"> compared to the lowest exposure area</w:t>
      </w:r>
      <w:r w:rsidRPr="0077375B">
        <w:t xml:space="preserve">.  </w:t>
      </w:r>
    </w:p>
    <w:p w:rsidR="00A327E6" w:rsidRPr="00676AA3" w:rsidRDefault="00A327E6" w:rsidP="0011221D">
      <w:pPr>
        <w:spacing w:before="100" w:beforeAutospacing="1" w:after="100" w:afterAutospacing="1" w:line="300" w:lineRule="atLeast"/>
        <w:rPr>
          <w:szCs w:val="24"/>
          <w:u w:val="single"/>
        </w:rPr>
      </w:pPr>
      <w:r w:rsidRPr="00676AA3">
        <w:rPr>
          <w:szCs w:val="24"/>
          <w:u w:val="single"/>
        </w:rPr>
        <w:t>Recommendations:</w:t>
      </w:r>
    </w:p>
    <w:p w:rsidR="00A327E6" w:rsidRPr="00367898" w:rsidRDefault="00A327E6" w:rsidP="0011221D">
      <w:pPr>
        <w:numPr>
          <w:ilvl w:val="0"/>
          <w:numId w:val="14"/>
        </w:numPr>
        <w:spacing w:before="100" w:beforeAutospacing="1" w:after="240" w:line="300" w:lineRule="atLeast"/>
      </w:pPr>
      <w:r w:rsidRPr="000E2D3E">
        <w:t>The results of this study should be reviewed by Massport and others to determine mitigating steps that can</w:t>
      </w:r>
      <w:r>
        <w:t xml:space="preserve"> be taken across the study area.</w:t>
      </w:r>
    </w:p>
    <w:p w:rsidR="00A327E6" w:rsidRPr="00367898" w:rsidRDefault="00A327E6" w:rsidP="0011221D">
      <w:pPr>
        <w:numPr>
          <w:ilvl w:val="0"/>
          <w:numId w:val="14"/>
        </w:numPr>
        <w:spacing w:before="100" w:beforeAutospacing="1" w:after="240" w:line="300" w:lineRule="atLeast"/>
      </w:pPr>
      <w:r w:rsidRPr="000E2D3E">
        <w:t>Massport has undertaken initiatives to reduce air pollution impacts within their control (e.g., providing infrastructure for</w:t>
      </w:r>
      <w:r>
        <w:t xml:space="preserve"> compressed natural gas</w:t>
      </w:r>
      <w:r w:rsidRPr="000E2D3E">
        <w:t xml:space="preserve"> </w:t>
      </w:r>
      <w:r>
        <w:t>(</w:t>
      </w:r>
      <w:r w:rsidRPr="000E2D3E">
        <w:t>CNG</w:t>
      </w:r>
      <w:r>
        <w:t>)</w:t>
      </w:r>
      <w:r w:rsidRPr="000E2D3E">
        <w:t xml:space="preserve"> fuels and electricity charging stations, Alternative Fuel Vehicle Program).  Similar initiatives could be considered in consultation with local communities that would serve to further reduce the burden of </w:t>
      </w:r>
      <w:r>
        <w:t xml:space="preserve">indoor and outdoor sources of </w:t>
      </w:r>
      <w:r w:rsidRPr="000E2D3E">
        <w:t xml:space="preserve">air pollution on residents in closest proximity to the airport. </w:t>
      </w:r>
    </w:p>
    <w:p w:rsidR="00A327E6" w:rsidRPr="00367898" w:rsidRDefault="00A327E6" w:rsidP="0011221D">
      <w:pPr>
        <w:numPr>
          <w:ilvl w:val="0"/>
          <w:numId w:val="14"/>
        </w:numPr>
        <w:spacing w:before="100" w:beforeAutospacing="1" w:after="240" w:line="300" w:lineRule="atLeast"/>
      </w:pPr>
      <w:r w:rsidRPr="00B83CD6">
        <w:rPr>
          <w:rFonts w:eastAsia="PMingLiU"/>
        </w:rPr>
        <w:t>Massport has also been working with the East Boston Neighborhood Health Center (EBNHC) to address workforce issues among Massport employees.  Massport could expand these eff</w:t>
      </w:r>
      <w:r>
        <w:rPr>
          <w:rFonts w:eastAsia="PMingLiU"/>
        </w:rPr>
        <w:t xml:space="preserve">orts with the EBNHC as well as </w:t>
      </w:r>
      <w:r w:rsidRPr="00B83CD6">
        <w:rPr>
          <w:rFonts w:eastAsia="PMingLiU"/>
        </w:rPr>
        <w:t>other community health centers to better address respiratory health notably among children in closest proximity to the airport</w:t>
      </w:r>
      <w:r w:rsidRPr="000E2D3E">
        <w:t>.</w:t>
      </w:r>
    </w:p>
    <w:p w:rsidR="00A327E6" w:rsidRPr="00367898" w:rsidRDefault="00A327E6" w:rsidP="0011221D">
      <w:pPr>
        <w:numPr>
          <w:ilvl w:val="0"/>
          <w:numId w:val="14"/>
        </w:numPr>
        <w:spacing w:before="100" w:beforeAutospacing="1" w:after="240" w:line="300" w:lineRule="atLeast"/>
      </w:pPr>
      <w:r>
        <w:t xml:space="preserve">While </w:t>
      </w:r>
      <w:r w:rsidRPr="000E2D3E">
        <w:t>air dispersion modeling indicates that the contribution from Logan Airport operations across the study area is relatively small</w:t>
      </w:r>
      <w:r>
        <w:t>,</w:t>
      </w:r>
      <w:r w:rsidRPr="000E2D3E">
        <w:t xml:space="preserve"> air pollution levels are higher in </w:t>
      </w:r>
      <w:r>
        <w:t>urban areas.  P</w:t>
      </w:r>
      <w:r w:rsidRPr="000E2D3E">
        <w:t>redicted pollutant concentrations were higher near the perimeter of the airport</w:t>
      </w:r>
      <w:r>
        <w:t xml:space="preserve">; thus, </w:t>
      </w:r>
      <w:r w:rsidRPr="000E2D3E">
        <w:t xml:space="preserve">any methods that can be implemented to </w:t>
      </w:r>
      <w:r>
        <w:t xml:space="preserve">continue to </w:t>
      </w:r>
      <w:r w:rsidRPr="000E2D3E">
        <w:t xml:space="preserve">reduce airport-related air pollution should be explored.  </w:t>
      </w:r>
    </w:p>
    <w:p w:rsidR="00A327E6" w:rsidRPr="00367898" w:rsidRDefault="00A327E6" w:rsidP="0011221D">
      <w:pPr>
        <w:numPr>
          <w:ilvl w:val="0"/>
          <w:numId w:val="14"/>
        </w:numPr>
        <w:spacing w:before="100" w:beforeAutospacing="1" w:after="240" w:line="300" w:lineRule="atLeast"/>
      </w:pPr>
      <w:r>
        <w:t>MDPH/BEH should work with c</w:t>
      </w:r>
      <w:r w:rsidRPr="000E2D3E">
        <w:t xml:space="preserve">ommunities within the high exposure area (in whole or in part) on initiatives that would serve to further reduce exacerbation of pre-existing respiratory diseases (e.g., asthma and COPD) among residents.  </w:t>
      </w:r>
    </w:p>
    <w:p w:rsidR="00A327E6" w:rsidRPr="00367898" w:rsidRDefault="00A327E6" w:rsidP="00D42FC1">
      <w:pPr>
        <w:spacing w:before="100" w:beforeAutospacing="1" w:after="240" w:line="300" w:lineRule="atLeast"/>
        <w:ind w:firstLine="720"/>
      </w:pPr>
      <w:r w:rsidRPr="000E2D3E">
        <w:t xml:space="preserve">Specifically: </w:t>
      </w:r>
    </w:p>
    <w:p w:rsidR="00A327E6" w:rsidRPr="00367898" w:rsidRDefault="00A327E6" w:rsidP="00E17A00">
      <w:pPr>
        <w:numPr>
          <w:ilvl w:val="0"/>
          <w:numId w:val="45"/>
        </w:numPr>
        <w:spacing w:before="100" w:beforeAutospacing="1" w:after="240" w:line="300" w:lineRule="atLeast"/>
      </w:pPr>
      <w:r>
        <w:t>M</w:t>
      </w:r>
      <w:r w:rsidRPr="000E2D3E">
        <w:t>DPH/BEH will continue to support MassDEP’s efforts to reduce motor vehicle emissions including implementation of the Low Emissions Vehicle program and diesel engine retrofit initiativ</w:t>
      </w:r>
      <w:r>
        <w:t>es;</w:t>
      </w:r>
    </w:p>
    <w:p w:rsidR="00A327E6" w:rsidRPr="00367898" w:rsidRDefault="00A327E6" w:rsidP="00E17A00">
      <w:pPr>
        <w:numPr>
          <w:ilvl w:val="0"/>
          <w:numId w:val="45"/>
        </w:numPr>
        <w:spacing w:before="100" w:beforeAutospacing="1" w:after="240" w:line="300" w:lineRule="atLeast"/>
      </w:pPr>
      <w:r>
        <w:t>Upon request M</w:t>
      </w:r>
      <w:r w:rsidRPr="000E2D3E">
        <w:t>DPH/BEH</w:t>
      </w:r>
      <w:r>
        <w:t>’s</w:t>
      </w:r>
      <w:r w:rsidRPr="000E2D3E">
        <w:t xml:space="preserve"> Indoor Air Quality (IAQ) Program staff will work with local municipalities to conduct IAQ assessments in schools and public buildings; </w:t>
      </w:r>
    </w:p>
    <w:p w:rsidR="00A327E6" w:rsidRDefault="00A327E6" w:rsidP="00E17A00">
      <w:pPr>
        <w:numPr>
          <w:ilvl w:val="0"/>
          <w:numId w:val="45"/>
        </w:numPr>
        <w:spacing w:before="100" w:beforeAutospacing="1" w:after="240" w:line="300" w:lineRule="atLeast"/>
      </w:pPr>
      <w:r>
        <w:t>Upon request MDPH will work with local officials to address concerns that may be associated with local development initiatives;</w:t>
      </w:r>
    </w:p>
    <w:p w:rsidR="00A327E6" w:rsidRDefault="00A327E6" w:rsidP="00264409">
      <w:pPr>
        <w:numPr>
          <w:ilvl w:val="0"/>
          <w:numId w:val="45"/>
        </w:numPr>
        <w:spacing w:before="100" w:beforeAutospacing="1" w:after="240" w:line="300" w:lineRule="atLeast"/>
      </w:pPr>
      <w:r>
        <w:t>M</w:t>
      </w:r>
      <w:r w:rsidRPr="000E2D3E">
        <w:t>DPH/BEH will collaborate with the</w:t>
      </w:r>
      <w:r>
        <w:t xml:space="preserve"> MDPH Bureau of Community Health and Prevention’s</w:t>
      </w:r>
      <w:r w:rsidRPr="000E2D3E">
        <w:t xml:space="preserve"> Tobacco Cessation and Prevention Program</w:t>
      </w:r>
      <w:r>
        <w:t xml:space="preserve"> on their</w:t>
      </w:r>
      <w:r w:rsidRPr="000E2D3E">
        <w:t xml:space="preserve"> efforts to work with local boards of health and tobacco-free</w:t>
      </w:r>
      <w:r>
        <w:t xml:space="preserve"> community partnerships.  These efforts enforce youth access and secondhand smoking laws and provide educational/outreach resources to support smoke-free workplace and housing programs.  </w:t>
      </w:r>
    </w:p>
    <w:p w:rsidR="00A327E6" w:rsidRPr="009D5E25" w:rsidRDefault="00A327E6" w:rsidP="00D42FC1">
      <w:pPr>
        <w:pStyle w:val="Heading1"/>
        <w:spacing w:before="100" w:beforeAutospacing="1" w:after="100" w:afterAutospacing="1" w:line="240" w:lineRule="auto"/>
        <w:rPr>
          <w:caps w:val="0"/>
          <w:sz w:val="24"/>
          <w:szCs w:val="24"/>
        </w:rPr>
      </w:pPr>
      <w:bookmarkStart w:id="238" w:name="_Toc388543119"/>
      <w:r w:rsidRPr="009D5E25">
        <w:rPr>
          <w:caps w:val="0"/>
          <w:sz w:val="24"/>
          <w:szCs w:val="24"/>
        </w:rPr>
        <w:t>REFERENCES</w:t>
      </w:r>
      <w:bookmarkEnd w:id="238"/>
    </w:p>
    <w:p w:rsidR="00A327E6" w:rsidRDefault="00A327E6" w:rsidP="00D55996">
      <w:pPr>
        <w:spacing w:before="0" w:after="0"/>
        <w:rPr>
          <w:rFonts w:cs="Arial"/>
          <w:color w:val="000000"/>
          <w:szCs w:val="24"/>
        </w:rPr>
      </w:pPr>
      <w:r w:rsidRPr="00D55996">
        <w:rPr>
          <w:rFonts w:cs="Arial"/>
          <w:color w:val="000000"/>
          <w:szCs w:val="24"/>
        </w:rPr>
        <w:t>ACOEM. American College of Occupational and Environmental Medicine. Noise-induced hearing los</w:t>
      </w:r>
      <w:r>
        <w:rPr>
          <w:rFonts w:cs="Arial"/>
          <w:color w:val="000000"/>
          <w:szCs w:val="24"/>
        </w:rPr>
        <w:t>s. October 27, 2002.</w:t>
      </w:r>
    </w:p>
    <w:p w:rsidR="00A327E6" w:rsidRDefault="00A327E6" w:rsidP="00D55996">
      <w:pPr>
        <w:spacing w:before="0" w:after="0"/>
        <w:rPr>
          <w:rFonts w:cs="Arial"/>
          <w:color w:val="000000"/>
          <w:szCs w:val="24"/>
        </w:rPr>
      </w:pPr>
    </w:p>
    <w:p w:rsidR="00A327E6" w:rsidRPr="00D55996" w:rsidRDefault="00A327E6" w:rsidP="00D55996">
      <w:pPr>
        <w:spacing w:before="0" w:after="0"/>
        <w:rPr>
          <w:rFonts w:cs="Arial"/>
          <w:color w:val="000000"/>
          <w:szCs w:val="24"/>
        </w:rPr>
      </w:pPr>
      <w:r>
        <w:rPr>
          <w:rFonts w:cs="Arial"/>
          <w:color w:val="000000"/>
          <w:szCs w:val="24"/>
        </w:rPr>
        <w:t>ACRP. Airport Cooperative Research Program. Guidance for quantifying the contribution of airport emissions to local air quality. Transportation Research Board ACRP Report 71. 2012.</w:t>
      </w:r>
    </w:p>
    <w:p w:rsidR="00A327E6" w:rsidRPr="00D55996" w:rsidRDefault="00A327E6" w:rsidP="00D55996">
      <w:pPr>
        <w:spacing w:before="0" w:after="0"/>
        <w:rPr>
          <w:rFonts w:cs="Arial"/>
          <w:bCs/>
          <w:szCs w:val="24"/>
        </w:rPr>
      </w:pPr>
    </w:p>
    <w:p w:rsidR="00A327E6" w:rsidRPr="00D55996" w:rsidRDefault="00A327E6" w:rsidP="00D55996">
      <w:pPr>
        <w:spacing w:before="0" w:after="0"/>
        <w:rPr>
          <w:rFonts w:cs="Arial"/>
          <w:bCs/>
          <w:szCs w:val="24"/>
        </w:rPr>
      </w:pPr>
      <w:r w:rsidRPr="00D55996">
        <w:rPr>
          <w:rFonts w:cs="Arial"/>
          <w:bCs/>
          <w:szCs w:val="24"/>
        </w:rPr>
        <w:t>Adamkiewicz G, Hsu HH, Vallarino J, Melly SJ, Spengler JD, Levy JI. Nitrogen dioxide concentrations in neighborhoods adjacent to a commercial airport: A land use regression modeling study. Environ Health 2010; 9:73.</w:t>
      </w:r>
    </w:p>
    <w:p w:rsidR="00A327E6" w:rsidRPr="00D55996" w:rsidRDefault="00A327E6" w:rsidP="00D55996">
      <w:pPr>
        <w:spacing w:before="0" w:after="0"/>
        <w:rPr>
          <w:rFonts w:cs="Arial"/>
          <w:color w:val="000000"/>
          <w:szCs w:val="24"/>
        </w:rPr>
      </w:pPr>
    </w:p>
    <w:p w:rsidR="00A327E6" w:rsidRPr="00D55996" w:rsidRDefault="00A327E6" w:rsidP="00122D68">
      <w:pPr>
        <w:spacing w:before="0" w:after="0"/>
        <w:rPr>
          <w:rFonts w:cs="Arial"/>
          <w:bCs/>
          <w:szCs w:val="24"/>
        </w:rPr>
      </w:pPr>
      <w:r w:rsidRPr="00D55996">
        <w:rPr>
          <w:rFonts w:cs="Arial"/>
          <w:bCs/>
          <w:szCs w:val="24"/>
        </w:rPr>
        <w:t>AAPOR. American Association for Public Opinion Research, Standard Definitions: Final Dispositions of Case Codes and Outcome Rates for Surveys. 4th edition. Ann Arbor: AAPOR, 2008.</w:t>
      </w:r>
    </w:p>
    <w:p w:rsidR="00A327E6" w:rsidRDefault="00A327E6" w:rsidP="00D55996">
      <w:pPr>
        <w:spacing w:before="0" w:after="0"/>
        <w:rPr>
          <w:rFonts w:cs="Arial"/>
          <w:bCs/>
          <w:szCs w:val="24"/>
        </w:rPr>
      </w:pPr>
    </w:p>
    <w:p w:rsidR="00A327E6" w:rsidRPr="00D55996" w:rsidRDefault="00A327E6" w:rsidP="00D55996">
      <w:pPr>
        <w:spacing w:before="0" w:after="0"/>
        <w:rPr>
          <w:rFonts w:cs="Arial"/>
          <w:bCs/>
          <w:szCs w:val="24"/>
        </w:rPr>
      </w:pPr>
      <w:r w:rsidRPr="00D55996">
        <w:rPr>
          <w:rFonts w:cs="Arial"/>
          <w:bCs/>
          <w:szCs w:val="24"/>
        </w:rPr>
        <w:t>Anderson HR, Ruggles R, Pandey KD, Kapetanakis V, Brunekreef B, Lai CKW, Strachan DP, Weiland S. Ambient particulate pollution and the world-wide prevalence of asthma, rhinoconjunctivitis, and eczema in children: Phase One of the International Study of Asthma and Allergies in Childhood. Occup Environ Med 2010; 67:293-300.</w:t>
      </w:r>
    </w:p>
    <w:p w:rsidR="00A327E6" w:rsidRPr="00D55996" w:rsidRDefault="00A327E6" w:rsidP="00D55996">
      <w:pPr>
        <w:spacing w:before="0" w:after="0"/>
        <w:rPr>
          <w:rFonts w:cs="Arial"/>
          <w:bCs/>
          <w:szCs w:val="24"/>
        </w:rPr>
      </w:pPr>
    </w:p>
    <w:p w:rsidR="00A327E6" w:rsidRPr="00D55996" w:rsidRDefault="00A327E6" w:rsidP="00D55996">
      <w:pPr>
        <w:spacing w:before="0" w:after="0"/>
        <w:rPr>
          <w:rFonts w:cs="Arial"/>
          <w:bCs/>
          <w:szCs w:val="24"/>
        </w:rPr>
      </w:pPr>
      <w:r w:rsidRPr="00D55996">
        <w:rPr>
          <w:rFonts w:cs="Arial"/>
          <w:bCs/>
          <w:szCs w:val="24"/>
        </w:rPr>
        <w:t>Andersen Z, Hvidberg M, Jensen SS, Ketzel M, Loft S, Sorensen M, Tjonneland A, Overvad K, Raaschou-Nielen O. Chronic obstructive pulmonary disease and long-term exposure to traffic-related air pollution. Am J Respir Crit Care Med 2011; 183:455-61.</w:t>
      </w:r>
    </w:p>
    <w:p w:rsidR="00A327E6" w:rsidRPr="00D55996" w:rsidRDefault="00A327E6" w:rsidP="00D55996">
      <w:pPr>
        <w:spacing w:before="0" w:after="0"/>
        <w:rPr>
          <w:rFonts w:cs="Arial"/>
          <w:color w:val="000000"/>
          <w:szCs w:val="24"/>
        </w:rPr>
      </w:pPr>
    </w:p>
    <w:p w:rsidR="00A327E6" w:rsidRPr="00D55996" w:rsidRDefault="00A327E6" w:rsidP="00D55996">
      <w:pPr>
        <w:spacing w:before="0" w:after="0"/>
        <w:rPr>
          <w:rFonts w:cs="Arial"/>
          <w:color w:val="000000"/>
          <w:szCs w:val="24"/>
        </w:rPr>
      </w:pPr>
      <w:r w:rsidRPr="00D55996">
        <w:rPr>
          <w:rFonts w:cs="Arial"/>
          <w:color w:val="000000"/>
          <w:szCs w:val="24"/>
        </w:rPr>
        <w:t>Anzueto A, Sethi S, Martinez FJ. Exacerbations of chronic obstructive pulmonary disease. Proc Am Thorac Soc 2007; 4:554-64.</w:t>
      </w:r>
    </w:p>
    <w:p w:rsidR="00A327E6" w:rsidRPr="00D55996" w:rsidRDefault="00A327E6" w:rsidP="00D55996">
      <w:pPr>
        <w:spacing w:before="0" w:after="0"/>
        <w:rPr>
          <w:rFonts w:cs="Arial"/>
          <w:bCs/>
          <w:szCs w:val="24"/>
        </w:rPr>
      </w:pPr>
    </w:p>
    <w:p w:rsidR="00A327E6" w:rsidRPr="00D55996" w:rsidRDefault="00A327E6" w:rsidP="00D55996">
      <w:pPr>
        <w:spacing w:before="0" w:after="0"/>
        <w:rPr>
          <w:rFonts w:cs="Arial"/>
          <w:bCs/>
          <w:szCs w:val="24"/>
        </w:rPr>
      </w:pPr>
      <w:r w:rsidRPr="00D55996">
        <w:rPr>
          <w:rFonts w:cs="Arial"/>
          <w:bCs/>
          <w:szCs w:val="24"/>
        </w:rPr>
        <w:t>Atkinson RW, Anderson HR, Strachan DP, Bland JM, Bremner SA, Ponce de Leon A. Short-term associations between outdoor air pollution and visits to accident and emergency departments in London for respiratory complaints. Eur Respir J 1999; 13(2):257-65.</w:t>
      </w:r>
    </w:p>
    <w:p w:rsidR="00A327E6" w:rsidRPr="00D55996" w:rsidRDefault="00A327E6" w:rsidP="00D55996">
      <w:pPr>
        <w:spacing w:before="0" w:after="0"/>
        <w:rPr>
          <w:rFonts w:cs="Arial"/>
          <w:bCs/>
          <w:szCs w:val="24"/>
        </w:rPr>
      </w:pPr>
    </w:p>
    <w:p w:rsidR="00A327E6" w:rsidRPr="00D55996" w:rsidRDefault="00A327E6" w:rsidP="00D55996">
      <w:pPr>
        <w:spacing w:before="0" w:after="0"/>
        <w:rPr>
          <w:rFonts w:cs="Arial"/>
          <w:bCs/>
          <w:szCs w:val="24"/>
        </w:rPr>
      </w:pPr>
      <w:r w:rsidRPr="00D55996">
        <w:rPr>
          <w:rFonts w:cs="Arial"/>
          <w:bCs/>
          <w:szCs w:val="24"/>
        </w:rPr>
        <w:t>Atkinson RW, Carey IM, Kent AJ, van Staa TP, Anderson HR, Cook DG. Long-term exposure to outdoor air pollution and incidence of cardiovascular diseases. Epidemiology 2013; 24(1):44-53.</w:t>
      </w:r>
    </w:p>
    <w:p w:rsidR="00A327E6" w:rsidRPr="00D55996" w:rsidRDefault="00A327E6" w:rsidP="00D55996">
      <w:pPr>
        <w:spacing w:before="0" w:after="0"/>
        <w:rPr>
          <w:rFonts w:cs="Arial"/>
          <w:bCs/>
          <w:szCs w:val="24"/>
        </w:rPr>
      </w:pPr>
    </w:p>
    <w:p w:rsidR="00A327E6" w:rsidRPr="00D55996" w:rsidRDefault="00A327E6" w:rsidP="00D55996">
      <w:pPr>
        <w:spacing w:before="0" w:after="0"/>
        <w:rPr>
          <w:rFonts w:cs="Arial"/>
          <w:bCs/>
          <w:szCs w:val="24"/>
        </w:rPr>
      </w:pPr>
      <w:r w:rsidRPr="00D55996">
        <w:rPr>
          <w:rFonts w:cs="Arial"/>
          <w:bCs/>
          <w:szCs w:val="24"/>
        </w:rPr>
        <w:t>Barnett AG, Williams GM, Schwartz J, Best TL, Neller AH, Petroeschevsky AL, Simpson RW. The effects of air pollution on hospitalizations for cardiovascular disease in elderly people in Australian and New Zealand cities. Environ Health Perspect 2006; 114(7):1018-23.</w:t>
      </w:r>
    </w:p>
    <w:p w:rsidR="00A327E6" w:rsidRDefault="00A327E6" w:rsidP="00D55996">
      <w:pPr>
        <w:spacing w:before="0" w:after="0"/>
        <w:rPr>
          <w:rFonts w:cs="Arial"/>
          <w:bCs/>
          <w:szCs w:val="24"/>
        </w:rPr>
      </w:pPr>
    </w:p>
    <w:p w:rsidR="00A327E6" w:rsidRDefault="00A327E6" w:rsidP="00D55996">
      <w:pPr>
        <w:spacing w:before="0" w:after="0"/>
        <w:rPr>
          <w:rFonts w:cs="Arial"/>
          <w:bCs/>
          <w:szCs w:val="24"/>
        </w:rPr>
      </w:pPr>
      <w:r w:rsidRPr="00D55996">
        <w:rPr>
          <w:rFonts w:cs="Arial"/>
          <w:bCs/>
          <w:szCs w:val="24"/>
        </w:rPr>
        <w:t>Barnett AG, Williams GM, Schwartz J, Neller AH, Best TL, Petroeschevsky AL, Simpson RW. Air pollution and child respiratory health: A case-crossover study in Australia and New Zealand. Am J Respir Crit Care Med 2005; 171(11):1272-8.</w:t>
      </w:r>
    </w:p>
    <w:p w:rsidR="00A327E6" w:rsidRDefault="00A327E6" w:rsidP="00D55996">
      <w:pPr>
        <w:spacing w:before="0" w:after="0"/>
        <w:rPr>
          <w:rFonts w:cs="Arial"/>
          <w:bCs/>
          <w:szCs w:val="24"/>
        </w:rPr>
      </w:pPr>
    </w:p>
    <w:p w:rsidR="00A327E6" w:rsidRPr="00D55996" w:rsidRDefault="00A327E6" w:rsidP="00794BBB">
      <w:pPr>
        <w:spacing w:before="0" w:after="0"/>
        <w:rPr>
          <w:rFonts w:cs="Arial"/>
          <w:bCs/>
          <w:szCs w:val="24"/>
        </w:rPr>
      </w:pPr>
      <w:r w:rsidRPr="00794BBB">
        <w:rPr>
          <w:rFonts w:cs="Arial"/>
          <w:bCs/>
          <w:szCs w:val="24"/>
        </w:rPr>
        <w:t>Blumberg SJ,</w:t>
      </w:r>
      <w:r>
        <w:rPr>
          <w:rFonts w:cs="Arial"/>
          <w:bCs/>
          <w:szCs w:val="24"/>
        </w:rPr>
        <w:t xml:space="preserve"> </w:t>
      </w:r>
      <w:r w:rsidRPr="00794BBB">
        <w:rPr>
          <w:rFonts w:cs="Arial"/>
          <w:bCs/>
          <w:szCs w:val="24"/>
        </w:rPr>
        <w:t>Luke JV.</w:t>
      </w:r>
      <w:r>
        <w:rPr>
          <w:rFonts w:cs="Arial"/>
          <w:bCs/>
          <w:szCs w:val="24"/>
        </w:rPr>
        <w:t xml:space="preserve"> </w:t>
      </w:r>
      <w:r w:rsidRPr="00794BBB">
        <w:rPr>
          <w:rFonts w:cs="Arial"/>
          <w:bCs/>
          <w:szCs w:val="24"/>
        </w:rPr>
        <w:t>Wireless</w:t>
      </w:r>
      <w:r>
        <w:rPr>
          <w:rFonts w:cs="Arial"/>
          <w:bCs/>
          <w:szCs w:val="24"/>
        </w:rPr>
        <w:t xml:space="preserve"> s</w:t>
      </w:r>
      <w:r w:rsidRPr="00794BBB">
        <w:rPr>
          <w:rFonts w:cs="Arial"/>
          <w:bCs/>
          <w:szCs w:val="24"/>
        </w:rPr>
        <w:t>u</w:t>
      </w:r>
      <w:r>
        <w:rPr>
          <w:rFonts w:cs="Arial"/>
          <w:bCs/>
          <w:szCs w:val="24"/>
        </w:rPr>
        <w:t xml:space="preserve">bstitution: Early release of estimates </w:t>
      </w:r>
      <w:r w:rsidRPr="00794BBB">
        <w:rPr>
          <w:rFonts w:cs="Arial"/>
          <w:bCs/>
          <w:szCs w:val="24"/>
        </w:rPr>
        <w:t>b</w:t>
      </w:r>
      <w:r>
        <w:rPr>
          <w:rFonts w:cs="Arial"/>
          <w:bCs/>
          <w:szCs w:val="24"/>
        </w:rPr>
        <w:t xml:space="preserve">ased on data from the National Health </w:t>
      </w:r>
      <w:r w:rsidRPr="00794BBB">
        <w:rPr>
          <w:rFonts w:cs="Arial"/>
          <w:bCs/>
          <w:szCs w:val="24"/>
        </w:rPr>
        <w:t>In</w:t>
      </w:r>
      <w:r>
        <w:rPr>
          <w:rFonts w:cs="Arial"/>
          <w:bCs/>
          <w:szCs w:val="24"/>
        </w:rPr>
        <w:t>terview Survey, July – December 2006</w:t>
      </w:r>
      <w:r w:rsidRPr="00794BBB">
        <w:rPr>
          <w:rFonts w:cs="Arial"/>
          <w:bCs/>
          <w:szCs w:val="24"/>
        </w:rPr>
        <w:t>. Nation</w:t>
      </w:r>
      <w:r>
        <w:rPr>
          <w:rFonts w:cs="Arial"/>
          <w:bCs/>
          <w:szCs w:val="24"/>
        </w:rPr>
        <w:t xml:space="preserve">al Center for Health Statistics. </w:t>
      </w:r>
      <w:r w:rsidRPr="00794BBB">
        <w:rPr>
          <w:rFonts w:cs="Arial"/>
          <w:bCs/>
          <w:szCs w:val="24"/>
        </w:rPr>
        <w:t>2007.</w:t>
      </w:r>
    </w:p>
    <w:p w:rsidR="00A327E6" w:rsidRPr="00D55996" w:rsidRDefault="00A327E6" w:rsidP="00D55996">
      <w:pPr>
        <w:spacing w:before="0" w:after="0"/>
        <w:rPr>
          <w:rFonts w:cs="Arial"/>
          <w:bCs/>
          <w:szCs w:val="24"/>
        </w:rPr>
      </w:pPr>
    </w:p>
    <w:p w:rsidR="00A327E6" w:rsidRPr="00D55996" w:rsidRDefault="00A327E6" w:rsidP="00D55996">
      <w:pPr>
        <w:spacing w:before="0" w:after="0"/>
        <w:rPr>
          <w:rFonts w:cs="Arial"/>
          <w:bCs/>
          <w:szCs w:val="24"/>
        </w:rPr>
      </w:pPr>
      <w:r w:rsidRPr="00D55996">
        <w:rPr>
          <w:rFonts w:cs="Arial"/>
          <w:bCs/>
          <w:szCs w:val="24"/>
        </w:rPr>
        <w:t>Bråbäck L, Forsberg B. Does traffic exhaust contribute to the development of asthma and allergic sensitization in children: Findings from recent cohort studies. Environ Health 2009; 16:8-17.</w:t>
      </w:r>
    </w:p>
    <w:p w:rsidR="00A327E6" w:rsidRPr="00D55996" w:rsidRDefault="00A327E6" w:rsidP="00D55996">
      <w:pPr>
        <w:spacing w:before="0" w:after="0"/>
        <w:rPr>
          <w:rFonts w:cs="Arial"/>
          <w:color w:val="000000"/>
          <w:szCs w:val="24"/>
        </w:rPr>
      </w:pPr>
    </w:p>
    <w:p w:rsidR="00A327E6" w:rsidRPr="00D55996" w:rsidRDefault="00A327E6" w:rsidP="00D55996">
      <w:pPr>
        <w:spacing w:before="0" w:after="0"/>
        <w:rPr>
          <w:rFonts w:cs="Arial"/>
          <w:color w:val="000000"/>
          <w:szCs w:val="24"/>
        </w:rPr>
      </w:pPr>
      <w:r w:rsidRPr="00D55996">
        <w:rPr>
          <w:rFonts w:cs="Arial"/>
          <w:color w:val="000000"/>
          <w:szCs w:val="24"/>
        </w:rPr>
        <w:t>BRFSS, 2003. Behavioral Risk Factor Surveillance System. Massachusetts Department of Public Health, Health Survey Program. A Profile of Health Am</w:t>
      </w:r>
      <w:r>
        <w:rPr>
          <w:rFonts w:cs="Arial"/>
          <w:color w:val="000000"/>
          <w:szCs w:val="24"/>
        </w:rPr>
        <w:t>ong Massachusetts Adults, 2003.</w:t>
      </w:r>
    </w:p>
    <w:p w:rsidR="00A327E6" w:rsidRPr="00D55996" w:rsidRDefault="00A327E6" w:rsidP="00D55996">
      <w:pPr>
        <w:spacing w:before="0" w:after="0"/>
        <w:rPr>
          <w:rFonts w:cs="Arial"/>
          <w:bCs/>
          <w:szCs w:val="24"/>
        </w:rPr>
      </w:pPr>
    </w:p>
    <w:p w:rsidR="00A327E6" w:rsidRPr="00D55996" w:rsidRDefault="00A327E6" w:rsidP="00D55996">
      <w:pPr>
        <w:spacing w:before="0" w:after="0"/>
        <w:rPr>
          <w:rFonts w:cs="Arial"/>
          <w:bCs/>
          <w:szCs w:val="24"/>
        </w:rPr>
      </w:pPr>
      <w:r w:rsidRPr="00D55996">
        <w:rPr>
          <w:rFonts w:cs="Arial"/>
          <w:bCs/>
          <w:szCs w:val="24"/>
        </w:rPr>
        <w:t>Brick JM, Montaquila J, Scheuren F. Estimating residency rates for undetermined telephone numbers. Public Opinion Quarterly 2002; 66(1):18-39.</w:t>
      </w:r>
    </w:p>
    <w:p w:rsidR="00A327E6" w:rsidRPr="00D55996" w:rsidRDefault="00A327E6" w:rsidP="00D55996">
      <w:pPr>
        <w:spacing w:before="0" w:after="0"/>
        <w:rPr>
          <w:rFonts w:cs="Arial"/>
          <w:color w:val="000000"/>
          <w:szCs w:val="24"/>
        </w:rPr>
      </w:pPr>
    </w:p>
    <w:p w:rsidR="00A327E6" w:rsidRPr="00D55996" w:rsidRDefault="00A327E6" w:rsidP="00D55996">
      <w:pPr>
        <w:spacing w:before="0" w:after="0"/>
        <w:rPr>
          <w:rFonts w:cs="Arial"/>
          <w:color w:val="000000"/>
          <w:szCs w:val="24"/>
        </w:rPr>
      </w:pPr>
      <w:r w:rsidRPr="00D55996">
        <w:rPr>
          <w:rFonts w:cs="Arial"/>
          <w:color w:val="000000"/>
          <w:szCs w:val="24"/>
        </w:rPr>
        <w:t>Brook RD, Franklin B, Cascio W, Hong Y, Howard G, Lipsett M, Luepker R, Mittleman M. Air pollution and cardiovascular disease: A statement for healthcare professionals from the expert panel on population and prevention science of the American Heart Association. Circulation 2004; 109:2655-71.</w:t>
      </w:r>
    </w:p>
    <w:p w:rsidR="00A327E6" w:rsidRPr="00D55996" w:rsidRDefault="00A327E6" w:rsidP="00D55996">
      <w:pPr>
        <w:autoSpaceDE w:val="0"/>
        <w:autoSpaceDN w:val="0"/>
        <w:adjustRightInd w:val="0"/>
        <w:spacing w:before="0" w:after="0"/>
        <w:rPr>
          <w:rFonts w:cs="Arial"/>
          <w:color w:val="000000"/>
          <w:szCs w:val="24"/>
        </w:rPr>
      </w:pPr>
    </w:p>
    <w:p w:rsidR="00A327E6" w:rsidRPr="00D55996" w:rsidRDefault="00A327E6" w:rsidP="00D55996">
      <w:pPr>
        <w:spacing w:before="0" w:after="0"/>
        <w:rPr>
          <w:rFonts w:cs="Arial"/>
          <w:color w:val="000000"/>
          <w:szCs w:val="24"/>
        </w:rPr>
      </w:pPr>
      <w:r w:rsidRPr="00D55996">
        <w:rPr>
          <w:rFonts w:cs="Arial"/>
          <w:color w:val="000000"/>
          <w:szCs w:val="24"/>
        </w:rPr>
        <w:t xml:space="preserve">Brunekreef B, Janssen NA, de Hartog J, Harssema H, Knape M, van Vliet P. Air pollution from truck traffic and lung function in children living near motorways. Epidemiology 1997; 8(3):298-303. </w:t>
      </w:r>
    </w:p>
    <w:p w:rsidR="00A327E6" w:rsidRPr="00D55996" w:rsidRDefault="00A327E6" w:rsidP="00D55996">
      <w:pPr>
        <w:spacing w:before="0" w:after="0"/>
        <w:rPr>
          <w:rFonts w:cs="Arial"/>
          <w:color w:val="000000"/>
          <w:szCs w:val="24"/>
        </w:rPr>
      </w:pPr>
    </w:p>
    <w:p w:rsidR="00A327E6" w:rsidRPr="00D55996" w:rsidRDefault="00A327E6" w:rsidP="00D55996">
      <w:pPr>
        <w:spacing w:before="0" w:after="0"/>
        <w:rPr>
          <w:rFonts w:cs="Arial"/>
          <w:color w:val="000000"/>
          <w:szCs w:val="24"/>
        </w:rPr>
      </w:pPr>
      <w:r w:rsidRPr="00D55996">
        <w:rPr>
          <w:rFonts w:cs="Arial"/>
          <w:color w:val="000000"/>
          <w:szCs w:val="24"/>
        </w:rPr>
        <w:t xml:space="preserve">CDC, 2006. Centers for Disease Control and Prevention. Behavioral Risk Factor Surveillance System. Operational and User’s Guide. Version 3.0. December 12, 2006. Accessed from </w:t>
      </w:r>
      <w:hyperlink r:id="rId31" w:history="1">
        <w:r w:rsidRPr="00D55996">
          <w:rPr>
            <w:rStyle w:val="Hyperlink"/>
            <w:rFonts w:cs="Arial"/>
            <w:color w:val="000000"/>
            <w:szCs w:val="24"/>
          </w:rPr>
          <w:t>http://www.cdc.gov/brfss/training/index.htm</w:t>
        </w:r>
      </w:hyperlink>
      <w:r w:rsidRPr="00D55996">
        <w:rPr>
          <w:rFonts w:cs="Arial"/>
          <w:color w:val="000000"/>
          <w:szCs w:val="24"/>
        </w:rPr>
        <w:t xml:space="preserve"> </w:t>
      </w:r>
    </w:p>
    <w:p w:rsidR="00A327E6" w:rsidRPr="00D55996" w:rsidRDefault="00A327E6" w:rsidP="00D55996">
      <w:pPr>
        <w:spacing w:before="0" w:after="0"/>
        <w:rPr>
          <w:rFonts w:cs="Arial"/>
          <w:bCs/>
          <w:szCs w:val="24"/>
        </w:rPr>
      </w:pPr>
    </w:p>
    <w:p w:rsidR="00A327E6" w:rsidRPr="00D55996" w:rsidRDefault="00A327E6" w:rsidP="00D55996">
      <w:pPr>
        <w:spacing w:before="0" w:after="0"/>
        <w:rPr>
          <w:rFonts w:cs="Arial"/>
          <w:color w:val="000000"/>
          <w:szCs w:val="24"/>
        </w:rPr>
      </w:pPr>
      <w:r w:rsidRPr="00D55996">
        <w:rPr>
          <w:rFonts w:cs="Arial"/>
          <w:color w:val="000000"/>
          <w:szCs w:val="24"/>
        </w:rPr>
        <w:t>Chauhan AJ, Inskip HM, Linaker CH, Smith S, Schreiber J, Johnston SL, Holgate ST. Personal exposure to nitrogen dioxide (NO</w:t>
      </w:r>
      <w:r w:rsidRPr="00D55996">
        <w:rPr>
          <w:rFonts w:cs="Arial"/>
          <w:color w:val="000000"/>
          <w:szCs w:val="24"/>
          <w:vertAlign w:val="subscript"/>
        </w:rPr>
        <w:t>2</w:t>
      </w:r>
      <w:r w:rsidRPr="00D55996">
        <w:rPr>
          <w:rFonts w:cs="Arial"/>
          <w:color w:val="000000"/>
          <w:szCs w:val="24"/>
        </w:rPr>
        <w:t>) and the severity of virus-induced asthma in children. Lancet 2003; 361(9373):1939-44.</w:t>
      </w:r>
    </w:p>
    <w:p w:rsidR="00A327E6" w:rsidRDefault="00A327E6" w:rsidP="00D55996">
      <w:pPr>
        <w:spacing w:before="0" w:after="0"/>
        <w:rPr>
          <w:rFonts w:cs="Arial"/>
          <w:color w:val="000000"/>
          <w:szCs w:val="24"/>
        </w:rPr>
      </w:pPr>
    </w:p>
    <w:p w:rsidR="00A327E6" w:rsidRPr="00D55996" w:rsidRDefault="00A327E6" w:rsidP="00D55996">
      <w:pPr>
        <w:spacing w:before="0" w:after="0"/>
        <w:rPr>
          <w:rFonts w:cs="Arial"/>
          <w:color w:val="000000"/>
          <w:szCs w:val="24"/>
        </w:rPr>
      </w:pPr>
      <w:r w:rsidRPr="00D55996">
        <w:rPr>
          <w:rFonts w:cs="Arial"/>
          <w:color w:val="000000"/>
          <w:szCs w:val="24"/>
        </w:rPr>
        <w:t>Chen TJ, Chen SS. Effects of aircraft noise on hearing and auditory pathway function of school-age children. Int Arch Occup Environ Health 1993; 65(2):107-11.</w:t>
      </w:r>
    </w:p>
    <w:p w:rsidR="00A327E6" w:rsidRPr="00D55996" w:rsidRDefault="00A327E6" w:rsidP="00D55996">
      <w:pPr>
        <w:spacing w:before="0" w:after="0"/>
        <w:rPr>
          <w:rFonts w:cs="Arial"/>
          <w:color w:val="000000"/>
          <w:szCs w:val="24"/>
        </w:rPr>
      </w:pPr>
    </w:p>
    <w:p w:rsidR="00A327E6" w:rsidRPr="00D55996" w:rsidRDefault="00A327E6" w:rsidP="00D55996">
      <w:pPr>
        <w:spacing w:before="0" w:after="0"/>
        <w:rPr>
          <w:rFonts w:cs="Arial"/>
          <w:color w:val="000000"/>
          <w:szCs w:val="24"/>
        </w:rPr>
      </w:pPr>
      <w:r w:rsidRPr="00D55996">
        <w:rPr>
          <w:rFonts w:cs="Arial"/>
          <w:color w:val="000000"/>
          <w:szCs w:val="24"/>
          <w:lang w:val="de-DE"/>
        </w:rPr>
        <w:t xml:space="preserve">Chen TJ, Chen SS, Hseih PY, Chiang HC. </w:t>
      </w:r>
      <w:r w:rsidRPr="00D55996">
        <w:rPr>
          <w:rFonts w:cs="Arial"/>
          <w:color w:val="000000"/>
          <w:szCs w:val="24"/>
        </w:rPr>
        <w:t xml:space="preserve">Auditory effects of aircraft noise on people living near an airport. Arch Environ Health </w:t>
      </w:r>
      <w:r w:rsidRPr="00D55996">
        <w:rPr>
          <w:rFonts w:cs="Arial"/>
          <w:color w:val="000000"/>
          <w:szCs w:val="24"/>
          <w:lang w:val="de-DE"/>
        </w:rPr>
        <w:t>1997</w:t>
      </w:r>
      <w:r w:rsidRPr="00D55996">
        <w:rPr>
          <w:rFonts w:cs="Arial"/>
          <w:color w:val="000000"/>
          <w:szCs w:val="24"/>
        </w:rPr>
        <w:t>; 52(1):45-50.</w:t>
      </w:r>
    </w:p>
    <w:p w:rsidR="00A327E6" w:rsidRPr="00D55996" w:rsidRDefault="00A327E6" w:rsidP="00D55996">
      <w:pPr>
        <w:spacing w:before="0" w:after="0"/>
        <w:rPr>
          <w:rFonts w:cs="Arial"/>
          <w:color w:val="000000"/>
          <w:szCs w:val="24"/>
        </w:rPr>
      </w:pPr>
    </w:p>
    <w:p w:rsidR="00A327E6" w:rsidRPr="00D55996" w:rsidRDefault="00A327E6" w:rsidP="00D55996">
      <w:pPr>
        <w:spacing w:before="0" w:after="0"/>
        <w:rPr>
          <w:rFonts w:cs="Arial"/>
          <w:color w:val="000000"/>
          <w:szCs w:val="24"/>
        </w:rPr>
      </w:pPr>
      <w:r w:rsidRPr="00D55996">
        <w:rPr>
          <w:rFonts w:cs="Arial"/>
          <w:color w:val="000000"/>
          <w:szCs w:val="24"/>
        </w:rPr>
        <w:t>Chuang KJ, Chan CC, Su TC, Lee CT, Tang CS. The effect of urban air pollution on inflammation, oxidative stress, coagulation, and autonomic dysfunction in young adults. Am J Respir Crit Care Med 2007; 176:370-6.</w:t>
      </w:r>
    </w:p>
    <w:p w:rsidR="00A327E6" w:rsidRPr="00D55996" w:rsidRDefault="00A327E6" w:rsidP="00D55996">
      <w:pPr>
        <w:spacing w:before="0" w:after="0"/>
        <w:rPr>
          <w:rFonts w:cs="Arial"/>
          <w:bCs/>
          <w:szCs w:val="24"/>
        </w:rPr>
      </w:pPr>
    </w:p>
    <w:p w:rsidR="00A327E6" w:rsidRPr="00D55996" w:rsidRDefault="00A327E6" w:rsidP="00D55996">
      <w:pPr>
        <w:spacing w:before="0" w:after="0"/>
        <w:rPr>
          <w:rFonts w:cs="Arial"/>
          <w:bCs/>
          <w:szCs w:val="24"/>
        </w:rPr>
      </w:pPr>
      <w:r w:rsidRPr="00D55996">
        <w:rPr>
          <w:rFonts w:cs="Arial"/>
          <w:bCs/>
          <w:szCs w:val="24"/>
        </w:rPr>
        <w:t>Clougherty JE, Levy JI, Kubzansky LD, Ryan PB, Suglia SF, Canner MJ, Wright RJ. Synergistic effects of traffic-related air pollution and exposure to violence on urban asthma etiology. Environ Health Perspect 2007; 115(8):1140-6.</w:t>
      </w:r>
    </w:p>
    <w:p w:rsidR="00A327E6" w:rsidRPr="00D55996" w:rsidRDefault="00A327E6" w:rsidP="00D55996">
      <w:pPr>
        <w:spacing w:before="0" w:after="0"/>
        <w:rPr>
          <w:rFonts w:cs="Arial"/>
          <w:bCs/>
          <w:szCs w:val="24"/>
        </w:rPr>
      </w:pPr>
    </w:p>
    <w:p w:rsidR="00A327E6" w:rsidRPr="00D55996" w:rsidRDefault="00A327E6" w:rsidP="00D55996">
      <w:pPr>
        <w:spacing w:before="0" w:after="0"/>
        <w:rPr>
          <w:rFonts w:cs="Arial"/>
          <w:bCs/>
          <w:szCs w:val="24"/>
        </w:rPr>
      </w:pPr>
      <w:r w:rsidRPr="00D55996">
        <w:rPr>
          <w:rFonts w:cs="Arial"/>
          <w:bCs/>
          <w:szCs w:val="24"/>
        </w:rPr>
        <w:t xml:space="preserve">Cohen AJ, Anderson HR, Ostro B, Pandey KD, Krzyzanowski M, Künzli N, Gutschmidt K, Pope CA 3rd, Romieu I, Samet JM, Smith KR. Urban air pollution (Chapter 17). In WHO Comparative Quantification of Health Risks. Global and Regional Burden of Disease Attribution to Selected Major Risk Factors. </w:t>
      </w:r>
      <w:hyperlink r:id="rId32" w:history="1">
        <w:r w:rsidRPr="00D55996">
          <w:rPr>
            <w:rStyle w:val="Hyperlink"/>
            <w:rFonts w:cs="Arial"/>
            <w:bCs/>
            <w:szCs w:val="24"/>
          </w:rPr>
          <w:t>http://www.who.int/publications/cra/chapters/volume2/part2/en/index.html</w:t>
        </w:r>
      </w:hyperlink>
    </w:p>
    <w:p w:rsidR="00A327E6" w:rsidRPr="00D55996" w:rsidRDefault="00A327E6" w:rsidP="00D55996">
      <w:pPr>
        <w:spacing w:before="0" w:after="0"/>
        <w:rPr>
          <w:rFonts w:cs="Arial"/>
          <w:bCs/>
          <w:szCs w:val="24"/>
        </w:rPr>
      </w:pPr>
    </w:p>
    <w:p w:rsidR="00A327E6" w:rsidRPr="00D55996" w:rsidRDefault="00A327E6" w:rsidP="00D55996">
      <w:pPr>
        <w:spacing w:before="0" w:after="0"/>
        <w:rPr>
          <w:rFonts w:cs="Arial"/>
          <w:bCs/>
          <w:szCs w:val="24"/>
        </w:rPr>
      </w:pPr>
      <w:r w:rsidRPr="00D55996">
        <w:rPr>
          <w:rFonts w:cs="Arial"/>
          <w:bCs/>
          <w:szCs w:val="24"/>
        </w:rPr>
        <w:t>Corburn J, Osleeb J, Porter M. Urban asthma and the neighbourhood environment in New York City. Health Place 2006; 12(2):167-79.</w:t>
      </w:r>
    </w:p>
    <w:p w:rsidR="00A327E6" w:rsidRDefault="00A327E6" w:rsidP="00D55996">
      <w:pPr>
        <w:spacing w:before="0" w:after="0"/>
        <w:rPr>
          <w:rFonts w:cs="Arial"/>
          <w:bCs/>
          <w:szCs w:val="24"/>
        </w:rPr>
      </w:pPr>
    </w:p>
    <w:p w:rsidR="00A327E6" w:rsidRPr="005960D8" w:rsidRDefault="00A327E6" w:rsidP="00122D68">
      <w:pPr>
        <w:pStyle w:val="desc2"/>
        <w:shd w:val="clear" w:color="auto" w:fill="FFFFFF"/>
        <w:rPr>
          <w:rFonts w:ascii="Cambria" w:hAnsi="Cambria" w:cs="Arial"/>
          <w:sz w:val="24"/>
          <w:szCs w:val="24"/>
        </w:rPr>
      </w:pPr>
      <w:r w:rsidRPr="005960D8">
        <w:rPr>
          <w:rFonts w:ascii="Cambria" w:hAnsi="Cambria" w:cs="Arial"/>
          <w:bCs/>
          <w:sz w:val="24"/>
          <w:szCs w:val="24"/>
        </w:rPr>
        <w:t>Correia AW</w:t>
      </w:r>
      <w:r w:rsidRPr="005960D8">
        <w:rPr>
          <w:rFonts w:ascii="Cambria" w:hAnsi="Cambria" w:cs="Arial"/>
          <w:sz w:val="24"/>
          <w:szCs w:val="24"/>
        </w:rPr>
        <w:t>, Peters JL, Levy JI, Melly S, Dominici F.</w:t>
      </w:r>
      <w:r>
        <w:rPr>
          <w:rFonts w:ascii="Cambria" w:hAnsi="Cambria" w:cs="Arial"/>
          <w:sz w:val="24"/>
          <w:szCs w:val="24"/>
        </w:rPr>
        <w:t xml:space="preserve"> </w:t>
      </w:r>
      <w:r w:rsidRPr="005960D8">
        <w:rPr>
          <w:rFonts w:ascii="Cambria" w:hAnsi="Cambria" w:cs="Arial"/>
          <w:bCs/>
          <w:sz w:val="24"/>
          <w:szCs w:val="24"/>
        </w:rPr>
        <w:t>Residential exposure to aircraft noise and hospital admissions for cardiovascular diseases: multi-airport retrospective study.</w:t>
      </w:r>
      <w:r>
        <w:rPr>
          <w:rFonts w:ascii="Cambria" w:hAnsi="Cambria" w:cs="Arial"/>
          <w:bCs/>
          <w:sz w:val="24"/>
          <w:szCs w:val="24"/>
        </w:rPr>
        <w:t xml:space="preserve"> </w:t>
      </w:r>
    </w:p>
    <w:p w:rsidR="00A327E6" w:rsidRPr="005960D8" w:rsidRDefault="00A327E6" w:rsidP="00122D68">
      <w:pPr>
        <w:pStyle w:val="details1"/>
        <w:shd w:val="clear" w:color="auto" w:fill="FFFFFF"/>
        <w:rPr>
          <w:rFonts w:ascii="Cambria" w:hAnsi="Cambria" w:cs="Arial"/>
          <w:sz w:val="24"/>
          <w:szCs w:val="24"/>
        </w:rPr>
      </w:pPr>
      <w:r w:rsidRPr="005960D8">
        <w:rPr>
          <w:rStyle w:val="jrnl"/>
          <w:rFonts w:ascii="Cambria" w:hAnsi="Cambria" w:cs="Arial"/>
          <w:sz w:val="24"/>
          <w:szCs w:val="24"/>
        </w:rPr>
        <w:t>BMJ</w:t>
      </w:r>
      <w:r w:rsidRPr="005960D8">
        <w:rPr>
          <w:rFonts w:ascii="Cambria" w:hAnsi="Cambria" w:cs="Arial"/>
          <w:sz w:val="24"/>
          <w:szCs w:val="24"/>
        </w:rPr>
        <w:t>. 2013 Oct 8;347:f5561</w:t>
      </w:r>
      <w:r>
        <w:rPr>
          <w:rFonts w:ascii="Cambria" w:hAnsi="Cambria" w:cs="Arial"/>
          <w:sz w:val="24"/>
          <w:szCs w:val="24"/>
        </w:rPr>
        <w:t>.</w:t>
      </w:r>
    </w:p>
    <w:p w:rsidR="00A327E6" w:rsidRPr="00D55996" w:rsidRDefault="00A327E6" w:rsidP="00D55996">
      <w:pPr>
        <w:spacing w:before="0" w:after="0"/>
        <w:rPr>
          <w:rFonts w:cs="Arial"/>
          <w:bCs/>
          <w:szCs w:val="24"/>
        </w:rPr>
      </w:pPr>
    </w:p>
    <w:p w:rsidR="00A327E6" w:rsidRPr="00D55996" w:rsidRDefault="00A327E6" w:rsidP="00D55996">
      <w:pPr>
        <w:spacing w:before="0" w:after="0"/>
        <w:rPr>
          <w:rFonts w:cs="Arial"/>
          <w:bCs/>
          <w:szCs w:val="24"/>
        </w:rPr>
      </w:pPr>
      <w:r w:rsidRPr="00D55996">
        <w:rPr>
          <w:rFonts w:cs="Arial"/>
          <w:bCs/>
          <w:szCs w:val="24"/>
        </w:rPr>
        <w:t>Curtin R, Presser S, Singer E. The effects of response rate changes on the index of consumer sentiment. Public Opinion Quarterly 2000; 64(4):413-28.</w:t>
      </w:r>
    </w:p>
    <w:p w:rsidR="00A327E6" w:rsidRPr="00D55996" w:rsidRDefault="00A327E6" w:rsidP="00D55996">
      <w:pPr>
        <w:spacing w:before="0" w:after="0"/>
        <w:rPr>
          <w:rFonts w:cs="Arial"/>
          <w:bCs/>
          <w:szCs w:val="24"/>
        </w:rPr>
      </w:pPr>
    </w:p>
    <w:p w:rsidR="00A327E6" w:rsidRPr="00D55996" w:rsidRDefault="00A327E6" w:rsidP="00D55996">
      <w:pPr>
        <w:spacing w:before="0" w:after="0"/>
        <w:rPr>
          <w:rFonts w:cs="Arial"/>
          <w:bCs/>
          <w:szCs w:val="24"/>
        </w:rPr>
      </w:pPr>
      <w:r w:rsidRPr="00D55996">
        <w:rPr>
          <w:rFonts w:cs="Arial"/>
          <w:bCs/>
          <w:szCs w:val="24"/>
        </w:rPr>
        <w:t>Curtin R, Presser S, Singer E. Changes in telephone survey nonresponse over the past quarter century. Public Opinion Quarterly 2005; 69(1):87-98.</w:t>
      </w:r>
    </w:p>
    <w:p w:rsidR="00A327E6" w:rsidRPr="00D55996" w:rsidRDefault="00A327E6" w:rsidP="00D55996">
      <w:pPr>
        <w:spacing w:before="0" w:after="0"/>
        <w:rPr>
          <w:rFonts w:cs="Arial"/>
          <w:bCs/>
          <w:szCs w:val="24"/>
        </w:rPr>
      </w:pPr>
    </w:p>
    <w:p w:rsidR="00A327E6" w:rsidRPr="00D55996" w:rsidRDefault="00A327E6" w:rsidP="00D55996">
      <w:pPr>
        <w:spacing w:before="0" w:after="0"/>
        <w:rPr>
          <w:rFonts w:cs="Arial"/>
          <w:bCs/>
          <w:szCs w:val="24"/>
        </w:rPr>
      </w:pPr>
      <w:r w:rsidRPr="00D55996">
        <w:rPr>
          <w:rFonts w:cs="Arial"/>
          <w:bCs/>
          <w:szCs w:val="24"/>
        </w:rPr>
        <w:t>Davern M, McAlpine D, Beebe TJ, Ziegenfuss J, Rockwood T, Call KT. Are lower response rates hazardous to your health survey? An analysis of three state telephone health surveys. Health Services Research 2010; 45(5p1):1324-44.</w:t>
      </w:r>
    </w:p>
    <w:p w:rsidR="00A327E6" w:rsidRPr="00D55996" w:rsidRDefault="00A327E6" w:rsidP="00D55996">
      <w:pPr>
        <w:autoSpaceDE w:val="0"/>
        <w:autoSpaceDN w:val="0"/>
        <w:adjustRightInd w:val="0"/>
        <w:spacing w:before="0" w:after="0"/>
        <w:rPr>
          <w:rFonts w:cs="Arial"/>
          <w:color w:val="000000"/>
          <w:szCs w:val="24"/>
        </w:rPr>
      </w:pPr>
    </w:p>
    <w:p w:rsidR="00A327E6" w:rsidRPr="00D55996" w:rsidRDefault="00A327E6" w:rsidP="00D55996">
      <w:pPr>
        <w:autoSpaceDE w:val="0"/>
        <w:autoSpaceDN w:val="0"/>
        <w:adjustRightInd w:val="0"/>
        <w:spacing w:before="0" w:after="0"/>
        <w:rPr>
          <w:rFonts w:cs="Arial"/>
          <w:color w:val="000000"/>
          <w:szCs w:val="24"/>
        </w:rPr>
      </w:pPr>
      <w:r w:rsidRPr="00D55996">
        <w:rPr>
          <w:rFonts w:cs="Arial"/>
          <w:color w:val="000000"/>
          <w:szCs w:val="24"/>
        </w:rPr>
        <w:t>Delfino RJ, Sioutas C, Malik S. Potential role of ultrafine particles in associations between airborne particle mass and cardiovascular health. Environ Health Perspect 2005; 113(8):934-46.</w:t>
      </w:r>
    </w:p>
    <w:p w:rsidR="00A327E6" w:rsidRPr="00D55996" w:rsidRDefault="00A327E6" w:rsidP="00D55996">
      <w:pPr>
        <w:autoSpaceDE w:val="0"/>
        <w:autoSpaceDN w:val="0"/>
        <w:adjustRightInd w:val="0"/>
        <w:spacing w:before="0" w:after="0"/>
        <w:rPr>
          <w:rFonts w:cs="Arial"/>
          <w:color w:val="000000"/>
          <w:szCs w:val="24"/>
        </w:rPr>
      </w:pPr>
    </w:p>
    <w:p w:rsidR="00A327E6" w:rsidRPr="00D55996" w:rsidRDefault="00A327E6" w:rsidP="00D55996">
      <w:pPr>
        <w:autoSpaceDE w:val="0"/>
        <w:autoSpaceDN w:val="0"/>
        <w:adjustRightInd w:val="0"/>
        <w:spacing w:before="0" w:after="0"/>
        <w:rPr>
          <w:rFonts w:cs="Univers LT Std 57 Cn"/>
          <w:color w:val="000000"/>
          <w:szCs w:val="24"/>
        </w:rPr>
      </w:pPr>
      <w:r w:rsidRPr="00D55996">
        <w:rPr>
          <w:rFonts w:cs="Univers LT Std 57 Cn"/>
          <w:color w:val="000000"/>
          <w:szCs w:val="24"/>
        </w:rPr>
        <w:t>Dockery DW, Pope CA 3rd, Xu X, Spengler JD, Ware JH, Fay ME, Ferris BG Jr, Speizer FE. An association between air pollution and mortal</w:t>
      </w:r>
      <w:r w:rsidRPr="00D55996">
        <w:rPr>
          <w:rFonts w:cs="Univers LT Std 57 Cn"/>
          <w:color w:val="000000"/>
          <w:szCs w:val="24"/>
        </w:rPr>
        <w:softHyphen/>
        <w:t>ity in six U.S. cities. N Engl J Med 1993; 329(24):1753–59.</w:t>
      </w:r>
    </w:p>
    <w:p w:rsidR="00A327E6" w:rsidRPr="00D55996" w:rsidRDefault="00A327E6" w:rsidP="00D55996">
      <w:pPr>
        <w:autoSpaceDE w:val="0"/>
        <w:autoSpaceDN w:val="0"/>
        <w:adjustRightInd w:val="0"/>
        <w:spacing w:before="0" w:after="0"/>
        <w:rPr>
          <w:rFonts w:cs="Univers LT Std 57 Cn"/>
          <w:color w:val="000000"/>
          <w:szCs w:val="24"/>
        </w:rPr>
      </w:pPr>
    </w:p>
    <w:p w:rsidR="00A327E6" w:rsidRPr="00D55996" w:rsidRDefault="00A327E6" w:rsidP="00D55996">
      <w:pPr>
        <w:spacing w:before="0" w:after="0"/>
        <w:rPr>
          <w:rFonts w:cs="Arial"/>
          <w:bCs/>
          <w:szCs w:val="24"/>
        </w:rPr>
      </w:pPr>
      <w:r w:rsidRPr="00D55996">
        <w:rPr>
          <w:rFonts w:cs="Arial"/>
          <w:bCs/>
          <w:szCs w:val="24"/>
        </w:rPr>
        <w:t>Dominici F, Peng RD, Bell ML, Pham L, McDermott A, Zeger SL, Samet JM. Fine particulate air pollution and hospital admission for cardiovascular and respiratory diseases. JAMA 2006; 295(10):1127-34.</w:t>
      </w:r>
    </w:p>
    <w:p w:rsidR="00A327E6" w:rsidRPr="00D55996" w:rsidRDefault="00A327E6" w:rsidP="00D55996">
      <w:pPr>
        <w:spacing w:before="0" w:after="0"/>
        <w:rPr>
          <w:rFonts w:cs="Arial"/>
          <w:color w:val="000000"/>
          <w:szCs w:val="24"/>
        </w:rPr>
      </w:pPr>
    </w:p>
    <w:p w:rsidR="00A327E6" w:rsidRPr="00D55996" w:rsidRDefault="00A327E6" w:rsidP="00D55996">
      <w:pPr>
        <w:spacing w:before="0" w:after="0"/>
        <w:rPr>
          <w:rFonts w:cs="Arial"/>
          <w:color w:val="000000"/>
          <w:szCs w:val="24"/>
        </w:rPr>
      </w:pPr>
      <w:r w:rsidRPr="00D55996">
        <w:rPr>
          <w:rFonts w:cs="Arial"/>
          <w:color w:val="000000"/>
          <w:szCs w:val="24"/>
        </w:rPr>
        <w:t>EDR, 2006. Boston-Logan International Airport 2006 Environmental Data Report (EDR). Submitted to Executive Office of Energy and Environmental Affairs, MEPA Office by Massachusetts Port Authority Economic Planning and Development. Prepared by Vanasse Hangen Brustlin, Inc. September 2007.</w:t>
      </w:r>
    </w:p>
    <w:p w:rsidR="00A327E6" w:rsidRPr="00D55996" w:rsidRDefault="00A327E6" w:rsidP="00D55996">
      <w:pPr>
        <w:spacing w:before="0" w:after="0"/>
        <w:rPr>
          <w:rFonts w:cs="Arial"/>
          <w:color w:val="000000"/>
          <w:szCs w:val="24"/>
        </w:rPr>
      </w:pPr>
    </w:p>
    <w:p w:rsidR="00A327E6" w:rsidRPr="00D55996" w:rsidRDefault="00A327E6" w:rsidP="00D55996">
      <w:pPr>
        <w:spacing w:before="0" w:after="0"/>
        <w:rPr>
          <w:rFonts w:cs="Arial"/>
          <w:color w:val="000000"/>
          <w:szCs w:val="24"/>
        </w:rPr>
      </w:pPr>
      <w:r w:rsidRPr="00D55996">
        <w:rPr>
          <w:rFonts w:cs="Arial"/>
          <w:color w:val="000000"/>
          <w:szCs w:val="24"/>
        </w:rPr>
        <w:t>El-Shazly A. Toxic solvents in car paints increase the risk of hearing loss associated with occupational exposure to moderate noise intensity. B-ENT 2006; 2(1):1-5.</w:t>
      </w:r>
    </w:p>
    <w:p w:rsidR="00A327E6" w:rsidRPr="00D55996" w:rsidRDefault="00A327E6" w:rsidP="00D55996">
      <w:pPr>
        <w:spacing w:before="0" w:after="0"/>
        <w:rPr>
          <w:rFonts w:cs="Arial"/>
          <w:color w:val="000000"/>
          <w:szCs w:val="24"/>
        </w:rPr>
      </w:pPr>
    </w:p>
    <w:p w:rsidR="00A327E6" w:rsidRPr="00D55996" w:rsidRDefault="00A327E6" w:rsidP="00D55996">
      <w:pPr>
        <w:spacing w:before="0" w:after="0"/>
        <w:rPr>
          <w:rFonts w:cs="Arial"/>
          <w:bCs/>
          <w:szCs w:val="24"/>
        </w:rPr>
      </w:pPr>
      <w:r w:rsidRPr="00D55996">
        <w:rPr>
          <w:rFonts w:cs="Arial"/>
          <w:bCs/>
          <w:szCs w:val="24"/>
        </w:rPr>
        <w:t>Franssen EAM, van Wiechen CMAG, Nagelkerke NJD, Lebret E. Aircraft noise around a large international airport and its impact on general health and medication use. Occup Environ Med 2004; 61:405-13.</w:t>
      </w:r>
    </w:p>
    <w:p w:rsidR="00A327E6" w:rsidRPr="00D55996" w:rsidRDefault="00A327E6" w:rsidP="00D55996">
      <w:pPr>
        <w:spacing w:before="0" w:after="0"/>
        <w:rPr>
          <w:rFonts w:cs="Arial"/>
          <w:bCs/>
          <w:szCs w:val="24"/>
        </w:rPr>
      </w:pPr>
    </w:p>
    <w:p w:rsidR="00A327E6" w:rsidRPr="00D55996" w:rsidRDefault="00A327E6" w:rsidP="00D55996">
      <w:pPr>
        <w:spacing w:before="0" w:after="0"/>
        <w:rPr>
          <w:rFonts w:cs="Arial"/>
          <w:bCs/>
          <w:szCs w:val="24"/>
        </w:rPr>
      </w:pPr>
      <w:r w:rsidRPr="00D55996">
        <w:rPr>
          <w:rFonts w:cs="Arial"/>
          <w:bCs/>
          <w:szCs w:val="24"/>
        </w:rPr>
        <w:t>Galea S, Freudenberg N, Vlahov D. Cities and population health. Social Science &amp; Medicine 2005; 60(5):1017-33.</w:t>
      </w:r>
    </w:p>
    <w:p w:rsidR="00A327E6" w:rsidRPr="00D55996" w:rsidRDefault="00A327E6" w:rsidP="00D55996">
      <w:pPr>
        <w:spacing w:before="0" w:after="0"/>
        <w:rPr>
          <w:rFonts w:cs="Arial"/>
          <w:bCs/>
          <w:szCs w:val="24"/>
        </w:rPr>
      </w:pPr>
    </w:p>
    <w:p w:rsidR="00A327E6" w:rsidRPr="00D55996" w:rsidRDefault="00A327E6" w:rsidP="00D55996">
      <w:pPr>
        <w:spacing w:before="0" w:after="0"/>
        <w:rPr>
          <w:rFonts w:cs="Arial"/>
          <w:bCs/>
          <w:szCs w:val="24"/>
        </w:rPr>
      </w:pPr>
      <w:r w:rsidRPr="00D55996">
        <w:rPr>
          <w:rFonts w:cs="Arial"/>
          <w:bCs/>
          <w:szCs w:val="24"/>
        </w:rPr>
        <w:t>Gent JF, Triche EW, Holford TR, Belanger K, Bracken MB, Beckett WS, Leaderer BP. Association of low-level ozone and fine particles with respiratory symptoms in children with asthma. JAMA 2003; 290(14):1859-67.</w:t>
      </w:r>
    </w:p>
    <w:p w:rsidR="00A327E6" w:rsidRPr="00D55996" w:rsidRDefault="00A327E6" w:rsidP="00D55996">
      <w:pPr>
        <w:spacing w:before="0" w:after="0"/>
        <w:rPr>
          <w:rFonts w:cs="Arial"/>
          <w:bCs/>
          <w:szCs w:val="24"/>
        </w:rPr>
      </w:pPr>
    </w:p>
    <w:p w:rsidR="00A327E6" w:rsidRDefault="00A327E6" w:rsidP="00D55996">
      <w:pPr>
        <w:spacing w:before="0" w:after="0"/>
        <w:rPr>
          <w:rFonts w:cs="Arial"/>
          <w:bCs/>
          <w:szCs w:val="24"/>
        </w:rPr>
      </w:pPr>
    </w:p>
    <w:p w:rsidR="00A327E6" w:rsidRDefault="00A327E6" w:rsidP="00D55996">
      <w:pPr>
        <w:spacing w:before="0" w:after="0"/>
        <w:rPr>
          <w:rFonts w:cs="Arial"/>
          <w:bCs/>
          <w:szCs w:val="24"/>
        </w:rPr>
      </w:pPr>
    </w:p>
    <w:p w:rsidR="00A327E6" w:rsidRPr="00D55996" w:rsidRDefault="00A327E6" w:rsidP="00D55996">
      <w:pPr>
        <w:spacing w:before="0" w:after="0"/>
        <w:rPr>
          <w:rFonts w:cs="Arial"/>
          <w:bCs/>
          <w:szCs w:val="24"/>
        </w:rPr>
      </w:pPr>
      <w:r w:rsidRPr="00D55996">
        <w:rPr>
          <w:rFonts w:cs="Arial"/>
          <w:bCs/>
          <w:szCs w:val="24"/>
        </w:rPr>
        <w:t>Gern JE, Visness CM, Gergen PJ, Wood RA, Bloomberg GR, O'Connor GT, Kattan M, Sampson HA, Witter FR, Sandel MT, Shreffler WG, Wright RJ, Arbes SJ Jr, Busse WW. The Urban Environment and Childhood Asthma (URECA) birth cohort study: design, methods, and study population. BMC Pulm Med 2009; 9:17.</w:t>
      </w:r>
    </w:p>
    <w:p w:rsidR="00A327E6" w:rsidRPr="00D55996" w:rsidRDefault="00A327E6" w:rsidP="00D55996">
      <w:pPr>
        <w:spacing w:before="0" w:after="0"/>
        <w:rPr>
          <w:rFonts w:cs="Arial"/>
          <w:bCs/>
          <w:szCs w:val="24"/>
        </w:rPr>
      </w:pPr>
    </w:p>
    <w:p w:rsidR="00A327E6" w:rsidRPr="00D55996" w:rsidRDefault="00A327E6" w:rsidP="00D55996">
      <w:pPr>
        <w:spacing w:before="0" w:after="0"/>
        <w:rPr>
          <w:rFonts w:cs="Arial"/>
          <w:bCs/>
          <w:szCs w:val="24"/>
        </w:rPr>
      </w:pPr>
      <w:r w:rsidRPr="00D55996">
        <w:rPr>
          <w:rFonts w:cs="Arial"/>
          <w:bCs/>
          <w:szCs w:val="24"/>
        </w:rPr>
        <w:t>Groves RM, Peytcheva E. The impact of nonresponse rates on nonresponse bias. Public Opinion Quarterly 2008; 72(2):167-89.</w:t>
      </w:r>
    </w:p>
    <w:p w:rsidR="00A327E6" w:rsidRDefault="00A327E6" w:rsidP="00D55996">
      <w:pPr>
        <w:spacing w:before="0" w:after="0"/>
        <w:rPr>
          <w:rFonts w:cs="Arial"/>
          <w:color w:val="000000"/>
          <w:szCs w:val="24"/>
        </w:rPr>
      </w:pPr>
    </w:p>
    <w:p w:rsidR="00A327E6" w:rsidRDefault="00A327E6" w:rsidP="00D55996">
      <w:pPr>
        <w:spacing w:before="0" w:after="0"/>
        <w:rPr>
          <w:rFonts w:cs="Arial"/>
          <w:color w:val="000000"/>
          <w:szCs w:val="24"/>
        </w:rPr>
      </w:pPr>
      <w:r w:rsidRPr="00D55996">
        <w:rPr>
          <w:rFonts w:cs="Arial"/>
          <w:color w:val="000000"/>
          <w:szCs w:val="24"/>
        </w:rPr>
        <w:t>Gryparis A, Coull BA, Schwartz J, Suh HH. Semiparametric latent variable regression models for spatiotemporal modelling of mobile source particles in the greater Boston area. Journal of the Royal Statistical Society: Series C (Applied Statistics) 2007; 56(2):183-209.</w:t>
      </w:r>
    </w:p>
    <w:p w:rsidR="00A327E6" w:rsidRDefault="00A327E6" w:rsidP="00D55996">
      <w:pPr>
        <w:spacing w:before="0" w:after="0"/>
        <w:rPr>
          <w:rFonts w:cs="Arial"/>
          <w:color w:val="000000"/>
          <w:szCs w:val="24"/>
        </w:rPr>
      </w:pPr>
    </w:p>
    <w:p w:rsidR="00A327E6" w:rsidRPr="00D55996" w:rsidRDefault="00A327E6" w:rsidP="00D55996">
      <w:pPr>
        <w:spacing w:before="0" w:after="0"/>
        <w:rPr>
          <w:rFonts w:cs="Arial"/>
          <w:color w:val="000000"/>
          <w:szCs w:val="24"/>
        </w:rPr>
      </w:pPr>
      <w:r>
        <w:rPr>
          <w:rFonts w:cs="Arial"/>
          <w:color w:val="000000"/>
          <w:szCs w:val="24"/>
        </w:rPr>
        <w:t xml:space="preserve">Hoffmann B, </w:t>
      </w:r>
      <w:r w:rsidRPr="00AA6279">
        <w:rPr>
          <w:rFonts w:cs="Arial"/>
          <w:color w:val="000000"/>
          <w:szCs w:val="24"/>
        </w:rPr>
        <w:t>Moebus S, Kröger K, Stang A, Möhlenkamp S, Dragano N, Schmermund A, Memmesheimer M, Erbel R, Jöckel KH.</w:t>
      </w:r>
      <w:r>
        <w:rPr>
          <w:rFonts w:cs="Arial"/>
          <w:color w:val="000000"/>
          <w:szCs w:val="24"/>
        </w:rPr>
        <w:t xml:space="preserve"> </w:t>
      </w:r>
      <w:r w:rsidRPr="00AA6279">
        <w:rPr>
          <w:rFonts w:cs="Arial"/>
          <w:color w:val="000000"/>
          <w:szCs w:val="24"/>
        </w:rPr>
        <w:t>Residential exposure to urban air pollution, ankle-brachial index, and peripheral arterial disease.</w:t>
      </w:r>
      <w:r>
        <w:rPr>
          <w:rFonts w:cs="Arial"/>
          <w:color w:val="000000"/>
          <w:szCs w:val="24"/>
        </w:rPr>
        <w:t xml:space="preserve"> Epidemiology 2009; 20(2):280-8.</w:t>
      </w:r>
    </w:p>
    <w:p w:rsidR="00A327E6" w:rsidRPr="00D55996" w:rsidRDefault="00A327E6" w:rsidP="00D55996">
      <w:pPr>
        <w:spacing w:before="0" w:after="0"/>
        <w:rPr>
          <w:rFonts w:cs="Arial"/>
          <w:color w:val="000000"/>
          <w:szCs w:val="24"/>
        </w:rPr>
      </w:pPr>
    </w:p>
    <w:p w:rsidR="00A327E6" w:rsidRPr="005960D8" w:rsidRDefault="00A327E6" w:rsidP="00122D68">
      <w:pPr>
        <w:pStyle w:val="desc2"/>
        <w:shd w:val="clear" w:color="auto" w:fill="FFFFFF"/>
        <w:rPr>
          <w:rFonts w:ascii="Cambria" w:hAnsi="Cambria" w:cs="Arial"/>
          <w:sz w:val="24"/>
          <w:szCs w:val="24"/>
        </w:rPr>
      </w:pPr>
      <w:r w:rsidRPr="005960D8">
        <w:rPr>
          <w:rFonts w:ascii="Cambria" w:hAnsi="Cambria" w:cs="Arial"/>
          <w:bCs/>
          <w:sz w:val="24"/>
          <w:szCs w:val="24"/>
        </w:rPr>
        <w:t>Hansell AL</w:t>
      </w:r>
      <w:r w:rsidRPr="005960D8">
        <w:rPr>
          <w:rFonts w:ascii="Cambria" w:hAnsi="Cambria" w:cs="Arial"/>
          <w:sz w:val="24"/>
          <w:szCs w:val="24"/>
        </w:rPr>
        <w:t>, Blangiardo M, Fortunato L, Floud S, de Hoogh K, Fecht D, Ghosh RE, Laszlo HE, Pearson C, Beale L, Beevers S, Gulliver J, Best N, Richardson S, Elliott P. Aircraft noise and cardiovascular disease near Heathrow airport in London: small area study.</w:t>
      </w:r>
    </w:p>
    <w:p w:rsidR="00A327E6" w:rsidRDefault="00A327E6" w:rsidP="00122D68">
      <w:pPr>
        <w:spacing w:before="0" w:after="0"/>
        <w:rPr>
          <w:rFonts w:cs="Arial"/>
          <w:color w:val="000000"/>
          <w:szCs w:val="24"/>
        </w:rPr>
      </w:pPr>
      <w:r w:rsidRPr="005960D8">
        <w:rPr>
          <w:rStyle w:val="jrnl"/>
          <w:rFonts w:cs="Arial"/>
          <w:szCs w:val="24"/>
        </w:rPr>
        <w:t>BMJ</w:t>
      </w:r>
      <w:r w:rsidRPr="005960D8">
        <w:rPr>
          <w:rFonts w:cs="Arial"/>
          <w:szCs w:val="24"/>
        </w:rPr>
        <w:t>. 2013 Oct 8;347:f5432</w:t>
      </w:r>
      <w:r>
        <w:rPr>
          <w:rFonts w:cs="Arial"/>
          <w:szCs w:val="24"/>
        </w:rPr>
        <w:t>.</w:t>
      </w:r>
    </w:p>
    <w:p w:rsidR="00A327E6" w:rsidRDefault="00A327E6" w:rsidP="00D55996">
      <w:pPr>
        <w:spacing w:before="0" w:after="0"/>
        <w:rPr>
          <w:rFonts w:cs="Arial"/>
          <w:color w:val="000000"/>
          <w:szCs w:val="24"/>
        </w:rPr>
      </w:pPr>
    </w:p>
    <w:p w:rsidR="00A327E6" w:rsidRPr="00D55996" w:rsidRDefault="00A327E6" w:rsidP="00D55996">
      <w:pPr>
        <w:spacing w:before="0" w:after="0"/>
        <w:rPr>
          <w:rFonts w:cs="Arial"/>
          <w:color w:val="000000"/>
          <w:szCs w:val="24"/>
        </w:rPr>
      </w:pPr>
      <w:r w:rsidRPr="00D55996">
        <w:rPr>
          <w:rFonts w:cs="Arial"/>
          <w:color w:val="000000"/>
          <w:szCs w:val="24"/>
        </w:rPr>
        <w:t>Heinrich J. Nonallergic respiratory morbidity improved along with a decline of traditional air pollution levels: A review. Eur Respir J 2003; 21(Suppl 40):64-9.</w:t>
      </w:r>
    </w:p>
    <w:p w:rsidR="00A327E6" w:rsidRPr="00D55996" w:rsidRDefault="00A327E6" w:rsidP="00D55996">
      <w:pPr>
        <w:spacing w:before="0" w:after="0"/>
        <w:rPr>
          <w:rFonts w:cs="Arial"/>
          <w:color w:val="000000"/>
          <w:szCs w:val="24"/>
        </w:rPr>
      </w:pPr>
    </w:p>
    <w:p w:rsidR="00A327E6" w:rsidRPr="00D55996" w:rsidRDefault="00A327E6" w:rsidP="00D55996">
      <w:pPr>
        <w:spacing w:before="0" w:after="0"/>
        <w:rPr>
          <w:rFonts w:cs="Arial"/>
          <w:color w:val="000000"/>
          <w:szCs w:val="24"/>
        </w:rPr>
      </w:pPr>
      <w:r w:rsidRPr="00D55996">
        <w:rPr>
          <w:rFonts w:cs="Arial"/>
          <w:color w:val="000000"/>
          <w:szCs w:val="24"/>
        </w:rPr>
        <w:t>Henry JA, Dennis KC, Schechter MA. General review of tinnitus: Prevalence, mechanisms, effects, and management. Journal of Speech, Language, and Hearing Research 2005; 48:1204-35.</w:t>
      </w:r>
    </w:p>
    <w:p w:rsidR="00A327E6" w:rsidRPr="00D55996" w:rsidRDefault="00A327E6" w:rsidP="00D55996">
      <w:pPr>
        <w:spacing w:before="0" w:after="0"/>
        <w:rPr>
          <w:rFonts w:cs="Arial"/>
          <w:color w:val="000000"/>
          <w:szCs w:val="24"/>
        </w:rPr>
      </w:pPr>
    </w:p>
    <w:p w:rsidR="00A327E6" w:rsidRPr="00D55996" w:rsidRDefault="00A327E6" w:rsidP="00D55996">
      <w:pPr>
        <w:spacing w:before="0" w:after="0"/>
        <w:rPr>
          <w:rFonts w:cs="Arial"/>
          <w:color w:val="000000"/>
          <w:szCs w:val="24"/>
        </w:rPr>
      </w:pPr>
      <w:r w:rsidRPr="00D55996">
        <w:rPr>
          <w:rFonts w:cs="Arial"/>
          <w:color w:val="000000"/>
          <w:szCs w:val="24"/>
        </w:rPr>
        <w:t>Holguin F, Folch E, Redd SC, Mannino DM. Comorbidity and mortality in COPD-related hospitalizations in the United States, 1979-2001. Chest Oct 2005; 128(4):2005-11.</w:t>
      </w:r>
    </w:p>
    <w:p w:rsidR="00A327E6" w:rsidRPr="00D55996" w:rsidRDefault="00A327E6" w:rsidP="00D55996">
      <w:pPr>
        <w:spacing w:before="0" w:after="0"/>
        <w:rPr>
          <w:rFonts w:cs="Arial"/>
          <w:bCs/>
          <w:szCs w:val="24"/>
        </w:rPr>
      </w:pPr>
    </w:p>
    <w:p w:rsidR="00A327E6" w:rsidRPr="00D55996" w:rsidRDefault="00A327E6" w:rsidP="00D55996">
      <w:pPr>
        <w:spacing w:before="0" w:after="0"/>
        <w:rPr>
          <w:rFonts w:cs="Arial"/>
          <w:bCs/>
          <w:szCs w:val="24"/>
        </w:rPr>
      </w:pPr>
      <w:r w:rsidRPr="00D55996">
        <w:rPr>
          <w:rFonts w:cs="Arial"/>
          <w:bCs/>
          <w:szCs w:val="24"/>
        </w:rPr>
        <w:t>Hu S, Fruin S, Kozawa K, Mara S, Winer AM, Paulson SE. Aircraft emission impacts in a neighborhood adjacent to a general aviation airport in Southern California. Environ Sci Technol 2009; 43(21):8039-45.</w:t>
      </w:r>
    </w:p>
    <w:p w:rsidR="00A327E6" w:rsidRPr="00D55996" w:rsidRDefault="00A327E6" w:rsidP="00D55996">
      <w:pPr>
        <w:spacing w:before="0" w:after="0"/>
        <w:rPr>
          <w:rFonts w:cs="Arial"/>
          <w:bCs/>
          <w:szCs w:val="24"/>
        </w:rPr>
      </w:pPr>
    </w:p>
    <w:p w:rsidR="00A327E6" w:rsidRPr="00D55996" w:rsidRDefault="00A327E6" w:rsidP="00D55996">
      <w:pPr>
        <w:spacing w:before="0" w:after="0"/>
        <w:rPr>
          <w:rFonts w:cs="Arial"/>
          <w:bCs/>
          <w:szCs w:val="24"/>
        </w:rPr>
      </w:pPr>
      <w:r w:rsidRPr="00D55996">
        <w:rPr>
          <w:rFonts w:cs="Arial"/>
          <w:bCs/>
          <w:szCs w:val="24"/>
        </w:rPr>
        <w:t>Huss A, Spoerri A, Egger M, Röösli M; Swiss National Cohort Study Group. Aircraft noise, air pollution, and mortality from myocardial infarction. Epidemiology 2010; 21(6):829-36.</w:t>
      </w:r>
    </w:p>
    <w:p w:rsidR="00A327E6" w:rsidRPr="00D55996" w:rsidRDefault="00A327E6" w:rsidP="00D55996">
      <w:pPr>
        <w:spacing w:before="0" w:after="0"/>
        <w:rPr>
          <w:rFonts w:cs="Arial"/>
          <w:bCs/>
          <w:szCs w:val="24"/>
        </w:rPr>
      </w:pPr>
    </w:p>
    <w:p w:rsidR="00A327E6" w:rsidRPr="00D55996" w:rsidRDefault="00A327E6" w:rsidP="00D55996">
      <w:pPr>
        <w:spacing w:before="0" w:after="0"/>
        <w:rPr>
          <w:rFonts w:cs="Arial"/>
          <w:bCs/>
          <w:szCs w:val="24"/>
        </w:rPr>
      </w:pPr>
      <w:r w:rsidRPr="00D55996">
        <w:rPr>
          <w:rFonts w:cs="Arial"/>
          <w:bCs/>
          <w:szCs w:val="24"/>
        </w:rPr>
        <w:t>Ito K, Thurston GD, Silverman RA. Characterization of PM</w:t>
      </w:r>
      <w:r w:rsidRPr="00E9728F">
        <w:rPr>
          <w:rFonts w:cs="Arial"/>
          <w:bCs/>
          <w:szCs w:val="24"/>
          <w:vertAlign w:val="subscript"/>
        </w:rPr>
        <w:t>2.5</w:t>
      </w:r>
      <w:r w:rsidRPr="00D55996">
        <w:rPr>
          <w:rFonts w:cs="Arial"/>
          <w:bCs/>
          <w:szCs w:val="24"/>
        </w:rPr>
        <w:t>, gaseous pollutants, and meteorological interactions in the context of time-series health effects models. J Expo Sci Environ Epidemiol 2007; 17 Suppl 2:S45-60.</w:t>
      </w:r>
    </w:p>
    <w:p w:rsidR="00A327E6" w:rsidRDefault="00A327E6" w:rsidP="00122D68">
      <w:pPr>
        <w:spacing w:before="0" w:after="0"/>
        <w:rPr>
          <w:rFonts w:cs="Arial"/>
          <w:color w:val="000000"/>
          <w:szCs w:val="24"/>
        </w:rPr>
      </w:pPr>
    </w:p>
    <w:p w:rsidR="00A327E6" w:rsidRDefault="00A327E6" w:rsidP="00122D68">
      <w:pPr>
        <w:spacing w:before="0" w:after="0"/>
        <w:rPr>
          <w:rFonts w:cs="Arial"/>
          <w:color w:val="000000"/>
          <w:szCs w:val="24"/>
        </w:rPr>
      </w:pPr>
      <w:r w:rsidRPr="00E9728F">
        <w:rPr>
          <w:rFonts w:cs="Arial"/>
          <w:color w:val="000000"/>
          <w:szCs w:val="24"/>
        </w:rPr>
        <w:t>Jerrett M, Shankardass K, Berhane K, Gauderman WJ, Künzli N, Avol E, Gilliland F, Lurmann F, Molitor JN, Molitor JT, Thomas DC, Peters J, McConnell R</w:t>
      </w:r>
      <w:r>
        <w:rPr>
          <w:rFonts w:cs="Arial"/>
          <w:color w:val="000000"/>
          <w:szCs w:val="24"/>
        </w:rPr>
        <w:t xml:space="preserve">. </w:t>
      </w:r>
      <w:r w:rsidRPr="00E9728F">
        <w:rPr>
          <w:rFonts w:cs="Arial"/>
          <w:color w:val="000000"/>
          <w:szCs w:val="24"/>
        </w:rPr>
        <w:t>Traffic-related air pollution and asthma onset in children: a prospective cohort study with individual exposure measurement.</w:t>
      </w:r>
      <w:r>
        <w:rPr>
          <w:rFonts w:cs="Arial"/>
          <w:color w:val="000000"/>
          <w:szCs w:val="24"/>
        </w:rPr>
        <w:t xml:space="preserve"> </w:t>
      </w:r>
      <w:r w:rsidRPr="00E9728F">
        <w:rPr>
          <w:rFonts w:cs="Arial"/>
          <w:color w:val="000000"/>
          <w:szCs w:val="24"/>
        </w:rPr>
        <w:t>Environ Health Perspect. 2008;116(10):1433-8.</w:t>
      </w:r>
    </w:p>
    <w:p w:rsidR="00A327E6" w:rsidRDefault="00A327E6" w:rsidP="00122D68">
      <w:pPr>
        <w:spacing w:before="0" w:after="0"/>
        <w:rPr>
          <w:rFonts w:cs="Arial"/>
          <w:color w:val="000000"/>
          <w:szCs w:val="24"/>
          <w:lang w:val="de-DE"/>
        </w:rPr>
      </w:pPr>
    </w:p>
    <w:p w:rsidR="00A327E6" w:rsidRPr="00D55996" w:rsidRDefault="00A327E6" w:rsidP="00122D68">
      <w:pPr>
        <w:spacing w:before="0" w:after="0"/>
        <w:rPr>
          <w:rFonts w:cs="Arial"/>
          <w:color w:val="000000"/>
          <w:szCs w:val="24"/>
          <w:lang w:val="de-DE"/>
        </w:rPr>
      </w:pPr>
      <w:r w:rsidRPr="00D55996">
        <w:rPr>
          <w:rFonts w:cs="Arial"/>
          <w:color w:val="000000"/>
          <w:szCs w:val="24"/>
          <w:lang w:val="de-DE"/>
        </w:rPr>
        <w:t xml:space="preserve">Kappos AD, Bruckmann P, Eikmann T, Englert N, Heinrich U, Höppe P, Koch E, Krause GHM, Kreyling WG, Rauchfuss K, Rombout P, Schulz-Klemp V, Thiel WR, Wichmann HE. </w:t>
      </w:r>
      <w:r w:rsidRPr="00D55996">
        <w:rPr>
          <w:rFonts w:cs="Arial"/>
          <w:color w:val="000000"/>
          <w:szCs w:val="24"/>
        </w:rPr>
        <w:t xml:space="preserve">Health effects of particles in ambient air. Int J Hyg Environ </w:t>
      </w:r>
      <w:r w:rsidRPr="00D55996">
        <w:rPr>
          <w:rFonts w:cs="Arial"/>
          <w:color w:val="000000"/>
          <w:szCs w:val="24"/>
          <w:lang w:val="de-DE"/>
        </w:rPr>
        <w:t>Health 2004; 207:399-407.</w:t>
      </w:r>
    </w:p>
    <w:p w:rsidR="00A327E6" w:rsidRPr="00D55996" w:rsidRDefault="00A327E6" w:rsidP="00122D68">
      <w:pPr>
        <w:spacing w:before="0" w:after="0"/>
        <w:rPr>
          <w:rFonts w:cs="Arial"/>
          <w:color w:val="000000"/>
          <w:szCs w:val="24"/>
          <w:lang w:val="de-DE"/>
        </w:rPr>
      </w:pPr>
    </w:p>
    <w:p w:rsidR="00A327E6" w:rsidRPr="00D55996" w:rsidRDefault="00A327E6" w:rsidP="00122D68">
      <w:pPr>
        <w:spacing w:before="0" w:after="0"/>
        <w:rPr>
          <w:rFonts w:cs="Arial"/>
          <w:color w:val="000000"/>
          <w:szCs w:val="24"/>
          <w:lang w:val="de-DE"/>
        </w:rPr>
      </w:pPr>
      <w:r w:rsidRPr="00D55996">
        <w:rPr>
          <w:rFonts w:cs="Arial"/>
          <w:color w:val="000000"/>
          <w:szCs w:val="24"/>
          <w:lang w:val="de-DE"/>
        </w:rPr>
        <w:t>Katsouyanni K. Ambient air pollution and health. British Medical Bulletin 2003; 68:143-56.</w:t>
      </w:r>
    </w:p>
    <w:p w:rsidR="00A327E6" w:rsidRPr="00D55996" w:rsidRDefault="00A327E6" w:rsidP="00122D68">
      <w:pPr>
        <w:spacing w:before="0" w:after="0"/>
        <w:rPr>
          <w:rFonts w:cs="Arial"/>
          <w:color w:val="000000"/>
          <w:szCs w:val="24"/>
        </w:rPr>
      </w:pPr>
    </w:p>
    <w:p w:rsidR="00A327E6" w:rsidRPr="00D55996" w:rsidRDefault="00A327E6" w:rsidP="00122D68">
      <w:pPr>
        <w:spacing w:before="0" w:after="0"/>
        <w:rPr>
          <w:rFonts w:cs="Arial"/>
          <w:color w:val="000000"/>
          <w:szCs w:val="24"/>
        </w:rPr>
      </w:pPr>
      <w:r w:rsidRPr="00D55996">
        <w:rPr>
          <w:rFonts w:cs="Arial"/>
          <w:color w:val="000000"/>
          <w:szCs w:val="24"/>
        </w:rPr>
        <w:t>Keeter S, Miller C, Kohut A, Groves RM, Presser S. Consequences of reducing nonresponse in a national telephone survey. Public Opinion Quarterly 2000; 64:125–48.</w:t>
      </w:r>
    </w:p>
    <w:p w:rsidR="00A327E6" w:rsidRDefault="00A327E6" w:rsidP="00122D68">
      <w:pPr>
        <w:spacing w:before="0" w:after="0"/>
        <w:rPr>
          <w:rFonts w:cs="Arial"/>
          <w:color w:val="000000"/>
          <w:szCs w:val="24"/>
        </w:rPr>
      </w:pPr>
    </w:p>
    <w:p w:rsidR="00A327E6" w:rsidRDefault="00A327E6" w:rsidP="00122D68">
      <w:pPr>
        <w:spacing w:before="0" w:after="0"/>
        <w:rPr>
          <w:rFonts w:cs="Arial"/>
          <w:color w:val="000000"/>
          <w:szCs w:val="24"/>
        </w:rPr>
      </w:pPr>
      <w:r w:rsidRPr="00D55996">
        <w:rPr>
          <w:rFonts w:cs="Arial"/>
          <w:color w:val="000000"/>
          <w:szCs w:val="24"/>
        </w:rPr>
        <w:t>Kim BJ, Hong SJ. Ambient air pollution and allergic diseases in children. Korean J Pediatr 2012; 55(6):185-92.</w:t>
      </w:r>
    </w:p>
    <w:p w:rsidR="00A327E6" w:rsidRPr="00D55996" w:rsidRDefault="00A327E6" w:rsidP="00122D68">
      <w:pPr>
        <w:spacing w:before="0" w:after="0"/>
        <w:rPr>
          <w:rFonts w:cs="Arial"/>
          <w:color w:val="000000"/>
          <w:szCs w:val="24"/>
        </w:rPr>
      </w:pPr>
    </w:p>
    <w:p w:rsidR="00A327E6" w:rsidRPr="00D55996" w:rsidRDefault="00A327E6" w:rsidP="00122D68">
      <w:pPr>
        <w:spacing w:before="0" w:after="0"/>
        <w:rPr>
          <w:rFonts w:cs="Arial"/>
          <w:color w:val="000000"/>
          <w:szCs w:val="24"/>
          <w:lang w:val="de-DE"/>
        </w:rPr>
      </w:pPr>
      <w:r w:rsidRPr="00D55996">
        <w:rPr>
          <w:rFonts w:cs="Arial"/>
          <w:color w:val="000000"/>
          <w:szCs w:val="24"/>
          <w:lang w:val="de-DE"/>
        </w:rPr>
        <w:t>Ko FWS, Tam W, Wong TW, Chan DPS, Tung AH, Lai CKW, Hui DSC. Temporal relationship between air pollutants and hospital admissions for chronic obstructive pulmonary disease in Hong Kong. Thorax 2007; 62:780-5.</w:t>
      </w:r>
    </w:p>
    <w:p w:rsidR="00A327E6" w:rsidRDefault="00A327E6" w:rsidP="00122D68">
      <w:pPr>
        <w:spacing w:before="0" w:after="0"/>
        <w:rPr>
          <w:rFonts w:cs="Arial"/>
          <w:color w:val="000000"/>
          <w:szCs w:val="24"/>
        </w:rPr>
      </w:pPr>
    </w:p>
    <w:p w:rsidR="00A327E6" w:rsidRPr="00D55996" w:rsidRDefault="00A327E6" w:rsidP="00122D68">
      <w:pPr>
        <w:spacing w:before="0" w:after="0"/>
        <w:rPr>
          <w:rFonts w:cs="Arial"/>
          <w:bCs/>
          <w:szCs w:val="24"/>
        </w:rPr>
      </w:pPr>
      <w:r w:rsidRPr="00D55996">
        <w:rPr>
          <w:rFonts w:cs="Arial"/>
          <w:bCs/>
          <w:szCs w:val="24"/>
        </w:rPr>
        <w:t>Konings A, Van Laer L, Van Camp G. Genetic studies on noise-induced hearing loss: A review. Ear Hear 2009; 30(2):151-9.</w:t>
      </w:r>
    </w:p>
    <w:p w:rsidR="00A327E6" w:rsidRDefault="00A327E6" w:rsidP="00122D68">
      <w:pPr>
        <w:spacing w:before="0" w:after="0"/>
        <w:rPr>
          <w:rFonts w:cs="Arial"/>
          <w:color w:val="000000"/>
          <w:szCs w:val="24"/>
        </w:rPr>
      </w:pPr>
    </w:p>
    <w:p w:rsidR="00A327E6" w:rsidRPr="00D55996" w:rsidRDefault="00A327E6" w:rsidP="00122D68">
      <w:pPr>
        <w:spacing w:before="0" w:after="0"/>
        <w:rPr>
          <w:rFonts w:cs="Arial"/>
          <w:color w:val="000000"/>
          <w:szCs w:val="24"/>
        </w:rPr>
      </w:pPr>
      <w:r w:rsidRPr="00D55996">
        <w:rPr>
          <w:rFonts w:cs="Arial"/>
          <w:color w:val="000000"/>
          <w:szCs w:val="24"/>
        </w:rPr>
        <w:t xml:space="preserve">Koutrakis P, Suh HH, Sarnet JA, Brown, KW, Coull BA, Schwartz J. Characterization of particulate and gas exposures of sensitive subpopulations living in Baltimore and Boston. Res Rep Health Eff Inst </w:t>
      </w:r>
      <w:r w:rsidRPr="00D55996">
        <w:rPr>
          <w:szCs w:val="24"/>
        </w:rPr>
        <w:t>2005; Dec(131):1-65; discussion 67-75</w:t>
      </w:r>
      <w:r w:rsidRPr="00D55996">
        <w:rPr>
          <w:rFonts w:cs="Arial"/>
          <w:color w:val="000000"/>
          <w:szCs w:val="24"/>
        </w:rPr>
        <w:t>.</w:t>
      </w:r>
    </w:p>
    <w:p w:rsidR="00A327E6" w:rsidRPr="00D55996" w:rsidRDefault="00A327E6" w:rsidP="00D55996">
      <w:pPr>
        <w:spacing w:before="0" w:after="0"/>
        <w:rPr>
          <w:rFonts w:cs="Arial"/>
          <w:bCs/>
          <w:szCs w:val="24"/>
          <w:highlight w:val="yellow"/>
        </w:rPr>
      </w:pPr>
    </w:p>
    <w:p w:rsidR="00A327E6" w:rsidRPr="00D55996" w:rsidRDefault="00A327E6" w:rsidP="00D55996">
      <w:pPr>
        <w:spacing w:before="0" w:after="0"/>
        <w:rPr>
          <w:szCs w:val="24"/>
        </w:rPr>
      </w:pPr>
      <w:r w:rsidRPr="00D55996">
        <w:rPr>
          <w:szCs w:val="24"/>
        </w:rPr>
        <w:t>Krewski D, Jerrett M, Burnett RT, Ma R, Hughes E, Shi Y, Turner MC, Pope CA 3rd, Thurston G, Calle EE, Thun MJ, Beckerman B, DeLuca P, Finkelstein N, Ito K, Moore DK, Newbold KB, Ramsay T, Ross Z, Shin H, Tempalski B. Extended follow-up and spatial analysis of the American Cancer Society study linking particulate air pollution and mortality. Res Rep Health Effects Institute 2009; 140:5-114.</w:t>
      </w:r>
    </w:p>
    <w:p w:rsidR="00A327E6" w:rsidRDefault="00A327E6" w:rsidP="00D55996">
      <w:pPr>
        <w:spacing w:before="0" w:after="0"/>
        <w:rPr>
          <w:rFonts w:cs="Arial"/>
          <w:color w:val="000000"/>
          <w:szCs w:val="24"/>
        </w:rPr>
      </w:pPr>
    </w:p>
    <w:p w:rsidR="00A327E6" w:rsidRPr="00D55996" w:rsidRDefault="00A327E6" w:rsidP="00D55996">
      <w:pPr>
        <w:spacing w:before="0" w:after="0"/>
        <w:rPr>
          <w:rFonts w:cs="Arial"/>
          <w:color w:val="000000"/>
          <w:szCs w:val="24"/>
        </w:rPr>
      </w:pPr>
      <w:r w:rsidRPr="00D55996">
        <w:rPr>
          <w:rFonts w:cs="Arial"/>
          <w:color w:val="000000"/>
          <w:szCs w:val="24"/>
        </w:rPr>
        <w:t>Lagorio S, Forastiere F, Pistelli R, Iavarone I, Michelozzi P, Fano V, Marconi A, Ziemacki G, Ostro BD. Air pollution and lung function among susceptible adult subjects: A panel study. Environmental Health: A Global Access Science Source 2006; 5:11.</w:t>
      </w:r>
    </w:p>
    <w:p w:rsidR="00A327E6" w:rsidRPr="00D55996" w:rsidRDefault="00A327E6" w:rsidP="00D55996">
      <w:pPr>
        <w:spacing w:before="0" w:after="0"/>
        <w:rPr>
          <w:rFonts w:cs="Arial"/>
          <w:color w:val="000000"/>
          <w:szCs w:val="24"/>
        </w:rPr>
      </w:pPr>
    </w:p>
    <w:p w:rsidR="00A327E6" w:rsidRPr="00D55996" w:rsidRDefault="00A327E6" w:rsidP="00D55996">
      <w:pPr>
        <w:spacing w:before="0" w:after="0"/>
        <w:rPr>
          <w:rFonts w:cs="Arial"/>
          <w:color w:val="000000"/>
          <w:szCs w:val="24"/>
        </w:rPr>
      </w:pPr>
      <w:hyperlink r:id="rId33" w:history="1">
        <w:r w:rsidRPr="00D55996">
          <w:rPr>
            <w:rStyle w:val="Hyperlink"/>
            <w:rFonts w:cs="Arial"/>
            <w:bCs/>
            <w:color w:val="000000"/>
            <w:szCs w:val="24"/>
            <w:u w:val="none"/>
          </w:rPr>
          <w:t>Lee YL</w:t>
        </w:r>
      </w:hyperlink>
      <w:r w:rsidRPr="00D55996">
        <w:rPr>
          <w:rFonts w:cs="Arial"/>
          <w:color w:val="000000"/>
          <w:szCs w:val="24"/>
        </w:rPr>
        <w:t xml:space="preserve">, </w:t>
      </w:r>
      <w:hyperlink r:id="rId34" w:history="1">
        <w:r w:rsidRPr="00D55996">
          <w:rPr>
            <w:rStyle w:val="Hyperlink"/>
            <w:rFonts w:cs="Arial"/>
            <w:bCs/>
            <w:color w:val="000000"/>
            <w:szCs w:val="24"/>
            <w:u w:val="none"/>
          </w:rPr>
          <w:t>Hwang BF</w:t>
        </w:r>
      </w:hyperlink>
      <w:r w:rsidRPr="00D55996">
        <w:rPr>
          <w:rFonts w:cs="Arial"/>
          <w:color w:val="000000"/>
          <w:szCs w:val="24"/>
        </w:rPr>
        <w:t xml:space="preserve">, </w:t>
      </w:r>
      <w:hyperlink r:id="rId35" w:history="1">
        <w:r w:rsidRPr="00D55996">
          <w:rPr>
            <w:rStyle w:val="Hyperlink"/>
            <w:rFonts w:cs="Arial"/>
            <w:bCs/>
            <w:color w:val="000000"/>
            <w:szCs w:val="24"/>
            <w:u w:val="none"/>
          </w:rPr>
          <w:t>Lin YC</w:t>
        </w:r>
      </w:hyperlink>
      <w:r w:rsidRPr="00D55996">
        <w:rPr>
          <w:rFonts w:cs="Arial"/>
          <w:color w:val="000000"/>
          <w:szCs w:val="24"/>
        </w:rPr>
        <w:t xml:space="preserve">, </w:t>
      </w:r>
      <w:hyperlink r:id="rId36" w:history="1">
        <w:r w:rsidRPr="00D55996">
          <w:rPr>
            <w:rStyle w:val="Hyperlink"/>
            <w:rFonts w:cs="Arial"/>
            <w:bCs/>
            <w:color w:val="000000"/>
            <w:szCs w:val="24"/>
            <w:u w:val="none"/>
          </w:rPr>
          <w:t>Guo YL</w:t>
        </w:r>
      </w:hyperlink>
      <w:r w:rsidRPr="00D55996">
        <w:rPr>
          <w:rStyle w:val="Hyperlink"/>
          <w:rFonts w:cs="Arial"/>
          <w:bCs/>
          <w:color w:val="000000"/>
          <w:szCs w:val="24"/>
          <w:u w:val="none"/>
        </w:rPr>
        <w:t>; Taiwan Childhood Allergy Survey Group</w:t>
      </w:r>
      <w:r w:rsidRPr="00D55996">
        <w:rPr>
          <w:rFonts w:cs="Arial"/>
          <w:color w:val="000000"/>
          <w:szCs w:val="24"/>
        </w:rPr>
        <w:t>. Time trend of asthma prevalence among school children in Taiwan: ISSAC Phase I and III Surveys. Pediatr Allergy Immunol 2007; 18(3):188-95.</w:t>
      </w:r>
    </w:p>
    <w:p w:rsidR="00A327E6" w:rsidRPr="00D55996" w:rsidRDefault="00A327E6" w:rsidP="00D55996">
      <w:pPr>
        <w:spacing w:before="0" w:after="0"/>
        <w:rPr>
          <w:rFonts w:cs="Arial"/>
          <w:color w:val="000000"/>
          <w:szCs w:val="24"/>
        </w:rPr>
      </w:pPr>
    </w:p>
    <w:p w:rsidR="00A327E6" w:rsidRPr="00D55996" w:rsidRDefault="00A327E6" w:rsidP="00D55996">
      <w:pPr>
        <w:spacing w:before="0" w:after="0"/>
        <w:rPr>
          <w:rFonts w:cs="Arial"/>
          <w:color w:val="000000"/>
          <w:szCs w:val="24"/>
        </w:rPr>
      </w:pPr>
      <w:r w:rsidRPr="00D55996">
        <w:rPr>
          <w:rFonts w:cs="Arial"/>
          <w:color w:val="000000"/>
          <w:szCs w:val="24"/>
        </w:rPr>
        <w:t>Leikauf GD. Hazardous air pollutants and asthma. Environ Health Perspect 2002; 110(4):505-26.</w:t>
      </w:r>
    </w:p>
    <w:p w:rsidR="00A327E6" w:rsidRPr="00D55996" w:rsidRDefault="00A327E6" w:rsidP="00D55996">
      <w:pPr>
        <w:spacing w:before="0" w:after="0"/>
        <w:rPr>
          <w:rFonts w:cs="Arial"/>
          <w:bCs/>
          <w:szCs w:val="24"/>
        </w:rPr>
      </w:pPr>
    </w:p>
    <w:p w:rsidR="00A327E6" w:rsidRPr="00D55996" w:rsidRDefault="00A327E6" w:rsidP="00D55996">
      <w:pPr>
        <w:spacing w:before="0" w:after="0"/>
        <w:rPr>
          <w:rFonts w:cs="Arial"/>
          <w:bCs/>
          <w:szCs w:val="24"/>
        </w:rPr>
      </w:pPr>
      <w:r w:rsidRPr="00D55996">
        <w:rPr>
          <w:rFonts w:cs="Arial"/>
          <w:bCs/>
          <w:szCs w:val="24"/>
        </w:rPr>
        <w:t>Le Tertre A, Medina S, Samoli E, Forsberg B, Michelozzi P, Boumghar A, Vonk JM, Bellini A, Atkinson R, Ayres JG, Sunyer J, Schwartz J, Katsouyanni K. Short-term effects of particulate air pollution on cardiovascular diseases in eight European cities. J Epidemiol Community Health 2002; 56(10):773-9.</w:t>
      </w:r>
    </w:p>
    <w:p w:rsidR="00A327E6" w:rsidRPr="00D55996" w:rsidRDefault="00A327E6" w:rsidP="00D55996">
      <w:pPr>
        <w:spacing w:before="0" w:after="0"/>
        <w:rPr>
          <w:rFonts w:cs="Arial"/>
          <w:bCs/>
          <w:szCs w:val="24"/>
        </w:rPr>
      </w:pPr>
    </w:p>
    <w:p w:rsidR="00A327E6" w:rsidRPr="00D55996" w:rsidRDefault="00A327E6" w:rsidP="00D55996">
      <w:pPr>
        <w:spacing w:before="0" w:after="0"/>
        <w:rPr>
          <w:rFonts w:cs="Arial"/>
          <w:bCs/>
          <w:szCs w:val="24"/>
        </w:rPr>
      </w:pPr>
      <w:r w:rsidRPr="00D55996">
        <w:rPr>
          <w:rFonts w:cs="Arial"/>
          <w:bCs/>
          <w:szCs w:val="24"/>
        </w:rPr>
        <w:t>Levy JI, Bennett DH, Melly SJ, Spengler JD. Influence of traffic patterns on particulate matter and polycyclic aromatic hydrocarbon concentrations in Roxbury, Massachusetts. J Expo Anal Environ Epidemiol 2003; 13:364-71.</w:t>
      </w:r>
    </w:p>
    <w:p w:rsidR="00A327E6" w:rsidRPr="00D55996" w:rsidRDefault="00A327E6" w:rsidP="00D55996">
      <w:pPr>
        <w:spacing w:before="0" w:after="0"/>
        <w:rPr>
          <w:rFonts w:cs="Arial"/>
          <w:bCs/>
          <w:szCs w:val="24"/>
        </w:rPr>
      </w:pPr>
    </w:p>
    <w:p w:rsidR="00A327E6" w:rsidRPr="00D55996" w:rsidRDefault="00A327E6" w:rsidP="00D55996">
      <w:pPr>
        <w:spacing w:before="0" w:after="0"/>
        <w:rPr>
          <w:rFonts w:cs="Arial"/>
          <w:bCs/>
          <w:szCs w:val="24"/>
        </w:rPr>
      </w:pPr>
      <w:r w:rsidRPr="00D55996">
        <w:rPr>
          <w:rFonts w:cs="Arial"/>
          <w:bCs/>
          <w:szCs w:val="24"/>
        </w:rPr>
        <w:t>Lin S, Munsie JP, Herdt-Losavio M, Hwang SA, Civerolo K, McGarry K, Gentile T. Residential proximity to large airports and potential health impacts in New York State. Int Arch Occup Environ Health 2008; 81(7):797-804.</w:t>
      </w:r>
    </w:p>
    <w:p w:rsidR="00A327E6" w:rsidRPr="00D55996" w:rsidRDefault="00A327E6" w:rsidP="00D55996">
      <w:pPr>
        <w:spacing w:before="0" w:after="0"/>
        <w:rPr>
          <w:rFonts w:cs="Arial"/>
          <w:bCs/>
          <w:szCs w:val="24"/>
        </w:rPr>
      </w:pPr>
    </w:p>
    <w:p w:rsidR="00A327E6" w:rsidRDefault="00A327E6" w:rsidP="00D55996">
      <w:pPr>
        <w:spacing w:before="0" w:after="0"/>
        <w:rPr>
          <w:rFonts w:cs="Arial"/>
          <w:bCs/>
          <w:szCs w:val="24"/>
        </w:rPr>
      </w:pPr>
      <w:r w:rsidRPr="00D55996">
        <w:rPr>
          <w:rFonts w:cs="Arial"/>
          <w:bCs/>
          <w:szCs w:val="24"/>
        </w:rPr>
        <w:t>Lindgren A, Björk J, Stroh E, Jakobsson K. Adult asthma and traffic exposure at residential address, workplace address, and self-reported daily time outdoor in traffic: A two-stage case-control study. BMC Public Health 2010; 10:716.</w:t>
      </w:r>
    </w:p>
    <w:p w:rsidR="00A327E6" w:rsidRPr="00D55996" w:rsidRDefault="00A327E6" w:rsidP="00D55996">
      <w:pPr>
        <w:spacing w:before="0" w:after="0"/>
        <w:rPr>
          <w:rFonts w:cs="Arial"/>
          <w:bCs/>
          <w:szCs w:val="24"/>
        </w:rPr>
      </w:pPr>
    </w:p>
    <w:p w:rsidR="00A327E6" w:rsidRPr="00D55996" w:rsidRDefault="00A327E6" w:rsidP="00D55996">
      <w:pPr>
        <w:spacing w:before="0" w:after="0"/>
        <w:rPr>
          <w:rFonts w:cs="Arial"/>
          <w:bCs/>
          <w:szCs w:val="24"/>
        </w:rPr>
      </w:pPr>
      <w:r w:rsidRPr="00D55996">
        <w:rPr>
          <w:rFonts w:cs="Arial"/>
          <w:bCs/>
          <w:szCs w:val="24"/>
        </w:rPr>
        <w:t>Lindgren A, Stroh E, Montnémery P, Nihlén U, Jakobsson K, Axmon A. Traffic-related air pollution associated with prevalence of asthma and COPD/chronic bronchitis. A cross-sectional study in Southern Sweden. Int J Health Geogr 2009; 8:2.</w:t>
      </w:r>
    </w:p>
    <w:p w:rsidR="00A327E6" w:rsidRPr="00D55996" w:rsidRDefault="00A327E6" w:rsidP="00D55996">
      <w:pPr>
        <w:autoSpaceDE w:val="0"/>
        <w:autoSpaceDN w:val="0"/>
        <w:adjustRightInd w:val="0"/>
        <w:spacing w:before="0" w:after="0"/>
        <w:rPr>
          <w:rFonts w:cs="Arial Unicode MS"/>
          <w:bCs/>
          <w:kern w:val="36"/>
          <w:szCs w:val="24"/>
        </w:rPr>
      </w:pPr>
    </w:p>
    <w:p w:rsidR="00A327E6" w:rsidRPr="00D55996" w:rsidRDefault="00A327E6" w:rsidP="00D55996">
      <w:pPr>
        <w:autoSpaceDE w:val="0"/>
        <w:autoSpaceDN w:val="0"/>
        <w:adjustRightInd w:val="0"/>
        <w:spacing w:before="0" w:after="0"/>
        <w:rPr>
          <w:rFonts w:cs="Arial Unicode MS"/>
          <w:bCs/>
          <w:kern w:val="36"/>
          <w:szCs w:val="24"/>
        </w:rPr>
      </w:pPr>
      <w:r w:rsidRPr="00D55996">
        <w:rPr>
          <w:rFonts w:cs="Arial Unicode MS"/>
          <w:bCs/>
          <w:kern w:val="36"/>
          <w:szCs w:val="24"/>
        </w:rPr>
        <w:t>Lloyd-Jones DM, Larson MG, Beiser A, Levy D. Lifetime risk of developing coronary heart disease. Lancet 1999; 353(9147): 89-92.</w:t>
      </w:r>
    </w:p>
    <w:p w:rsidR="00A327E6" w:rsidRPr="00D55996" w:rsidRDefault="00A327E6" w:rsidP="00D55996">
      <w:pPr>
        <w:autoSpaceDE w:val="0"/>
        <w:autoSpaceDN w:val="0"/>
        <w:adjustRightInd w:val="0"/>
        <w:spacing w:before="0" w:after="0"/>
        <w:rPr>
          <w:rFonts w:cs="Arial"/>
          <w:color w:val="000000"/>
          <w:szCs w:val="24"/>
        </w:rPr>
      </w:pPr>
    </w:p>
    <w:p w:rsidR="00A327E6" w:rsidRPr="00D55996" w:rsidRDefault="00A327E6" w:rsidP="00D55996">
      <w:pPr>
        <w:autoSpaceDE w:val="0"/>
        <w:autoSpaceDN w:val="0"/>
        <w:adjustRightInd w:val="0"/>
        <w:spacing w:before="0" w:after="0"/>
        <w:rPr>
          <w:rFonts w:cs="Arial"/>
          <w:color w:val="000000"/>
          <w:szCs w:val="24"/>
        </w:rPr>
      </w:pPr>
      <w:r w:rsidRPr="00D55996">
        <w:rPr>
          <w:rFonts w:cs="Arial"/>
          <w:color w:val="000000"/>
          <w:szCs w:val="24"/>
        </w:rPr>
        <w:t>MacNee W, Donaldson K. Exacerbations of COPD: Environmental mechanisms. Chest 2000; 117(5 Suppl 2):390S-7S.</w:t>
      </w:r>
    </w:p>
    <w:p w:rsidR="00A327E6" w:rsidRPr="00D55996" w:rsidRDefault="00A327E6" w:rsidP="00D55996">
      <w:pPr>
        <w:autoSpaceDE w:val="0"/>
        <w:autoSpaceDN w:val="0"/>
        <w:adjustRightInd w:val="0"/>
        <w:spacing w:before="0" w:after="0"/>
        <w:rPr>
          <w:rFonts w:cs="Arial"/>
          <w:color w:val="000000"/>
          <w:szCs w:val="24"/>
        </w:rPr>
      </w:pPr>
    </w:p>
    <w:p w:rsidR="00A327E6" w:rsidRPr="00D55996" w:rsidRDefault="00A327E6" w:rsidP="00D55996">
      <w:pPr>
        <w:autoSpaceDE w:val="0"/>
        <w:autoSpaceDN w:val="0"/>
        <w:adjustRightInd w:val="0"/>
        <w:spacing w:before="0" w:after="0"/>
        <w:rPr>
          <w:rFonts w:cs="Arial"/>
          <w:color w:val="000000"/>
          <w:szCs w:val="24"/>
        </w:rPr>
      </w:pPr>
      <w:r w:rsidRPr="00D55996">
        <w:rPr>
          <w:rFonts w:cs="Arial"/>
          <w:color w:val="000000"/>
          <w:szCs w:val="24"/>
        </w:rPr>
        <w:t xml:space="preserve">MacNee W, Donaldson K. Mechanism of lung injury caused by </w:t>
      </w:r>
      <w:r w:rsidRPr="0021796A">
        <w:rPr>
          <w:szCs w:val="24"/>
        </w:rPr>
        <w:t>PM</w:t>
      </w:r>
      <w:r w:rsidRPr="0021796A">
        <w:rPr>
          <w:szCs w:val="24"/>
          <w:vertAlign w:val="subscript"/>
        </w:rPr>
        <w:t>10</w:t>
      </w:r>
      <w:r w:rsidRPr="00D55996">
        <w:rPr>
          <w:rFonts w:cs="Arial"/>
          <w:color w:val="000000"/>
          <w:szCs w:val="24"/>
        </w:rPr>
        <w:t xml:space="preserve"> and ultrafine particles with special reference to COPD. Eur Respir J Suppl 2003; 40:47s-51s.</w:t>
      </w:r>
    </w:p>
    <w:p w:rsidR="00A327E6" w:rsidRPr="00D55996" w:rsidRDefault="00A327E6" w:rsidP="00D55996">
      <w:pPr>
        <w:autoSpaceDE w:val="0"/>
        <w:autoSpaceDN w:val="0"/>
        <w:adjustRightInd w:val="0"/>
        <w:spacing w:before="0" w:after="0"/>
        <w:rPr>
          <w:rFonts w:cs="Arial"/>
          <w:color w:val="000000"/>
          <w:szCs w:val="24"/>
        </w:rPr>
      </w:pPr>
    </w:p>
    <w:p w:rsidR="00A327E6" w:rsidRPr="00D55996" w:rsidRDefault="00A327E6" w:rsidP="00D55996">
      <w:pPr>
        <w:spacing w:before="0" w:after="0"/>
        <w:rPr>
          <w:rFonts w:cs="Arial"/>
          <w:color w:val="000000"/>
          <w:szCs w:val="24"/>
        </w:rPr>
      </w:pPr>
      <w:r w:rsidRPr="00D55996">
        <w:rPr>
          <w:rFonts w:cs="Arial"/>
          <w:color w:val="000000"/>
          <w:szCs w:val="24"/>
        </w:rPr>
        <w:t>Mannino DM. COPD: Epidemiology, prevalence, morbidity and mortality, and disease heterogeneity. Chest 2002; 121(5 Suppl):121S-126S.</w:t>
      </w:r>
    </w:p>
    <w:p w:rsidR="00A327E6" w:rsidRPr="00D55996" w:rsidRDefault="00A327E6" w:rsidP="00D55996">
      <w:pPr>
        <w:spacing w:before="0" w:after="0"/>
        <w:rPr>
          <w:rFonts w:cs="Arial"/>
          <w:bCs/>
          <w:szCs w:val="24"/>
        </w:rPr>
      </w:pPr>
    </w:p>
    <w:p w:rsidR="00A327E6" w:rsidRPr="00D55996" w:rsidRDefault="00A327E6" w:rsidP="00D55996">
      <w:pPr>
        <w:spacing w:before="0" w:after="0"/>
        <w:rPr>
          <w:rFonts w:cs="Arial"/>
          <w:bCs/>
          <w:szCs w:val="24"/>
        </w:rPr>
      </w:pPr>
      <w:r w:rsidRPr="00D55996">
        <w:rPr>
          <w:rFonts w:cs="Arial"/>
          <w:bCs/>
          <w:szCs w:val="24"/>
        </w:rPr>
        <w:t>McConnell R, Berhane K, Gilliland F, London SJ, Vora H, Avol E, Gauderman WJ, Margolis HG, Lurmann F, Thomas DC, Peters JM. Air pollution and bronchitic symptoms in Southern California children with asthma. Environ Health Perspect 1999; 107(9):757-60.</w:t>
      </w:r>
    </w:p>
    <w:p w:rsidR="00A327E6" w:rsidRPr="00D55996" w:rsidRDefault="00A327E6" w:rsidP="00D55996">
      <w:pPr>
        <w:spacing w:before="0" w:after="0"/>
        <w:rPr>
          <w:rFonts w:cs="Arial"/>
          <w:bCs/>
          <w:szCs w:val="24"/>
        </w:rPr>
      </w:pPr>
    </w:p>
    <w:p w:rsidR="00A327E6" w:rsidRPr="00D55996" w:rsidRDefault="00A327E6" w:rsidP="00D55996">
      <w:pPr>
        <w:spacing w:before="0" w:after="0"/>
        <w:rPr>
          <w:rFonts w:cs="Arial"/>
          <w:bCs/>
          <w:szCs w:val="24"/>
        </w:rPr>
      </w:pPr>
      <w:r w:rsidRPr="00D55996">
        <w:rPr>
          <w:rFonts w:cs="Arial"/>
          <w:bCs/>
          <w:szCs w:val="24"/>
        </w:rPr>
        <w:t>McConnell R, Berhane K, Yao L, Jerrett M, Lurmann F, Gilliland F, Künzli N, Gauderman J, Avol E, Thomas D, Peters J. Traffic, susceptibility, and childhood asthma. Environ Health Perspect 2006; 114(5):766-72.</w:t>
      </w:r>
    </w:p>
    <w:p w:rsidR="00A327E6" w:rsidRPr="00D55996" w:rsidRDefault="00A327E6" w:rsidP="00D55996">
      <w:pPr>
        <w:spacing w:before="0" w:after="0"/>
        <w:rPr>
          <w:rFonts w:cs="Arial"/>
          <w:bCs/>
          <w:szCs w:val="24"/>
        </w:rPr>
      </w:pPr>
    </w:p>
    <w:p w:rsidR="00A327E6" w:rsidRPr="00D55996" w:rsidRDefault="00A327E6" w:rsidP="00D55996">
      <w:pPr>
        <w:spacing w:before="0" w:after="0"/>
        <w:rPr>
          <w:rFonts w:cs="Arial"/>
          <w:bCs/>
          <w:szCs w:val="24"/>
        </w:rPr>
      </w:pPr>
      <w:r w:rsidRPr="00D55996">
        <w:rPr>
          <w:rFonts w:cs="Arial"/>
          <w:bCs/>
          <w:szCs w:val="24"/>
        </w:rPr>
        <w:t>McConnell R, Islam T, Shankardass K, Jerrett M, Lurmann F, Gilliland F, Gauderman J, Avol E, Künzli N, Yao L, Peters J, Berhane K. Childhood incident asthma and traffic-related air pollution at home and school. Environ Health Perspect 2010; 118(7):1021-6.</w:t>
      </w:r>
    </w:p>
    <w:p w:rsidR="00A327E6" w:rsidRPr="00D55996" w:rsidRDefault="00A327E6" w:rsidP="00D55996">
      <w:pPr>
        <w:spacing w:before="0" w:after="0"/>
        <w:rPr>
          <w:rFonts w:cs="Arial"/>
          <w:color w:val="000000"/>
          <w:szCs w:val="24"/>
        </w:rPr>
      </w:pPr>
    </w:p>
    <w:p w:rsidR="00A327E6" w:rsidRPr="00D55996" w:rsidRDefault="00A327E6" w:rsidP="00D55996">
      <w:pPr>
        <w:autoSpaceDE w:val="0"/>
        <w:autoSpaceDN w:val="0"/>
        <w:adjustRightInd w:val="0"/>
        <w:spacing w:before="0" w:after="0"/>
        <w:rPr>
          <w:rFonts w:cs="Arial"/>
          <w:color w:val="000000"/>
          <w:szCs w:val="24"/>
        </w:rPr>
      </w:pPr>
      <w:r w:rsidRPr="00D55996">
        <w:rPr>
          <w:rFonts w:cs="Arial"/>
          <w:color w:val="000000"/>
          <w:szCs w:val="24"/>
        </w:rPr>
        <w:t>MDPH, 2009. Burden of Asthma in Massachusetts. MDPH, Asthma Prevention and Control Program. April 2009.</w:t>
      </w:r>
    </w:p>
    <w:p w:rsidR="00A327E6" w:rsidRPr="00D55996" w:rsidRDefault="00A327E6" w:rsidP="00D55996">
      <w:pPr>
        <w:spacing w:before="0" w:after="0"/>
        <w:rPr>
          <w:rFonts w:cs="Arial"/>
          <w:bCs/>
          <w:szCs w:val="24"/>
        </w:rPr>
      </w:pPr>
    </w:p>
    <w:p w:rsidR="00A327E6" w:rsidRPr="00D55996" w:rsidRDefault="00A327E6" w:rsidP="00D55996">
      <w:pPr>
        <w:spacing w:before="0" w:after="0"/>
        <w:rPr>
          <w:rFonts w:cs="Arial"/>
          <w:bCs/>
          <w:szCs w:val="24"/>
        </w:rPr>
      </w:pPr>
      <w:r w:rsidRPr="00D55996">
        <w:rPr>
          <w:rFonts w:cs="Arial"/>
          <w:bCs/>
          <w:szCs w:val="24"/>
        </w:rPr>
        <w:t>Metzger KB, Tolbert PE, Klein M, Peel JL, Flanders WD, Todd K, Mulholland JA, Ryan PB, Frumkin H. Ambient air pollution and cardiovascular emergency department visits. Epidemiology 2004; 15(1):46-56.</w:t>
      </w:r>
    </w:p>
    <w:p w:rsidR="00A327E6" w:rsidRPr="00D55996" w:rsidRDefault="00A327E6" w:rsidP="00D55996">
      <w:pPr>
        <w:spacing w:before="0" w:after="0"/>
        <w:rPr>
          <w:rFonts w:cs="Arial"/>
          <w:color w:val="000000"/>
          <w:szCs w:val="24"/>
        </w:rPr>
      </w:pPr>
    </w:p>
    <w:p w:rsidR="00A327E6" w:rsidRPr="00D55996" w:rsidRDefault="00A327E6" w:rsidP="00D55996">
      <w:pPr>
        <w:spacing w:before="0" w:after="0"/>
        <w:rPr>
          <w:rFonts w:cs="Arial"/>
          <w:color w:val="000000"/>
          <w:szCs w:val="24"/>
        </w:rPr>
      </w:pPr>
      <w:r w:rsidRPr="00D55996">
        <w:rPr>
          <w:rFonts w:cs="Arial"/>
          <w:color w:val="000000"/>
          <w:szCs w:val="24"/>
        </w:rPr>
        <w:t>Miller KA, Siscovick DS, Sheppard L, Shepherd K, Sullivan JH, Anderson GL, Kaufman JD. Long-term exposure to air pollution and incidence of cardiovascular events in women. N Engl J Med 2007; 356(5):447-58.</w:t>
      </w:r>
    </w:p>
    <w:p w:rsidR="00A327E6" w:rsidRPr="00D55996" w:rsidRDefault="00A327E6" w:rsidP="00D55996">
      <w:pPr>
        <w:autoSpaceDE w:val="0"/>
        <w:autoSpaceDN w:val="0"/>
        <w:adjustRightInd w:val="0"/>
        <w:spacing w:before="0" w:after="0"/>
        <w:rPr>
          <w:rFonts w:cs="Arial"/>
          <w:color w:val="000000"/>
          <w:szCs w:val="24"/>
        </w:rPr>
      </w:pPr>
    </w:p>
    <w:p w:rsidR="00A327E6" w:rsidRPr="00D55996" w:rsidRDefault="00A327E6" w:rsidP="00D55996">
      <w:pPr>
        <w:spacing w:before="0" w:after="0"/>
        <w:rPr>
          <w:bCs/>
          <w:kern w:val="36"/>
          <w:szCs w:val="24"/>
        </w:rPr>
      </w:pPr>
      <w:r w:rsidRPr="00D55996">
        <w:rPr>
          <w:bCs/>
          <w:kern w:val="36"/>
          <w:szCs w:val="24"/>
        </w:rPr>
        <w:t>Millstein J, Gilliland F, Berhane K, Gauderman WJ, McConnell R, Avol E, Rappaport EB, Peters JM. Effects of ambient air pollutants on asthma medication use and wheezing among fourth-grade school children from 12 Southern California communities enrolled in The Children's Health Study. Arch Environ Health 2004; 59(10):505-14.</w:t>
      </w:r>
    </w:p>
    <w:p w:rsidR="00A327E6" w:rsidRDefault="00A327E6" w:rsidP="00D55996">
      <w:pPr>
        <w:spacing w:before="0" w:after="0"/>
        <w:rPr>
          <w:rFonts w:cs="Arial"/>
          <w:color w:val="000000"/>
          <w:szCs w:val="24"/>
        </w:rPr>
      </w:pPr>
    </w:p>
    <w:p w:rsidR="00A327E6" w:rsidRPr="00D55996" w:rsidRDefault="00A327E6" w:rsidP="00D55996">
      <w:pPr>
        <w:spacing w:before="0" w:after="0"/>
        <w:rPr>
          <w:rFonts w:cs="Arial"/>
          <w:color w:val="000000"/>
          <w:szCs w:val="24"/>
        </w:rPr>
      </w:pPr>
      <w:r w:rsidRPr="00D55996">
        <w:rPr>
          <w:rFonts w:cs="Arial"/>
          <w:color w:val="000000"/>
          <w:szCs w:val="24"/>
        </w:rPr>
        <w:t>Miyakita T, Yoza T, Matsui T, Ito A, Hiramatsu K, Osada Y, Yamamoto T. An epidemiological study regarding the hearing acuity of residents in the area with high level of aircraft noise: Results of hearing tests conducted in the vicinity of Kadena Air Base. Nippon Eiseigaku Zacchi 2001; 56(3): 577-83.</w:t>
      </w:r>
    </w:p>
    <w:p w:rsidR="00A327E6" w:rsidRPr="00D55996" w:rsidRDefault="00A327E6" w:rsidP="00D55996">
      <w:pPr>
        <w:autoSpaceDE w:val="0"/>
        <w:autoSpaceDN w:val="0"/>
        <w:adjustRightInd w:val="0"/>
        <w:spacing w:before="0" w:after="0"/>
        <w:rPr>
          <w:rFonts w:cs="Calibri"/>
          <w:bCs/>
          <w:szCs w:val="24"/>
        </w:rPr>
      </w:pPr>
      <w:r w:rsidRPr="00D55996">
        <w:rPr>
          <w:rFonts w:cs="Arial"/>
          <w:bCs/>
          <w:szCs w:val="24"/>
        </w:rPr>
        <w:t xml:space="preserve">Morin B. </w:t>
      </w:r>
      <w:r w:rsidRPr="00D55996">
        <w:rPr>
          <w:rFonts w:cs="Arial"/>
          <w:szCs w:val="24"/>
        </w:rPr>
        <w:t xml:space="preserve">TF Green Airport Air Monitoring Study. Presentation at </w:t>
      </w:r>
      <w:r w:rsidRPr="00D55996">
        <w:rPr>
          <w:rFonts w:cs="Calibri"/>
          <w:bCs/>
          <w:szCs w:val="24"/>
        </w:rPr>
        <w:t xml:space="preserve">EPA Air Toxics Data Analysis Workshop October 3, 2007. </w:t>
      </w:r>
      <w:hyperlink r:id="rId37" w:history="1">
        <w:r w:rsidRPr="00D55996">
          <w:rPr>
            <w:rStyle w:val="Hyperlink"/>
            <w:rFonts w:cs="Calibri"/>
            <w:bCs/>
            <w:szCs w:val="24"/>
          </w:rPr>
          <w:t>http://www.epa.gov/ttnamti1/files/ambient/airtox/2007-workshop/ 01_100307_ morin.pdf-</w:t>
        </w:r>
      </w:hyperlink>
    </w:p>
    <w:p w:rsidR="00A327E6" w:rsidRPr="00D55996" w:rsidRDefault="00A327E6" w:rsidP="00D55996">
      <w:pPr>
        <w:autoSpaceDE w:val="0"/>
        <w:autoSpaceDN w:val="0"/>
        <w:adjustRightInd w:val="0"/>
        <w:spacing w:before="0" w:after="0"/>
        <w:rPr>
          <w:rFonts w:cs="Calibri"/>
          <w:szCs w:val="24"/>
        </w:rPr>
      </w:pPr>
    </w:p>
    <w:p w:rsidR="00A327E6" w:rsidRPr="00D55996" w:rsidRDefault="00A327E6" w:rsidP="00D55996">
      <w:pPr>
        <w:spacing w:before="0" w:after="0"/>
        <w:rPr>
          <w:rFonts w:cs="Arial"/>
          <w:bCs/>
          <w:szCs w:val="24"/>
        </w:rPr>
      </w:pPr>
      <w:r w:rsidRPr="00D55996">
        <w:rPr>
          <w:szCs w:val="24"/>
        </w:rPr>
        <w:t xml:space="preserve">Mortimer KM, Neas LM, Dockery DW, Redline S, Tager IB. The effect of air pollution on inner-city children with asthma. </w:t>
      </w:r>
      <w:r w:rsidRPr="00D55996">
        <w:rPr>
          <w:rStyle w:val="ref-journal"/>
          <w:szCs w:val="24"/>
        </w:rPr>
        <w:t xml:space="preserve">Eur Respir J </w:t>
      </w:r>
      <w:r w:rsidRPr="00D55996">
        <w:rPr>
          <w:szCs w:val="24"/>
        </w:rPr>
        <w:t xml:space="preserve">2002; </w:t>
      </w:r>
      <w:r w:rsidRPr="00D55996">
        <w:rPr>
          <w:rStyle w:val="ref-vol"/>
          <w:szCs w:val="24"/>
        </w:rPr>
        <w:t>19</w:t>
      </w:r>
      <w:r w:rsidRPr="00D55996">
        <w:rPr>
          <w:szCs w:val="24"/>
        </w:rPr>
        <w:t>(4):699–705.</w:t>
      </w:r>
    </w:p>
    <w:p w:rsidR="00A327E6" w:rsidRPr="00D55996" w:rsidRDefault="00A327E6" w:rsidP="00D55996">
      <w:pPr>
        <w:spacing w:before="0" w:after="0"/>
        <w:rPr>
          <w:rFonts w:cs="Arial"/>
          <w:bCs/>
          <w:szCs w:val="24"/>
        </w:rPr>
      </w:pPr>
    </w:p>
    <w:p w:rsidR="00A327E6" w:rsidRPr="00D55996" w:rsidRDefault="00A327E6" w:rsidP="00D55996">
      <w:pPr>
        <w:spacing w:before="0" w:after="0"/>
        <w:rPr>
          <w:rFonts w:cs="Arial"/>
          <w:color w:val="000000"/>
          <w:szCs w:val="24"/>
        </w:rPr>
      </w:pPr>
      <w:r w:rsidRPr="00D55996">
        <w:rPr>
          <w:rFonts w:cs="Arial"/>
          <w:color w:val="000000"/>
          <w:szCs w:val="24"/>
        </w:rPr>
        <w:t>NAS, 2005. National Academy of Sciences. Institute of Medicine of the National Academies. Noise and Military Service: Implications for Hearing Loss and Tinnitus. Medical Follow-Up Agency. Committee on Noise-Induced Hearing Loss and Tinnitus Associated with Military Service from World War II to the Present. 2005.</w:t>
      </w:r>
    </w:p>
    <w:p w:rsidR="00A327E6" w:rsidRPr="00D55996" w:rsidRDefault="00A327E6" w:rsidP="00D55996">
      <w:pPr>
        <w:spacing w:before="0" w:after="0"/>
        <w:rPr>
          <w:rFonts w:cs="Arial"/>
          <w:bCs/>
          <w:szCs w:val="24"/>
        </w:rPr>
      </w:pPr>
    </w:p>
    <w:p w:rsidR="00A327E6" w:rsidRPr="00D55996" w:rsidRDefault="00A327E6" w:rsidP="00D55996">
      <w:pPr>
        <w:spacing w:before="0" w:after="0"/>
        <w:rPr>
          <w:rFonts w:cs="Arial"/>
          <w:bCs/>
          <w:szCs w:val="24"/>
        </w:rPr>
      </w:pPr>
      <w:r w:rsidRPr="00D55996">
        <w:rPr>
          <w:rFonts w:cs="Arial"/>
          <w:bCs/>
          <w:szCs w:val="24"/>
        </w:rPr>
        <w:t>National Asthma Education and Prevention Program. Expert Panel Report 3 (EPR-3): Guidelines for the Diagnosis and Management of Asthma-Summary Report 2007. J Allergy Clin Immunol. 2007 Nov;120(5 Suppl):S94-138. Erratum in: J Allergy Clin Immunol. 2008; 121(6):1330.</w:t>
      </w:r>
    </w:p>
    <w:p w:rsidR="00A327E6" w:rsidRPr="00D55996" w:rsidRDefault="00A327E6" w:rsidP="00D55996">
      <w:pPr>
        <w:spacing w:before="0" w:after="0"/>
        <w:rPr>
          <w:rFonts w:cs="Arial"/>
          <w:color w:val="000000"/>
          <w:szCs w:val="24"/>
        </w:rPr>
      </w:pPr>
    </w:p>
    <w:p w:rsidR="00A327E6" w:rsidRPr="00D55996" w:rsidRDefault="00A327E6" w:rsidP="00D55996">
      <w:pPr>
        <w:spacing w:before="0" w:after="0"/>
        <w:rPr>
          <w:rFonts w:cs="Arial"/>
          <w:color w:val="000000"/>
          <w:szCs w:val="24"/>
        </w:rPr>
      </w:pPr>
      <w:r w:rsidRPr="00D55996">
        <w:rPr>
          <w:rFonts w:cs="Arial"/>
          <w:color w:val="000000"/>
          <w:szCs w:val="24"/>
        </w:rPr>
        <w:t>NHLBI, 1995. National Heart, Lung, and Blood Institute. National Asthma Education and Prevention Program. Expert Panel Report 3: Guidelines for the Diagnosis and Management of Asthma. Full Report. 2007.</w:t>
      </w:r>
    </w:p>
    <w:p w:rsidR="00A327E6" w:rsidRPr="00D55996" w:rsidRDefault="00A327E6" w:rsidP="00D55996">
      <w:pPr>
        <w:autoSpaceDE w:val="0"/>
        <w:autoSpaceDN w:val="0"/>
        <w:adjustRightInd w:val="0"/>
        <w:spacing w:before="0" w:after="0"/>
        <w:rPr>
          <w:rFonts w:cs="Arial"/>
          <w:color w:val="000000"/>
          <w:szCs w:val="24"/>
        </w:rPr>
      </w:pPr>
    </w:p>
    <w:p w:rsidR="00A327E6" w:rsidRPr="00D55996" w:rsidRDefault="00A327E6" w:rsidP="00D55996">
      <w:pPr>
        <w:spacing w:before="0" w:after="0"/>
        <w:rPr>
          <w:rFonts w:cs="Arial"/>
          <w:color w:val="000000"/>
          <w:szCs w:val="24"/>
          <w:lang w:val="sv-SE"/>
        </w:rPr>
      </w:pPr>
      <w:r w:rsidRPr="00D55996">
        <w:rPr>
          <w:rFonts w:cs="Arial"/>
          <w:color w:val="000000"/>
          <w:szCs w:val="24"/>
        </w:rPr>
        <w:t xml:space="preserve">NIDCD, 2005. National Institute on Deafness and Other Communication Disorders, National Institute of Health. </w:t>
      </w:r>
      <w:hyperlink r:id="rId38" w:history="1">
        <w:r w:rsidRPr="00D55996">
          <w:rPr>
            <w:rStyle w:val="Hyperlink"/>
            <w:rFonts w:cs="Arial"/>
            <w:color w:val="000000"/>
            <w:szCs w:val="24"/>
            <w:lang w:val="sv-SE"/>
          </w:rPr>
          <w:t>http://www.nidcd.nih.gov/health/inside/index.asp</w:t>
        </w:r>
      </w:hyperlink>
    </w:p>
    <w:p w:rsidR="00A327E6" w:rsidRPr="00D55996" w:rsidRDefault="00A327E6" w:rsidP="00D55996">
      <w:pPr>
        <w:spacing w:before="0" w:after="0"/>
        <w:rPr>
          <w:rFonts w:cs="Arial"/>
          <w:bCs/>
          <w:szCs w:val="24"/>
        </w:rPr>
      </w:pPr>
    </w:p>
    <w:p w:rsidR="00A327E6" w:rsidRPr="00D55996" w:rsidRDefault="00A327E6" w:rsidP="00D55996">
      <w:pPr>
        <w:shd w:val="clear" w:color="auto" w:fill="FFFFFF"/>
        <w:spacing w:before="0" w:after="0"/>
        <w:rPr>
          <w:rFonts w:cs="Lucida Sans Unicode"/>
          <w:color w:val="151515"/>
          <w:szCs w:val="24"/>
        </w:rPr>
      </w:pPr>
      <w:r w:rsidRPr="00D55996">
        <w:rPr>
          <w:rFonts w:cs="Arial"/>
          <w:bCs/>
          <w:szCs w:val="24"/>
        </w:rPr>
        <w:t xml:space="preserve">NYS DOH 2006 as cited in </w:t>
      </w:r>
      <w:r w:rsidRPr="00D55996">
        <w:rPr>
          <w:rFonts w:cs="Lucida Sans Unicode"/>
          <w:color w:val="151515"/>
          <w:szCs w:val="24"/>
        </w:rPr>
        <w:t>U.S. EPA. Integrated Science Assessment for Particulate Matter (Final Report). U.S. Environmental Protection Agency, Washington, DC, EPA/600/R-08/139F, 2009.</w:t>
      </w:r>
    </w:p>
    <w:p w:rsidR="00A327E6" w:rsidRPr="00D55996" w:rsidRDefault="00A327E6" w:rsidP="00D55996">
      <w:pPr>
        <w:spacing w:before="0" w:after="0"/>
        <w:rPr>
          <w:rFonts w:cs="Arial"/>
          <w:bCs/>
          <w:szCs w:val="24"/>
        </w:rPr>
      </w:pPr>
    </w:p>
    <w:p w:rsidR="00A327E6" w:rsidRPr="00D55996" w:rsidRDefault="00A327E6" w:rsidP="00D55996">
      <w:pPr>
        <w:spacing w:before="0" w:after="0"/>
        <w:rPr>
          <w:rFonts w:cs="Arial"/>
          <w:bCs/>
          <w:szCs w:val="24"/>
        </w:rPr>
      </w:pPr>
      <w:r w:rsidRPr="00D55996">
        <w:rPr>
          <w:rFonts w:cs="Arial"/>
          <w:bCs/>
          <w:szCs w:val="24"/>
        </w:rPr>
        <w:t>O'Connor A, Wellenius G. Rural-urban disparities in the prevalence of diabetes and coronary heart disease. Public Health 2012; 126(10):813-20.</w:t>
      </w:r>
    </w:p>
    <w:p w:rsidR="00A327E6" w:rsidRPr="00D55996" w:rsidRDefault="00A327E6" w:rsidP="00D55996">
      <w:pPr>
        <w:spacing w:before="0" w:after="0"/>
        <w:rPr>
          <w:rFonts w:cs="Arial"/>
          <w:bCs/>
          <w:szCs w:val="24"/>
        </w:rPr>
      </w:pPr>
    </w:p>
    <w:p w:rsidR="00A327E6" w:rsidRPr="00D55996" w:rsidRDefault="00A327E6" w:rsidP="00D55996">
      <w:pPr>
        <w:spacing w:before="0" w:after="0"/>
        <w:rPr>
          <w:rFonts w:cs="Arial"/>
          <w:color w:val="000000"/>
          <w:szCs w:val="24"/>
        </w:rPr>
      </w:pPr>
      <w:r w:rsidRPr="00D55996">
        <w:rPr>
          <w:rFonts w:cs="Arial"/>
          <w:color w:val="000000"/>
          <w:szCs w:val="24"/>
          <w:lang w:val="sv-SE"/>
        </w:rPr>
        <w:t xml:space="preserve">Peel JL, Metzger KB, Klein M, Flanders WD, Mulholland JA, Tolbert PE. </w:t>
      </w:r>
      <w:r w:rsidRPr="00D55996">
        <w:rPr>
          <w:rFonts w:cs="Arial"/>
          <w:color w:val="000000"/>
          <w:szCs w:val="24"/>
        </w:rPr>
        <w:t>Ambient air pollution and cardiovascular emergency department visits in potentially sensitive groups. Am J Epidemiol 2007; 165(6):625-33.</w:t>
      </w:r>
    </w:p>
    <w:p w:rsidR="00A327E6" w:rsidRPr="00D55996" w:rsidRDefault="00A327E6" w:rsidP="00D55996">
      <w:pPr>
        <w:spacing w:before="0" w:after="0"/>
        <w:rPr>
          <w:rFonts w:cs="Arial"/>
          <w:color w:val="000000"/>
          <w:szCs w:val="24"/>
        </w:rPr>
      </w:pPr>
    </w:p>
    <w:p w:rsidR="00A327E6" w:rsidRPr="00D55996" w:rsidRDefault="00A327E6" w:rsidP="00D55996">
      <w:pPr>
        <w:spacing w:before="0" w:after="0"/>
        <w:rPr>
          <w:rFonts w:cs="Arial"/>
          <w:bCs/>
          <w:szCs w:val="24"/>
        </w:rPr>
      </w:pPr>
      <w:r w:rsidRPr="00D55996">
        <w:rPr>
          <w:rFonts w:cs="Arial"/>
          <w:bCs/>
          <w:szCs w:val="24"/>
        </w:rPr>
        <w:t>Peel JL, Tolbert PE, Klein M, Metzger KB, Flanders WD, Todd K, Mulholland JA, Ryan PB, Frumkin H. Ambient air pollution and respiratory emergency department visits. Epidemiology 2005; 16(2):164-74.</w:t>
      </w:r>
    </w:p>
    <w:p w:rsidR="00A327E6" w:rsidRPr="00D55996" w:rsidRDefault="00A327E6" w:rsidP="00D55996">
      <w:pPr>
        <w:autoSpaceDE w:val="0"/>
        <w:autoSpaceDN w:val="0"/>
        <w:adjustRightInd w:val="0"/>
        <w:spacing w:before="0" w:after="0"/>
        <w:rPr>
          <w:rFonts w:cs="Arial"/>
          <w:color w:val="000000"/>
          <w:szCs w:val="24"/>
        </w:rPr>
      </w:pPr>
    </w:p>
    <w:p w:rsidR="00A327E6" w:rsidRPr="00D55996" w:rsidRDefault="00A327E6" w:rsidP="00D55996">
      <w:pPr>
        <w:autoSpaceDE w:val="0"/>
        <w:autoSpaceDN w:val="0"/>
        <w:adjustRightInd w:val="0"/>
        <w:spacing w:before="0" w:after="0"/>
        <w:rPr>
          <w:rFonts w:cs="Arial"/>
          <w:color w:val="000000"/>
          <w:szCs w:val="24"/>
        </w:rPr>
      </w:pPr>
      <w:r w:rsidRPr="00D55996">
        <w:rPr>
          <w:rFonts w:cs="Arial"/>
          <w:color w:val="000000"/>
          <w:szCs w:val="24"/>
        </w:rPr>
        <w:t>Pénard-Morand C, Raherison C, Charpin D, Kopferschmitt C, Lavaud F, Caillaud D, Annesi-Maesano I. Long-term exposure to close-proximity air pollution and asthma and allergies in urban children. Eur Respir J 2010; 36(1):33-40.</w:t>
      </w:r>
    </w:p>
    <w:p w:rsidR="00A327E6" w:rsidRDefault="00A327E6" w:rsidP="00D55996">
      <w:pPr>
        <w:autoSpaceDE w:val="0"/>
        <w:autoSpaceDN w:val="0"/>
        <w:adjustRightInd w:val="0"/>
        <w:spacing w:before="0" w:after="0"/>
        <w:rPr>
          <w:rFonts w:cs="Arial"/>
          <w:color w:val="000000"/>
          <w:szCs w:val="24"/>
        </w:rPr>
      </w:pPr>
    </w:p>
    <w:p w:rsidR="00A327E6" w:rsidRPr="00D55996" w:rsidRDefault="00A327E6" w:rsidP="00D55996">
      <w:pPr>
        <w:autoSpaceDE w:val="0"/>
        <w:autoSpaceDN w:val="0"/>
        <w:adjustRightInd w:val="0"/>
        <w:spacing w:before="0" w:after="0"/>
        <w:rPr>
          <w:rFonts w:cs="Arial"/>
          <w:color w:val="000000"/>
          <w:szCs w:val="24"/>
        </w:rPr>
      </w:pPr>
      <w:r w:rsidRPr="00D55996">
        <w:rPr>
          <w:rFonts w:cs="Arial"/>
          <w:color w:val="000000"/>
          <w:szCs w:val="24"/>
        </w:rPr>
        <w:t>Penn A, Murphy G, Baker S, Henk W, Penn L. Combustion-derived ultrafine particles transport organic toxicants to target respiratory cells. Environ Health Perspect 2005; 113(8):956-63.</w:t>
      </w:r>
    </w:p>
    <w:p w:rsidR="00A327E6" w:rsidRPr="00D55996" w:rsidRDefault="00A327E6" w:rsidP="00D55996">
      <w:pPr>
        <w:spacing w:before="0" w:after="0"/>
        <w:rPr>
          <w:rFonts w:cs="Arial"/>
          <w:bCs/>
          <w:szCs w:val="24"/>
        </w:rPr>
      </w:pPr>
    </w:p>
    <w:p w:rsidR="00A327E6" w:rsidRPr="00D55996" w:rsidRDefault="00A327E6" w:rsidP="00D55996">
      <w:pPr>
        <w:spacing w:before="0" w:after="0"/>
        <w:rPr>
          <w:rFonts w:cs="Arial"/>
          <w:bCs/>
          <w:szCs w:val="24"/>
        </w:rPr>
      </w:pPr>
      <w:r w:rsidRPr="00D55996">
        <w:rPr>
          <w:rFonts w:cs="Arial"/>
          <w:bCs/>
          <w:szCs w:val="24"/>
        </w:rPr>
        <w:t>Pepper CB, Nascarella MA, Kendall RJ. A review of the effects of aircraft noise on wildlife and humans, current control mechanisms, and the need for further study. Environ Manage 2003; 32(4):418-32.</w:t>
      </w:r>
    </w:p>
    <w:p w:rsidR="00A327E6" w:rsidRPr="00D55996" w:rsidRDefault="00A327E6" w:rsidP="00D55996">
      <w:pPr>
        <w:autoSpaceDE w:val="0"/>
        <w:autoSpaceDN w:val="0"/>
        <w:adjustRightInd w:val="0"/>
        <w:spacing w:before="0" w:after="0"/>
        <w:rPr>
          <w:rFonts w:cs="Arial"/>
          <w:color w:val="000000"/>
          <w:szCs w:val="24"/>
        </w:rPr>
      </w:pPr>
    </w:p>
    <w:p w:rsidR="00A327E6" w:rsidRPr="00D55996" w:rsidRDefault="00A327E6" w:rsidP="00D55996">
      <w:pPr>
        <w:spacing w:before="0" w:after="0"/>
        <w:rPr>
          <w:rFonts w:cs="Arial"/>
          <w:color w:val="000000"/>
          <w:szCs w:val="24"/>
        </w:rPr>
      </w:pPr>
      <w:r w:rsidRPr="00D55996">
        <w:rPr>
          <w:rFonts w:cs="Arial"/>
          <w:color w:val="000000"/>
          <w:szCs w:val="24"/>
        </w:rPr>
        <w:t>Perry BP, Gantz BJ (2000) Medical And Surgical Evaluation And Management Of Tinnitus. In: Tyler RS (ed) Tinnitus handbook. Singular, San Diego pp 221-241</w:t>
      </w:r>
    </w:p>
    <w:p w:rsidR="00A327E6" w:rsidRPr="00D55996" w:rsidRDefault="00A327E6" w:rsidP="00D55996">
      <w:pPr>
        <w:autoSpaceDE w:val="0"/>
        <w:autoSpaceDN w:val="0"/>
        <w:adjustRightInd w:val="0"/>
        <w:spacing w:before="0" w:after="0"/>
        <w:rPr>
          <w:rFonts w:cs="Arial"/>
          <w:color w:val="000000"/>
          <w:szCs w:val="24"/>
        </w:rPr>
      </w:pPr>
    </w:p>
    <w:p w:rsidR="00A327E6" w:rsidRPr="00D55996" w:rsidRDefault="00A327E6" w:rsidP="00D55996">
      <w:pPr>
        <w:spacing w:before="0" w:after="0"/>
        <w:rPr>
          <w:rFonts w:cs="Arial"/>
          <w:bCs/>
          <w:szCs w:val="24"/>
        </w:rPr>
      </w:pPr>
      <w:r w:rsidRPr="00D55996">
        <w:rPr>
          <w:rFonts w:cs="Arial"/>
          <w:bCs/>
          <w:szCs w:val="24"/>
        </w:rPr>
        <w:t>Peters A, Dockery DW, Heinrich J, Wichmann HE. Short-term effects of particulate air pollution on respiratory morbidity in asthmatic children. Eur Respir J 1997; 10(4):872-9.</w:t>
      </w:r>
    </w:p>
    <w:p w:rsidR="00A327E6" w:rsidRPr="00D55996" w:rsidRDefault="00A327E6" w:rsidP="00D55996">
      <w:pPr>
        <w:spacing w:before="0" w:after="0"/>
        <w:rPr>
          <w:rFonts w:cs="Arial"/>
          <w:bCs/>
          <w:szCs w:val="24"/>
        </w:rPr>
      </w:pPr>
    </w:p>
    <w:p w:rsidR="00A327E6" w:rsidRPr="00D55996" w:rsidRDefault="00A327E6" w:rsidP="00D55996">
      <w:pPr>
        <w:spacing w:before="0" w:after="0"/>
        <w:rPr>
          <w:rFonts w:cs="Arial"/>
          <w:bCs/>
          <w:szCs w:val="24"/>
        </w:rPr>
      </w:pPr>
      <w:r w:rsidRPr="00D55996">
        <w:rPr>
          <w:rFonts w:cs="Arial"/>
          <w:bCs/>
          <w:szCs w:val="24"/>
        </w:rPr>
        <w:t>Peters A, Dockery DW, Muller JE, Mittleman MA. Increased particulate air pollution and the triggering of myocardial infarction. Circulation 2001; 103(23):2810-5.</w:t>
      </w:r>
    </w:p>
    <w:p w:rsidR="00A327E6" w:rsidRPr="00D55996" w:rsidRDefault="00A327E6" w:rsidP="00D55996">
      <w:pPr>
        <w:spacing w:before="0" w:after="0"/>
        <w:rPr>
          <w:rFonts w:cs="Arial"/>
          <w:bCs/>
          <w:szCs w:val="24"/>
          <w:highlight w:val="yellow"/>
        </w:rPr>
      </w:pPr>
    </w:p>
    <w:p w:rsidR="00A327E6" w:rsidRPr="00D55996" w:rsidRDefault="00A327E6" w:rsidP="00D55996">
      <w:pPr>
        <w:spacing w:before="0" w:after="0"/>
        <w:rPr>
          <w:rFonts w:cs="Arial"/>
          <w:bCs/>
          <w:szCs w:val="24"/>
        </w:rPr>
      </w:pPr>
      <w:r w:rsidRPr="00D55996">
        <w:rPr>
          <w:rFonts w:cs="Arial"/>
          <w:bCs/>
          <w:szCs w:val="24"/>
        </w:rPr>
        <w:t>Peters A, Pope CA 3rd. Cardiopulmonary mortality and air pollution. Lancet 2002; 360(9341):1184-5.</w:t>
      </w:r>
    </w:p>
    <w:p w:rsidR="00A327E6" w:rsidRPr="00D55996" w:rsidRDefault="00A327E6" w:rsidP="00D55996">
      <w:pPr>
        <w:autoSpaceDE w:val="0"/>
        <w:autoSpaceDN w:val="0"/>
        <w:adjustRightInd w:val="0"/>
        <w:spacing w:before="0" w:after="0"/>
        <w:rPr>
          <w:rFonts w:cs="Arial"/>
          <w:color w:val="000000"/>
          <w:szCs w:val="24"/>
        </w:rPr>
      </w:pPr>
    </w:p>
    <w:p w:rsidR="00A327E6" w:rsidRPr="00D55996" w:rsidRDefault="00A327E6" w:rsidP="00D55996">
      <w:pPr>
        <w:autoSpaceDE w:val="0"/>
        <w:autoSpaceDN w:val="0"/>
        <w:adjustRightInd w:val="0"/>
        <w:spacing w:before="0" w:after="0"/>
        <w:rPr>
          <w:rFonts w:cs="Arial"/>
          <w:color w:val="000000"/>
          <w:szCs w:val="24"/>
        </w:rPr>
      </w:pPr>
      <w:r w:rsidRPr="00D55996">
        <w:rPr>
          <w:rFonts w:cs="Arial"/>
          <w:color w:val="000000"/>
          <w:szCs w:val="24"/>
        </w:rPr>
        <w:t>Peters A, von Klot S, Heier M, Trentinaglia I, Hörmann A, Wichmann HE, Löwel H.  Exposure to traffic and the onset of myocardial infarction. N Engl J Med 2004; 351:1721-30.</w:t>
      </w:r>
    </w:p>
    <w:p w:rsidR="00A327E6" w:rsidRPr="00D55996" w:rsidRDefault="00A327E6" w:rsidP="00D55996">
      <w:pPr>
        <w:spacing w:before="0" w:after="0"/>
        <w:rPr>
          <w:rFonts w:cs="Arial"/>
          <w:color w:val="000000"/>
          <w:szCs w:val="24"/>
        </w:rPr>
      </w:pPr>
    </w:p>
    <w:p w:rsidR="00A327E6" w:rsidRPr="00D55996" w:rsidRDefault="00A327E6" w:rsidP="00D55996">
      <w:pPr>
        <w:spacing w:before="0" w:after="0"/>
        <w:rPr>
          <w:rFonts w:cs="Arial"/>
          <w:bCs/>
          <w:szCs w:val="24"/>
        </w:rPr>
      </w:pPr>
      <w:r w:rsidRPr="00D55996">
        <w:rPr>
          <w:rFonts w:cs="Arial"/>
          <w:bCs/>
          <w:szCs w:val="24"/>
        </w:rPr>
        <w:t>Pope CA 3rd. Particulate pollution and health: A review of the Utah Valley experience. J Expo Anal Environ Epidemiol 1996; 6(1):23-34.</w:t>
      </w:r>
    </w:p>
    <w:p w:rsidR="00A327E6" w:rsidRDefault="00A327E6" w:rsidP="00D55996">
      <w:pPr>
        <w:shd w:val="clear" w:color="auto" w:fill="FFFFFF"/>
        <w:spacing w:before="0" w:after="0"/>
        <w:rPr>
          <w:rFonts w:cs="Lucida Sans Unicode"/>
          <w:iCs/>
          <w:color w:val="222222"/>
          <w:szCs w:val="24"/>
        </w:rPr>
      </w:pPr>
    </w:p>
    <w:p w:rsidR="00A327E6" w:rsidRPr="00D55996" w:rsidRDefault="00A327E6" w:rsidP="00D55996">
      <w:pPr>
        <w:shd w:val="clear" w:color="auto" w:fill="FFFFFF"/>
        <w:spacing w:before="0" w:after="0"/>
        <w:rPr>
          <w:rFonts w:cs="Lucida Sans Unicode"/>
          <w:color w:val="222222"/>
          <w:szCs w:val="24"/>
        </w:rPr>
      </w:pPr>
      <w:r w:rsidRPr="00D55996">
        <w:rPr>
          <w:rFonts w:cs="Lucida Sans Unicode"/>
          <w:iCs/>
          <w:color w:val="222222"/>
          <w:szCs w:val="24"/>
        </w:rPr>
        <w:t>Pope CA 3rd, Burnett RT, Thun MJ, Calle EE, Krewski D, Ito K, Thurston GD. Lung cancer, cardiopulmonary mortality, and long-term exposure to fine particulate air pollution. JAMA 2002; 287:1132–41.</w:t>
      </w:r>
    </w:p>
    <w:p w:rsidR="00A327E6" w:rsidRPr="00D55996" w:rsidRDefault="00A327E6" w:rsidP="00D55996">
      <w:pPr>
        <w:spacing w:before="0" w:after="0"/>
        <w:rPr>
          <w:rFonts w:cs="Arial"/>
          <w:color w:val="000000"/>
          <w:szCs w:val="24"/>
        </w:rPr>
      </w:pPr>
      <w:r w:rsidRPr="00D55996">
        <w:rPr>
          <w:rFonts w:cs="Arial"/>
          <w:color w:val="000000"/>
          <w:szCs w:val="24"/>
        </w:rPr>
        <w:t>Pope CA 3rd, Dockery DW. Health effects of fine particulate air pollution: Lines that connect. J Air Waste Manag Assoc 2006a; 56(6):709-42.</w:t>
      </w:r>
    </w:p>
    <w:p w:rsidR="00A327E6" w:rsidRPr="00D55996" w:rsidRDefault="00A327E6" w:rsidP="00D55996">
      <w:pPr>
        <w:spacing w:before="0" w:after="0"/>
        <w:rPr>
          <w:rFonts w:cs="Arial"/>
          <w:color w:val="000000"/>
          <w:szCs w:val="24"/>
        </w:rPr>
      </w:pPr>
    </w:p>
    <w:p w:rsidR="00A327E6" w:rsidRPr="00D55996" w:rsidRDefault="00A327E6" w:rsidP="00D55996">
      <w:pPr>
        <w:spacing w:before="0" w:after="0"/>
        <w:rPr>
          <w:rFonts w:cs="Arial"/>
          <w:color w:val="000000"/>
          <w:szCs w:val="24"/>
        </w:rPr>
      </w:pPr>
      <w:r w:rsidRPr="00D55996">
        <w:rPr>
          <w:rFonts w:cs="Arial"/>
          <w:color w:val="000000"/>
          <w:szCs w:val="24"/>
        </w:rPr>
        <w:t xml:space="preserve">Pope CA 3rd, Muhlestein JB, May HT, Renlund DG, Anderson JL, Horne BD. Ischemic heart disease events triggered by short-term exposure to fine particulate air pollution. Circulation 2006b; 114(23):2443-8. </w:t>
      </w:r>
    </w:p>
    <w:p w:rsidR="00A327E6" w:rsidRPr="00D55996" w:rsidRDefault="00A327E6" w:rsidP="00D55996">
      <w:pPr>
        <w:spacing w:before="0" w:after="0"/>
        <w:rPr>
          <w:rFonts w:cs="Arial"/>
          <w:color w:val="000000"/>
          <w:szCs w:val="24"/>
        </w:rPr>
      </w:pPr>
    </w:p>
    <w:p w:rsidR="00A327E6" w:rsidRPr="00D55996" w:rsidRDefault="00A327E6" w:rsidP="00D55996">
      <w:pPr>
        <w:spacing w:before="0" w:after="0"/>
        <w:rPr>
          <w:rFonts w:cs="Arial"/>
          <w:color w:val="000000"/>
          <w:szCs w:val="24"/>
        </w:rPr>
      </w:pPr>
      <w:r w:rsidRPr="00D55996">
        <w:rPr>
          <w:rFonts w:cs="Arial"/>
          <w:color w:val="000000"/>
          <w:szCs w:val="24"/>
        </w:rPr>
        <w:t>Pope CA 3rd, Thun MJ, Namboodiri MM, Dockery DW, Evans JS, Speizer FE, Heath CW Jr. Particulate air pollution as a predictor of mortality in a prospective study of U.S. adults. Am J Respir Crit Care Med 1995; 151(3 Pt 1):669-74.</w:t>
      </w:r>
    </w:p>
    <w:p w:rsidR="00A327E6" w:rsidRPr="00D55996" w:rsidRDefault="00A327E6" w:rsidP="00D55996">
      <w:pPr>
        <w:spacing w:before="0" w:after="0"/>
        <w:rPr>
          <w:rFonts w:cs="Arial"/>
          <w:color w:val="000000"/>
          <w:szCs w:val="24"/>
        </w:rPr>
      </w:pPr>
    </w:p>
    <w:p w:rsidR="00A327E6" w:rsidRPr="00D55996" w:rsidRDefault="00A327E6" w:rsidP="00D55996">
      <w:pPr>
        <w:spacing w:before="0" w:after="0"/>
        <w:rPr>
          <w:rFonts w:cs="Arial"/>
          <w:color w:val="000000"/>
          <w:szCs w:val="24"/>
        </w:rPr>
      </w:pPr>
      <w:r w:rsidRPr="00D55996">
        <w:rPr>
          <w:rFonts w:cs="Arial"/>
          <w:color w:val="000000"/>
          <w:szCs w:val="24"/>
        </w:rPr>
        <w:t>Pouryaghoub G, Mehrdad R, Mohammadi S. Interaction of smoking and occupational noise exposure on hearing loss: A cross-sectional study. BMC Public Health 2007; 7:137.</w:t>
      </w:r>
    </w:p>
    <w:p w:rsidR="00A327E6" w:rsidRPr="00D55996" w:rsidRDefault="00A327E6" w:rsidP="00D55996">
      <w:pPr>
        <w:spacing w:before="0" w:after="0"/>
        <w:rPr>
          <w:rFonts w:cs="Arial"/>
          <w:color w:val="000000"/>
          <w:szCs w:val="24"/>
        </w:rPr>
      </w:pPr>
    </w:p>
    <w:p w:rsidR="00A327E6" w:rsidRPr="00D55996" w:rsidRDefault="00A327E6" w:rsidP="00D55996">
      <w:pPr>
        <w:spacing w:before="0" w:after="0"/>
        <w:rPr>
          <w:rFonts w:cs="Arial"/>
          <w:color w:val="000000"/>
          <w:szCs w:val="24"/>
        </w:rPr>
      </w:pPr>
      <w:r w:rsidRPr="00D55996">
        <w:rPr>
          <w:rFonts w:cs="Arial"/>
          <w:color w:val="000000"/>
          <w:szCs w:val="24"/>
        </w:rPr>
        <w:t>Pujades-Rodríguez M, McKeever T, Lewis S, Whyatt D, Britton J, Venn A. Effect of traffic pollution on respiratory and allergic disease in adults: Cross-sectional and longitudinal analyses. BMC Pulm Med 2009; 9:42.</w:t>
      </w:r>
    </w:p>
    <w:p w:rsidR="00A327E6" w:rsidRPr="00D55996" w:rsidRDefault="00A327E6" w:rsidP="00D55996">
      <w:pPr>
        <w:spacing w:before="0" w:after="0"/>
        <w:rPr>
          <w:rFonts w:cs="Arial"/>
          <w:color w:val="000000"/>
          <w:szCs w:val="24"/>
        </w:rPr>
      </w:pPr>
    </w:p>
    <w:p w:rsidR="00A327E6" w:rsidRPr="00D55996" w:rsidRDefault="00A327E6" w:rsidP="00D55996">
      <w:pPr>
        <w:spacing w:before="0" w:after="0"/>
        <w:rPr>
          <w:rFonts w:cs="Arial"/>
          <w:bCs/>
          <w:szCs w:val="24"/>
        </w:rPr>
      </w:pPr>
      <w:r w:rsidRPr="00D55996">
        <w:rPr>
          <w:rFonts w:cs="Arial"/>
          <w:bCs/>
          <w:szCs w:val="24"/>
        </w:rPr>
        <w:t>Quarells RC, Liu J, Davis SK. Social determinants of cardiovascular disease risk factor presence among rural and urban black and white men. J Mens Health 2012; 9(2):120-6.</w:t>
      </w:r>
    </w:p>
    <w:p w:rsidR="00A327E6" w:rsidRPr="00D55996" w:rsidRDefault="00A327E6" w:rsidP="00D55996">
      <w:pPr>
        <w:spacing w:before="0" w:after="0"/>
        <w:rPr>
          <w:rFonts w:cs="Arial"/>
          <w:bCs/>
          <w:szCs w:val="24"/>
        </w:rPr>
      </w:pPr>
    </w:p>
    <w:p w:rsidR="00A327E6" w:rsidRPr="00D55996" w:rsidRDefault="00A327E6" w:rsidP="00D55996">
      <w:pPr>
        <w:spacing w:before="0" w:after="0"/>
        <w:rPr>
          <w:rFonts w:cs="Arial"/>
          <w:color w:val="000000"/>
          <w:szCs w:val="24"/>
        </w:rPr>
      </w:pPr>
      <w:r w:rsidRPr="00D55996">
        <w:rPr>
          <w:rFonts w:cs="Arial"/>
          <w:color w:val="000000"/>
          <w:szCs w:val="24"/>
        </w:rPr>
        <w:t>Quinn FB, Vrabec JT, Rosen EJ. Noise induced hearing loss. Grand Rounds Presentation, UTMB, Department of Otolaryngology. 10 January 2001.</w:t>
      </w:r>
    </w:p>
    <w:p w:rsidR="00A327E6" w:rsidRPr="00D55996" w:rsidRDefault="00A327E6" w:rsidP="00D55996">
      <w:pPr>
        <w:spacing w:before="0" w:after="0"/>
        <w:rPr>
          <w:rFonts w:cs="Arial"/>
          <w:bCs/>
          <w:szCs w:val="24"/>
        </w:rPr>
      </w:pPr>
    </w:p>
    <w:p w:rsidR="00A327E6" w:rsidRPr="00D55996" w:rsidRDefault="00A327E6" w:rsidP="00D55996">
      <w:pPr>
        <w:spacing w:before="0" w:after="0"/>
        <w:rPr>
          <w:rFonts w:cs="Arial"/>
          <w:bCs/>
          <w:szCs w:val="24"/>
        </w:rPr>
      </w:pPr>
      <w:r w:rsidRPr="00D55996">
        <w:rPr>
          <w:rFonts w:cs="Arial"/>
          <w:bCs/>
          <w:szCs w:val="24"/>
        </w:rPr>
        <w:t>Ratliff G, Sequeira C, Waitz I, Ohsfeldt M, Thrasher T, Graham M, Thompson T. Aircraft impacts on local and regional air quality in the United States. Partnership for AiR Transportation Noise and Emissions Reduction Project. (2009) 15.</w:t>
      </w:r>
    </w:p>
    <w:p w:rsidR="00A327E6" w:rsidRPr="00D55996" w:rsidRDefault="00A327E6" w:rsidP="00D55996">
      <w:pPr>
        <w:spacing w:before="0" w:after="0"/>
        <w:rPr>
          <w:rFonts w:cs="Arial"/>
          <w:bCs/>
          <w:szCs w:val="24"/>
        </w:rPr>
      </w:pPr>
    </w:p>
    <w:p w:rsidR="00A327E6" w:rsidRPr="00D55996" w:rsidRDefault="00A327E6" w:rsidP="00D55996">
      <w:pPr>
        <w:spacing w:before="0" w:after="0"/>
        <w:rPr>
          <w:rFonts w:cs="Arial"/>
          <w:color w:val="000000"/>
          <w:szCs w:val="24"/>
        </w:rPr>
      </w:pPr>
      <w:r w:rsidRPr="00D55996">
        <w:rPr>
          <w:rFonts w:cs="Arial"/>
          <w:color w:val="000000"/>
          <w:szCs w:val="24"/>
        </w:rPr>
        <w:t>Rosenlund M, Picciotto S, Forastiere F, Stafoggia M, Perucci CA. Traffic-related air pollution in relation to incidence and prognosis of coronary heart disease.  Epidemiology 2008; 19(1):121-8.</w:t>
      </w:r>
    </w:p>
    <w:p w:rsidR="00A327E6" w:rsidRPr="00D55996" w:rsidRDefault="00A327E6" w:rsidP="00D55996">
      <w:pPr>
        <w:spacing w:before="0" w:after="0"/>
        <w:rPr>
          <w:rFonts w:cs="Arial"/>
          <w:bCs/>
          <w:szCs w:val="24"/>
        </w:rPr>
      </w:pPr>
    </w:p>
    <w:p w:rsidR="00A327E6" w:rsidRPr="00D55996" w:rsidRDefault="00A327E6" w:rsidP="00D55996">
      <w:pPr>
        <w:spacing w:before="0" w:after="0"/>
        <w:rPr>
          <w:rFonts w:cs="Arial"/>
          <w:bCs/>
          <w:szCs w:val="24"/>
        </w:rPr>
      </w:pPr>
      <w:r w:rsidRPr="00D55996">
        <w:rPr>
          <w:rFonts w:cs="Arial"/>
          <w:bCs/>
          <w:szCs w:val="24"/>
        </w:rPr>
        <w:t>Salam MT, Islam T, Gilliland FD. Recent evidence for adverse effects of residential proximity to traffic sources on asthma. Curr Opin Pulm Med 2008; 14(1):3-8.</w:t>
      </w:r>
    </w:p>
    <w:p w:rsidR="00A327E6" w:rsidRPr="00D55996" w:rsidRDefault="00A327E6" w:rsidP="00D55996">
      <w:pPr>
        <w:spacing w:before="0" w:after="0"/>
        <w:rPr>
          <w:rFonts w:cs="Arial"/>
          <w:bCs/>
          <w:szCs w:val="24"/>
        </w:rPr>
      </w:pPr>
    </w:p>
    <w:p w:rsidR="00A327E6" w:rsidRPr="00D55996" w:rsidRDefault="00A327E6" w:rsidP="00D55996">
      <w:pPr>
        <w:spacing w:before="0" w:after="0"/>
        <w:rPr>
          <w:rFonts w:cs="Arial"/>
          <w:bCs/>
          <w:szCs w:val="24"/>
        </w:rPr>
      </w:pPr>
      <w:r w:rsidRPr="00D55996">
        <w:rPr>
          <w:rFonts w:cs="Arial"/>
          <w:bCs/>
          <w:szCs w:val="24"/>
        </w:rPr>
        <w:t>Salvi SS, Barnes PJ. Chronic obstructive pulmonary disease in non-smokers. Lancet 2009; 374(9691):733-43.</w:t>
      </w:r>
    </w:p>
    <w:p w:rsidR="00A327E6" w:rsidRPr="00D55996" w:rsidRDefault="00A327E6" w:rsidP="00D55996">
      <w:pPr>
        <w:spacing w:before="0" w:after="0"/>
        <w:rPr>
          <w:rFonts w:cs="Arial"/>
          <w:bCs/>
          <w:szCs w:val="24"/>
        </w:rPr>
      </w:pPr>
    </w:p>
    <w:p w:rsidR="00A327E6" w:rsidRPr="00D55996" w:rsidRDefault="00A327E6" w:rsidP="00D55996">
      <w:pPr>
        <w:spacing w:before="0" w:after="0"/>
        <w:rPr>
          <w:rFonts w:cs="Arial"/>
          <w:bCs/>
          <w:szCs w:val="24"/>
        </w:rPr>
      </w:pPr>
      <w:r w:rsidRPr="00D55996">
        <w:rPr>
          <w:rFonts w:cs="Arial"/>
          <w:bCs/>
          <w:szCs w:val="24"/>
        </w:rPr>
        <w:t>Salvi SS, Manap R, Beasley R. Understanding the true burden of COPD: The epidemiological challenges. Prim Care Respir J 2012; 21(3):249-51.</w:t>
      </w:r>
    </w:p>
    <w:p w:rsidR="00A327E6" w:rsidRDefault="00A327E6" w:rsidP="00D55996">
      <w:pPr>
        <w:spacing w:before="0" w:after="0"/>
        <w:rPr>
          <w:szCs w:val="24"/>
        </w:rPr>
      </w:pPr>
    </w:p>
    <w:p w:rsidR="00A327E6" w:rsidRPr="00D55996" w:rsidRDefault="00A327E6" w:rsidP="00D55996">
      <w:pPr>
        <w:spacing w:before="0" w:after="0"/>
        <w:rPr>
          <w:szCs w:val="24"/>
        </w:rPr>
      </w:pPr>
      <w:r w:rsidRPr="00D55996">
        <w:rPr>
          <w:szCs w:val="24"/>
        </w:rPr>
        <w:t>Samet JM, Zeger SL, Dominici F, Curriero F, Coursac I, Dockery DW, Schwartz J, Zanobetti A.</w:t>
      </w:r>
      <w:r w:rsidRPr="00D55996">
        <w:rPr>
          <w:b/>
          <w:szCs w:val="24"/>
        </w:rPr>
        <w:t xml:space="preserve"> </w:t>
      </w:r>
      <w:r w:rsidRPr="00D55996">
        <w:rPr>
          <w:szCs w:val="24"/>
        </w:rPr>
        <w:t>The National Morbidity, Mortality, and Air Pollution Study. Part II: Morbidity and mortality from air pollution in the United States.</w:t>
      </w:r>
      <w:r w:rsidRPr="00D55996">
        <w:rPr>
          <w:b/>
          <w:szCs w:val="24"/>
        </w:rPr>
        <w:t xml:space="preserve"> </w:t>
      </w:r>
      <w:r w:rsidRPr="00D55996">
        <w:rPr>
          <w:szCs w:val="24"/>
        </w:rPr>
        <w:t>Res Rep Health Eff Inst 2000; 94(Pt 2):5-70; discussion 71-9.</w:t>
      </w:r>
    </w:p>
    <w:p w:rsidR="00A327E6" w:rsidRDefault="00A327E6" w:rsidP="00D55996">
      <w:pPr>
        <w:spacing w:before="0" w:after="0"/>
        <w:rPr>
          <w:rFonts w:cs="Arial"/>
          <w:bCs/>
          <w:szCs w:val="24"/>
        </w:rPr>
      </w:pPr>
    </w:p>
    <w:p w:rsidR="00A327E6" w:rsidRDefault="00A327E6" w:rsidP="00D55996">
      <w:pPr>
        <w:spacing w:before="0" w:after="0"/>
        <w:rPr>
          <w:rFonts w:cs="Arial"/>
          <w:color w:val="000000"/>
          <w:szCs w:val="24"/>
        </w:rPr>
      </w:pPr>
      <w:r w:rsidRPr="005960D8">
        <w:rPr>
          <w:rFonts w:cs="Arial"/>
          <w:bCs/>
          <w:szCs w:val="24"/>
        </w:rPr>
        <w:t>Schikowski</w:t>
      </w:r>
      <w:r w:rsidRPr="005960D8">
        <w:rPr>
          <w:rFonts w:cs="Arial"/>
          <w:szCs w:val="24"/>
        </w:rPr>
        <w:t xml:space="preserve"> T, Mills IC, Anderson HR, Cohen A, Hansell A, Kauffmann F, Krämer U, Marcon A, Perez L, Sunyer J</w:t>
      </w:r>
      <w:r>
        <w:rPr>
          <w:rFonts w:cs="Arial"/>
          <w:szCs w:val="24"/>
        </w:rPr>
        <w:t xml:space="preserve">, </w:t>
      </w:r>
      <w:r w:rsidRPr="005960D8">
        <w:rPr>
          <w:rFonts w:cs="Arial"/>
          <w:szCs w:val="24"/>
        </w:rPr>
        <w:t>Probst-Hensch N, Künzli N.</w:t>
      </w:r>
      <w:r>
        <w:rPr>
          <w:rFonts w:cs="Arial"/>
          <w:szCs w:val="24"/>
        </w:rPr>
        <w:t xml:space="preserve">Ambient Air Pollution – A Cause for COPD. </w:t>
      </w:r>
      <w:r w:rsidRPr="005960D8">
        <w:rPr>
          <w:rStyle w:val="jrnl"/>
          <w:rFonts w:cs="Arial"/>
          <w:szCs w:val="24"/>
        </w:rPr>
        <w:t>Eur Respir J</w:t>
      </w:r>
      <w:r w:rsidRPr="005960D8">
        <w:rPr>
          <w:rFonts w:cs="Arial"/>
          <w:szCs w:val="24"/>
        </w:rPr>
        <w:t>. 2014 Jan;43(1):250-63</w:t>
      </w:r>
      <w:r>
        <w:rPr>
          <w:rFonts w:cs="Arial"/>
          <w:szCs w:val="24"/>
        </w:rPr>
        <w:t>.</w:t>
      </w:r>
    </w:p>
    <w:p w:rsidR="00A327E6" w:rsidRDefault="00A327E6" w:rsidP="00D55996">
      <w:pPr>
        <w:spacing w:before="0" w:after="0"/>
        <w:rPr>
          <w:rFonts w:cs="Arial"/>
          <w:color w:val="000000"/>
          <w:szCs w:val="24"/>
        </w:rPr>
      </w:pPr>
    </w:p>
    <w:p w:rsidR="00A327E6" w:rsidRPr="00D55996" w:rsidRDefault="00A327E6" w:rsidP="00D55996">
      <w:pPr>
        <w:spacing w:before="0" w:after="0"/>
        <w:rPr>
          <w:rFonts w:cs="Arial"/>
          <w:color w:val="000000"/>
          <w:szCs w:val="24"/>
        </w:rPr>
      </w:pPr>
      <w:r w:rsidRPr="00D55996">
        <w:rPr>
          <w:rFonts w:cs="Arial"/>
          <w:color w:val="000000"/>
          <w:szCs w:val="24"/>
        </w:rPr>
        <w:t>Schwartz J. Air pollution and children's health. Pediatrics 2004; 113(4 Suppl):1037-43.</w:t>
      </w:r>
    </w:p>
    <w:p w:rsidR="00A327E6" w:rsidRPr="00D55996" w:rsidRDefault="00A327E6" w:rsidP="00D55996">
      <w:pPr>
        <w:spacing w:before="0" w:after="0"/>
        <w:rPr>
          <w:rFonts w:cs="Arial"/>
          <w:color w:val="000000"/>
          <w:szCs w:val="24"/>
        </w:rPr>
      </w:pPr>
    </w:p>
    <w:p w:rsidR="00A327E6" w:rsidRPr="00D55996" w:rsidRDefault="00A327E6" w:rsidP="00D55996">
      <w:pPr>
        <w:spacing w:before="0" w:after="0"/>
        <w:rPr>
          <w:rFonts w:cs="Arial"/>
          <w:color w:val="000000"/>
          <w:szCs w:val="24"/>
        </w:rPr>
      </w:pPr>
      <w:r w:rsidRPr="00D55996">
        <w:rPr>
          <w:rFonts w:cs="Arial"/>
          <w:color w:val="000000"/>
          <w:szCs w:val="24"/>
        </w:rPr>
        <w:t>Schwartz J, Morris R. Air pollution and hospital admissions for cardiovascular disease in Detroit, Michigan. Am J Epidemiol 1995; 142(1):23-35.</w:t>
      </w:r>
    </w:p>
    <w:p w:rsidR="00A327E6" w:rsidRPr="00D55996" w:rsidRDefault="00A327E6" w:rsidP="00D55996">
      <w:pPr>
        <w:spacing w:before="0" w:after="0"/>
        <w:rPr>
          <w:rFonts w:cs="Arial"/>
          <w:color w:val="000000"/>
          <w:szCs w:val="24"/>
        </w:rPr>
      </w:pPr>
    </w:p>
    <w:p w:rsidR="00A327E6" w:rsidRPr="00D55996" w:rsidRDefault="00A327E6" w:rsidP="00D55996">
      <w:pPr>
        <w:spacing w:before="0" w:after="0"/>
        <w:rPr>
          <w:rFonts w:cs="Arial"/>
          <w:color w:val="000000"/>
          <w:szCs w:val="24"/>
          <w:lang w:val="de-DE"/>
        </w:rPr>
      </w:pPr>
      <w:r w:rsidRPr="00D55996">
        <w:rPr>
          <w:rFonts w:cs="Arial"/>
          <w:color w:val="000000"/>
          <w:szCs w:val="24"/>
          <w:lang w:val="de-DE"/>
        </w:rPr>
        <w:t>Schwela D. Air pollution and health in urban areas. Rev Environ Health 2000; 15(1-2):13-42.</w:t>
      </w:r>
    </w:p>
    <w:p w:rsidR="00A327E6" w:rsidRPr="00D55996" w:rsidRDefault="00A327E6" w:rsidP="00D55996">
      <w:pPr>
        <w:spacing w:before="0" w:after="0"/>
        <w:rPr>
          <w:rFonts w:cs="Arial"/>
          <w:color w:val="000000"/>
          <w:szCs w:val="24"/>
        </w:rPr>
      </w:pPr>
    </w:p>
    <w:p w:rsidR="00A327E6" w:rsidRPr="00D55996" w:rsidRDefault="00A327E6" w:rsidP="00D55996">
      <w:pPr>
        <w:spacing w:before="0" w:after="0"/>
        <w:rPr>
          <w:rFonts w:cs="Arial"/>
          <w:color w:val="000000"/>
          <w:szCs w:val="24"/>
        </w:rPr>
      </w:pPr>
      <w:r w:rsidRPr="00D55996">
        <w:rPr>
          <w:rFonts w:cs="Arial"/>
          <w:color w:val="000000"/>
          <w:szCs w:val="24"/>
        </w:rPr>
        <w:t>Sioutas C, Delfino RJ, Singh M. Exposure assessment for atmospheric ultrafine particles (UFPs) and implications in epidemiologic research. Environ Health Perspect 2005; 113(8): 947-55.</w:t>
      </w:r>
    </w:p>
    <w:p w:rsidR="00A327E6" w:rsidRPr="00D55996" w:rsidRDefault="00A327E6" w:rsidP="00D55996">
      <w:pPr>
        <w:spacing w:before="0" w:after="0"/>
        <w:rPr>
          <w:rFonts w:cs="Arial"/>
          <w:bCs/>
          <w:szCs w:val="24"/>
        </w:rPr>
      </w:pPr>
    </w:p>
    <w:p w:rsidR="00A327E6" w:rsidRPr="00D55996" w:rsidRDefault="00A327E6" w:rsidP="00D55996">
      <w:pPr>
        <w:spacing w:before="0" w:after="0"/>
        <w:rPr>
          <w:rFonts w:cs="Arial"/>
          <w:bCs/>
          <w:szCs w:val="24"/>
        </w:rPr>
      </w:pPr>
      <w:r w:rsidRPr="00D55996">
        <w:rPr>
          <w:rFonts w:cs="Arial"/>
          <w:bCs/>
          <w:szCs w:val="24"/>
        </w:rPr>
        <w:t>Slaughter JC, Kim E, Sheppard L, Sullivan JH, Larson TV, Claiborn C. Association between particulate matter and emergency room visits, hospital admissions and mortality in Spokane, Washington. J Expo Anal Environ Epidemiol 2005; 15(2):153-9.</w:t>
      </w:r>
    </w:p>
    <w:p w:rsidR="00A327E6" w:rsidRPr="00D55996" w:rsidRDefault="00A327E6" w:rsidP="00D55996">
      <w:pPr>
        <w:spacing w:before="0" w:after="0"/>
        <w:rPr>
          <w:rFonts w:cs="Arial"/>
          <w:bCs/>
          <w:szCs w:val="24"/>
        </w:rPr>
      </w:pPr>
    </w:p>
    <w:p w:rsidR="00A327E6" w:rsidRPr="00D55996" w:rsidRDefault="00A327E6" w:rsidP="00D55996">
      <w:pPr>
        <w:spacing w:before="0" w:after="0"/>
        <w:rPr>
          <w:rFonts w:cs="Arial"/>
          <w:bCs/>
          <w:szCs w:val="24"/>
        </w:rPr>
      </w:pPr>
      <w:r w:rsidRPr="00D55996">
        <w:rPr>
          <w:rFonts w:cs="Arial"/>
          <w:bCs/>
          <w:szCs w:val="24"/>
        </w:rPr>
        <w:t>Sliwinska-Kowalska M, Pawelczyk M. Contribution of genetic factors to noise-induced hearing loss: A human studies review. Mutat Res 2013; 752(1):61-5.</w:t>
      </w:r>
    </w:p>
    <w:p w:rsidR="00A327E6" w:rsidRPr="00D55996" w:rsidRDefault="00A327E6" w:rsidP="00D55996">
      <w:pPr>
        <w:spacing w:before="0" w:after="0"/>
        <w:rPr>
          <w:rFonts w:cs="Arial"/>
          <w:bCs/>
          <w:szCs w:val="24"/>
        </w:rPr>
      </w:pPr>
    </w:p>
    <w:p w:rsidR="00A327E6" w:rsidRPr="00D55996" w:rsidRDefault="00A327E6" w:rsidP="00D55996">
      <w:pPr>
        <w:spacing w:before="0" w:after="0"/>
        <w:rPr>
          <w:szCs w:val="24"/>
        </w:rPr>
      </w:pPr>
      <w:r w:rsidRPr="00D55996">
        <w:rPr>
          <w:szCs w:val="24"/>
        </w:rPr>
        <w:t xml:space="preserve">Smith TW. "A Revised Review of Methods to Estimate the Status of Cases with Unknown Eligibility," unpublished NORC report prepared for the AAPOR Standard Definitions Committee. 2009. Available at </w:t>
      </w:r>
      <w:hyperlink r:id="rId39" w:history="1">
        <w:r w:rsidRPr="00D55996">
          <w:rPr>
            <w:rStyle w:val="Hyperlink"/>
            <w:szCs w:val="24"/>
          </w:rPr>
          <w:t>http://www.aapor.org/AM/Template.cfm?Section=Do_Response_Rates_Matter_1&amp;Template=/CM/ContentDisplay.cfm&amp;ContentID=4682</w:t>
        </w:r>
      </w:hyperlink>
      <w:r w:rsidRPr="00D55996">
        <w:rPr>
          <w:szCs w:val="24"/>
        </w:rPr>
        <w:t>.</w:t>
      </w:r>
    </w:p>
    <w:p w:rsidR="00A327E6" w:rsidRDefault="00A327E6" w:rsidP="00D55996">
      <w:pPr>
        <w:pStyle w:val="NormalWeb"/>
        <w:spacing w:before="0" w:beforeAutospacing="0" w:after="0" w:afterAutospacing="0"/>
        <w:rPr>
          <w:bCs/>
          <w:sz w:val="24"/>
          <w:szCs w:val="24"/>
        </w:rPr>
      </w:pPr>
    </w:p>
    <w:p w:rsidR="00A327E6" w:rsidRPr="00D55996" w:rsidRDefault="00A327E6" w:rsidP="00D55996">
      <w:pPr>
        <w:pStyle w:val="NormalWeb"/>
        <w:spacing w:before="0" w:beforeAutospacing="0" w:after="0" w:afterAutospacing="0"/>
        <w:rPr>
          <w:bCs/>
          <w:sz w:val="24"/>
          <w:szCs w:val="24"/>
        </w:rPr>
      </w:pPr>
      <w:r w:rsidRPr="00D55996">
        <w:rPr>
          <w:bCs/>
          <w:sz w:val="24"/>
          <w:szCs w:val="24"/>
        </w:rPr>
        <w:t>Sullivan J, Sheppard L, Schreuder A, Ishikawa N, Siscovick D, Kaufman J. R</w:t>
      </w:r>
      <w:r w:rsidRPr="00D55996">
        <w:rPr>
          <w:sz w:val="24"/>
          <w:szCs w:val="24"/>
        </w:rPr>
        <w:t>elation between short-term fine-particulate matter exposure and onset of myocardial infarction. Epidemiology 2005; 16(1):41-8.</w:t>
      </w:r>
    </w:p>
    <w:p w:rsidR="00A327E6" w:rsidRPr="00D55996" w:rsidRDefault="00A327E6" w:rsidP="00D55996">
      <w:pPr>
        <w:spacing w:before="0" w:after="0"/>
        <w:rPr>
          <w:rFonts w:cs="Arial"/>
          <w:color w:val="000000"/>
          <w:szCs w:val="24"/>
        </w:rPr>
      </w:pPr>
    </w:p>
    <w:p w:rsidR="00A327E6" w:rsidRPr="00D55996" w:rsidRDefault="00A327E6" w:rsidP="00D55996">
      <w:pPr>
        <w:spacing w:before="0" w:after="0"/>
        <w:rPr>
          <w:rFonts w:cs="Arial"/>
          <w:color w:val="000000"/>
          <w:szCs w:val="24"/>
        </w:rPr>
      </w:pPr>
      <w:r w:rsidRPr="00D55996">
        <w:rPr>
          <w:rFonts w:cs="Arial"/>
          <w:color w:val="000000"/>
          <w:szCs w:val="24"/>
        </w:rPr>
        <w:t>Sunyer J. Urban air pollution and chronic obstructive pulmonary disease: A review. Eur Resp J 2001; 17:1024-33.</w:t>
      </w:r>
    </w:p>
    <w:p w:rsidR="00A327E6" w:rsidRDefault="00A327E6" w:rsidP="00D55996">
      <w:pPr>
        <w:spacing w:before="0" w:after="0"/>
        <w:rPr>
          <w:rFonts w:cs="Arial"/>
          <w:bCs/>
          <w:szCs w:val="24"/>
        </w:rPr>
      </w:pPr>
    </w:p>
    <w:p w:rsidR="00A327E6" w:rsidRPr="00D55996" w:rsidRDefault="00A327E6" w:rsidP="00D55996">
      <w:pPr>
        <w:spacing w:before="0" w:after="0"/>
        <w:rPr>
          <w:rFonts w:cs="Arial"/>
          <w:bCs/>
          <w:color w:val="333333"/>
          <w:szCs w:val="24"/>
        </w:rPr>
      </w:pPr>
      <w:hyperlink r:id="rId40" w:history="1">
        <w:r w:rsidRPr="00D55996">
          <w:rPr>
            <w:rFonts w:cs="Arial"/>
            <w:bCs/>
            <w:color w:val="333333"/>
            <w:szCs w:val="24"/>
          </w:rPr>
          <w:t>Sunyer</w:t>
        </w:r>
      </w:hyperlink>
      <w:r w:rsidRPr="00D55996">
        <w:rPr>
          <w:rFonts w:cs="Arial"/>
          <w:bCs/>
          <w:color w:val="333333"/>
          <w:szCs w:val="24"/>
        </w:rPr>
        <w:t xml:space="preserve"> J, </w:t>
      </w:r>
      <w:hyperlink r:id="rId41" w:history="1">
        <w:r w:rsidRPr="00D55996">
          <w:rPr>
            <w:rFonts w:cs="Arial"/>
            <w:bCs/>
            <w:color w:val="333333"/>
            <w:szCs w:val="24"/>
          </w:rPr>
          <w:t>Spix</w:t>
        </w:r>
      </w:hyperlink>
      <w:r w:rsidRPr="00D55996">
        <w:rPr>
          <w:rFonts w:cs="Arial"/>
          <w:bCs/>
          <w:color w:val="333333"/>
          <w:szCs w:val="24"/>
        </w:rPr>
        <w:t xml:space="preserve"> C, </w:t>
      </w:r>
      <w:hyperlink r:id="rId42" w:history="1">
        <w:r w:rsidRPr="00D55996">
          <w:rPr>
            <w:rFonts w:cs="Arial"/>
            <w:bCs/>
            <w:color w:val="333333"/>
            <w:szCs w:val="24"/>
          </w:rPr>
          <w:t>Quénel</w:t>
        </w:r>
      </w:hyperlink>
      <w:r w:rsidRPr="00D55996">
        <w:rPr>
          <w:rFonts w:cs="Arial"/>
          <w:bCs/>
          <w:color w:val="333333"/>
          <w:szCs w:val="24"/>
        </w:rPr>
        <w:t xml:space="preserve"> P,  </w:t>
      </w:r>
      <w:hyperlink r:id="rId43" w:history="1">
        <w:r w:rsidRPr="00D55996">
          <w:rPr>
            <w:rFonts w:cs="Arial"/>
            <w:bCs/>
            <w:color w:val="333333"/>
            <w:szCs w:val="24"/>
          </w:rPr>
          <w:t>Ponce-de-León</w:t>
        </w:r>
      </w:hyperlink>
      <w:r w:rsidRPr="00D55996">
        <w:rPr>
          <w:rFonts w:cs="Arial"/>
          <w:bCs/>
          <w:color w:val="333333"/>
          <w:szCs w:val="24"/>
        </w:rPr>
        <w:t xml:space="preserve"> A, </w:t>
      </w:r>
      <w:hyperlink r:id="rId44" w:history="1">
        <w:r w:rsidRPr="00D55996">
          <w:rPr>
            <w:rFonts w:cs="Arial"/>
            <w:bCs/>
            <w:color w:val="333333"/>
            <w:szCs w:val="24"/>
          </w:rPr>
          <w:t>Pönka</w:t>
        </w:r>
      </w:hyperlink>
      <w:r w:rsidRPr="00D55996">
        <w:rPr>
          <w:rFonts w:cs="Arial"/>
          <w:bCs/>
          <w:color w:val="333333"/>
          <w:szCs w:val="24"/>
        </w:rPr>
        <w:t xml:space="preserve"> A, </w:t>
      </w:r>
      <w:hyperlink r:id="rId45" w:history="1">
        <w:r w:rsidRPr="00D55996">
          <w:rPr>
            <w:rFonts w:cs="Arial"/>
            <w:bCs/>
            <w:color w:val="333333"/>
            <w:szCs w:val="24"/>
          </w:rPr>
          <w:t>Barumandzadeh</w:t>
        </w:r>
      </w:hyperlink>
      <w:r w:rsidRPr="00D55996">
        <w:rPr>
          <w:rFonts w:cs="Arial"/>
          <w:bCs/>
          <w:color w:val="333333"/>
          <w:szCs w:val="24"/>
        </w:rPr>
        <w:t xml:space="preserve"> T, </w:t>
      </w:r>
      <w:hyperlink r:id="rId46" w:history="1">
        <w:r w:rsidRPr="00D55996">
          <w:rPr>
            <w:rFonts w:cs="Arial"/>
            <w:bCs/>
            <w:color w:val="333333"/>
            <w:szCs w:val="24"/>
          </w:rPr>
          <w:t>Touloumi</w:t>
        </w:r>
      </w:hyperlink>
      <w:r w:rsidRPr="00D55996">
        <w:rPr>
          <w:rFonts w:cs="Arial"/>
          <w:bCs/>
          <w:color w:val="333333"/>
          <w:szCs w:val="24"/>
        </w:rPr>
        <w:t xml:space="preserve"> G, </w:t>
      </w:r>
      <w:hyperlink r:id="rId47" w:history="1">
        <w:r w:rsidRPr="00D55996">
          <w:rPr>
            <w:rFonts w:cs="Arial"/>
            <w:bCs/>
            <w:color w:val="333333"/>
            <w:szCs w:val="24"/>
          </w:rPr>
          <w:t>Bacharova</w:t>
        </w:r>
      </w:hyperlink>
      <w:r w:rsidRPr="00D55996">
        <w:rPr>
          <w:rFonts w:cs="Arial"/>
          <w:bCs/>
          <w:color w:val="333333"/>
          <w:szCs w:val="24"/>
        </w:rPr>
        <w:t xml:space="preserve"> L, </w:t>
      </w:r>
      <w:hyperlink r:id="rId48" w:history="1">
        <w:r w:rsidRPr="00D55996">
          <w:rPr>
            <w:rFonts w:cs="Arial"/>
            <w:bCs/>
            <w:color w:val="333333"/>
            <w:szCs w:val="24"/>
          </w:rPr>
          <w:t>Wojtyniak</w:t>
        </w:r>
      </w:hyperlink>
      <w:r w:rsidRPr="00D55996">
        <w:rPr>
          <w:rFonts w:cs="Arial"/>
          <w:bCs/>
          <w:color w:val="333333"/>
          <w:szCs w:val="24"/>
        </w:rPr>
        <w:t xml:space="preserve"> B, </w:t>
      </w:r>
      <w:hyperlink r:id="rId49" w:history="1">
        <w:r w:rsidRPr="00D55996">
          <w:rPr>
            <w:rFonts w:cs="Arial"/>
            <w:bCs/>
            <w:color w:val="333333"/>
            <w:szCs w:val="24"/>
          </w:rPr>
          <w:t>Vonk</w:t>
        </w:r>
      </w:hyperlink>
      <w:r w:rsidRPr="00D55996">
        <w:rPr>
          <w:rFonts w:cs="Arial"/>
          <w:bCs/>
          <w:color w:val="333333"/>
          <w:szCs w:val="24"/>
        </w:rPr>
        <w:t xml:space="preserve"> J, </w:t>
      </w:r>
      <w:hyperlink r:id="rId50" w:history="1">
        <w:r w:rsidRPr="00D55996">
          <w:rPr>
            <w:rFonts w:cs="Arial"/>
            <w:bCs/>
            <w:color w:val="333333"/>
            <w:szCs w:val="24"/>
          </w:rPr>
          <w:t>Bisanti</w:t>
        </w:r>
      </w:hyperlink>
      <w:r w:rsidRPr="00D55996">
        <w:rPr>
          <w:rFonts w:cs="Arial"/>
          <w:bCs/>
          <w:color w:val="333333"/>
          <w:szCs w:val="24"/>
        </w:rPr>
        <w:t xml:space="preserve"> L, </w:t>
      </w:r>
      <w:hyperlink r:id="rId51" w:history="1">
        <w:r w:rsidRPr="00D55996">
          <w:rPr>
            <w:rFonts w:cs="Arial"/>
            <w:bCs/>
            <w:color w:val="333333"/>
            <w:szCs w:val="24"/>
          </w:rPr>
          <w:t>Schwartz</w:t>
        </w:r>
      </w:hyperlink>
      <w:r w:rsidRPr="00D55996">
        <w:rPr>
          <w:rFonts w:cs="Arial"/>
          <w:bCs/>
          <w:color w:val="333333"/>
          <w:szCs w:val="24"/>
        </w:rPr>
        <w:t xml:space="preserve"> J, </w:t>
      </w:r>
      <w:hyperlink r:id="rId52" w:history="1">
        <w:r w:rsidRPr="00D55996">
          <w:rPr>
            <w:rFonts w:cs="Arial"/>
            <w:bCs/>
            <w:color w:val="333333"/>
            <w:szCs w:val="24"/>
          </w:rPr>
          <w:t>Katsouyanni</w:t>
        </w:r>
      </w:hyperlink>
      <w:r w:rsidRPr="00D55996">
        <w:rPr>
          <w:rFonts w:cs="Arial"/>
          <w:bCs/>
          <w:color w:val="333333"/>
          <w:szCs w:val="24"/>
        </w:rPr>
        <w:t xml:space="preserve"> K. </w:t>
      </w:r>
      <w:r w:rsidRPr="00D55996">
        <w:rPr>
          <w:rFonts w:cs="Arial"/>
          <w:bCs/>
          <w:color w:val="333333"/>
          <w:kern w:val="36"/>
          <w:szCs w:val="24"/>
        </w:rPr>
        <w:t xml:space="preserve">Urban air pollution and emergency admissions for asthma in four European cities: The APHEA Project. </w:t>
      </w:r>
      <w:r w:rsidRPr="00D55996">
        <w:rPr>
          <w:rFonts w:cs="Arial"/>
          <w:iCs/>
          <w:color w:val="333300"/>
          <w:szCs w:val="24"/>
        </w:rPr>
        <w:t xml:space="preserve">Thorax </w:t>
      </w:r>
      <w:r w:rsidRPr="00D55996">
        <w:rPr>
          <w:rFonts w:cs="Arial"/>
          <w:color w:val="333300"/>
          <w:szCs w:val="24"/>
        </w:rPr>
        <w:t xml:space="preserve">1997; </w:t>
      </w:r>
      <w:r w:rsidRPr="00D55996">
        <w:rPr>
          <w:rFonts w:cs="Arial"/>
          <w:bCs/>
          <w:color w:val="333300"/>
          <w:szCs w:val="24"/>
        </w:rPr>
        <w:t>52</w:t>
      </w:r>
      <w:r w:rsidRPr="00D55996">
        <w:rPr>
          <w:rFonts w:cs="Arial"/>
          <w:color w:val="333300"/>
          <w:szCs w:val="24"/>
        </w:rPr>
        <w:t>:760-5.</w:t>
      </w:r>
    </w:p>
    <w:p w:rsidR="00A327E6" w:rsidRPr="00D55996" w:rsidRDefault="00A327E6" w:rsidP="00D55996">
      <w:pPr>
        <w:spacing w:before="0" w:after="0"/>
        <w:rPr>
          <w:rFonts w:cs="Arial"/>
          <w:bCs/>
          <w:szCs w:val="24"/>
        </w:rPr>
      </w:pPr>
    </w:p>
    <w:p w:rsidR="00A327E6" w:rsidRPr="00D55996" w:rsidRDefault="00A327E6" w:rsidP="00D55996">
      <w:pPr>
        <w:spacing w:before="0" w:after="0"/>
        <w:rPr>
          <w:rFonts w:cs="Arial"/>
          <w:bCs/>
          <w:szCs w:val="24"/>
        </w:rPr>
      </w:pPr>
      <w:r w:rsidRPr="00D55996">
        <w:rPr>
          <w:rFonts w:cs="Arial"/>
          <w:bCs/>
          <w:szCs w:val="24"/>
        </w:rPr>
        <w:t>Swift H. A review of the literature related to potential health effects of aircraft noise. Partnership for AIR Transportation Noise and Emissions Reduction. An FAA/NASA/Transport Canada-sponsored Center for Excellence PARTNER Project 19 Final Report. 2010. Report No. Partner-COE-2010-003.</w:t>
      </w:r>
    </w:p>
    <w:p w:rsidR="00A327E6" w:rsidRPr="00D55996" w:rsidRDefault="00A327E6" w:rsidP="00D55996">
      <w:pPr>
        <w:spacing w:before="0" w:after="0"/>
        <w:rPr>
          <w:rFonts w:cs="Arial"/>
          <w:bCs/>
          <w:szCs w:val="24"/>
        </w:rPr>
      </w:pPr>
    </w:p>
    <w:p w:rsidR="00A327E6" w:rsidRPr="00D55996" w:rsidRDefault="00A327E6" w:rsidP="00D55996">
      <w:pPr>
        <w:spacing w:before="0" w:after="0"/>
        <w:rPr>
          <w:rFonts w:cs="Arial"/>
          <w:bCs/>
          <w:szCs w:val="24"/>
        </w:rPr>
      </w:pPr>
      <w:r w:rsidRPr="00D55996">
        <w:rPr>
          <w:rFonts w:cs="Arial"/>
          <w:bCs/>
          <w:szCs w:val="24"/>
        </w:rPr>
        <w:t>Tolbert PE, Klein M, Metzger KB, Peel J, Flanders WD, Todd K, Mulholland JA, Ryan PB, Frumkin H. Interim results of The Study of Particulates and Health in Atlanta (SOPHIA). J Expo Anal Environ Epidemiol 2000; 10(5):446-60.</w:t>
      </w:r>
    </w:p>
    <w:p w:rsidR="00A327E6" w:rsidRPr="00D55996" w:rsidRDefault="00A327E6" w:rsidP="00D55996">
      <w:pPr>
        <w:spacing w:before="0" w:after="0"/>
        <w:rPr>
          <w:rFonts w:cs="Arial"/>
          <w:bCs/>
          <w:szCs w:val="24"/>
        </w:rPr>
      </w:pPr>
    </w:p>
    <w:p w:rsidR="00A327E6" w:rsidRPr="00D55996" w:rsidRDefault="00A327E6" w:rsidP="00D55996">
      <w:pPr>
        <w:spacing w:before="0" w:after="0"/>
        <w:rPr>
          <w:rFonts w:cs="Arial"/>
          <w:bCs/>
          <w:szCs w:val="24"/>
        </w:rPr>
      </w:pPr>
      <w:r w:rsidRPr="00D55996">
        <w:rPr>
          <w:rFonts w:cs="Arial"/>
          <w:bCs/>
          <w:szCs w:val="24"/>
        </w:rPr>
        <w:t>Ulirsch GV, Ball LM, Kaye W, Shy CM, Lee CV, Crawford-Brown D, Symons M, Holloway T.  Effect of particulate matter air pollution on hospital admissions and medical visits for lung and heart disease in two Southeast Idaho cities. J Expo Sci Environ Epidemiol 2007; 17(5):478-87.</w:t>
      </w:r>
    </w:p>
    <w:p w:rsidR="00A327E6" w:rsidRPr="00D55996" w:rsidRDefault="00A327E6" w:rsidP="00D55996">
      <w:pPr>
        <w:spacing w:before="0" w:after="0"/>
        <w:rPr>
          <w:rFonts w:cs="Arial"/>
          <w:bCs/>
          <w:szCs w:val="24"/>
        </w:rPr>
      </w:pPr>
    </w:p>
    <w:p w:rsidR="00A327E6" w:rsidRPr="00D55996" w:rsidRDefault="00A327E6" w:rsidP="00D55996">
      <w:pPr>
        <w:spacing w:before="0" w:after="0"/>
        <w:rPr>
          <w:rFonts w:cs="Arial"/>
          <w:color w:val="000000"/>
          <w:szCs w:val="24"/>
        </w:rPr>
      </w:pPr>
      <w:r w:rsidRPr="00D55996">
        <w:rPr>
          <w:rFonts w:cs="Arial"/>
          <w:color w:val="000000"/>
          <w:szCs w:val="24"/>
        </w:rPr>
        <w:t xml:space="preserve">U.S. EPA. United States Environmental Protection Agency. U.S. EPA Office of Noise Abatement and Control. Information on Levels of Environmental Noise Requisite to Protect Public Health and Welfare with an Adequate Margin of Safety. March 1974. Accessed from: </w:t>
      </w:r>
      <w:hyperlink r:id="rId53" w:history="1">
        <w:r w:rsidRPr="00D55996">
          <w:rPr>
            <w:rStyle w:val="Hyperlink"/>
            <w:rFonts w:cs="Arial"/>
            <w:color w:val="000000"/>
            <w:szCs w:val="24"/>
          </w:rPr>
          <w:t>http://nonoise.org/library/levels74/levels74.htm</w:t>
        </w:r>
      </w:hyperlink>
      <w:r w:rsidRPr="00D55996">
        <w:rPr>
          <w:rFonts w:cs="Arial"/>
          <w:color w:val="000000"/>
          <w:szCs w:val="24"/>
        </w:rPr>
        <w:t xml:space="preserve"> </w:t>
      </w:r>
    </w:p>
    <w:p w:rsidR="00A327E6" w:rsidRPr="00D55996" w:rsidRDefault="00A327E6" w:rsidP="00D55996">
      <w:pPr>
        <w:spacing w:before="0" w:after="0"/>
        <w:rPr>
          <w:rFonts w:cs="Arial"/>
          <w:color w:val="000000"/>
          <w:szCs w:val="24"/>
        </w:rPr>
      </w:pPr>
    </w:p>
    <w:p w:rsidR="00A327E6" w:rsidRPr="00D55996" w:rsidRDefault="00A327E6" w:rsidP="00D55996">
      <w:pPr>
        <w:spacing w:before="0" w:after="0"/>
        <w:rPr>
          <w:rFonts w:cs="Arial"/>
          <w:color w:val="000000"/>
          <w:szCs w:val="24"/>
        </w:rPr>
      </w:pPr>
      <w:r w:rsidRPr="00D55996">
        <w:rPr>
          <w:rFonts w:cs="Arial"/>
          <w:color w:val="000000"/>
          <w:szCs w:val="24"/>
        </w:rPr>
        <w:t xml:space="preserve">U.S. EPA. United States Environmental Protection Agency, 1999. Evaluation of Air Pollutant Emissions from Subsonic Commercial Jet Aircraft. EPA420-R-99-013. Office of Air and Radiation. </w:t>
      </w:r>
    </w:p>
    <w:p w:rsidR="00A327E6" w:rsidRDefault="00A327E6" w:rsidP="00D55996">
      <w:pPr>
        <w:spacing w:before="0" w:after="0"/>
        <w:rPr>
          <w:rFonts w:cs="Arial"/>
          <w:color w:val="000000"/>
          <w:szCs w:val="24"/>
        </w:rPr>
      </w:pPr>
    </w:p>
    <w:p w:rsidR="00A327E6" w:rsidRPr="00D55996" w:rsidRDefault="00A327E6" w:rsidP="00CC3D17">
      <w:pPr>
        <w:spacing w:before="0" w:after="0"/>
        <w:rPr>
          <w:rFonts w:cs="Arial"/>
          <w:color w:val="000000"/>
          <w:szCs w:val="24"/>
        </w:rPr>
      </w:pPr>
      <w:r w:rsidRPr="00D55996">
        <w:rPr>
          <w:rFonts w:cs="Arial"/>
          <w:color w:val="000000"/>
          <w:szCs w:val="24"/>
        </w:rPr>
        <w:t>U.S. EPA. United States Environmental Protection Agency, 200</w:t>
      </w:r>
      <w:r>
        <w:rPr>
          <w:rFonts w:cs="Arial"/>
          <w:color w:val="000000"/>
          <w:szCs w:val="24"/>
        </w:rPr>
        <w:t>4</w:t>
      </w:r>
      <w:r w:rsidRPr="00D55996">
        <w:rPr>
          <w:rFonts w:cs="Arial"/>
          <w:color w:val="000000"/>
          <w:szCs w:val="24"/>
        </w:rPr>
        <w:t>.</w:t>
      </w:r>
      <w:r>
        <w:rPr>
          <w:rFonts w:cs="Arial"/>
          <w:color w:val="000000"/>
          <w:szCs w:val="24"/>
        </w:rPr>
        <w:t xml:space="preserve"> Developing Spatially Interpolated Surfaces and Estimating Uncertainty. EPA-454/R-04-004. Office of Air and Radiation. </w:t>
      </w:r>
      <w:r w:rsidRPr="00CC3D17">
        <w:rPr>
          <w:rFonts w:cs="Arial"/>
          <w:color w:val="000000"/>
          <w:szCs w:val="24"/>
        </w:rPr>
        <w:t>http://www.epa.gov/airtrends/specialstudies/dsisurfaces.pdf</w:t>
      </w:r>
      <w:r w:rsidRPr="00D55996">
        <w:rPr>
          <w:rFonts w:cs="Arial"/>
          <w:color w:val="000000"/>
          <w:szCs w:val="24"/>
        </w:rPr>
        <w:t>.</w:t>
      </w:r>
    </w:p>
    <w:p w:rsidR="00A327E6" w:rsidRPr="00D55996" w:rsidRDefault="00A327E6" w:rsidP="00D55996">
      <w:pPr>
        <w:spacing w:before="0" w:after="0"/>
        <w:rPr>
          <w:rFonts w:cs="Arial"/>
          <w:color w:val="000000"/>
          <w:szCs w:val="24"/>
        </w:rPr>
      </w:pPr>
      <w:r w:rsidRPr="00D55996">
        <w:rPr>
          <w:rFonts w:cs="Arial"/>
          <w:color w:val="000000"/>
          <w:szCs w:val="24"/>
        </w:rPr>
        <w:t xml:space="preserve">U.S. EPA. United States Environmental Protection Agency, 2005a. AirData: Access to Air Pollution Data </w:t>
      </w:r>
      <w:hyperlink r:id="rId54" w:history="1">
        <w:r w:rsidRPr="00D55996">
          <w:rPr>
            <w:rStyle w:val="Hyperlink"/>
            <w:rFonts w:cs="Arial"/>
            <w:szCs w:val="24"/>
          </w:rPr>
          <w:t>http://www.epa.gov/air/data/</w:t>
        </w:r>
      </w:hyperlink>
      <w:r w:rsidRPr="00D55996">
        <w:rPr>
          <w:rFonts w:cs="Arial"/>
          <w:color w:val="000000"/>
          <w:szCs w:val="24"/>
        </w:rPr>
        <w:t>.</w:t>
      </w:r>
    </w:p>
    <w:p w:rsidR="00A327E6" w:rsidRPr="00D55996" w:rsidRDefault="00A327E6" w:rsidP="00D55996">
      <w:pPr>
        <w:spacing w:before="0" w:after="0"/>
        <w:rPr>
          <w:rFonts w:cs="Arial"/>
          <w:color w:val="000000"/>
          <w:szCs w:val="24"/>
        </w:rPr>
      </w:pPr>
    </w:p>
    <w:p w:rsidR="00A327E6" w:rsidRPr="00D55996" w:rsidRDefault="00A327E6" w:rsidP="00D55996">
      <w:pPr>
        <w:shd w:val="clear" w:color="auto" w:fill="FFFFFF"/>
        <w:spacing w:before="0" w:after="0"/>
        <w:rPr>
          <w:rFonts w:cs="Lucida Sans Unicode"/>
          <w:color w:val="151515"/>
          <w:szCs w:val="24"/>
        </w:rPr>
      </w:pPr>
      <w:r w:rsidRPr="00D55996">
        <w:rPr>
          <w:rFonts w:cs="Arial"/>
          <w:color w:val="000000"/>
          <w:szCs w:val="24"/>
        </w:rPr>
        <w:t>U.S. EPA. United States Environmental Protection Agency</w:t>
      </w:r>
      <w:r w:rsidRPr="00D55996">
        <w:rPr>
          <w:rFonts w:cs="Lucida Sans Unicode"/>
          <w:color w:val="151515"/>
          <w:szCs w:val="24"/>
        </w:rPr>
        <w:t>. Integrated Science Assessment for Oxides of Nitrogen – Health Criteria (Final Report). U.S. Environmental Protection Agency, Washington, DC, EPA/600/R-08/071, 2008.</w:t>
      </w:r>
    </w:p>
    <w:p w:rsidR="00A327E6" w:rsidRDefault="00A327E6" w:rsidP="00D55996">
      <w:pPr>
        <w:shd w:val="clear" w:color="auto" w:fill="FFFFFF"/>
        <w:spacing w:before="0" w:after="0"/>
        <w:rPr>
          <w:rFonts w:cs="Arial"/>
          <w:color w:val="000000"/>
          <w:szCs w:val="24"/>
        </w:rPr>
      </w:pPr>
    </w:p>
    <w:p w:rsidR="00A327E6" w:rsidRPr="00D55996" w:rsidRDefault="00A327E6" w:rsidP="00D55996">
      <w:pPr>
        <w:shd w:val="clear" w:color="auto" w:fill="FFFFFF"/>
        <w:spacing w:before="0" w:after="0"/>
        <w:rPr>
          <w:rFonts w:cs="Lucida Sans Unicode"/>
          <w:color w:val="151515"/>
          <w:szCs w:val="24"/>
        </w:rPr>
      </w:pPr>
      <w:r w:rsidRPr="00D55996">
        <w:rPr>
          <w:rFonts w:cs="Arial"/>
          <w:color w:val="000000"/>
          <w:szCs w:val="24"/>
        </w:rPr>
        <w:t>U.S. EPA. United States Environmental Protection Agency</w:t>
      </w:r>
      <w:r w:rsidRPr="00D55996">
        <w:rPr>
          <w:rFonts w:cs="Lucida Sans Unicode"/>
          <w:color w:val="151515"/>
          <w:szCs w:val="24"/>
        </w:rPr>
        <w:t>. Integrated Science Assessment (ISA) for Sulfur Oxides – Health Criteria (Final Report). U.S. Environmental Protection Agency, Washington, DC, EPA/600/R-08/047F, 2008a.</w:t>
      </w:r>
    </w:p>
    <w:p w:rsidR="00A327E6" w:rsidRPr="00D55996" w:rsidRDefault="00A327E6" w:rsidP="00D55996">
      <w:pPr>
        <w:spacing w:before="0" w:after="0"/>
        <w:rPr>
          <w:rFonts w:cs="Arial"/>
          <w:color w:val="000000"/>
          <w:szCs w:val="24"/>
        </w:rPr>
      </w:pPr>
    </w:p>
    <w:p w:rsidR="00A327E6" w:rsidRPr="00D55996" w:rsidRDefault="00A327E6" w:rsidP="00D55996">
      <w:pPr>
        <w:shd w:val="clear" w:color="auto" w:fill="FFFFFF"/>
        <w:spacing w:before="0" w:after="0"/>
        <w:rPr>
          <w:rFonts w:cs="Lucida Sans Unicode"/>
          <w:color w:val="151515"/>
          <w:szCs w:val="24"/>
        </w:rPr>
      </w:pPr>
      <w:r w:rsidRPr="00D55996">
        <w:rPr>
          <w:rFonts w:cs="Arial"/>
          <w:color w:val="000000"/>
          <w:szCs w:val="24"/>
        </w:rPr>
        <w:t>U.S. EPA. United States Environmental Protection Agency</w:t>
      </w:r>
      <w:r w:rsidRPr="00D55996">
        <w:rPr>
          <w:rFonts w:cs="Lucida Sans Unicode"/>
          <w:color w:val="151515"/>
          <w:szCs w:val="24"/>
        </w:rPr>
        <w:t>. Integrated Science Assessment for Particulate Matter (Final Report). U.S. Environmental Protection Agency, Washington, DC, EPA/600/R-08/139F, 2009.</w:t>
      </w:r>
    </w:p>
    <w:p w:rsidR="00A327E6" w:rsidRPr="00D55996" w:rsidRDefault="00A327E6" w:rsidP="00D55996">
      <w:pPr>
        <w:spacing w:before="0" w:after="0"/>
        <w:rPr>
          <w:rFonts w:cs="Arial"/>
          <w:color w:val="000000"/>
          <w:szCs w:val="24"/>
        </w:rPr>
      </w:pPr>
    </w:p>
    <w:p w:rsidR="00A327E6" w:rsidRPr="00D55996" w:rsidRDefault="00A327E6" w:rsidP="00D55996">
      <w:pPr>
        <w:shd w:val="clear" w:color="auto" w:fill="FFFFFF"/>
        <w:spacing w:before="0" w:after="0"/>
        <w:rPr>
          <w:rFonts w:cs="Lucida Sans Unicode"/>
          <w:color w:val="151515"/>
          <w:szCs w:val="24"/>
        </w:rPr>
      </w:pPr>
      <w:r w:rsidRPr="00D55996">
        <w:rPr>
          <w:rFonts w:cs="Arial"/>
          <w:color w:val="000000"/>
          <w:szCs w:val="24"/>
        </w:rPr>
        <w:t>U.S. EPA. United States Environmental Protection Agency</w:t>
      </w:r>
      <w:r w:rsidRPr="00D55996">
        <w:rPr>
          <w:rFonts w:cs="Lucida Sans Unicode"/>
          <w:color w:val="151515"/>
          <w:szCs w:val="24"/>
        </w:rPr>
        <w:t>. Integrated Science Assessment of Ozone and Related Photochemical Oxidants (Final Report). U.S. Environmental Protection Agency, Washington, DC, EPA/600/R-10/076F, 2013.</w:t>
      </w:r>
    </w:p>
    <w:p w:rsidR="00A327E6" w:rsidRPr="00D55996" w:rsidRDefault="00A327E6" w:rsidP="00D55996">
      <w:pPr>
        <w:spacing w:before="0" w:after="0"/>
        <w:rPr>
          <w:rFonts w:cs="Arial"/>
          <w:color w:val="000000"/>
          <w:szCs w:val="24"/>
        </w:rPr>
      </w:pPr>
    </w:p>
    <w:p w:rsidR="00A327E6" w:rsidRPr="00D55996" w:rsidRDefault="00A327E6" w:rsidP="00D55996">
      <w:pPr>
        <w:spacing w:before="0" w:after="0"/>
        <w:rPr>
          <w:rFonts w:cs="Arial"/>
          <w:color w:val="000000"/>
          <w:szCs w:val="24"/>
        </w:rPr>
      </w:pPr>
      <w:r w:rsidRPr="00D55996">
        <w:rPr>
          <w:rFonts w:cs="Arial"/>
          <w:color w:val="000000"/>
          <w:szCs w:val="24"/>
        </w:rPr>
        <w:t>U.S. EPA. United States Environmental Protection Agency. State Designations For The 1997 8-Hour Ozone Standard (as of September 18, 2009).   http://www.epa.gov/airquality/ozonepollution/designations/1997standards/regions/region1desig.htm</w:t>
      </w:r>
    </w:p>
    <w:p w:rsidR="00A327E6" w:rsidRPr="00D55996" w:rsidRDefault="00A327E6" w:rsidP="00D55996">
      <w:pPr>
        <w:spacing w:before="0" w:after="0"/>
        <w:rPr>
          <w:rFonts w:cs="Arial"/>
          <w:color w:val="000000"/>
          <w:szCs w:val="24"/>
        </w:rPr>
      </w:pPr>
    </w:p>
    <w:p w:rsidR="00A327E6" w:rsidRPr="00D55996" w:rsidRDefault="00A327E6" w:rsidP="00D55996">
      <w:pPr>
        <w:spacing w:before="0" w:after="0"/>
        <w:rPr>
          <w:rFonts w:cs="Arial"/>
          <w:color w:val="000000"/>
          <w:szCs w:val="24"/>
        </w:rPr>
      </w:pPr>
      <w:r w:rsidRPr="00D55996">
        <w:rPr>
          <w:rFonts w:cs="Arial"/>
          <w:color w:val="000000"/>
          <w:szCs w:val="24"/>
        </w:rPr>
        <w:t>US FAA. United States Federal Aviation Administration. Emissions and Dispersion Modeling System (EDMS) User’s Manual. Prepared for Federal Aviation Administration Office of Environment and Energy Washington, DC Prepared by CSSI, Inc., Washington, DC November 2010 FAA-AEE-07-01 (Rev. 8 – 11/15/10)</w:t>
      </w:r>
    </w:p>
    <w:p w:rsidR="00A327E6" w:rsidRPr="00D55996" w:rsidRDefault="00A327E6" w:rsidP="00D55996">
      <w:pPr>
        <w:spacing w:before="0" w:after="0"/>
        <w:rPr>
          <w:rFonts w:cs="Arial"/>
          <w:color w:val="000000"/>
          <w:szCs w:val="24"/>
        </w:rPr>
      </w:pPr>
      <w:hyperlink r:id="rId55" w:history="1">
        <w:r w:rsidRPr="00D55996">
          <w:rPr>
            <w:rStyle w:val="Hyperlink"/>
            <w:rFonts w:cs="Arial"/>
            <w:szCs w:val="24"/>
          </w:rPr>
          <w:t>http://www.faa.gov/about/office_org/headquarters_offices/apl/research/models/edms_model/media/EDMS%205.1.3%20User%20Manual.pdf</w:t>
        </w:r>
      </w:hyperlink>
    </w:p>
    <w:p w:rsidR="00A327E6" w:rsidRPr="00D55996" w:rsidRDefault="00A327E6" w:rsidP="00D55996">
      <w:pPr>
        <w:spacing w:before="0" w:after="0"/>
        <w:rPr>
          <w:rFonts w:cs="Arial"/>
          <w:color w:val="000000"/>
          <w:szCs w:val="24"/>
        </w:rPr>
      </w:pPr>
    </w:p>
    <w:p w:rsidR="00A327E6" w:rsidRPr="00D55996" w:rsidRDefault="00A327E6" w:rsidP="00D55996">
      <w:pPr>
        <w:spacing w:before="0" w:after="0"/>
        <w:rPr>
          <w:rFonts w:cs="Arial"/>
          <w:color w:val="000000"/>
          <w:szCs w:val="24"/>
        </w:rPr>
      </w:pPr>
      <w:r w:rsidRPr="00D55996">
        <w:rPr>
          <w:rFonts w:cs="Arial"/>
          <w:color w:val="000000"/>
          <w:szCs w:val="24"/>
        </w:rPr>
        <w:t>van Strien RT, Gent JF, Belanger K, Triche E, Bracken MB, Leaderer BP. Exposure to NO</w:t>
      </w:r>
      <w:r w:rsidRPr="00D55996">
        <w:rPr>
          <w:rFonts w:cs="Arial"/>
          <w:color w:val="000000"/>
          <w:szCs w:val="24"/>
          <w:vertAlign w:val="subscript"/>
        </w:rPr>
        <w:t>2</w:t>
      </w:r>
      <w:r w:rsidRPr="00D55996">
        <w:rPr>
          <w:rFonts w:cs="Arial"/>
          <w:color w:val="000000"/>
          <w:szCs w:val="24"/>
        </w:rPr>
        <w:t xml:space="preserve"> and nitrous acid and respiratory symptoms in the first year of life. Epidemiology 2004; 15(4): 471-8.</w:t>
      </w:r>
    </w:p>
    <w:p w:rsidR="00A327E6" w:rsidRPr="00D55996" w:rsidRDefault="00A327E6" w:rsidP="00D55996">
      <w:pPr>
        <w:spacing w:before="0" w:after="0"/>
        <w:rPr>
          <w:rFonts w:cs="Arial"/>
          <w:color w:val="000000"/>
          <w:szCs w:val="24"/>
        </w:rPr>
      </w:pPr>
    </w:p>
    <w:p w:rsidR="00A327E6" w:rsidRDefault="00A327E6" w:rsidP="00D55996">
      <w:pPr>
        <w:spacing w:before="0" w:after="0"/>
        <w:rPr>
          <w:rFonts w:cs="Arial"/>
          <w:color w:val="000000"/>
          <w:szCs w:val="24"/>
        </w:rPr>
      </w:pPr>
    </w:p>
    <w:p w:rsidR="00A327E6" w:rsidRDefault="00A327E6" w:rsidP="00D55996">
      <w:pPr>
        <w:spacing w:before="0" w:after="0"/>
        <w:rPr>
          <w:rFonts w:cs="Arial"/>
          <w:color w:val="000000"/>
          <w:szCs w:val="24"/>
        </w:rPr>
      </w:pPr>
    </w:p>
    <w:p w:rsidR="00A327E6" w:rsidRPr="00D55996" w:rsidRDefault="00A327E6" w:rsidP="00D55996">
      <w:pPr>
        <w:spacing w:before="0" w:after="0"/>
        <w:rPr>
          <w:rFonts w:cs="Arial"/>
          <w:color w:val="000000"/>
          <w:szCs w:val="24"/>
        </w:rPr>
      </w:pPr>
      <w:r w:rsidRPr="00D55996">
        <w:rPr>
          <w:rFonts w:cs="Arial"/>
          <w:color w:val="000000"/>
          <w:szCs w:val="24"/>
        </w:rPr>
        <w:t>von Klot S, Peters A, Aalto P, Bellander T, Berglind N, D'Ippoliti D, Elosua R, Hörmann A, Kulmala M, Lanki T, Löwel H, Pekkanen J, Picciotto S, Sunyer J, Forastiere F; Health Effects of Particles on Susceptible Subpopulations (HEAPSS) Study Group. Ambient air pollution is associated with increased risk of hospital cardiac readmissions of myocardial infarction survivors in five European cities. Circulation 2005; 112(20):3073-9.</w:t>
      </w:r>
    </w:p>
    <w:p w:rsidR="00A327E6" w:rsidRPr="00D55996" w:rsidRDefault="00A327E6" w:rsidP="00D55996">
      <w:pPr>
        <w:spacing w:before="0" w:after="0"/>
        <w:rPr>
          <w:rFonts w:cs="Arial"/>
          <w:bCs/>
          <w:szCs w:val="24"/>
        </w:rPr>
      </w:pPr>
    </w:p>
    <w:p w:rsidR="00A327E6" w:rsidRPr="00D55996" w:rsidRDefault="00A327E6" w:rsidP="00D55996">
      <w:pPr>
        <w:spacing w:before="0" w:after="0"/>
        <w:rPr>
          <w:rFonts w:cs="Arial"/>
          <w:bCs/>
          <w:szCs w:val="24"/>
        </w:rPr>
      </w:pPr>
      <w:r w:rsidRPr="00D55996">
        <w:rPr>
          <w:rFonts w:cs="Arial"/>
          <w:bCs/>
          <w:szCs w:val="24"/>
        </w:rPr>
        <w:t>Wagner, J. A comparison of alternative indicators for the risk of nonresponse bias. Public Opinion Quarterly 2012; 76(3):555-75.</w:t>
      </w:r>
    </w:p>
    <w:p w:rsidR="00A327E6" w:rsidRPr="00D55996" w:rsidRDefault="00A327E6" w:rsidP="00D55996">
      <w:pPr>
        <w:spacing w:before="0" w:after="0"/>
        <w:rPr>
          <w:rFonts w:cs="Arial"/>
          <w:bCs/>
          <w:szCs w:val="24"/>
        </w:rPr>
      </w:pPr>
    </w:p>
    <w:p w:rsidR="00A327E6" w:rsidRPr="00D55996" w:rsidRDefault="00A327E6" w:rsidP="00D55996">
      <w:pPr>
        <w:spacing w:before="0" w:after="0"/>
        <w:rPr>
          <w:rFonts w:cs="Arial"/>
          <w:bCs/>
          <w:szCs w:val="24"/>
        </w:rPr>
      </w:pPr>
      <w:r w:rsidRPr="00D55996">
        <w:rPr>
          <w:rFonts w:cs="Arial"/>
          <w:bCs/>
          <w:szCs w:val="24"/>
        </w:rPr>
        <w:t>Wayson RL, Fleming GG, Kim B, Draper J. Derivation of a first order approximation of particulate matter from aircraft. In 96th Annual Meeting of the Air &amp; Waste Management Association. (2006)</w:t>
      </w:r>
    </w:p>
    <w:p w:rsidR="00A327E6" w:rsidRPr="00D55996" w:rsidRDefault="00A327E6" w:rsidP="00D55996">
      <w:pPr>
        <w:spacing w:before="0" w:after="0"/>
        <w:rPr>
          <w:rFonts w:cs="Arial"/>
          <w:bCs/>
          <w:szCs w:val="24"/>
        </w:rPr>
      </w:pPr>
    </w:p>
    <w:p w:rsidR="00A327E6" w:rsidRPr="00D55996" w:rsidRDefault="00A327E6" w:rsidP="00D55996">
      <w:pPr>
        <w:spacing w:before="0" w:after="0"/>
        <w:rPr>
          <w:rFonts w:cs="Arial"/>
          <w:bCs/>
          <w:szCs w:val="24"/>
        </w:rPr>
      </w:pPr>
      <w:r w:rsidRPr="00D55996">
        <w:rPr>
          <w:rFonts w:cs="Arial"/>
          <w:bCs/>
          <w:szCs w:val="24"/>
        </w:rPr>
        <w:t>Wellenius GA, Schwartz J, Mittleman MA. Particulate air pollution and hospital admissions for congestive heart failure in seven United States cities. Am J Cardiol 2006; 97(3):404-8.</w:t>
      </w:r>
    </w:p>
    <w:p w:rsidR="00A327E6" w:rsidRPr="00D55996" w:rsidRDefault="00A327E6" w:rsidP="00D55996">
      <w:pPr>
        <w:spacing w:before="0" w:after="0"/>
        <w:rPr>
          <w:rFonts w:cs="Arial"/>
          <w:bCs/>
          <w:szCs w:val="24"/>
        </w:rPr>
      </w:pPr>
    </w:p>
    <w:p w:rsidR="00A327E6" w:rsidRPr="00D55996" w:rsidRDefault="00A327E6" w:rsidP="00D55996">
      <w:pPr>
        <w:spacing w:before="0" w:after="0"/>
        <w:rPr>
          <w:rFonts w:cs="Arial"/>
          <w:bCs/>
          <w:szCs w:val="24"/>
        </w:rPr>
      </w:pPr>
      <w:r w:rsidRPr="00D55996">
        <w:rPr>
          <w:rFonts w:cs="Arial"/>
          <w:bCs/>
          <w:szCs w:val="24"/>
        </w:rPr>
        <w:t>Westerdahl D, Fruin SA, Fine PL, Sioutas C. The Los Angeles International Airport as a source of ultrafine particles and other pollutants to nearby communities. Atmospheric Environment 2008; 42(13):3143-55.</w:t>
      </w:r>
    </w:p>
    <w:p w:rsidR="00A327E6" w:rsidRPr="00D55996" w:rsidRDefault="00A327E6" w:rsidP="00D55996">
      <w:pPr>
        <w:spacing w:before="0" w:after="0"/>
        <w:rPr>
          <w:rFonts w:cs="Arial"/>
          <w:bCs/>
          <w:szCs w:val="24"/>
        </w:rPr>
      </w:pPr>
    </w:p>
    <w:p w:rsidR="00A327E6" w:rsidRPr="00D55996" w:rsidRDefault="00A327E6" w:rsidP="00D55996">
      <w:pPr>
        <w:spacing w:before="0" w:after="0"/>
        <w:rPr>
          <w:rFonts w:cs="Arial"/>
          <w:color w:val="000000"/>
          <w:szCs w:val="24"/>
        </w:rPr>
      </w:pPr>
      <w:r w:rsidRPr="00D55996">
        <w:rPr>
          <w:rFonts w:cs="Arial"/>
          <w:color w:val="000000"/>
          <w:szCs w:val="24"/>
        </w:rPr>
        <w:t>WHO. 1999. World Health Organization Guidelines for Community Noise. http://www.who.int/docstore/peh/noise/noiseindex.html</w:t>
      </w:r>
    </w:p>
    <w:p w:rsidR="00A327E6" w:rsidRPr="00D55996" w:rsidRDefault="00A327E6" w:rsidP="00D55996">
      <w:pPr>
        <w:autoSpaceDE w:val="0"/>
        <w:autoSpaceDN w:val="0"/>
        <w:adjustRightInd w:val="0"/>
        <w:spacing w:before="0" w:after="0"/>
        <w:rPr>
          <w:rFonts w:cs="Arial"/>
          <w:color w:val="000000"/>
          <w:szCs w:val="24"/>
        </w:rPr>
      </w:pPr>
    </w:p>
    <w:p w:rsidR="00A327E6" w:rsidRPr="00D55996" w:rsidRDefault="00A327E6" w:rsidP="00D55996">
      <w:pPr>
        <w:spacing w:before="0" w:after="0"/>
        <w:rPr>
          <w:rFonts w:cs="Arial"/>
          <w:color w:val="000000"/>
          <w:szCs w:val="24"/>
        </w:rPr>
      </w:pPr>
      <w:r w:rsidRPr="00D55996">
        <w:rPr>
          <w:rFonts w:cs="Arial"/>
          <w:color w:val="000000"/>
          <w:szCs w:val="24"/>
        </w:rPr>
        <w:t xml:space="preserve">WHO, World Health Organization 2004. World Health Organization Occupational Noise: Assessing The Burden Of Disease From Work-Related Hearing Impairment At National And Local Levels. Concha-Barrientos, Marisol, Campbell-Lendrum, Diarmid, Steenland, Kyle, editors. Geneva.  </w:t>
      </w:r>
    </w:p>
    <w:p w:rsidR="00A327E6" w:rsidRPr="00D55996" w:rsidRDefault="00A327E6" w:rsidP="00D55996">
      <w:pPr>
        <w:spacing w:before="0" w:after="0"/>
        <w:rPr>
          <w:rFonts w:cs="Arial"/>
          <w:color w:val="000000"/>
          <w:szCs w:val="24"/>
        </w:rPr>
      </w:pPr>
    </w:p>
    <w:p w:rsidR="00A327E6" w:rsidRPr="00D55996" w:rsidRDefault="00A327E6" w:rsidP="00D55996">
      <w:pPr>
        <w:spacing w:before="0" w:after="0"/>
        <w:rPr>
          <w:szCs w:val="24"/>
        </w:rPr>
      </w:pPr>
      <w:r w:rsidRPr="00D55996">
        <w:rPr>
          <w:szCs w:val="24"/>
        </w:rPr>
        <w:t xml:space="preserve">Williams DR, Sternthal M, Wright RJ. </w:t>
      </w:r>
      <w:r w:rsidRPr="00D55996">
        <w:rPr>
          <w:bCs/>
          <w:szCs w:val="24"/>
        </w:rPr>
        <w:t>Social determinants: Taking the social context of asthma seriously</w:t>
      </w:r>
      <w:r w:rsidRPr="00D55996">
        <w:rPr>
          <w:szCs w:val="24"/>
        </w:rPr>
        <w:t>. Pediatrics 2009; 123 Suppl 3:S174-84.</w:t>
      </w:r>
    </w:p>
    <w:p w:rsidR="00A327E6" w:rsidRPr="00D55996" w:rsidRDefault="00A327E6" w:rsidP="00D55996">
      <w:pPr>
        <w:spacing w:before="0" w:after="0"/>
        <w:rPr>
          <w:rFonts w:cs="Arial"/>
          <w:color w:val="000000"/>
          <w:szCs w:val="24"/>
        </w:rPr>
      </w:pPr>
      <w:r w:rsidRPr="00D55996">
        <w:rPr>
          <w:rFonts w:cs="Arial"/>
          <w:color w:val="000000"/>
          <w:szCs w:val="24"/>
        </w:rPr>
        <w:t>Wilson PW, Culleton BF. Epidemiology of cardiovascular disease in the United States. Am J Kidney Dis 1998; 32(5 Suppl 3):S56-S65.</w:t>
      </w:r>
    </w:p>
    <w:p w:rsidR="00A327E6" w:rsidRPr="00D55996" w:rsidRDefault="00A327E6" w:rsidP="00D55996">
      <w:pPr>
        <w:spacing w:before="0" w:after="0"/>
        <w:rPr>
          <w:rFonts w:cs="Arial"/>
          <w:bCs/>
          <w:szCs w:val="24"/>
        </w:rPr>
      </w:pPr>
    </w:p>
    <w:p w:rsidR="00A327E6" w:rsidRPr="00D55996" w:rsidRDefault="00A327E6" w:rsidP="00D55996">
      <w:pPr>
        <w:spacing w:before="0" w:after="0"/>
        <w:rPr>
          <w:rFonts w:cs="Arial"/>
          <w:bCs/>
          <w:szCs w:val="24"/>
        </w:rPr>
      </w:pPr>
      <w:r w:rsidRPr="00D55996">
        <w:rPr>
          <w:rFonts w:cs="Arial"/>
          <w:bCs/>
          <w:szCs w:val="24"/>
        </w:rPr>
        <w:t>Wilson PW, Culleton BF. Overview of the risk factors for cardiovascular disease–II. 2005. In: Up To Date (CD-ROM). Up To Date, Waltham, MA.</w:t>
      </w:r>
    </w:p>
    <w:p w:rsidR="00A327E6" w:rsidRPr="00D55996" w:rsidRDefault="00A327E6" w:rsidP="00D55996">
      <w:pPr>
        <w:spacing w:before="0" w:after="0"/>
        <w:rPr>
          <w:rFonts w:cs="Arial"/>
          <w:color w:val="000000"/>
          <w:szCs w:val="24"/>
        </w:rPr>
      </w:pPr>
    </w:p>
    <w:p w:rsidR="00A327E6" w:rsidRDefault="00A327E6" w:rsidP="00D55996">
      <w:pPr>
        <w:spacing w:before="0" w:after="0"/>
        <w:rPr>
          <w:rFonts w:cs="Arial"/>
          <w:color w:val="000000"/>
          <w:szCs w:val="24"/>
        </w:rPr>
      </w:pPr>
    </w:p>
    <w:p w:rsidR="00A327E6" w:rsidRPr="00D55996" w:rsidRDefault="00A327E6" w:rsidP="00D55996">
      <w:pPr>
        <w:spacing w:before="0" w:after="0"/>
        <w:rPr>
          <w:rFonts w:cs="Arial"/>
          <w:bCs/>
          <w:color w:val="000000"/>
          <w:szCs w:val="24"/>
        </w:rPr>
      </w:pPr>
      <w:r w:rsidRPr="00D55996">
        <w:rPr>
          <w:rFonts w:cs="Arial"/>
          <w:color w:val="000000"/>
          <w:szCs w:val="24"/>
        </w:rPr>
        <w:t>Yeatts K, Shy C, Sotir M, Music S, Herget C. Health consequences for children with undiagnosed asthma-like symptoms. Arch Pediatr Adolesc Med 2003; 157:540-4.</w:t>
      </w:r>
    </w:p>
    <w:p w:rsidR="00A327E6" w:rsidRDefault="00A327E6" w:rsidP="00D55996">
      <w:pPr>
        <w:spacing w:before="0" w:after="0"/>
        <w:rPr>
          <w:rFonts w:cs="Arial"/>
          <w:bCs/>
          <w:szCs w:val="24"/>
        </w:rPr>
      </w:pPr>
      <w:r w:rsidRPr="00D55996">
        <w:rPr>
          <w:rFonts w:cs="Arial"/>
          <w:bCs/>
          <w:szCs w:val="24"/>
        </w:rPr>
        <w:t>Zhou Y, Levy JI. Between-airport heterogeneity in air toxics emissions associated with individual cancer risk thresholds and population risks. Environ Health 2009; 8:22.</w:t>
      </w:r>
    </w:p>
    <w:p w:rsidR="00A327E6" w:rsidRDefault="00A327E6" w:rsidP="005671A5">
      <w:pPr>
        <w:spacing w:before="0" w:after="0" w:line="240" w:lineRule="auto"/>
        <w:rPr>
          <w:rFonts w:cs="Arial"/>
          <w:bCs/>
          <w:szCs w:val="24"/>
        </w:rPr>
      </w:pPr>
      <w:r>
        <w:rPr>
          <w:rFonts w:cs="Arial"/>
          <w:bCs/>
          <w:szCs w:val="24"/>
        </w:rPr>
        <w:br w:type="page"/>
      </w:r>
    </w:p>
    <w:p w:rsidR="00A327E6" w:rsidRPr="00535E39" w:rsidRDefault="00A327E6" w:rsidP="004E7687">
      <w:pPr>
        <w:pStyle w:val="Heading1"/>
      </w:pPr>
      <w:bookmarkStart w:id="239" w:name="_Toc388543120"/>
      <w:r w:rsidRPr="00535E39">
        <w:t>Appendices for Logan Airport Health Study</w:t>
      </w:r>
      <w:bookmarkEnd w:id="239"/>
    </w:p>
    <w:p w:rsidR="00A327E6" w:rsidRDefault="00A327E6" w:rsidP="004E7687">
      <w:pPr>
        <w:rPr>
          <w:b/>
          <w:sz w:val="28"/>
          <w:szCs w:val="28"/>
        </w:rPr>
      </w:pPr>
    </w:p>
    <w:p w:rsidR="00A327E6" w:rsidRPr="00535E39" w:rsidRDefault="00A327E6" w:rsidP="004E7687">
      <w:pPr>
        <w:spacing w:after="0" w:line="360" w:lineRule="auto"/>
        <w:rPr>
          <w:b/>
          <w:sz w:val="28"/>
          <w:szCs w:val="28"/>
        </w:rPr>
      </w:pPr>
      <w:r w:rsidRPr="0096402A">
        <w:rPr>
          <w:b/>
          <w:sz w:val="28"/>
          <w:szCs w:val="28"/>
          <w:u w:val="single"/>
        </w:rPr>
        <w:t>Appendix A</w:t>
      </w:r>
      <w:r w:rsidRPr="00535E39">
        <w:rPr>
          <w:b/>
          <w:sz w:val="28"/>
          <w:szCs w:val="28"/>
        </w:rPr>
        <w:t xml:space="preserve">:  Emissions and Dispersion Modeling </w:t>
      </w:r>
    </w:p>
    <w:p w:rsidR="00A327E6" w:rsidRPr="00FB63FF" w:rsidRDefault="00A327E6" w:rsidP="004E7687">
      <w:pPr>
        <w:spacing w:line="360" w:lineRule="auto"/>
        <w:rPr>
          <w:rFonts w:eastAsia="PMingLiU"/>
          <w:b/>
          <w:sz w:val="28"/>
          <w:szCs w:val="28"/>
        </w:rPr>
      </w:pPr>
      <w:r w:rsidRPr="0096402A">
        <w:rPr>
          <w:rFonts w:eastAsia="PMingLiU"/>
          <w:b/>
          <w:sz w:val="28"/>
          <w:szCs w:val="28"/>
          <w:u w:val="single"/>
        </w:rPr>
        <w:t>Appendix B</w:t>
      </w:r>
      <w:r w:rsidRPr="00FB63FF">
        <w:rPr>
          <w:rFonts w:eastAsia="PMingLiU"/>
          <w:b/>
          <w:sz w:val="28"/>
          <w:szCs w:val="28"/>
        </w:rPr>
        <w:t>: Background Pollutant Concentrations</w:t>
      </w:r>
    </w:p>
    <w:p w:rsidR="00A327E6" w:rsidRDefault="00A327E6" w:rsidP="004E7687">
      <w:pPr>
        <w:spacing w:before="0"/>
        <w:rPr>
          <w:rFonts w:eastAsia="PMingLiU" w:cs="Calibri"/>
          <w:b/>
          <w:color w:val="000000"/>
          <w:sz w:val="28"/>
          <w:szCs w:val="28"/>
        </w:rPr>
      </w:pPr>
      <w:r w:rsidRPr="0096402A">
        <w:rPr>
          <w:rFonts w:eastAsia="PMingLiU" w:cs="Calibri"/>
          <w:b/>
          <w:color w:val="000000"/>
          <w:sz w:val="28"/>
          <w:szCs w:val="28"/>
          <w:u w:val="single"/>
        </w:rPr>
        <w:t>Appendix C</w:t>
      </w:r>
      <w:r w:rsidRPr="00FB63FF">
        <w:rPr>
          <w:rFonts w:eastAsia="PMingLiU" w:cs="Calibri"/>
          <w:b/>
          <w:color w:val="000000"/>
          <w:sz w:val="28"/>
          <w:szCs w:val="28"/>
        </w:rPr>
        <w:t xml:space="preserve">: </w:t>
      </w:r>
      <w:r w:rsidRPr="00FB63FF">
        <w:rPr>
          <w:b/>
          <w:sz w:val="28"/>
          <w:szCs w:val="28"/>
        </w:rPr>
        <w:t>Health-Related Behaviors, Occupational Exposures, And Household Characteristics Of Adult Residents Of The Logan Airport Health Study (LAHS) Area By Airport-Related Air Or Noise Exposure Area</w:t>
      </w:r>
    </w:p>
    <w:p w:rsidR="00A327E6" w:rsidRPr="00FB63FF" w:rsidRDefault="00A327E6" w:rsidP="004E7687">
      <w:pPr>
        <w:spacing w:before="0"/>
        <w:rPr>
          <w:rFonts w:eastAsia="PMingLiU" w:cs="Calibri"/>
          <w:b/>
          <w:color w:val="000000"/>
          <w:sz w:val="28"/>
          <w:szCs w:val="28"/>
        </w:rPr>
      </w:pPr>
      <w:r w:rsidRPr="0096402A">
        <w:rPr>
          <w:rFonts w:eastAsia="PMingLiU" w:cs="Calibri"/>
          <w:b/>
          <w:color w:val="000000"/>
          <w:sz w:val="28"/>
          <w:szCs w:val="28"/>
          <w:u w:val="single"/>
        </w:rPr>
        <w:t>Appendix D</w:t>
      </w:r>
      <w:r w:rsidRPr="00FB63FF">
        <w:rPr>
          <w:rFonts w:eastAsia="PMingLiU" w:cs="Calibri"/>
          <w:b/>
          <w:color w:val="000000"/>
          <w:sz w:val="28"/>
          <w:szCs w:val="28"/>
        </w:rPr>
        <w:t>: Continuous Exposure Analyses</w:t>
      </w:r>
    </w:p>
    <w:p w:rsidR="00A327E6" w:rsidRPr="004E7687" w:rsidRDefault="00A327E6" w:rsidP="004E7687"/>
    <w:sectPr w:rsidR="00A327E6" w:rsidRPr="004E7687" w:rsidSect="0051331A">
      <w:pgSz w:w="12240" w:h="15840"/>
      <w:pgMar w:top="1440" w:right="1296"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27E6" w:rsidRDefault="00A327E6" w:rsidP="002306C0">
      <w:pPr>
        <w:spacing w:before="0" w:after="0" w:line="240" w:lineRule="auto"/>
      </w:pPr>
      <w:r>
        <w:separator/>
      </w:r>
    </w:p>
  </w:endnote>
  <w:endnote w:type="continuationSeparator" w:id="0">
    <w:p w:rsidR="00A327E6" w:rsidRDefault="00A327E6" w:rsidP="002306C0">
      <w:pPr>
        <w:spacing w:before="0" w:after="0" w:line="240" w:lineRule="auto"/>
      </w:pPr>
      <w:r>
        <w:continuationSeparator/>
      </w:r>
    </w:p>
  </w:endnote>
  <w:endnote w:type="continuationNotice" w:id="1">
    <w:p w:rsidR="00A327E6" w:rsidRDefault="00A327E6">
      <w:pPr>
        <w:spacing w:before="0" w:after="0" w:line="240" w:lineRule="auto"/>
      </w:pP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Tahom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altName w:val="Tahoma"/>
    <w:panose1 w:val="020B0604030504040204"/>
    <w:charset w:val="00"/>
    <w:family w:val="swiss"/>
    <w:pitch w:val="variable"/>
    <w:sig w:usb0="61002A87" w:usb1="80000000" w:usb2="00000008" w:usb3="00000000" w:csb0="000101FF" w:csb1="00000000"/>
  </w:font>
  <w:font w:name="KMNEIN+Arial,Bold">
    <w:altName w:val="Arial"/>
    <w:panose1 w:val="00000000000000000000"/>
    <w:charset w:val="00"/>
    <w:family w:val="swiss"/>
    <w:notTrueType/>
    <w:pitch w:val="default"/>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Frutiger 55 Roman">
    <w:panose1 w:val="00000000000000000000"/>
    <w:charset w:val="00"/>
    <w:family w:val="auto"/>
    <w:notTrueType/>
    <w:pitch w:val="default"/>
    <w:sig w:usb0="00000003" w:usb1="00000000" w:usb2="00000000" w:usb3="00000000" w:csb0="00000001" w:csb1="00000000"/>
  </w:font>
  <w:font w:name="Times New Roman Bold">
    <w:altName w:val="serif"/>
    <w:panose1 w:val="02020803070505020304"/>
    <w:charset w:val="00"/>
    <w:family w:val="auto"/>
    <w:notTrueType/>
    <w:pitch w:val="default"/>
    <w:sig w:usb0="00000003" w:usb1="00000000" w:usb2="00000000" w:usb3="00000000" w:csb0="00000001" w:csb1="00000000"/>
  </w:font>
  <w:font w:name="PMingLiU">
    <w:altName w:val="¡Ps2OcuAe"/>
    <w:panose1 w:val="02020300000000000000"/>
    <w:charset w:val="88"/>
    <w:family w:val="roman"/>
    <w:pitch w:val="variable"/>
    <w:sig w:usb0="00000003" w:usb1="080E0000" w:usb2="00000016" w:usb3="00000000" w:csb0="00100001" w:csb1="00000000"/>
  </w:font>
  <w:font w:name="Verdana">
    <w:panose1 w:val="020B0604030504040204"/>
    <w:charset w:val="00"/>
    <w:family w:val="swiss"/>
    <w:pitch w:val="variable"/>
    <w:sig w:usb0="20000287" w:usb1="00000000" w:usb2="0000000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Univers LT Std 57 Cn">
    <w:altName w:val="Univers LT Std 57 Cn"/>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7E6" w:rsidRDefault="00A327E6" w:rsidP="00407E11">
    <w:pPr>
      <w:pStyle w:val="Footer"/>
      <w:tabs>
        <w:tab w:val="clear" w:pos="864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7E6" w:rsidRDefault="00A327E6">
    <w:pPr>
      <w:pStyle w:val="Footer"/>
      <w:jc w:val="center"/>
    </w:pPr>
    <w:r>
      <w:t>ES-</w:t>
    </w:r>
    <w:fldSimple w:instr=" PAGE   \* MERGEFORMAT ">
      <w:r>
        <w:rPr>
          <w:noProof/>
        </w:rPr>
        <w:t>6</w:t>
      </w:r>
    </w:fldSimple>
  </w:p>
  <w:p w:rsidR="00A327E6" w:rsidRDefault="00A327E6" w:rsidP="00407E11">
    <w:pPr>
      <w:pStyle w:val="Footer"/>
      <w:tabs>
        <w:tab w:val="clear" w:pos="8640"/>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7E6" w:rsidRDefault="00A327E6">
    <w:pPr>
      <w:pStyle w:val="Footer"/>
      <w:jc w:val="center"/>
    </w:pPr>
    <w:fldSimple w:instr=" PAGE   \* MERGEFORMAT ">
      <w:r>
        <w:rPr>
          <w:noProof/>
        </w:rPr>
        <w:t>4</w:t>
      </w:r>
    </w:fldSimple>
  </w:p>
  <w:p w:rsidR="00A327E6" w:rsidRDefault="00A327E6">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7E6" w:rsidRDefault="00A327E6">
    <w:pPr>
      <w:pStyle w:val="Footer"/>
      <w:jc w:val="center"/>
    </w:pPr>
    <w:fldSimple w:instr=" PAGE   \* MERGEFORMAT ">
      <w:r>
        <w:rPr>
          <w:noProof/>
        </w:rPr>
        <w:t>40</w:t>
      </w:r>
    </w:fldSimple>
  </w:p>
  <w:p w:rsidR="00A327E6" w:rsidRDefault="00A327E6">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7E6" w:rsidRDefault="00A327E6">
    <w:pPr>
      <w:pStyle w:val="Footer"/>
      <w:framePr w:wrap="around" w:vAnchor="text" w:hAnchor="margin" w:xAlign="right" w:y="1"/>
      <w:rPr>
        <w:rStyle w:val="PageNumber"/>
      </w:rPr>
    </w:pPr>
  </w:p>
  <w:p w:rsidR="00A327E6" w:rsidRDefault="00A327E6">
    <w:pPr>
      <w:pStyle w:val="Footer"/>
      <w:ind w:right="360"/>
    </w:pPr>
  </w:p>
  <w:p w:rsidR="00A327E6" w:rsidRDefault="00A327E6" w:rsidP="004700D6">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7E6" w:rsidRDefault="00A327E6">
    <w:pPr>
      <w:pStyle w:val="Footer"/>
      <w:jc w:val="center"/>
    </w:pPr>
    <w:fldSimple w:instr=" PAGE   \* MERGEFORMAT ">
      <w:r>
        <w:rPr>
          <w:noProof/>
        </w:rPr>
        <w:t>42</w:t>
      </w:r>
    </w:fldSimple>
  </w:p>
  <w:p w:rsidR="00A327E6" w:rsidRPr="007C2988" w:rsidRDefault="00A327E6" w:rsidP="007C2988">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7E6" w:rsidRDefault="00A327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327E6" w:rsidRDefault="00A327E6" w:rsidP="004700D6">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7E6" w:rsidRDefault="00A327E6">
    <w:pPr>
      <w:pStyle w:val="Footer"/>
      <w:jc w:val="center"/>
    </w:pPr>
    <w:fldSimple w:instr=" PAGE   \* MERGEFORMAT ">
      <w:r>
        <w:rPr>
          <w:noProof/>
        </w:rPr>
        <w:t>79</w:t>
      </w:r>
    </w:fldSimple>
  </w:p>
  <w:p w:rsidR="00A327E6" w:rsidRDefault="00A327E6" w:rsidP="004700D6">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7E6" w:rsidRDefault="00A327E6">
    <w:pPr>
      <w:pStyle w:val="Footer"/>
      <w:jc w:val="center"/>
    </w:pPr>
    <w:fldSimple w:instr=" PAGE   \* MERGEFORMAT ">
      <w:r>
        <w:rPr>
          <w:noProof/>
        </w:rPr>
        <w:t>119</w:t>
      </w:r>
    </w:fldSimple>
  </w:p>
  <w:p w:rsidR="00A327E6" w:rsidRDefault="00A327E6" w:rsidP="004700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27E6" w:rsidRDefault="00A327E6" w:rsidP="002306C0">
      <w:pPr>
        <w:spacing w:before="0" w:after="0" w:line="240" w:lineRule="auto"/>
      </w:pPr>
      <w:r>
        <w:separator/>
      </w:r>
    </w:p>
  </w:footnote>
  <w:footnote w:type="continuationSeparator" w:id="0">
    <w:p w:rsidR="00A327E6" w:rsidRDefault="00A327E6" w:rsidP="002306C0">
      <w:pPr>
        <w:spacing w:before="0" w:after="0" w:line="240" w:lineRule="auto"/>
      </w:pPr>
      <w:r>
        <w:continuationSeparator/>
      </w:r>
    </w:p>
  </w:footnote>
  <w:footnote w:type="continuationNotice" w:id="1">
    <w:p w:rsidR="00A327E6" w:rsidRDefault="00A327E6">
      <w:pPr>
        <w:spacing w:before="0" w:after="0" w:line="240" w:lineRule="auto"/>
      </w:pPr>
    </w:p>
  </w:footnote>
  <w:footnote w:id="2">
    <w:p w:rsidR="00A327E6" w:rsidRDefault="00A327E6" w:rsidP="00450AF8">
      <w:pPr>
        <w:shd w:val="clear" w:color="auto" w:fill="FFFFFF"/>
        <w:spacing w:before="120" w:line="240" w:lineRule="auto"/>
      </w:pPr>
      <w:r w:rsidRPr="004700D6">
        <w:rPr>
          <w:rStyle w:val="FootnoteReference"/>
          <w:sz w:val="20"/>
        </w:rPr>
        <w:footnoteRef/>
      </w:r>
      <w:r w:rsidRPr="004700D6">
        <w:rPr>
          <w:sz w:val="20"/>
        </w:rPr>
        <w:t xml:space="preserve"> </w:t>
      </w:r>
      <w:r w:rsidRPr="004700D6">
        <w:rPr>
          <w:color w:val="000000"/>
          <w:sz w:val="20"/>
        </w:rPr>
        <w:t>An emission factor is a representative value that relates the quantity of a pollutant released to the atmosphere with a</w:t>
      </w:r>
      <w:r>
        <w:rPr>
          <w:color w:val="000000"/>
          <w:sz w:val="20"/>
        </w:rPr>
        <w:t xml:space="preserve"> particular</w:t>
      </w:r>
      <w:r w:rsidRPr="004700D6">
        <w:rPr>
          <w:color w:val="000000"/>
          <w:sz w:val="20"/>
        </w:rPr>
        <w:t xml:space="preserve"> activity.  These factors are usually expressed as the weight of pollutant divided by a unit weight, volume, distance, or duration of the activity emitting the pollutant (e.g., kilograms of particulate </w:t>
      </w:r>
      <w:r>
        <w:rPr>
          <w:color w:val="000000"/>
          <w:sz w:val="20"/>
        </w:rPr>
        <w:t xml:space="preserve">matter </w:t>
      </w:r>
      <w:r w:rsidRPr="004700D6">
        <w:rPr>
          <w:color w:val="000000"/>
          <w:sz w:val="20"/>
        </w:rPr>
        <w:t xml:space="preserve">emitted per </w:t>
      </w:r>
      <w:r>
        <w:rPr>
          <w:color w:val="000000"/>
          <w:sz w:val="20"/>
        </w:rPr>
        <w:t>gallons of fuel burned</w:t>
      </w:r>
      <w:r w:rsidRPr="004700D6">
        <w:rPr>
          <w:color w:val="000000"/>
          <w:sz w:val="20"/>
        </w:rPr>
        <w:t>).  Such factors facilitate estimation of emissions from various sources of air pollution.</w:t>
      </w:r>
    </w:p>
  </w:footnote>
  <w:footnote w:id="3">
    <w:p w:rsidR="00A327E6" w:rsidRDefault="00A327E6" w:rsidP="00EF42EC">
      <w:pPr>
        <w:pStyle w:val="FootnoteText"/>
        <w:spacing w:line="240" w:lineRule="auto"/>
      </w:pPr>
      <w:r w:rsidRPr="004700D6">
        <w:rPr>
          <w:rStyle w:val="FootnoteReference"/>
          <w:sz w:val="20"/>
        </w:rPr>
        <w:footnoteRef/>
      </w:r>
      <w:r w:rsidRPr="004700D6">
        <w:rPr>
          <w:sz w:val="20"/>
        </w:rPr>
        <w:t xml:space="preserve"> The primary </w:t>
      </w:r>
      <w:r>
        <w:rPr>
          <w:sz w:val="20"/>
        </w:rPr>
        <w:t xml:space="preserve">particle </w:t>
      </w:r>
      <w:r w:rsidRPr="004700D6">
        <w:rPr>
          <w:sz w:val="20"/>
        </w:rPr>
        <w:t>size</w:t>
      </w:r>
      <w:r>
        <w:rPr>
          <w:sz w:val="20"/>
        </w:rPr>
        <w:t>s</w:t>
      </w:r>
      <w:r w:rsidRPr="004700D6">
        <w:rPr>
          <w:sz w:val="20"/>
        </w:rPr>
        <w:t xml:space="preserve"> emitted from airport sources are PM</w:t>
      </w:r>
      <w:r w:rsidRPr="004700D6">
        <w:rPr>
          <w:sz w:val="20"/>
          <w:vertAlign w:val="subscript"/>
        </w:rPr>
        <w:t>2.5</w:t>
      </w:r>
      <w:r w:rsidRPr="004700D6">
        <w:rPr>
          <w:sz w:val="20"/>
        </w:rPr>
        <w:t xml:space="preserve"> and ultrafine particles </w:t>
      </w:r>
      <w:r>
        <w:rPr>
          <w:sz w:val="20"/>
        </w:rPr>
        <w:t xml:space="preserve">or UFPs </w:t>
      </w:r>
      <w:r w:rsidRPr="004700D6">
        <w:rPr>
          <w:sz w:val="20"/>
        </w:rPr>
        <w:t>(i.e., particles with an aerodynamic range of 0.1 micrometers and smaller). Currently, regulat</w:t>
      </w:r>
      <w:r>
        <w:rPr>
          <w:sz w:val="20"/>
        </w:rPr>
        <w:t>ions are</w:t>
      </w:r>
      <w:r w:rsidRPr="004700D6">
        <w:rPr>
          <w:sz w:val="20"/>
        </w:rPr>
        <w:t xml:space="preserve"> associated with mass fraction of particulate matter </w:t>
      </w:r>
      <w:r>
        <w:rPr>
          <w:sz w:val="20"/>
        </w:rPr>
        <w:t xml:space="preserve">only </w:t>
      </w:r>
      <w:r w:rsidRPr="004700D6">
        <w:rPr>
          <w:sz w:val="20"/>
        </w:rPr>
        <w:t>(PM</w:t>
      </w:r>
      <w:r w:rsidRPr="004700D6">
        <w:rPr>
          <w:sz w:val="20"/>
          <w:vertAlign w:val="subscript"/>
        </w:rPr>
        <w:t>2.5</w:t>
      </w:r>
      <w:r w:rsidRPr="004700D6">
        <w:rPr>
          <w:sz w:val="20"/>
        </w:rPr>
        <w:t xml:space="preserve"> and PM</w:t>
      </w:r>
      <w:r w:rsidRPr="004700D6">
        <w:rPr>
          <w:sz w:val="20"/>
          <w:vertAlign w:val="subscript"/>
        </w:rPr>
        <w:t>10</w:t>
      </w:r>
      <w:r w:rsidRPr="004700D6">
        <w:rPr>
          <w:sz w:val="20"/>
        </w:rPr>
        <w:t>). Emissions inventories do not report UFPs and UFPs are not included in air dispersion models. Massport also assumes all PM emissions at Logan Airport are PM</w:t>
      </w:r>
      <w:r w:rsidRPr="004700D6">
        <w:rPr>
          <w:sz w:val="20"/>
          <w:vertAlign w:val="subscript"/>
        </w:rPr>
        <w:t>2.5</w:t>
      </w:r>
      <w:r w:rsidRPr="0084725D">
        <w:rPr>
          <w:sz w:val="20"/>
        </w:rPr>
        <w:t>. To</w:t>
      </w:r>
      <w:r w:rsidRPr="004700D6">
        <w:rPr>
          <w:sz w:val="20"/>
        </w:rPr>
        <w:t xml:space="preserve"> maintain consistency, this report will also refer to</w:t>
      </w:r>
      <w:r>
        <w:rPr>
          <w:sz w:val="20"/>
        </w:rPr>
        <w:t xml:space="preserve"> all</w:t>
      </w:r>
      <w:r w:rsidRPr="004700D6">
        <w:rPr>
          <w:sz w:val="20"/>
        </w:rPr>
        <w:t xml:space="preserve"> PM emissions and air concentrations as PM</w:t>
      </w:r>
      <w:r w:rsidRPr="004700D6">
        <w:rPr>
          <w:sz w:val="20"/>
          <w:vertAlign w:val="subscript"/>
        </w:rPr>
        <w:t>2.5</w:t>
      </w:r>
      <w:r w:rsidRPr="0084725D">
        <w:rPr>
          <w:sz w:val="20"/>
        </w:rPr>
        <w:t>.</w:t>
      </w:r>
    </w:p>
  </w:footnote>
  <w:footnote w:id="4">
    <w:p w:rsidR="00A327E6" w:rsidRDefault="00A327E6">
      <w:pPr>
        <w:pStyle w:val="FootnoteText"/>
      </w:pPr>
      <w:r>
        <w:rPr>
          <w:rStyle w:val="FootnoteReference"/>
        </w:rPr>
        <w:footnoteRef/>
      </w:r>
      <w:r>
        <w:t xml:space="preserve"> </w:t>
      </w:r>
      <w:r w:rsidRPr="0018724B">
        <w:rPr>
          <w:sz w:val="20"/>
        </w:rPr>
        <w:t>See Table 12 in Appendix A. For example: Average Logan Contribution /</w:t>
      </w:r>
      <w:r>
        <w:rPr>
          <w:sz w:val="20"/>
        </w:rPr>
        <w:t xml:space="preserve"> </w:t>
      </w:r>
      <w:r w:rsidRPr="0018724B">
        <w:rPr>
          <w:sz w:val="20"/>
        </w:rPr>
        <w:t>A</w:t>
      </w:r>
      <w:r>
        <w:rPr>
          <w:sz w:val="20"/>
        </w:rPr>
        <w:t>verage Background Contribution:</w:t>
      </w:r>
      <w:r w:rsidRPr="0018724B">
        <w:rPr>
          <w:sz w:val="20"/>
        </w:rPr>
        <w:t xml:space="preserve"> 0.07/12.21 =0.006</w:t>
      </w:r>
      <w:r>
        <w:rPr>
          <w:sz w:val="20"/>
        </w:rPr>
        <w:t>.</w:t>
      </w:r>
    </w:p>
  </w:footnote>
  <w:footnote w:id="5">
    <w:p w:rsidR="00A327E6" w:rsidRDefault="00A327E6" w:rsidP="00DB3272">
      <w:pPr>
        <w:pStyle w:val="FootnoteText"/>
      </w:pPr>
      <w:r w:rsidRPr="008C1B26">
        <w:rPr>
          <w:rStyle w:val="FootnoteReference"/>
          <w:sz w:val="20"/>
        </w:rPr>
        <w:footnoteRef/>
      </w:r>
      <w:r w:rsidRPr="008C1B26">
        <w:rPr>
          <w:sz w:val="20"/>
        </w:rPr>
        <w:t xml:space="preserve"> US </w:t>
      </w:r>
      <w:r w:rsidRPr="008C1B26">
        <w:rPr>
          <w:rFonts w:cs="Arial"/>
          <w:sz w:val="20"/>
        </w:rPr>
        <w:t>EPA identified 4000 Hz as the most noise-sensitive frequency to be protected.  The noise level chosen to protect against hearing loss up to and including the 96</w:t>
      </w:r>
      <w:r w:rsidRPr="008C1B26">
        <w:rPr>
          <w:rFonts w:cs="Arial"/>
          <w:sz w:val="20"/>
          <w:vertAlign w:val="superscript"/>
        </w:rPr>
        <w:t>th</w:t>
      </w:r>
      <w:r w:rsidRPr="008C1B26">
        <w:rPr>
          <w:rFonts w:cs="Arial"/>
          <w:sz w:val="20"/>
        </w:rPr>
        <w:t xml:space="preserve"> percentile of the population, was ranked according to decreasing ability to hear at 4000 Hz.</w:t>
      </w:r>
    </w:p>
  </w:footnote>
  <w:footnote w:id="6">
    <w:p w:rsidR="00A327E6" w:rsidRDefault="00A327E6" w:rsidP="00DB3272">
      <w:pPr>
        <w:pStyle w:val="FootnoteText"/>
      </w:pPr>
      <w:r w:rsidRPr="008C1B26">
        <w:rPr>
          <w:rStyle w:val="FootnoteReference"/>
          <w:rFonts w:cs="Arial"/>
          <w:sz w:val="20"/>
        </w:rPr>
        <w:footnoteRef/>
      </w:r>
      <w:r w:rsidRPr="008C1B26">
        <w:rPr>
          <w:rFonts w:cs="Arial"/>
          <w:sz w:val="20"/>
        </w:rPr>
        <w:t xml:space="preserve"> The equal energy principle is the theory that the hazard to hearing is determined by the total sound energy (the product of sound intensity and duration) entering the ear each day.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7E6" w:rsidRPr="00490ED9" w:rsidRDefault="00A327E6" w:rsidP="00490E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7E6" w:rsidRPr="007C5115" w:rsidRDefault="00A327E6" w:rsidP="00F74F1D">
    <w:pPr>
      <w:jc w:val="center"/>
      <w:rPr>
        <w:rFonts w:cs="Arial"/>
        <w:b/>
        <w:bCs/>
        <w:color w:val="FF0000"/>
        <w:sz w:val="28"/>
      </w:rPr>
    </w:pPr>
    <w:r w:rsidRPr="007C5115">
      <w:rPr>
        <w:rFonts w:cs="Arial"/>
        <w:b/>
        <w:bCs/>
        <w:color w:val="FF0000"/>
        <w:sz w:val="28"/>
      </w:rPr>
      <w:t xml:space="preserve">DRAFT Confidential For Internal Deliberations Only </w:t>
    </w:r>
  </w:p>
  <w:p w:rsidR="00A327E6" w:rsidRDefault="00A327E6">
    <w:pPr>
      <w:pStyle w:val="Header"/>
    </w:pPr>
  </w:p>
  <w:p w:rsidR="00A327E6" w:rsidRDefault="00A327E6" w:rsidP="004700D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7E6" w:rsidRPr="0011221D" w:rsidRDefault="00A327E6" w:rsidP="0011221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7E6" w:rsidRPr="0083684E" w:rsidRDefault="00A327E6" w:rsidP="008368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039E9"/>
    <w:multiLevelType w:val="hybridMultilevel"/>
    <w:tmpl w:val="77DEE4A2"/>
    <w:lvl w:ilvl="0" w:tplc="3A9260B4">
      <w:start w:val="1"/>
      <w:numFmt w:val="decimal"/>
      <w:lvlText w:val="(%1)"/>
      <w:lvlJc w:val="left"/>
      <w:pPr>
        <w:ind w:left="630" w:hanging="360"/>
      </w:pPr>
      <w:rPr>
        <w:rFonts w:cs="Times New Roman" w:hint="default"/>
      </w:rPr>
    </w:lvl>
    <w:lvl w:ilvl="1" w:tplc="04090019" w:tentative="1">
      <w:start w:val="1"/>
      <w:numFmt w:val="lowerLetter"/>
      <w:lvlText w:val="%2."/>
      <w:lvlJc w:val="left"/>
      <w:pPr>
        <w:ind w:left="1110" w:hanging="360"/>
      </w:pPr>
      <w:rPr>
        <w:rFonts w:cs="Times New Roman"/>
      </w:rPr>
    </w:lvl>
    <w:lvl w:ilvl="2" w:tplc="0409001B" w:tentative="1">
      <w:start w:val="1"/>
      <w:numFmt w:val="lowerRoman"/>
      <w:lvlText w:val="%3."/>
      <w:lvlJc w:val="right"/>
      <w:pPr>
        <w:ind w:left="1830" w:hanging="180"/>
      </w:pPr>
      <w:rPr>
        <w:rFonts w:cs="Times New Roman"/>
      </w:rPr>
    </w:lvl>
    <w:lvl w:ilvl="3" w:tplc="0409000F" w:tentative="1">
      <w:start w:val="1"/>
      <w:numFmt w:val="decimal"/>
      <w:lvlText w:val="%4."/>
      <w:lvlJc w:val="left"/>
      <w:pPr>
        <w:ind w:left="2550" w:hanging="360"/>
      </w:pPr>
      <w:rPr>
        <w:rFonts w:cs="Times New Roman"/>
      </w:rPr>
    </w:lvl>
    <w:lvl w:ilvl="4" w:tplc="04090019" w:tentative="1">
      <w:start w:val="1"/>
      <w:numFmt w:val="lowerLetter"/>
      <w:lvlText w:val="%5."/>
      <w:lvlJc w:val="left"/>
      <w:pPr>
        <w:ind w:left="3270" w:hanging="360"/>
      </w:pPr>
      <w:rPr>
        <w:rFonts w:cs="Times New Roman"/>
      </w:rPr>
    </w:lvl>
    <w:lvl w:ilvl="5" w:tplc="0409001B" w:tentative="1">
      <w:start w:val="1"/>
      <w:numFmt w:val="lowerRoman"/>
      <w:lvlText w:val="%6."/>
      <w:lvlJc w:val="right"/>
      <w:pPr>
        <w:ind w:left="3990" w:hanging="180"/>
      </w:pPr>
      <w:rPr>
        <w:rFonts w:cs="Times New Roman"/>
      </w:rPr>
    </w:lvl>
    <w:lvl w:ilvl="6" w:tplc="0409000F" w:tentative="1">
      <w:start w:val="1"/>
      <w:numFmt w:val="decimal"/>
      <w:lvlText w:val="%7."/>
      <w:lvlJc w:val="left"/>
      <w:pPr>
        <w:ind w:left="4710" w:hanging="360"/>
      </w:pPr>
      <w:rPr>
        <w:rFonts w:cs="Times New Roman"/>
      </w:rPr>
    </w:lvl>
    <w:lvl w:ilvl="7" w:tplc="04090019" w:tentative="1">
      <w:start w:val="1"/>
      <w:numFmt w:val="lowerLetter"/>
      <w:lvlText w:val="%8."/>
      <w:lvlJc w:val="left"/>
      <w:pPr>
        <w:ind w:left="5430" w:hanging="360"/>
      </w:pPr>
      <w:rPr>
        <w:rFonts w:cs="Times New Roman"/>
      </w:rPr>
    </w:lvl>
    <w:lvl w:ilvl="8" w:tplc="0409001B" w:tentative="1">
      <w:start w:val="1"/>
      <w:numFmt w:val="lowerRoman"/>
      <w:lvlText w:val="%9."/>
      <w:lvlJc w:val="right"/>
      <w:pPr>
        <w:ind w:left="6150" w:hanging="180"/>
      </w:pPr>
      <w:rPr>
        <w:rFonts w:cs="Times New Roman"/>
      </w:rPr>
    </w:lvl>
  </w:abstractNum>
  <w:abstractNum w:abstractNumId="1">
    <w:nsid w:val="129519B6"/>
    <w:multiLevelType w:val="hybridMultilevel"/>
    <w:tmpl w:val="859674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AEC789A"/>
    <w:multiLevelType w:val="hybridMultilevel"/>
    <w:tmpl w:val="E56AB314"/>
    <w:lvl w:ilvl="0" w:tplc="3F782A58">
      <w:start w:val="9"/>
      <w:numFmt w:val="decimal"/>
      <w:lvlText w:val="%1"/>
      <w:lvlJc w:val="left"/>
      <w:pPr>
        <w:tabs>
          <w:tab w:val="num" w:pos="855"/>
        </w:tabs>
        <w:ind w:left="855" w:hanging="360"/>
      </w:pPr>
      <w:rPr>
        <w:rFonts w:cs="Times New Roman" w:hint="default"/>
      </w:rPr>
    </w:lvl>
    <w:lvl w:ilvl="1" w:tplc="04090019" w:tentative="1">
      <w:start w:val="1"/>
      <w:numFmt w:val="lowerLetter"/>
      <w:lvlText w:val="%2."/>
      <w:lvlJc w:val="left"/>
      <w:pPr>
        <w:tabs>
          <w:tab w:val="num" w:pos="1575"/>
        </w:tabs>
        <w:ind w:left="1575" w:hanging="360"/>
      </w:pPr>
      <w:rPr>
        <w:rFonts w:cs="Times New Roman"/>
      </w:rPr>
    </w:lvl>
    <w:lvl w:ilvl="2" w:tplc="0409001B" w:tentative="1">
      <w:start w:val="1"/>
      <w:numFmt w:val="lowerRoman"/>
      <w:lvlText w:val="%3."/>
      <w:lvlJc w:val="right"/>
      <w:pPr>
        <w:tabs>
          <w:tab w:val="num" w:pos="2295"/>
        </w:tabs>
        <w:ind w:left="2295" w:hanging="180"/>
      </w:pPr>
      <w:rPr>
        <w:rFonts w:cs="Times New Roman"/>
      </w:rPr>
    </w:lvl>
    <w:lvl w:ilvl="3" w:tplc="0409000F" w:tentative="1">
      <w:start w:val="1"/>
      <w:numFmt w:val="decimal"/>
      <w:lvlText w:val="%4."/>
      <w:lvlJc w:val="left"/>
      <w:pPr>
        <w:tabs>
          <w:tab w:val="num" w:pos="3015"/>
        </w:tabs>
        <w:ind w:left="3015" w:hanging="360"/>
      </w:pPr>
      <w:rPr>
        <w:rFonts w:cs="Times New Roman"/>
      </w:rPr>
    </w:lvl>
    <w:lvl w:ilvl="4" w:tplc="04090019" w:tentative="1">
      <w:start w:val="1"/>
      <w:numFmt w:val="lowerLetter"/>
      <w:lvlText w:val="%5."/>
      <w:lvlJc w:val="left"/>
      <w:pPr>
        <w:tabs>
          <w:tab w:val="num" w:pos="3735"/>
        </w:tabs>
        <w:ind w:left="3735" w:hanging="360"/>
      </w:pPr>
      <w:rPr>
        <w:rFonts w:cs="Times New Roman"/>
      </w:rPr>
    </w:lvl>
    <w:lvl w:ilvl="5" w:tplc="0409001B" w:tentative="1">
      <w:start w:val="1"/>
      <w:numFmt w:val="lowerRoman"/>
      <w:lvlText w:val="%6."/>
      <w:lvlJc w:val="right"/>
      <w:pPr>
        <w:tabs>
          <w:tab w:val="num" w:pos="4455"/>
        </w:tabs>
        <w:ind w:left="4455" w:hanging="180"/>
      </w:pPr>
      <w:rPr>
        <w:rFonts w:cs="Times New Roman"/>
      </w:rPr>
    </w:lvl>
    <w:lvl w:ilvl="6" w:tplc="0409000F" w:tentative="1">
      <w:start w:val="1"/>
      <w:numFmt w:val="decimal"/>
      <w:lvlText w:val="%7."/>
      <w:lvlJc w:val="left"/>
      <w:pPr>
        <w:tabs>
          <w:tab w:val="num" w:pos="5175"/>
        </w:tabs>
        <w:ind w:left="5175" w:hanging="360"/>
      </w:pPr>
      <w:rPr>
        <w:rFonts w:cs="Times New Roman"/>
      </w:rPr>
    </w:lvl>
    <w:lvl w:ilvl="7" w:tplc="04090019" w:tentative="1">
      <w:start w:val="1"/>
      <w:numFmt w:val="lowerLetter"/>
      <w:lvlText w:val="%8."/>
      <w:lvlJc w:val="left"/>
      <w:pPr>
        <w:tabs>
          <w:tab w:val="num" w:pos="5895"/>
        </w:tabs>
        <w:ind w:left="5895" w:hanging="360"/>
      </w:pPr>
      <w:rPr>
        <w:rFonts w:cs="Times New Roman"/>
      </w:rPr>
    </w:lvl>
    <w:lvl w:ilvl="8" w:tplc="0409001B" w:tentative="1">
      <w:start w:val="1"/>
      <w:numFmt w:val="lowerRoman"/>
      <w:lvlText w:val="%9."/>
      <w:lvlJc w:val="right"/>
      <w:pPr>
        <w:tabs>
          <w:tab w:val="num" w:pos="6615"/>
        </w:tabs>
        <w:ind w:left="6615" w:hanging="180"/>
      </w:pPr>
      <w:rPr>
        <w:rFonts w:cs="Times New Roman"/>
      </w:rPr>
    </w:lvl>
  </w:abstractNum>
  <w:abstractNum w:abstractNumId="3">
    <w:nsid w:val="1B832E0E"/>
    <w:multiLevelType w:val="hybridMultilevel"/>
    <w:tmpl w:val="F3C8F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EF4566"/>
    <w:multiLevelType w:val="hybridMultilevel"/>
    <w:tmpl w:val="0CBE3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7D5DBD"/>
    <w:multiLevelType w:val="hybridMultilevel"/>
    <w:tmpl w:val="AD947C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58D5481"/>
    <w:multiLevelType w:val="hybridMultilevel"/>
    <w:tmpl w:val="8730E50A"/>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7">
    <w:nsid w:val="25CF2C77"/>
    <w:multiLevelType w:val="hybridMultilevel"/>
    <w:tmpl w:val="91725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C06167"/>
    <w:multiLevelType w:val="hybridMultilevel"/>
    <w:tmpl w:val="0BF285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37D65B7D"/>
    <w:multiLevelType w:val="hybridMultilevel"/>
    <w:tmpl w:val="14985526"/>
    <w:lvl w:ilvl="0" w:tplc="21808822">
      <w:start w:val="1"/>
      <w:numFmt w:val="bullet"/>
      <w:lvlText w:val="•"/>
      <w:lvlJc w:val="left"/>
      <w:pPr>
        <w:tabs>
          <w:tab w:val="num" w:pos="1080"/>
        </w:tabs>
        <w:ind w:left="1080" w:hanging="360"/>
      </w:pPr>
      <w:rPr>
        <w:rFonts w:ascii="Arial" w:hAnsi="Arial" w:hint="default"/>
      </w:rPr>
    </w:lvl>
    <w:lvl w:ilvl="1" w:tplc="014AF282">
      <w:start w:val="1"/>
      <w:numFmt w:val="bullet"/>
      <w:lvlText w:val="•"/>
      <w:lvlJc w:val="left"/>
      <w:pPr>
        <w:tabs>
          <w:tab w:val="num" w:pos="1440"/>
        </w:tabs>
        <w:ind w:left="1440" w:hanging="360"/>
      </w:pPr>
      <w:rPr>
        <w:rFonts w:ascii="Arial" w:hAnsi="Arial" w:hint="default"/>
      </w:rPr>
    </w:lvl>
    <w:lvl w:ilvl="2" w:tplc="0870EFE6">
      <w:start w:val="1"/>
      <w:numFmt w:val="bullet"/>
      <w:lvlText w:val="•"/>
      <w:lvlJc w:val="left"/>
      <w:pPr>
        <w:tabs>
          <w:tab w:val="num" w:pos="2160"/>
        </w:tabs>
        <w:ind w:left="2160" w:hanging="360"/>
      </w:pPr>
      <w:rPr>
        <w:rFonts w:ascii="Arial" w:hAnsi="Arial" w:hint="default"/>
      </w:rPr>
    </w:lvl>
    <w:lvl w:ilvl="3" w:tplc="034610A6" w:tentative="1">
      <w:start w:val="1"/>
      <w:numFmt w:val="bullet"/>
      <w:lvlText w:val="•"/>
      <w:lvlJc w:val="left"/>
      <w:pPr>
        <w:tabs>
          <w:tab w:val="num" w:pos="2880"/>
        </w:tabs>
        <w:ind w:left="2880" w:hanging="360"/>
      </w:pPr>
      <w:rPr>
        <w:rFonts w:ascii="Arial" w:hAnsi="Arial" w:hint="default"/>
      </w:rPr>
    </w:lvl>
    <w:lvl w:ilvl="4" w:tplc="0C5ECAD6" w:tentative="1">
      <w:start w:val="1"/>
      <w:numFmt w:val="bullet"/>
      <w:lvlText w:val="•"/>
      <w:lvlJc w:val="left"/>
      <w:pPr>
        <w:tabs>
          <w:tab w:val="num" w:pos="3600"/>
        </w:tabs>
        <w:ind w:left="3600" w:hanging="360"/>
      </w:pPr>
      <w:rPr>
        <w:rFonts w:ascii="Arial" w:hAnsi="Arial" w:hint="default"/>
      </w:rPr>
    </w:lvl>
    <w:lvl w:ilvl="5" w:tplc="14BE2FAE" w:tentative="1">
      <w:start w:val="1"/>
      <w:numFmt w:val="bullet"/>
      <w:lvlText w:val="•"/>
      <w:lvlJc w:val="left"/>
      <w:pPr>
        <w:tabs>
          <w:tab w:val="num" w:pos="4320"/>
        </w:tabs>
        <w:ind w:left="4320" w:hanging="360"/>
      </w:pPr>
      <w:rPr>
        <w:rFonts w:ascii="Arial" w:hAnsi="Arial" w:hint="default"/>
      </w:rPr>
    </w:lvl>
    <w:lvl w:ilvl="6" w:tplc="7A8A8C02" w:tentative="1">
      <w:start w:val="1"/>
      <w:numFmt w:val="bullet"/>
      <w:lvlText w:val="•"/>
      <w:lvlJc w:val="left"/>
      <w:pPr>
        <w:tabs>
          <w:tab w:val="num" w:pos="5040"/>
        </w:tabs>
        <w:ind w:left="5040" w:hanging="360"/>
      </w:pPr>
      <w:rPr>
        <w:rFonts w:ascii="Arial" w:hAnsi="Arial" w:hint="default"/>
      </w:rPr>
    </w:lvl>
    <w:lvl w:ilvl="7" w:tplc="C320147E" w:tentative="1">
      <w:start w:val="1"/>
      <w:numFmt w:val="bullet"/>
      <w:lvlText w:val="•"/>
      <w:lvlJc w:val="left"/>
      <w:pPr>
        <w:tabs>
          <w:tab w:val="num" w:pos="5760"/>
        </w:tabs>
        <w:ind w:left="5760" w:hanging="360"/>
      </w:pPr>
      <w:rPr>
        <w:rFonts w:ascii="Arial" w:hAnsi="Arial" w:hint="default"/>
      </w:rPr>
    </w:lvl>
    <w:lvl w:ilvl="8" w:tplc="6A7CB07E" w:tentative="1">
      <w:start w:val="1"/>
      <w:numFmt w:val="bullet"/>
      <w:lvlText w:val="•"/>
      <w:lvlJc w:val="left"/>
      <w:pPr>
        <w:tabs>
          <w:tab w:val="num" w:pos="6480"/>
        </w:tabs>
        <w:ind w:left="6480" w:hanging="360"/>
      </w:pPr>
      <w:rPr>
        <w:rFonts w:ascii="Arial" w:hAnsi="Arial" w:hint="default"/>
      </w:rPr>
    </w:lvl>
  </w:abstractNum>
  <w:abstractNum w:abstractNumId="10">
    <w:nsid w:val="3AF47298"/>
    <w:multiLevelType w:val="hybridMultilevel"/>
    <w:tmpl w:val="E6D6619C"/>
    <w:lvl w:ilvl="0" w:tplc="DB96867A">
      <w:start w:val="1"/>
      <w:numFmt w:val="decimal"/>
      <w:pStyle w:val="title5b"/>
      <w:lvlText w:val="3.4.2.2.%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3D23325A"/>
    <w:multiLevelType w:val="hybridMultilevel"/>
    <w:tmpl w:val="E86E6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983B82"/>
    <w:multiLevelType w:val="hybridMultilevel"/>
    <w:tmpl w:val="789A4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6E1843"/>
    <w:multiLevelType w:val="multilevel"/>
    <w:tmpl w:val="03A2DF74"/>
    <w:lvl w:ilvl="0">
      <w:start w:val="1"/>
      <w:numFmt w:val="decimal"/>
      <w:lvlText w:val="%1."/>
      <w:lvlJc w:val="left"/>
      <w:pPr>
        <w:ind w:hanging="360"/>
      </w:pPr>
      <w:rPr>
        <w:rFonts w:cs="Times New Roman" w:hint="default"/>
      </w:rPr>
    </w:lvl>
    <w:lvl w:ilvl="1">
      <w:start w:val="1"/>
      <w:numFmt w:val="decimal"/>
      <w:pStyle w:val="Title2"/>
      <w:lvlText w:val="%1.%2"/>
      <w:lvlJc w:val="left"/>
      <w:pPr>
        <w:tabs>
          <w:tab w:val="num" w:pos="432"/>
        </w:tabs>
        <w:ind w:left="432"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Title3"/>
      <w:lvlText w:val="%1.%2.%3"/>
      <w:lvlJc w:val="left"/>
      <w:pPr>
        <w:tabs>
          <w:tab w:val="num" w:pos="936"/>
        </w:tabs>
        <w:ind w:left="936" w:hanging="576"/>
      </w:pPr>
      <w:rPr>
        <w:rFonts w:cs="Times New Roman" w:hint="default"/>
        <w:b w:val="0"/>
      </w:rPr>
    </w:lvl>
    <w:lvl w:ilvl="3">
      <w:start w:val="1"/>
      <w:numFmt w:val="decimal"/>
      <w:pStyle w:val="Title4"/>
      <w:lvlText w:val="%1.%2.%3.%4"/>
      <w:lvlJc w:val="left"/>
      <w:pPr>
        <w:tabs>
          <w:tab w:val="num" w:pos="1080"/>
        </w:tabs>
        <w:ind w:left="1080" w:hanging="720"/>
      </w:pPr>
      <w:rPr>
        <w:rFonts w:cs="Times New Roman" w:hint="default"/>
        <w:b w:val="0"/>
      </w:rPr>
    </w:lvl>
    <w:lvl w:ilvl="4">
      <w:start w:val="1"/>
      <w:numFmt w:val="decimal"/>
      <w:lvlText w:val="%4%1.%2.%3..%5"/>
      <w:lvlJc w:val="left"/>
      <w:pPr>
        <w:tabs>
          <w:tab w:val="num" w:pos="2088"/>
        </w:tabs>
        <w:ind w:left="2088" w:hanging="1008"/>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4">
    <w:nsid w:val="48FC3CC3"/>
    <w:multiLevelType w:val="hybridMultilevel"/>
    <w:tmpl w:val="D076C7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nsid w:val="4A0260AF"/>
    <w:multiLevelType w:val="hybridMultilevel"/>
    <w:tmpl w:val="EA206B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ABD7728"/>
    <w:multiLevelType w:val="hybridMultilevel"/>
    <w:tmpl w:val="0C36D11E"/>
    <w:lvl w:ilvl="0" w:tplc="04090001">
      <w:start w:val="1"/>
      <w:numFmt w:val="bullet"/>
      <w:lvlText w:val=""/>
      <w:lvlJc w:val="left"/>
      <w:pPr>
        <w:tabs>
          <w:tab w:val="num" w:pos="1080"/>
        </w:tabs>
        <w:ind w:left="1080" w:hanging="360"/>
      </w:pPr>
      <w:rPr>
        <w:rFonts w:ascii="Symbol" w:hAnsi="Symbol" w:hint="default"/>
      </w:rPr>
    </w:lvl>
    <w:lvl w:ilvl="1" w:tplc="014AF282">
      <w:start w:val="1"/>
      <w:numFmt w:val="bullet"/>
      <w:lvlText w:val="•"/>
      <w:lvlJc w:val="left"/>
      <w:pPr>
        <w:tabs>
          <w:tab w:val="num" w:pos="1440"/>
        </w:tabs>
        <w:ind w:left="1440" w:hanging="360"/>
      </w:pPr>
      <w:rPr>
        <w:rFonts w:ascii="Arial" w:hAnsi="Arial" w:hint="default"/>
      </w:rPr>
    </w:lvl>
    <w:lvl w:ilvl="2" w:tplc="0870EFE6">
      <w:start w:val="1"/>
      <w:numFmt w:val="bullet"/>
      <w:lvlText w:val="•"/>
      <w:lvlJc w:val="left"/>
      <w:pPr>
        <w:tabs>
          <w:tab w:val="num" w:pos="2160"/>
        </w:tabs>
        <w:ind w:left="2160" w:hanging="360"/>
      </w:pPr>
      <w:rPr>
        <w:rFonts w:ascii="Arial" w:hAnsi="Arial" w:hint="default"/>
      </w:rPr>
    </w:lvl>
    <w:lvl w:ilvl="3" w:tplc="034610A6" w:tentative="1">
      <w:start w:val="1"/>
      <w:numFmt w:val="bullet"/>
      <w:lvlText w:val="•"/>
      <w:lvlJc w:val="left"/>
      <w:pPr>
        <w:tabs>
          <w:tab w:val="num" w:pos="2880"/>
        </w:tabs>
        <w:ind w:left="2880" w:hanging="360"/>
      </w:pPr>
      <w:rPr>
        <w:rFonts w:ascii="Arial" w:hAnsi="Arial" w:hint="default"/>
      </w:rPr>
    </w:lvl>
    <w:lvl w:ilvl="4" w:tplc="0C5ECAD6" w:tentative="1">
      <w:start w:val="1"/>
      <w:numFmt w:val="bullet"/>
      <w:lvlText w:val="•"/>
      <w:lvlJc w:val="left"/>
      <w:pPr>
        <w:tabs>
          <w:tab w:val="num" w:pos="3600"/>
        </w:tabs>
        <w:ind w:left="3600" w:hanging="360"/>
      </w:pPr>
      <w:rPr>
        <w:rFonts w:ascii="Arial" w:hAnsi="Arial" w:hint="default"/>
      </w:rPr>
    </w:lvl>
    <w:lvl w:ilvl="5" w:tplc="14BE2FAE" w:tentative="1">
      <w:start w:val="1"/>
      <w:numFmt w:val="bullet"/>
      <w:lvlText w:val="•"/>
      <w:lvlJc w:val="left"/>
      <w:pPr>
        <w:tabs>
          <w:tab w:val="num" w:pos="4320"/>
        </w:tabs>
        <w:ind w:left="4320" w:hanging="360"/>
      </w:pPr>
      <w:rPr>
        <w:rFonts w:ascii="Arial" w:hAnsi="Arial" w:hint="default"/>
      </w:rPr>
    </w:lvl>
    <w:lvl w:ilvl="6" w:tplc="7A8A8C02" w:tentative="1">
      <w:start w:val="1"/>
      <w:numFmt w:val="bullet"/>
      <w:lvlText w:val="•"/>
      <w:lvlJc w:val="left"/>
      <w:pPr>
        <w:tabs>
          <w:tab w:val="num" w:pos="5040"/>
        </w:tabs>
        <w:ind w:left="5040" w:hanging="360"/>
      </w:pPr>
      <w:rPr>
        <w:rFonts w:ascii="Arial" w:hAnsi="Arial" w:hint="default"/>
      </w:rPr>
    </w:lvl>
    <w:lvl w:ilvl="7" w:tplc="C320147E" w:tentative="1">
      <w:start w:val="1"/>
      <w:numFmt w:val="bullet"/>
      <w:lvlText w:val="•"/>
      <w:lvlJc w:val="left"/>
      <w:pPr>
        <w:tabs>
          <w:tab w:val="num" w:pos="5760"/>
        </w:tabs>
        <w:ind w:left="5760" w:hanging="360"/>
      </w:pPr>
      <w:rPr>
        <w:rFonts w:ascii="Arial" w:hAnsi="Arial" w:hint="default"/>
      </w:rPr>
    </w:lvl>
    <w:lvl w:ilvl="8" w:tplc="6A7CB07E" w:tentative="1">
      <w:start w:val="1"/>
      <w:numFmt w:val="bullet"/>
      <w:lvlText w:val="•"/>
      <w:lvlJc w:val="left"/>
      <w:pPr>
        <w:tabs>
          <w:tab w:val="num" w:pos="6480"/>
        </w:tabs>
        <w:ind w:left="6480" w:hanging="360"/>
      </w:pPr>
      <w:rPr>
        <w:rFonts w:ascii="Arial" w:hAnsi="Arial" w:hint="default"/>
      </w:rPr>
    </w:lvl>
  </w:abstractNum>
  <w:abstractNum w:abstractNumId="17">
    <w:nsid w:val="4B676207"/>
    <w:multiLevelType w:val="hybridMultilevel"/>
    <w:tmpl w:val="CA1AEB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D6B58EF"/>
    <w:multiLevelType w:val="hybridMultilevel"/>
    <w:tmpl w:val="1B7A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96453C"/>
    <w:multiLevelType w:val="hybridMultilevel"/>
    <w:tmpl w:val="240E7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0">
    <w:nsid w:val="55A154AF"/>
    <w:multiLevelType w:val="hybridMultilevel"/>
    <w:tmpl w:val="0FE650D4"/>
    <w:lvl w:ilvl="0" w:tplc="21808822">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CF51B0"/>
    <w:multiLevelType w:val="hybridMultilevel"/>
    <w:tmpl w:val="263C1F9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58E20CF4"/>
    <w:multiLevelType w:val="hybridMultilevel"/>
    <w:tmpl w:val="535A2A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9B83170"/>
    <w:multiLevelType w:val="hybridMultilevel"/>
    <w:tmpl w:val="51721124"/>
    <w:lvl w:ilvl="0" w:tplc="3C1664D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A6360E1"/>
    <w:multiLevelType w:val="hybridMultilevel"/>
    <w:tmpl w:val="A0929F04"/>
    <w:lvl w:ilvl="0" w:tplc="21808822">
      <w:start w:val="1"/>
      <w:numFmt w:val="bullet"/>
      <w:lvlText w:val="•"/>
      <w:lvlJc w:val="left"/>
      <w:pPr>
        <w:ind w:left="2160" w:hanging="360"/>
      </w:pPr>
      <w:rPr>
        <w:rFonts w:ascii="Arial" w:hAnsi="Aria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5DBD77A6"/>
    <w:multiLevelType w:val="hybridMultilevel"/>
    <w:tmpl w:val="C0306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5062BF"/>
    <w:multiLevelType w:val="multilevel"/>
    <w:tmpl w:val="F4FCFB54"/>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27">
    <w:nsid w:val="65066D8C"/>
    <w:multiLevelType w:val="hybridMultilevel"/>
    <w:tmpl w:val="EC2C00B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nsid w:val="66134489"/>
    <w:multiLevelType w:val="hybridMultilevel"/>
    <w:tmpl w:val="18A4942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92D34B1"/>
    <w:multiLevelType w:val="multilevel"/>
    <w:tmpl w:val="B9DE0E4A"/>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color="000000"/>
        <w:effect w:val="none"/>
        <w:vertAlign w:val="baseline"/>
      </w:rPr>
    </w:lvl>
    <w:lvl w:ilvl="2">
      <w:start w:val="1"/>
      <w:numFmt w:val="decimal"/>
      <w:lvlText w:val="%1.%2.%3"/>
      <w:lvlJc w:val="left"/>
      <w:pPr>
        <w:ind w:left="720" w:hanging="720"/>
      </w:pPr>
      <w:rPr>
        <w:rFonts w:cs="Times New Roman"/>
        <w:sz w:val="24"/>
        <w:szCs w:val="24"/>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0">
    <w:nsid w:val="6999503D"/>
    <w:multiLevelType w:val="hybridMultilevel"/>
    <w:tmpl w:val="0302B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9643CC"/>
    <w:multiLevelType w:val="multilevel"/>
    <w:tmpl w:val="04090027"/>
    <w:lvl w:ilvl="0">
      <w:start w:val="1"/>
      <w:numFmt w:val="upperRoman"/>
      <w:lvlText w:val="%1."/>
      <w:lvlJc w:val="left"/>
      <w:rPr>
        <w:rFonts w:cs="Times New Roman"/>
      </w:rPr>
    </w:lvl>
    <w:lvl w:ilvl="1">
      <w:start w:val="1"/>
      <w:numFmt w:val="upperLetter"/>
      <w:lvlText w:val="%2."/>
      <w:lvlJc w:val="left"/>
      <w:pPr>
        <w:ind w:left="720"/>
      </w:pPr>
      <w:rPr>
        <w:rFonts w:cs="Times New Roman"/>
      </w:rPr>
    </w:lvl>
    <w:lvl w:ilvl="2">
      <w:start w:val="1"/>
      <w:numFmt w:val="decimal"/>
      <w:lvlText w:val="%3."/>
      <w:lvlJc w:val="left"/>
      <w:pPr>
        <w:ind w:left="1440"/>
      </w:pPr>
      <w:rPr>
        <w:rFonts w:cs="Times New Roman"/>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32">
    <w:nsid w:val="79E21F4B"/>
    <w:multiLevelType w:val="hybridMultilevel"/>
    <w:tmpl w:val="6BFE9010"/>
    <w:lvl w:ilvl="0" w:tplc="0409000F">
      <w:start w:val="1"/>
      <w:numFmt w:val="decimal"/>
      <w:lvlText w:val="%1."/>
      <w:lvlJc w:val="left"/>
      <w:pPr>
        <w:tabs>
          <w:tab w:val="num" w:pos="1260"/>
        </w:tabs>
        <w:ind w:left="1260" w:hanging="360"/>
      </w:pPr>
      <w:rPr>
        <w:rFonts w:cs="Times New Roman"/>
      </w:rPr>
    </w:lvl>
    <w:lvl w:ilvl="1" w:tplc="04090019" w:tentative="1">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3">
    <w:nsid w:val="7A4B746B"/>
    <w:multiLevelType w:val="hybridMultilevel"/>
    <w:tmpl w:val="20EA0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D562EC5"/>
    <w:multiLevelType w:val="hybridMultilevel"/>
    <w:tmpl w:val="CE0074B8"/>
    <w:lvl w:ilvl="0" w:tplc="21808822">
      <w:start w:val="1"/>
      <w:numFmt w:val="bullet"/>
      <w:lvlText w:val="•"/>
      <w:lvlJc w:val="left"/>
      <w:pPr>
        <w:tabs>
          <w:tab w:val="num" w:pos="1080"/>
        </w:tabs>
        <w:ind w:left="1080" w:hanging="360"/>
      </w:pPr>
      <w:rPr>
        <w:rFonts w:ascii="Arial" w:hAnsi="Arial" w:hint="default"/>
      </w:rPr>
    </w:lvl>
    <w:lvl w:ilvl="1" w:tplc="014AF282">
      <w:start w:val="1"/>
      <w:numFmt w:val="bullet"/>
      <w:lvlText w:val="•"/>
      <w:lvlJc w:val="left"/>
      <w:pPr>
        <w:tabs>
          <w:tab w:val="num" w:pos="1440"/>
        </w:tabs>
        <w:ind w:left="1440" w:hanging="360"/>
      </w:pPr>
      <w:rPr>
        <w:rFonts w:ascii="Arial" w:hAnsi="Arial" w:hint="default"/>
      </w:rPr>
    </w:lvl>
    <w:lvl w:ilvl="2" w:tplc="0870EFE6">
      <w:start w:val="1"/>
      <w:numFmt w:val="bullet"/>
      <w:lvlText w:val="•"/>
      <w:lvlJc w:val="left"/>
      <w:pPr>
        <w:tabs>
          <w:tab w:val="num" w:pos="2160"/>
        </w:tabs>
        <w:ind w:left="2160" w:hanging="360"/>
      </w:pPr>
      <w:rPr>
        <w:rFonts w:ascii="Arial" w:hAnsi="Arial" w:hint="default"/>
      </w:rPr>
    </w:lvl>
    <w:lvl w:ilvl="3" w:tplc="034610A6" w:tentative="1">
      <w:start w:val="1"/>
      <w:numFmt w:val="bullet"/>
      <w:lvlText w:val="•"/>
      <w:lvlJc w:val="left"/>
      <w:pPr>
        <w:tabs>
          <w:tab w:val="num" w:pos="2880"/>
        </w:tabs>
        <w:ind w:left="2880" w:hanging="360"/>
      </w:pPr>
      <w:rPr>
        <w:rFonts w:ascii="Arial" w:hAnsi="Arial" w:hint="default"/>
      </w:rPr>
    </w:lvl>
    <w:lvl w:ilvl="4" w:tplc="0C5ECAD6" w:tentative="1">
      <w:start w:val="1"/>
      <w:numFmt w:val="bullet"/>
      <w:lvlText w:val="•"/>
      <w:lvlJc w:val="left"/>
      <w:pPr>
        <w:tabs>
          <w:tab w:val="num" w:pos="3600"/>
        </w:tabs>
        <w:ind w:left="3600" w:hanging="360"/>
      </w:pPr>
      <w:rPr>
        <w:rFonts w:ascii="Arial" w:hAnsi="Arial" w:hint="default"/>
      </w:rPr>
    </w:lvl>
    <w:lvl w:ilvl="5" w:tplc="14BE2FAE" w:tentative="1">
      <w:start w:val="1"/>
      <w:numFmt w:val="bullet"/>
      <w:lvlText w:val="•"/>
      <w:lvlJc w:val="left"/>
      <w:pPr>
        <w:tabs>
          <w:tab w:val="num" w:pos="4320"/>
        </w:tabs>
        <w:ind w:left="4320" w:hanging="360"/>
      </w:pPr>
      <w:rPr>
        <w:rFonts w:ascii="Arial" w:hAnsi="Arial" w:hint="default"/>
      </w:rPr>
    </w:lvl>
    <w:lvl w:ilvl="6" w:tplc="7A8A8C02" w:tentative="1">
      <w:start w:val="1"/>
      <w:numFmt w:val="bullet"/>
      <w:lvlText w:val="•"/>
      <w:lvlJc w:val="left"/>
      <w:pPr>
        <w:tabs>
          <w:tab w:val="num" w:pos="5040"/>
        </w:tabs>
        <w:ind w:left="5040" w:hanging="360"/>
      </w:pPr>
      <w:rPr>
        <w:rFonts w:ascii="Arial" w:hAnsi="Arial" w:hint="default"/>
      </w:rPr>
    </w:lvl>
    <w:lvl w:ilvl="7" w:tplc="C320147E" w:tentative="1">
      <w:start w:val="1"/>
      <w:numFmt w:val="bullet"/>
      <w:lvlText w:val="•"/>
      <w:lvlJc w:val="left"/>
      <w:pPr>
        <w:tabs>
          <w:tab w:val="num" w:pos="5760"/>
        </w:tabs>
        <w:ind w:left="5760" w:hanging="360"/>
      </w:pPr>
      <w:rPr>
        <w:rFonts w:ascii="Arial" w:hAnsi="Arial" w:hint="default"/>
      </w:rPr>
    </w:lvl>
    <w:lvl w:ilvl="8" w:tplc="6A7CB07E" w:tentative="1">
      <w:start w:val="1"/>
      <w:numFmt w:val="bullet"/>
      <w:lvlText w:val="•"/>
      <w:lvlJc w:val="left"/>
      <w:pPr>
        <w:tabs>
          <w:tab w:val="num" w:pos="6480"/>
        </w:tabs>
        <w:ind w:left="6480" w:hanging="360"/>
      </w:pPr>
      <w:rPr>
        <w:rFonts w:ascii="Arial" w:hAnsi="Arial" w:hint="default"/>
      </w:rPr>
    </w:lvl>
  </w:abstractNum>
  <w:abstractNum w:abstractNumId="35">
    <w:nsid w:val="7EA0066F"/>
    <w:multiLevelType w:val="hybridMultilevel"/>
    <w:tmpl w:val="AFA004B4"/>
    <w:lvl w:ilvl="0" w:tplc="BFFCB542">
      <w:start w:val="1"/>
      <w:numFmt w:val="decimal"/>
      <w:pStyle w:val="Title5"/>
      <w:lvlText w:val="2.3.1.2.%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3"/>
  </w:num>
  <w:num w:numId="2">
    <w:abstractNumId w:val="35"/>
  </w:num>
  <w:num w:numId="3">
    <w:abstractNumId w:val="10"/>
  </w:num>
  <w:num w:numId="4">
    <w:abstractNumId w:val="17"/>
  </w:num>
  <w:num w:numId="5">
    <w:abstractNumId w:val="27"/>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26"/>
  </w:num>
  <w:num w:numId="9">
    <w:abstractNumId w:val="14"/>
  </w:num>
  <w:num w:numId="10">
    <w:abstractNumId w:val="33"/>
  </w:num>
  <w:num w:numId="11">
    <w:abstractNumId w:val="4"/>
  </w:num>
  <w:num w:numId="12">
    <w:abstractNumId w:val="5"/>
  </w:num>
  <w:num w:numId="13">
    <w:abstractNumId w:val="7"/>
  </w:num>
  <w:num w:numId="14">
    <w:abstractNumId w:val="19"/>
  </w:num>
  <w:num w:numId="15">
    <w:abstractNumId w:val="15"/>
  </w:num>
  <w:num w:numId="16">
    <w:abstractNumId w:val="22"/>
  </w:num>
  <w:num w:numId="17">
    <w:abstractNumId w:val="28"/>
  </w:num>
  <w:num w:numId="18">
    <w:abstractNumId w:val="34"/>
  </w:num>
  <w:num w:numId="19">
    <w:abstractNumId w:val="16"/>
  </w:num>
  <w:num w:numId="20">
    <w:abstractNumId w:val="0"/>
  </w:num>
  <w:num w:numId="21">
    <w:abstractNumId w:val="23"/>
  </w:num>
  <w:num w:numId="22">
    <w:abstractNumId w:val="31"/>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1"/>
  </w:num>
  <w:num w:numId="33">
    <w:abstractNumId w:val="3"/>
  </w:num>
  <w:num w:numId="34">
    <w:abstractNumId w:val="1"/>
  </w:num>
  <w:num w:numId="35">
    <w:abstractNumId w:val="6"/>
  </w:num>
  <w:num w:numId="36">
    <w:abstractNumId w:val="2"/>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18"/>
  </w:num>
  <w:num w:numId="40">
    <w:abstractNumId w:val="12"/>
  </w:num>
  <w:num w:numId="41">
    <w:abstractNumId w:val="24"/>
  </w:num>
  <w:num w:numId="42">
    <w:abstractNumId w:val="20"/>
  </w:num>
  <w:num w:numId="43">
    <w:abstractNumId w:val="8"/>
  </w:num>
  <w:num w:numId="44">
    <w:abstractNumId w:val="30"/>
  </w:num>
  <w:num w:numId="45">
    <w:abstractNumId w:val="9"/>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306C0"/>
    <w:rsid w:val="000002EA"/>
    <w:rsid w:val="000006CA"/>
    <w:rsid w:val="000009D6"/>
    <w:rsid w:val="00001CB9"/>
    <w:rsid w:val="00001F74"/>
    <w:rsid w:val="00002536"/>
    <w:rsid w:val="00002643"/>
    <w:rsid w:val="00004854"/>
    <w:rsid w:val="00005908"/>
    <w:rsid w:val="000077C0"/>
    <w:rsid w:val="0001126F"/>
    <w:rsid w:val="000125B8"/>
    <w:rsid w:val="00012BA4"/>
    <w:rsid w:val="000135BC"/>
    <w:rsid w:val="00015F16"/>
    <w:rsid w:val="000177B3"/>
    <w:rsid w:val="00017858"/>
    <w:rsid w:val="00017860"/>
    <w:rsid w:val="000200B5"/>
    <w:rsid w:val="00020A4B"/>
    <w:rsid w:val="00021CB9"/>
    <w:rsid w:val="00022837"/>
    <w:rsid w:val="00023416"/>
    <w:rsid w:val="000240CE"/>
    <w:rsid w:val="000255EF"/>
    <w:rsid w:val="00025A62"/>
    <w:rsid w:val="0002620C"/>
    <w:rsid w:val="000266E9"/>
    <w:rsid w:val="00026D69"/>
    <w:rsid w:val="000303DF"/>
    <w:rsid w:val="000305D0"/>
    <w:rsid w:val="00031115"/>
    <w:rsid w:val="00031EF6"/>
    <w:rsid w:val="000352F1"/>
    <w:rsid w:val="00035B51"/>
    <w:rsid w:val="00036F7A"/>
    <w:rsid w:val="000408FF"/>
    <w:rsid w:val="00042239"/>
    <w:rsid w:val="000424D4"/>
    <w:rsid w:val="000432FB"/>
    <w:rsid w:val="000444D6"/>
    <w:rsid w:val="00044D8A"/>
    <w:rsid w:val="00045762"/>
    <w:rsid w:val="00045EB9"/>
    <w:rsid w:val="00046B73"/>
    <w:rsid w:val="0005043F"/>
    <w:rsid w:val="000505CC"/>
    <w:rsid w:val="00050F27"/>
    <w:rsid w:val="00052238"/>
    <w:rsid w:val="00052D02"/>
    <w:rsid w:val="000546F6"/>
    <w:rsid w:val="00055201"/>
    <w:rsid w:val="00055D1A"/>
    <w:rsid w:val="000566CB"/>
    <w:rsid w:val="00061D12"/>
    <w:rsid w:val="000620F8"/>
    <w:rsid w:val="000636AE"/>
    <w:rsid w:val="000646F2"/>
    <w:rsid w:val="000647D7"/>
    <w:rsid w:val="0006656E"/>
    <w:rsid w:val="000722C9"/>
    <w:rsid w:val="00074C9D"/>
    <w:rsid w:val="000759D5"/>
    <w:rsid w:val="00075C7F"/>
    <w:rsid w:val="00075FCF"/>
    <w:rsid w:val="00080AD3"/>
    <w:rsid w:val="000813C2"/>
    <w:rsid w:val="0008203E"/>
    <w:rsid w:val="0008356A"/>
    <w:rsid w:val="00083F9C"/>
    <w:rsid w:val="00084518"/>
    <w:rsid w:val="00085560"/>
    <w:rsid w:val="000879B0"/>
    <w:rsid w:val="00090C5E"/>
    <w:rsid w:val="00091645"/>
    <w:rsid w:val="0009442E"/>
    <w:rsid w:val="00095457"/>
    <w:rsid w:val="00096A6C"/>
    <w:rsid w:val="000A014D"/>
    <w:rsid w:val="000A06D0"/>
    <w:rsid w:val="000A0CB4"/>
    <w:rsid w:val="000A18C1"/>
    <w:rsid w:val="000A1CB6"/>
    <w:rsid w:val="000A3723"/>
    <w:rsid w:val="000A6134"/>
    <w:rsid w:val="000A6A32"/>
    <w:rsid w:val="000B0396"/>
    <w:rsid w:val="000B0456"/>
    <w:rsid w:val="000B12A9"/>
    <w:rsid w:val="000B3217"/>
    <w:rsid w:val="000B459B"/>
    <w:rsid w:val="000B53DF"/>
    <w:rsid w:val="000B5CF8"/>
    <w:rsid w:val="000B73D3"/>
    <w:rsid w:val="000C0CEA"/>
    <w:rsid w:val="000C0E12"/>
    <w:rsid w:val="000C2857"/>
    <w:rsid w:val="000C29E0"/>
    <w:rsid w:val="000C2A3B"/>
    <w:rsid w:val="000C36BC"/>
    <w:rsid w:val="000C4E7A"/>
    <w:rsid w:val="000C5588"/>
    <w:rsid w:val="000C61E4"/>
    <w:rsid w:val="000C71F0"/>
    <w:rsid w:val="000C79E7"/>
    <w:rsid w:val="000C7B04"/>
    <w:rsid w:val="000D043C"/>
    <w:rsid w:val="000D05D8"/>
    <w:rsid w:val="000D12CF"/>
    <w:rsid w:val="000D1A81"/>
    <w:rsid w:val="000D3525"/>
    <w:rsid w:val="000D3D3E"/>
    <w:rsid w:val="000D4440"/>
    <w:rsid w:val="000D480E"/>
    <w:rsid w:val="000D7B00"/>
    <w:rsid w:val="000E040B"/>
    <w:rsid w:val="000E0CBD"/>
    <w:rsid w:val="000E121C"/>
    <w:rsid w:val="000E1C9E"/>
    <w:rsid w:val="000E29DC"/>
    <w:rsid w:val="000E2D3E"/>
    <w:rsid w:val="000E4C12"/>
    <w:rsid w:val="000E768D"/>
    <w:rsid w:val="000F3076"/>
    <w:rsid w:val="000F437D"/>
    <w:rsid w:val="000F4A4E"/>
    <w:rsid w:val="000F6D00"/>
    <w:rsid w:val="000F7ACF"/>
    <w:rsid w:val="0010053C"/>
    <w:rsid w:val="00101A2E"/>
    <w:rsid w:val="001031BF"/>
    <w:rsid w:val="001046E2"/>
    <w:rsid w:val="001064D8"/>
    <w:rsid w:val="00106A86"/>
    <w:rsid w:val="00107373"/>
    <w:rsid w:val="001100AB"/>
    <w:rsid w:val="00110260"/>
    <w:rsid w:val="001104A2"/>
    <w:rsid w:val="0011221D"/>
    <w:rsid w:val="00112DDB"/>
    <w:rsid w:val="00115AAB"/>
    <w:rsid w:val="00115BC5"/>
    <w:rsid w:val="001172E8"/>
    <w:rsid w:val="0012054F"/>
    <w:rsid w:val="00122D68"/>
    <w:rsid w:val="00123BD0"/>
    <w:rsid w:val="00124629"/>
    <w:rsid w:val="00126229"/>
    <w:rsid w:val="00126404"/>
    <w:rsid w:val="00127400"/>
    <w:rsid w:val="00127697"/>
    <w:rsid w:val="0013136A"/>
    <w:rsid w:val="0013194D"/>
    <w:rsid w:val="00132418"/>
    <w:rsid w:val="00132C7D"/>
    <w:rsid w:val="00135C78"/>
    <w:rsid w:val="0013604C"/>
    <w:rsid w:val="0013787D"/>
    <w:rsid w:val="00137990"/>
    <w:rsid w:val="0014566D"/>
    <w:rsid w:val="00146B5D"/>
    <w:rsid w:val="00147680"/>
    <w:rsid w:val="00147F1A"/>
    <w:rsid w:val="00150817"/>
    <w:rsid w:val="0015266A"/>
    <w:rsid w:val="0015398A"/>
    <w:rsid w:val="0015441E"/>
    <w:rsid w:val="001548CC"/>
    <w:rsid w:val="0015514B"/>
    <w:rsid w:val="00156BAD"/>
    <w:rsid w:val="001603F8"/>
    <w:rsid w:val="0016062E"/>
    <w:rsid w:val="00161ED9"/>
    <w:rsid w:val="00163A04"/>
    <w:rsid w:val="00164EC8"/>
    <w:rsid w:val="00164F13"/>
    <w:rsid w:val="00165577"/>
    <w:rsid w:val="0016744A"/>
    <w:rsid w:val="00167618"/>
    <w:rsid w:val="00170C59"/>
    <w:rsid w:val="00170CA2"/>
    <w:rsid w:val="001736CD"/>
    <w:rsid w:val="0017484A"/>
    <w:rsid w:val="00175BF7"/>
    <w:rsid w:val="00177146"/>
    <w:rsid w:val="0018003B"/>
    <w:rsid w:val="0018014A"/>
    <w:rsid w:val="0018123B"/>
    <w:rsid w:val="00181CDA"/>
    <w:rsid w:val="00182E2F"/>
    <w:rsid w:val="001837B1"/>
    <w:rsid w:val="00183E0C"/>
    <w:rsid w:val="00184A00"/>
    <w:rsid w:val="00184B0D"/>
    <w:rsid w:val="001864BA"/>
    <w:rsid w:val="0018724B"/>
    <w:rsid w:val="001876B1"/>
    <w:rsid w:val="00190C59"/>
    <w:rsid w:val="00192BFF"/>
    <w:rsid w:val="001931F5"/>
    <w:rsid w:val="00193BCE"/>
    <w:rsid w:val="00195370"/>
    <w:rsid w:val="001972EF"/>
    <w:rsid w:val="0019797C"/>
    <w:rsid w:val="00197A3B"/>
    <w:rsid w:val="001A0711"/>
    <w:rsid w:val="001A2837"/>
    <w:rsid w:val="001A3229"/>
    <w:rsid w:val="001A41BB"/>
    <w:rsid w:val="001A6688"/>
    <w:rsid w:val="001A7957"/>
    <w:rsid w:val="001A7C2C"/>
    <w:rsid w:val="001B1AFD"/>
    <w:rsid w:val="001B41A1"/>
    <w:rsid w:val="001B769B"/>
    <w:rsid w:val="001C20E4"/>
    <w:rsid w:val="001C2C22"/>
    <w:rsid w:val="001C3521"/>
    <w:rsid w:val="001C73AC"/>
    <w:rsid w:val="001C7A3D"/>
    <w:rsid w:val="001D2182"/>
    <w:rsid w:val="001D26F4"/>
    <w:rsid w:val="001D32C2"/>
    <w:rsid w:val="001D44CD"/>
    <w:rsid w:val="001D48AA"/>
    <w:rsid w:val="001D6B56"/>
    <w:rsid w:val="001E1113"/>
    <w:rsid w:val="001E12CD"/>
    <w:rsid w:val="001E1931"/>
    <w:rsid w:val="001E1CF4"/>
    <w:rsid w:val="001E283F"/>
    <w:rsid w:val="001E37C9"/>
    <w:rsid w:val="001E47F7"/>
    <w:rsid w:val="001E551B"/>
    <w:rsid w:val="001E649B"/>
    <w:rsid w:val="001E6BB6"/>
    <w:rsid w:val="001F32BD"/>
    <w:rsid w:val="001F4673"/>
    <w:rsid w:val="001F4928"/>
    <w:rsid w:val="001F4E41"/>
    <w:rsid w:val="001F6E0B"/>
    <w:rsid w:val="001F7318"/>
    <w:rsid w:val="00200AE0"/>
    <w:rsid w:val="00200E72"/>
    <w:rsid w:val="002010F1"/>
    <w:rsid w:val="00203063"/>
    <w:rsid w:val="0020312D"/>
    <w:rsid w:val="00203480"/>
    <w:rsid w:val="0020367E"/>
    <w:rsid w:val="00205169"/>
    <w:rsid w:val="00205CBB"/>
    <w:rsid w:val="00205D75"/>
    <w:rsid w:val="00207D62"/>
    <w:rsid w:val="0021364A"/>
    <w:rsid w:val="002158CE"/>
    <w:rsid w:val="00215D13"/>
    <w:rsid w:val="0021796A"/>
    <w:rsid w:val="00221B41"/>
    <w:rsid w:val="00221C0E"/>
    <w:rsid w:val="00222B76"/>
    <w:rsid w:val="00223EBF"/>
    <w:rsid w:val="00224F8B"/>
    <w:rsid w:val="002255C6"/>
    <w:rsid w:val="002306C0"/>
    <w:rsid w:val="0023244C"/>
    <w:rsid w:val="00232E04"/>
    <w:rsid w:val="00232F4A"/>
    <w:rsid w:val="00237CCC"/>
    <w:rsid w:val="002406C3"/>
    <w:rsid w:val="00241132"/>
    <w:rsid w:val="00244234"/>
    <w:rsid w:val="002442F2"/>
    <w:rsid w:val="002448FF"/>
    <w:rsid w:val="002462A9"/>
    <w:rsid w:val="002509E6"/>
    <w:rsid w:val="00250F83"/>
    <w:rsid w:val="00252129"/>
    <w:rsid w:val="00252998"/>
    <w:rsid w:val="00253866"/>
    <w:rsid w:val="00253AE4"/>
    <w:rsid w:val="00253DCC"/>
    <w:rsid w:val="002556D8"/>
    <w:rsid w:val="002571B3"/>
    <w:rsid w:val="002629A3"/>
    <w:rsid w:val="0026349A"/>
    <w:rsid w:val="00263AA4"/>
    <w:rsid w:val="00264409"/>
    <w:rsid w:val="0026462B"/>
    <w:rsid w:val="002649A3"/>
    <w:rsid w:val="00267117"/>
    <w:rsid w:val="00267129"/>
    <w:rsid w:val="00267701"/>
    <w:rsid w:val="0027038D"/>
    <w:rsid w:val="002708F5"/>
    <w:rsid w:val="0027222C"/>
    <w:rsid w:val="0027257B"/>
    <w:rsid w:val="00273637"/>
    <w:rsid w:val="00274FE8"/>
    <w:rsid w:val="00280743"/>
    <w:rsid w:val="00282EF3"/>
    <w:rsid w:val="00283B22"/>
    <w:rsid w:val="00291281"/>
    <w:rsid w:val="00292A09"/>
    <w:rsid w:val="002937B9"/>
    <w:rsid w:val="00294534"/>
    <w:rsid w:val="00294BCB"/>
    <w:rsid w:val="00294CF0"/>
    <w:rsid w:val="00294F22"/>
    <w:rsid w:val="00296191"/>
    <w:rsid w:val="002A168D"/>
    <w:rsid w:val="002A211B"/>
    <w:rsid w:val="002A2D5F"/>
    <w:rsid w:val="002A4A95"/>
    <w:rsid w:val="002A4B4D"/>
    <w:rsid w:val="002A4DD8"/>
    <w:rsid w:val="002A531A"/>
    <w:rsid w:val="002A59DA"/>
    <w:rsid w:val="002A5F43"/>
    <w:rsid w:val="002A66AA"/>
    <w:rsid w:val="002A7654"/>
    <w:rsid w:val="002A7E4B"/>
    <w:rsid w:val="002B0F39"/>
    <w:rsid w:val="002B20A9"/>
    <w:rsid w:val="002B221B"/>
    <w:rsid w:val="002B2C19"/>
    <w:rsid w:val="002B3DFA"/>
    <w:rsid w:val="002B3FAD"/>
    <w:rsid w:val="002B44AD"/>
    <w:rsid w:val="002B4957"/>
    <w:rsid w:val="002C09FF"/>
    <w:rsid w:val="002C3542"/>
    <w:rsid w:val="002C415E"/>
    <w:rsid w:val="002C6949"/>
    <w:rsid w:val="002C71BB"/>
    <w:rsid w:val="002D16FC"/>
    <w:rsid w:val="002D1C28"/>
    <w:rsid w:val="002D1DFF"/>
    <w:rsid w:val="002D6059"/>
    <w:rsid w:val="002D654A"/>
    <w:rsid w:val="002D6BE9"/>
    <w:rsid w:val="002D76D9"/>
    <w:rsid w:val="002E1526"/>
    <w:rsid w:val="002E5267"/>
    <w:rsid w:val="002E5275"/>
    <w:rsid w:val="002E5BA7"/>
    <w:rsid w:val="002E7EAA"/>
    <w:rsid w:val="002F20A2"/>
    <w:rsid w:val="002F2432"/>
    <w:rsid w:val="002F3191"/>
    <w:rsid w:val="002F36B5"/>
    <w:rsid w:val="002F56A8"/>
    <w:rsid w:val="002F7133"/>
    <w:rsid w:val="002F71F7"/>
    <w:rsid w:val="0030074E"/>
    <w:rsid w:val="00300BCE"/>
    <w:rsid w:val="00300BF0"/>
    <w:rsid w:val="0030366B"/>
    <w:rsid w:val="0030376B"/>
    <w:rsid w:val="00303A8E"/>
    <w:rsid w:val="00303D3C"/>
    <w:rsid w:val="00304ABA"/>
    <w:rsid w:val="00305262"/>
    <w:rsid w:val="00305424"/>
    <w:rsid w:val="0030675E"/>
    <w:rsid w:val="00310D99"/>
    <w:rsid w:val="00311956"/>
    <w:rsid w:val="00317F6F"/>
    <w:rsid w:val="0032029C"/>
    <w:rsid w:val="00321D19"/>
    <w:rsid w:val="00322030"/>
    <w:rsid w:val="003248F9"/>
    <w:rsid w:val="00326BCD"/>
    <w:rsid w:val="00327935"/>
    <w:rsid w:val="0033302C"/>
    <w:rsid w:val="003331C6"/>
    <w:rsid w:val="00334457"/>
    <w:rsid w:val="00334D3D"/>
    <w:rsid w:val="00335C8B"/>
    <w:rsid w:val="0033715B"/>
    <w:rsid w:val="00337E16"/>
    <w:rsid w:val="0034038E"/>
    <w:rsid w:val="00341E35"/>
    <w:rsid w:val="003428C3"/>
    <w:rsid w:val="00343E8D"/>
    <w:rsid w:val="00343F4D"/>
    <w:rsid w:val="00345C7A"/>
    <w:rsid w:val="00347DA5"/>
    <w:rsid w:val="00350536"/>
    <w:rsid w:val="00351042"/>
    <w:rsid w:val="003510A0"/>
    <w:rsid w:val="003524A9"/>
    <w:rsid w:val="003524D0"/>
    <w:rsid w:val="00353640"/>
    <w:rsid w:val="003547D8"/>
    <w:rsid w:val="00355957"/>
    <w:rsid w:val="00355BE2"/>
    <w:rsid w:val="0035723F"/>
    <w:rsid w:val="0036114D"/>
    <w:rsid w:val="003626DE"/>
    <w:rsid w:val="00362FA6"/>
    <w:rsid w:val="003641CC"/>
    <w:rsid w:val="00365B3D"/>
    <w:rsid w:val="00366D57"/>
    <w:rsid w:val="00367349"/>
    <w:rsid w:val="00367898"/>
    <w:rsid w:val="00371C60"/>
    <w:rsid w:val="003726E1"/>
    <w:rsid w:val="00373A64"/>
    <w:rsid w:val="003769A8"/>
    <w:rsid w:val="0037723F"/>
    <w:rsid w:val="00377A5C"/>
    <w:rsid w:val="00377C44"/>
    <w:rsid w:val="00380EDC"/>
    <w:rsid w:val="00381D14"/>
    <w:rsid w:val="00382801"/>
    <w:rsid w:val="0038281E"/>
    <w:rsid w:val="00382BD5"/>
    <w:rsid w:val="00384D99"/>
    <w:rsid w:val="00385692"/>
    <w:rsid w:val="00386409"/>
    <w:rsid w:val="003870F2"/>
    <w:rsid w:val="003871CA"/>
    <w:rsid w:val="0038730A"/>
    <w:rsid w:val="003874DB"/>
    <w:rsid w:val="003917B7"/>
    <w:rsid w:val="00392D5C"/>
    <w:rsid w:val="00394E1C"/>
    <w:rsid w:val="00397DBE"/>
    <w:rsid w:val="003A059B"/>
    <w:rsid w:val="003A214D"/>
    <w:rsid w:val="003A2F66"/>
    <w:rsid w:val="003A30A8"/>
    <w:rsid w:val="003A3873"/>
    <w:rsid w:val="003A3C09"/>
    <w:rsid w:val="003A42D7"/>
    <w:rsid w:val="003A454B"/>
    <w:rsid w:val="003A510B"/>
    <w:rsid w:val="003A5805"/>
    <w:rsid w:val="003A589D"/>
    <w:rsid w:val="003A6CC0"/>
    <w:rsid w:val="003A7FFB"/>
    <w:rsid w:val="003B2C06"/>
    <w:rsid w:val="003B2C2F"/>
    <w:rsid w:val="003B33A2"/>
    <w:rsid w:val="003B4248"/>
    <w:rsid w:val="003B44A4"/>
    <w:rsid w:val="003B50B0"/>
    <w:rsid w:val="003B53C3"/>
    <w:rsid w:val="003B5A51"/>
    <w:rsid w:val="003B5F7E"/>
    <w:rsid w:val="003C0053"/>
    <w:rsid w:val="003C19E6"/>
    <w:rsid w:val="003C38AC"/>
    <w:rsid w:val="003C4414"/>
    <w:rsid w:val="003D0EDC"/>
    <w:rsid w:val="003D0FF6"/>
    <w:rsid w:val="003D12D3"/>
    <w:rsid w:val="003D1725"/>
    <w:rsid w:val="003D3D36"/>
    <w:rsid w:val="003D490B"/>
    <w:rsid w:val="003D533C"/>
    <w:rsid w:val="003D6529"/>
    <w:rsid w:val="003D7149"/>
    <w:rsid w:val="003D7417"/>
    <w:rsid w:val="003D7A36"/>
    <w:rsid w:val="003E093B"/>
    <w:rsid w:val="003E640E"/>
    <w:rsid w:val="003E6950"/>
    <w:rsid w:val="003E7AEB"/>
    <w:rsid w:val="003F02DB"/>
    <w:rsid w:val="003F0704"/>
    <w:rsid w:val="003F2703"/>
    <w:rsid w:val="003F371D"/>
    <w:rsid w:val="003F38C1"/>
    <w:rsid w:val="003F3BA1"/>
    <w:rsid w:val="003F7F2B"/>
    <w:rsid w:val="00401C51"/>
    <w:rsid w:val="0040266D"/>
    <w:rsid w:val="00402F25"/>
    <w:rsid w:val="0040383D"/>
    <w:rsid w:val="00403F88"/>
    <w:rsid w:val="004044E9"/>
    <w:rsid w:val="00405D9F"/>
    <w:rsid w:val="004063BF"/>
    <w:rsid w:val="0040659E"/>
    <w:rsid w:val="00407E11"/>
    <w:rsid w:val="00410A78"/>
    <w:rsid w:val="00411F35"/>
    <w:rsid w:val="004133F1"/>
    <w:rsid w:val="00413479"/>
    <w:rsid w:val="0041421A"/>
    <w:rsid w:val="00414D42"/>
    <w:rsid w:val="0041518E"/>
    <w:rsid w:val="00415D12"/>
    <w:rsid w:val="00415FA2"/>
    <w:rsid w:val="00417757"/>
    <w:rsid w:val="00417FF4"/>
    <w:rsid w:val="00420086"/>
    <w:rsid w:val="004202BC"/>
    <w:rsid w:val="00421BCD"/>
    <w:rsid w:val="00425969"/>
    <w:rsid w:val="00425972"/>
    <w:rsid w:val="00426E36"/>
    <w:rsid w:val="00427220"/>
    <w:rsid w:val="004308FF"/>
    <w:rsid w:val="004317C3"/>
    <w:rsid w:val="00431FAB"/>
    <w:rsid w:val="00433347"/>
    <w:rsid w:val="00434007"/>
    <w:rsid w:val="004341A8"/>
    <w:rsid w:val="00435B07"/>
    <w:rsid w:val="00436617"/>
    <w:rsid w:val="00436E79"/>
    <w:rsid w:val="004410F2"/>
    <w:rsid w:val="00442AEA"/>
    <w:rsid w:val="004457F0"/>
    <w:rsid w:val="004508B5"/>
    <w:rsid w:val="00450AF8"/>
    <w:rsid w:val="00450CA7"/>
    <w:rsid w:val="00451E31"/>
    <w:rsid w:val="004532FC"/>
    <w:rsid w:val="0045339E"/>
    <w:rsid w:val="00455314"/>
    <w:rsid w:val="004567CD"/>
    <w:rsid w:val="00460371"/>
    <w:rsid w:val="0046157A"/>
    <w:rsid w:val="004653F4"/>
    <w:rsid w:val="0046650F"/>
    <w:rsid w:val="004700D6"/>
    <w:rsid w:val="00471A5F"/>
    <w:rsid w:val="00471C35"/>
    <w:rsid w:val="00472664"/>
    <w:rsid w:val="004740C1"/>
    <w:rsid w:val="004751F3"/>
    <w:rsid w:val="004809D0"/>
    <w:rsid w:val="0048155E"/>
    <w:rsid w:val="0048173B"/>
    <w:rsid w:val="004822D0"/>
    <w:rsid w:val="004849D4"/>
    <w:rsid w:val="00484F36"/>
    <w:rsid w:val="00485833"/>
    <w:rsid w:val="00486CCD"/>
    <w:rsid w:val="004879F5"/>
    <w:rsid w:val="00487F84"/>
    <w:rsid w:val="00490ACF"/>
    <w:rsid w:val="00490ED9"/>
    <w:rsid w:val="00494763"/>
    <w:rsid w:val="004962A9"/>
    <w:rsid w:val="00497F59"/>
    <w:rsid w:val="004A0AD0"/>
    <w:rsid w:val="004A115E"/>
    <w:rsid w:val="004A1493"/>
    <w:rsid w:val="004A4EEF"/>
    <w:rsid w:val="004A5460"/>
    <w:rsid w:val="004A69F5"/>
    <w:rsid w:val="004A7385"/>
    <w:rsid w:val="004A7A3D"/>
    <w:rsid w:val="004B225F"/>
    <w:rsid w:val="004B2B67"/>
    <w:rsid w:val="004B3597"/>
    <w:rsid w:val="004B3610"/>
    <w:rsid w:val="004B5B71"/>
    <w:rsid w:val="004B5F32"/>
    <w:rsid w:val="004B6B91"/>
    <w:rsid w:val="004C13C3"/>
    <w:rsid w:val="004C2104"/>
    <w:rsid w:val="004C21C0"/>
    <w:rsid w:val="004C447C"/>
    <w:rsid w:val="004C4C17"/>
    <w:rsid w:val="004C5162"/>
    <w:rsid w:val="004C6603"/>
    <w:rsid w:val="004D09DA"/>
    <w:rsid w:val="004D0D68"/>
    <w:rsid w:val="004D1DA0"/>
    <w:rsid w:val="004D2961"/>
    <w:rsid w:val="004D32C9"/>
    <w:rsid w:val="004D4E36"/>
    <w:rsid w:val="004D6A23"/>
    <w:rsid w:val="004D6D6A"/>
    <w:rsid w:val="004D7E95"/>
    <w:rsid w:val="004D7F66"/>
    <w:rsid w:val="004E0FE7"/>
    <w:rsid w:val="004E1D47"/>
    <w:rsid w:val="004E3B69"/>
    <w:rsid w:val="004E57CB"/>
    <w:rsid w:val="004E7687"/>
    <w:rsid w:val="004E7A3E"/>
    <w:rsid w:val="004F228A"/>
    <w:rsid w:val="004F482C"/>
    <w:rsid w:val="004F593C"/>
    <w:rsid w:val="004F5C7D"/>
    <w:rsid w:val="004F6120"/>
    <w:rsid w:val="004F6457"/>
    <w:rsid w:val="004F707F"/>
    <w:rsid w:val="004F7840"/>
    <w:rsid w:val="004F7C8E"/>
    <w:rsid w:val="00500CB7"/>
    <w:rsid w:val="00502287"/>
    <w:rsid w:val="00503C44"/>
    <w:rsid w:val="00503D23"/>
    <w:rsid w:val="00505093"/>
    <w:rsid w:val="005054CD"/>
    <w:rsid w:val="0050569F"/>
    <w:rsid w:val="00506ABE"/>
    <w:rsid w:val="0050736A"/>
    <w:rsid w:val="00510AB7"/>
    <w:rsid w:val="00510D8A"/>
    <w:rsid w:val="005110B7"/>
    <w:rsid w:val="0051331A"/>
    <w:rsid w:val="00514B3D"/>
    <w:rsid w:val="00515A3D"/>
    <w:rsid w:val="0051659A"/>
    <w:rsid w:val="00516880"/>
    <w:rsid w:val="00517414"/>
    <w:rsid w:val="00520FF8"/>
    <w:rsid w:val="005215FC"/>
    <w:rsid w:val="00521C79"/>
    <w:rsid w:val="005242D9"/>
    <w:rsid w:val="005244F9"/>
    <w:rsid w:val="0052653B"/>
    <w:rsid w:val="00530089"/>
    <w:rsid w:val="00531886"/>
    <w:rsid w:val="005327E9"/>
    <w:rsid w:val="00532AD7"/>
    <w:rsid w:val="00533C49"/>
    <w:rsid w:val="00533C64"/>
    <w:rsid w:val="00534872"/>
    <w:rsid w:val="00534E2B"/>
    <w:rsid w:val="0053551F"/>
    <w:rsid w:val="00535592"/>
    <w:rsid w:val="00535A9B"/>
    <w:rsid w:val="00535BEB"/>
    <w:rsid w:val="00535E39"/>
    <w:rsid w:val="00536768"/>
    <w:rsid w:val="00536C34"/>
    <w:rsid w:val="0053705E"/>
    <w:rsid w:val="00540AD4"/>
    <w:rsid w:val="005424FD"/>
    <w:rsid w:val="0054363D"/>
    <w:rsid w:val="00543FA6"/>
    <w:rsid w:val="00544CE9"/>
    <w:rsid w:val="0054543E"/>
    <w:rsid w:val="00545EF4"/>
    <w:rsid w:val="00547F97"/>
    <w:rsid w:val="00550DE0"/>
    <w:rsid w:val="00551127"/>
    <w:rsid w:val="0055251D"/>
    <w:rsid w:val="00553D68"/>
    <w:rsid w:val="005549CE"/>
    <w:rsid w:val="00555816"/>
    <w:rsid w:val="00555F4E"/>
    <w:rsid w:val="00560EBF"/>
    <w:rsid w:val="00560FDC"/>
    <w:rsid w:val="0056124A"/>
    <w:rsid w:val="00564782"/>
    <w:rsid w:val="00565634"/>
    <w:rsid w:val="00566AE3"/>
    <w:rsid w:val="00566F0F"/>
    <w:rsid w:val="005671A5"/>
    <w:rsid w:val="005677B0"/>
    <w:rsid w:val="00567AFE"/>
    <w:rsid w:val="00571471"/>
    <w:rsid w:val="00571A03"/>
    <w:rsid w:val="00571A79"/>
    <w:rsid w:val="00571DC7"/>
    <w:rsid w:val="00573441"/>
    <w:rsid w:val="00573609"/>
    <w:rsid w:val="00573CF6"/>
    <w:rsid w:val="00576F7C"/>
    <w:rsid w:val="005773C7"/>
    <w:rsid w:val="00577AC3"/>
    <w:rsid w:val="005801D2"/>
    <w:rsid w:val="0058090A"/>
    <w:rsid w:val="00581A45"/>
    <w:rsid w:val="00582003"/>
    <w:rsid w:val="005821CF"/>
    <w:rsid w:val="00582681"/>
    <w:rsid w:val="005829F6"/>
    <w:rsid w:val="00584E1B"/>
    <w:rsid w:val="00586349"/>
    <w:rsid w:val="00586D9D"/>
    <w:rsid w:val="0059072A"/>
    <w:rsid w:val="005908D3"/>
    <w:rsid w:val="00590B75"/>
    <w:rsid w:val="0059334A"/>
    <w:rsid w:val="00594C23"/>
    <w:rsid w:val="00595755"/>
    <w:rsid w:val="005960D8"/>
    <w:rsid w:val="005968B8"/>
    <w:rsid w:val="0059752D"/>
    <w:rsid w:val="005A10A6"/>
    <w:rsid w:val="005A2FA8"/>
    <w:rsid w:val="005A35C9"/>
    <w:rsid w:val="005A40D5"/>
    <w:rsid w:val="005A4CC4"/>
    <w:rsid w:val="005A50EC"/>
    <w:rsid w:val="005A7AD4"/>
    <w:rsid w:val="005A7E79"/>
    <w:rsid w:val="005B0E62"/>
    <w:rsid w:val="005B208A"/>
    <w:rsid w:val="005B3B0E"/>
    <w:rsid w:val="005B3BE7"/>
    <w:rsid w:val="005B3C68"/>
    <w:rsid w:val="005B4A8D"/>
    <w:rsid w:val="005B5124"/>
    <w:rsid w:val="005B7314"/>
    <w:rsid w:val="005B7509"/>
    <w:rsid w:val="005C10E6"/>
    <w:rsid w:val="005C23BA"/>
    <w:rsid w:val="005C2B68"/>
    <w:rsid w:val="005C305E"/>
    <w:rsid w:val="005C3B34"/>
    <w:rsid w:val="005C581E"/>
    <w:rsid w:val="005C6376"/>
    <w:rsid w:val="005C6B21"/>
    <w:rsid w:val="005C74CC"/>
    <w:rsid w:val="005C781E"/>
    <w:rsid w:val="005D1E47"/>
    <w:rsid w:val="005D2187"/>
    <w:rsid w:val="005D29D1"/>
    <w:rsid w:val="005D2EFD"/>
    <w:rsid w:val="005D3F0F"/>
    <w:rsid w:val="005D707D"/>
    <w:rsid w:val="005D76A3"/>
    <w:rsid w:val="005E07FD"/>
    <w:rsid w:val="005E1180"/>
    <w:rsid w:val="005E15DE"/>
    <w:rsid w:val="005E1912"/>
    <w:rsid w:val="005E3C78"/>
    <w:rsid w:val="005E427E"/>
    <w:rsid w:val="005E5189"/>
    <w:rsid w:val="005E65DA"/>
    <w:rsid w:val="005F0329"/>
    <w:rsid w:val="005F0A12"/>
    <w:rsid w:val="005F15C0"/>
    <w:rsid w:val="005F1F82"/>
    <w:rsid w:val="005F25DE"/>
    <w:rsid w:val="005F2B85"/>
    <w:rsid w:val="005F3E75"/>
    <w:rsid w:val="005F4AAF"/>
    <w:rsid w:val="005F5C9E"/>
    <w:rsid w:val="005F6E35"/>
    <w:rsid w:val="00600D6F"/>
    <w:rsid w:val="006012BD"/>
    <w:rsid w:val="00602185"/>
    <w:rsid w:val="006028F2"/>
    <w:rsid w:val="00602EDF"/>
    <w:rsid w:val="006036E7"/>
    <w:rsid w:val="00603A24"/>
    <w:rsid w:val="00606A6B"/>
    <w:rsid w:val="0060709B"/>
    <w:rsid w:val="00610184"/>
    <w:rsid w:val="0061190C"/>
    <w:rsid w:val="00615C23"/>
    <w:rsid w:val="00615C50"/>
    <w:rsid w:val="00616259"/>
    <w:rsid w:val="00620099"/>
    <w:rsid w:val="00622BEF"/>
    <w:rsid w:val="00622C2E"/>
    <w:rsid w:val="0062302D"/>
    <w:rsid w:val="00623B8D"/>
    <w:rsid w:val="006244F2"/>
    <w:rsid w:val="0062696A"/>
    <w:rsid w:val="006273DE"/>
    <w:rsid w:val="006300F8"/>
    <w:rsid w:val="00631860"/>
    <w:rsid w:val="00631CAD"/>
    <w:rsid w:val="00632258"/>
    <w:rsid w:val="0063232C"/>
    <w:rsid w:val="00633744"/>
    <w:rsid w:val="00634709"/>
    <w:rsid w:val="00636BFC"/>
    <w:rsid w:val="006420A4"/>
    <w:rsid w:val="0064339D"/>
    <w:rsid w:val="006457D8"/>
    <w:rsid w:val="00646C6F"/>
    <w:rsid w:val="00650A62"/>
    <w:rsid w:val="00652DFD"/>
    <w:rsid w:val="006542EE"/>
    <w:rsid w:val="00654C53"/>
    <w:rsid w:val="0066131E"/>
    <w:rsid w:val="006617CD"/>
    <w:rsid w:val="00661C1E"/>
    <w:rsid w:val="00662D78"/>
    <w:rsid w:val="0066381E"/>
    <w:rsid w:val="006640A5"/>
    <w:rsid w:val="00665A7F"/>
    <w:rsid w:val="0066649B"/>
    <w:rsid w:val="00666A33"/>
    <w:rsid w:val="0067026F"/>
    <w:rsid w:val="0067178D"/>
    <w:rsid w:val="00671798"/>
    <w:rsid w:val="00671BAD"/>
    <w:rsid w:val="00672B86"/>
    <w:rsid w:val="00673ABB"/>
    <w:rsid w:val="00674377"/>
    <w:rsid w:val="00674A4F"/>
    <w:rsid w:val="00675412"/>
    <w:rsid w:val="00676AA3"/>
    <w:rsid w:val="00680690"/>
    <w:rsid w:val="006809BA"/>
    <w:rsid w:val="00681A0A"/>
    <w:rsid w:val="00683CD4"/>
    <w:rsid w:val="00683D9E"/>
    <w:rsid w:val="006847A5"/>
    <w:rsid w:val="00684825"/>
    <w:rsid w:val="00685473"/>
    <w:rsid w:val="006871AA"/>
    <w:rsid w:val="00695528"/>
    <w:rsid w:val="00695652"/>
    <w:rsid w:val="0069722D"/>
    <w:rsid w:val="006A26A6"/>
    <w:rsid w:val="006A28C7"/>
    <w:rsid w:val="006A428E"/>
    <w:rsid w:val="006A4E9C"/>
    <w:rsid w:val="006A75E8"/>
    <w:rsid w:val="006A793A"/>
    <w:rsid w:val="006A7A68"/>
    <w:rsid w:val="006B011E"/>
    <w:rsid w:val="006B0329"/>
    <w:rsid w:val="006B151E"/>
    <w:rsid w:val="006B17EE"/>
    <w:rsid w:val="006B2B05"/>
    <w:rsid w:val="006B4858"/>
    <w:rsid w:val="006B4B8D"/>
    <w:rsid w:val="006B6B55"/>
    <w:rsid w:val="006B7580"/>
    <w:rsid w:val="006B7D67"/>
    <w:rsid w:val="006C0B29"/>
    <w:rsid w:val="006C1034"/>
    <w:rsid w:val="006C1059"/>
    <w:rsid w:val="006C3A15"/>
    <w:rsid w:val="006C6899"/>
    <w:rsid w:val="006D0585"/>
    <w:rsid w:val="006D2038"/>
    <w:rsid w:val="006D20F9"/>
    <w:rsid w:val="006D36DB"/>
    <w:rsid w:val="006D68C6"/>
    <w:rsid w:val="006E0897"/>
    <w:rsid w:val="006E2CEE"/>
    <w:rsid w:val="006E385F"/>
    <w:rsid w:val="006E6676"/>
    <w:rsid w:val="006E6AA1"/>
    <w:rsid w:val="006E7E0D"/>
    <w:rsid w:val="006F0324"/>
    <w:rsid w:val="006F158E"/>
    <w:rsid w:val="006F1F66"/>
    <w:rsid w:val="006F28D7"/>
    <w:rsid w:val="006F372C"/>
    <w:rsid w:val="006F3C9F"/>
    <w:rsid w:val="006F3CA0"/>
    <w:rsid w:val="006F5A81"/>
    <w:rsid w:val="006F64FC"/>
    <w:rsid w:val="006F674C"/>
    <w:rsid w:val="006F6E36"/>
    <w:rsid w:val="006F6F79"/>
    <w:rsid w:val="006F7C57"/>
    <w:rsid w:val="006F7EA0"/>
    <w:rsid w:val="00700CF0"/>
    <w:rsid w:val="007037EC"/>
    <w:rsid w:val="00712D68"/>
    <w:rsid w:val="007140CD"/>
    <w:rsid w:val="007144BF"/>
    <w:rsid w:val="007159A1"/>
    <w:rsid w:val="0071732A"/>
    <w:rsid w:val="007173D3"/>
    <w:rsid w:val="00720C64"/>
    <w:rsid w:val="007228A5"/>
    <w:rsid w:val="00722BE4"/>
    <w:rsid w:val="00723848"/>
    <w:rsid w:val="00723BDE"/>
    <w:rsid w:val="00723D13"/>
    <w:rsid w:val="00724E02"/>
    <w:rsid w:val="007251B4"/>
    <w:rsid w:val="007255E3"/>
    <w:rsid w:val="00726A15"/>
    <w:rsid w:val="00726D5B"/>
    <w:rsid w:val="00727217"/>
    <w:rsid w:val="0072725C"/>
    <w:rsid w:val="00731364"/>
    <w:rsid w:val="00731C4A"/>
    <w:rsid w:val="00734373"/>
    <w:rsid w:val="007343D8"/>
    <w:rsid w:val="00734EA0"/>
    <w:rsid w:val="00735155"/>
    <w:rsid w:val="007406ED"/>
    <w:rsid w:val="007443D5"/>
    <w:rsid w:val="00744E28"/>
    <w:rsid w:val="0074501C"/>
    <w:rsid w:val="00746B07"/>
    <w:rsid w:val="007470C6"/>
    <w:rsid w:val="0075477C"/>
    <w:rsid w:val="007564F5"/>
    <w:rsid w:val="00757469"/>
    <w:rsid w:val="00760E37"/>
    <w:rsid w:val="00761B73"/>
    <w:rsid w:val="00764DFA"/>
    <w:rsid w:val="00766162"/>
    <w:rsid w:val="007703FC"/>
    <w:rsid w:val="00771D93"/>
    <w:rsid w:val="00771EC5"/>
    <w:rsid w:val="0077335E"/>
    <w:rsid w:val="007735FB"/>
    <w:rsid w:val="0077375B"/>
    <w:rsid w:val="00774B07"/>
    <w:rsid w:val="00774DD3"/>
    <w:rsid w:val="00777568"/>
    <w:rsid w:val="00780AC7"/>
    <w:rsid w:val="00780C45"/>
    <w:rsid w:val="007813B2"/>
    <w:rsid w:val="00781A55"/>
    <w:rsid w:val="00782265"/>
    <w:rsid w:val="00783B7B"/>
    <w:rsid w:val="007857AE"/>
    <w:rsid w:val="00785F83"/>
    <w:rsid w:val="00786694"/>
    <w:rsid w:val="007901CD"/>
    <w:rsid w:val="0079087C"/>
    <w:rsid w:val="007909C1"/>
    <w:rsid w:val="007913B4"/>
    <w:rsid w:val="007926FC"/>
    <w:rsid w:val="00792971"/>
    <w:rsid w:val="00792B66"/>
    <w:rsid w:val="00794BBB"/>
    <w:rsid w:val="007956C2"/>
    <w:rsid w:val="00795A96"/>
    <w:rsid w:val="007974C8"/>
    <w:rsid w:val="0079795D"/>
    <w:rsid w:val="00797C20"/>
    <w:rsid w:val="007A09DF"/>
    <w:rsid w:val="007A179D"/>
    <w:rsid w:val="007A2421"/>
    <w:rsid w:val="007A3261"/>
    <w:rsid w:val="007A3966"/>
    <w:rsid w:val="007A4539"/>
    <w:rsid w:val="007A46AA"/>
    <w:rsid w:val="007A4CF5"/>
    <w:rsid w:val="007A5E0E"/>
    <w:rsid w:val="007A7C74"/>
    <w:rsid w:val="007B2318"/>
    <w:rsid w:val="007B2DFC"/>
    <w:rsid w:val="007B4EA2"/>
    <w:rsid w:val="007B57BD"/>
    <w:rsid w:val="007B5D05"/>
    <w:rsid w:val="007B669B"/>
    <w:rsid w:val="007B75B5"/>
    <w:rsid w:val="007C1426"/>
    <w:rsid w:val="007C1E1C"/>
    <w:rsid w:val="007C2988"/>
    <w:rsid w:val="007C377B"/>
    <w:rsid w:val="007C384B"/>
    <w:rsid w:val="007C42F9"/>
    <w:rsid w:val="007C476F"/>
    <w:rsid w:val="007C5115"/>
    <w:rsid w:val="007C584F"/>
    <w:rsid w:val="007C59E1"/>
    <w:rsid w:val="007C7EE2"/>
    <w:rsid w:val="007D1E02"/>
    <w:rsid w:val="007D429F"/>
    <w:rsid w:val="007D4342"/>
    <w:rsid w:val="007D4BF5"/>
    <w:rsid w:val="007D52EE"/>
    <w:rsid w:val="007D54D7"/>
    <w:rsid w:val="007D5807"/>
    <w:rsid w:val="007E5C02"/>
    <w:rsid w:val="007E7D88"/>
    <w:rsid w:val="007F0A79"/>
    <w:rsid w:val="007F187E"/>
    <w:rsid w:val="007F3C14"/>
    <w:rsid w:val="007F5D05"/>
    <w:rsid w:val="007F610A"/>
    <w:rsid w:val="007F632A"/>
    <w:rsid w:val="0080209F"/>
    <w:rsid w:val="008035D2"/>
    <w:rsid w:val="00804910"/>
    <w:rsid w:val="00804C4A"/>
    <w:rsid w:val="00804F23"/>
    <w:rsid w:val="0080702D"/>
    <w:rsid w:val="00807CB8"/>
    <w:rsid w:val="00810918"/>
    <w:rsid w:val="00810C60"/>
    <w:rsid w:val="00810F9A"/>
    <w:rsid w:val="0081191D"/>
    <w:rsid w:val="008140FC"/>
    <w:rsid w:val="00814171"/>
    <w:rsid w:val="00814393"/>
    <w:rsid w:val="008143AD"/>
    <w:rsid w:val="008157E3"/>
    <w:rsid w:val="00817433"/>
    <w:rsid w:val="00820B6A"/>
    <w:rsid w:val="00821A95"/>
    <w:rsid w:val="0082332C"/>
    <w:rsid w:val="008235F9"/>
    <w:rsid w:val="0082608C"/>
    <w:rsid w:val="00827277"/>
    <w:rsid w:val="00827481"/>
    <w:rsid w:val="00827772"/>
    <w:rsid w:val="0083122D"/>
    <w:rsid w:val="00832E12"/>
    <w:rsid w:val="00833B1E"/>
    <w:rsid w:val="008357B5"/>
    <w:rsid w:val="0083604C"/>
    <w:rsid w:val="0083684E"/>
    <w:rsid w:val="00840D4C"/>
    <w:rsid w:val="00843716"/>
    <w:rsid w:val="00844B68"/>
    <w:rsid w:val="008457BF"/>
    <w:rsid w:val="00845F8B"/>
    <w:rsid w:val="00846A78"/>
    <w:rsid w:val="0084725D"/>
    <w:rsid w:val="00847A46"/>
    <w:rsid w:val="00850343"/>
    <w:rsid w:val="00851F09"/>
    <w:rsid w:val="0085340B"/>
    <w:rsid w:val="00853E60"/>
    <w:rsid w:val="00853F0E"/>
    <w:rsid w:val="00855A9B"/>
    <w:rsid w:val="00855DCC"/>
    <w:rsid w:val="00856A9F"/>
    <w:rsid w:val="00856B1E"/>
    <w:rsid w:val="00856C5C"/>
    <w:rsid w:val="00860BA3"/>
    <w:rsid w:val="00861651"/>
    <w:rsid w:val="00865D3B"/>
    <w:rsid w:val="00865FF8"/>
    <w:rsid w:val="008661F1"/>
    <w:rsid w:val="008668FF"/>
    <w:rsid w:val="00870905"/>
    <w:rsid w:val="00870C33"/>
    <w:rsid w:val="00871343"/>
    <w:rsid w:val="00871455"/>
    <w:rsid w:val="00871B9C"/>
    <w:rsid w:val="0087470D"/>
    <w:rsid w:val="00875272"/>
    <w:rsid w:val="0087557F"/>
    <w:rsid w:val="00881E8D"/>
    <w:rsid w:val="008829C4"/>
    <w:rsid w:val="00883AA6"/>
    <w:rsid w:val="00883D89"/>
    <w:rsid w:val="008854EB"/>
    <w:rsid w:val="008865C8"/>
    <w:rsid w:val="00894DC3"/>
    <w:rsid w:val="00895FC6"/>
    <w:rsid w:val="0089631C"/>
    <w:rsid w:val="008967D7"/>
    <w:rsid w:val="00897E49"/>
    <w:rsid w:val="008A0C67"/>
    <w:rsid w:val="008A2772"/>
    <w:rsid w:val="008A378D"/>
    <w:rsid w:val="008A3955"/>
    <w:rsid w:val="008A530B"/>
    <w:rsid w:val="008A598F"/>
    <w:rsid w:val="008A7001"/>
    <w:rsid w:val="008B01E3"/>
    <w:rsid w:val="008B0F41"/>
    <w:rsid w:val="008B575D"/>
    <w:rsid w:val="008B651F"/>
    <w:rsid w:val="008B67AD"/>
    <w:rsid w:val="008C1775"/>
    <w:rsid w:val="008C1B26"/>
    <w:rsid w:val="008C63E9"/>
    <w:rsid w:val="008C7A1F"/>
    <w:rsid w:val="008C7DCC"/>
    <w:rsid w:val="008D173E"/>
    <w:rsid w:val="008D29ED"/>
    <w:rsid w:val="008D2E2D"/>
    <w:rsid w:val="008D4904"/>
    <w:rsid w:val="008D59E2"/>
    <w:rsid w:val="008D653C"/>
    <w:rsid w:val="008D7424"/>
    <w:rsid w:val="008D7961"/>
    <w:rsid w:val="008E24F2"/>
    <w:rsid w:val="008E28F7"/>
    <w:rsid w:val="008E2F78"/>
    <w:rsid w:val="008E3651"/>
    <w:rsid w:val="008E3E92"/>
    <w:rsid w:val="008E4053"/>
    <w:rsid w:val="008E41FD"/>
    <w:rsid w:val="008E4B2E"/>
    <w:rsid w:val="008E79C4"/>
    <w:rsid w:val="008F0916"/>
    <w:rsid w:val="008F262B"/>
    <w:rsid w:val="008F405E"/>
    <w:rsid w:val="008F509F"/>
    <w:rsid w:val="008F593B"/>
    <w:rsid w:val="008F6BBB"/>
    <w:rsid w:val="008F7C44"/>
    <w:rsid w:val="00901374"/>
    <w:rsid w:val="00904507"/>
    <w:rsid w:val="009047B1"/>
    <w:rsid w:val="00905A98"/>
    <w:rsid w:val="00906182"/>
    <w:rsid w:val="00906706"/>
    <w:rsid w:val="0090690C"/>
    <w:rsid w:val="00910054"/>
    <w:rsid w:val="009104B4"/>
    <w:rsid w:val="0091238A"/>
    <w:rsid w:val="00913511"/>
    <w:rsid w:val="0091449A"/>
    <w:rsid w:val="00915CC2"/>
    <w:rsid w:val="00916BF9"/>
    <w:rsid w:val="0091712D"/>
    <w:rsid w:val="00917D0F"/>
    <w:rsid w:val="009253CD"/>
    <w:rsid w:val="00925D9A"/>
    <w:rsid w:val="009269AF"/>
    <w:rsid w:val="00926F89"/>
    <w:rsid w:val="009271A8"/>
    <w:rsid w:val="009276ED"/>
    <w:rsid w:val="009279BF"/>
    <w:rsid w:val="00932495"/>
    <w:rsid w:val="00932A53"/>
    <w:rsid w:val="00933401"/>
    <w:rsid w:val="009354B4"/>
    <w:rsid w:val="00937031"/>
    <w:rsid w:val="0094065B"/>
    <w:rsid w:val="00941736"/>
    <w:rsid w:val="00943690"/>
    <w:rsid w:val="00943A38"/>
    <w:rsid w:val="009466B5"/>
    <w:rsid w:val="00951C8D"/>
    <w:rsid w:val="0095408C"/>
    <w:rsid w:val="0095468E"/>
    <w:rsid w:val="0095670B"/>
    <w:rsid w:val="009579DF"/>
    <w:rsid w:val="009604D2"/>
    <w:rsid w:val="00960948"/>
    <w:rsid w:val="009614AF"/>
    <w:rsid w:val="009617B6"/>
    <w:rsid w:val="00964006"/>
    <w:rsid w:val="0096402A"/>
    <w:rsid w:val="009647A6"/>
    <w:rsid w:val="00964A06"/>
    <w:rsid w:val="00965556"/>
    <w:rsid w:val="00967A05"/>
    <w:rsid w:val="00971092"/>
    <w:rsid w:val="009746D4"/>
    <w:rsid w:val="00974D65"/>
    <w:rsid w:val="00976705"/>
    <w:rsid w:val="009769C6"/>
    <w:rsid w:val="00976AFD"/>
    <w:rsid w:val="009774B5"/>
    <w:rsid w:val="00980265"/>
    <w:rsid w:val="00980B2E"/>
    <w:rsid w:val="00982E50"/>
    <w:rsid w:val="0098380E"/>
    <w:rsid w:val="009845CA"/>
    <w:rsid w:val="00984905"/>
    <w:rsid w:val="00984921"/>
    <w:rsid w:val="00986381"/>
    <w:rsid w:val="00986D30"/>
    <w:rsid w:val="00987343"/>
    <w:rsid w:val="00990874"/>
    <w:rsid w:val="00992CEB"/>
    <w:rsid w:val="0099400B"/>
    <w:rsid w:val="00995B8E"/>
    <w:rsid w:val="00996245"/>
    <w:rsid w:val="0099760B"/>
    <w:rsid w:val="009A10BF"/>
    <w:rsid w:val="009A1513"/>
    <w:rsid w:val="009A1942"/>
    <w:rsid w:val="009A3F2A"/>
    <w:rsid w:val="009A4DCA"/>
    <w:rsid w:val="009A52B5"/>
    <w:rsid w:val="009A5442"/>
    <w:rsid w:val="009A5E28"/>
    <w:rsid w:val="009A6DAE"/>
    <w:rsid w:val="009B285E"/>
    <w:rsid w:val="009B3D2A"/>
    <w:rsid w:val="009C0986"/>
    <w:rsid w:val="009C0D0D"/>
    <w:rsid w:val="009C16D3"/>
    <w:rsid w:val="009C1D93"/>
    <w:rsid w:val="009C350A"/>
    <w:rsid w:val="009C4FAB"/>
    <w:rsid w:val="009C5426"/>
    <w:rsid w:val="009C618C"/>
    <w:rsid w:val="009C735B"/>
    <w:rsid w:val="009C78C8"/>
    <w:rsid w:val="009D0942"/>
    <w:rsid w:val="009D1616"/>
    <w:rsid w:val="009D4096"/>
    <w:rsid w:val="009D4BAA"/>
    <w:rsid w:val="009D5E25"/>
    <w:rsid w:val="009D6903"/>
    <w:rsid w:val="009D7734"/>
    <w:rsid w:val="009D7C67"/>
    <w:rsid w:val="009D7D7F"/>
    <w:rsid w:val="009E0B10"/>
    <w:rsid w:val="009E1362"/>
    <w:rsid w:val="009E2D34"/>
    <w:rsid w:val="009E47C4"/>
    <w:rsid w:val="009E5840"/>
    <w:rsid w:val="009E5D9D"/>
    <w:rsid w:val="009E6390"/>
    <w:rsid w:val="009E68A5"/>
    <w:rsid w:val="009E7FEE"/>
    <w:rsid w:val="009F2C0A"/>
    <w:rsid w:val="009F5AF7"/>
    <w:rsid w:val="009F6B91"/>
    <w:rsid w:val="00A012D7"/>
    <w:rsid w:val="00A01EA3"/>
    <w:rsid w:val="00A03CCE"/>
    <w:rsid w:val="00A047FA"/>
    <w:rsid w:val="00A0579E"/>
    <w:rsid w:val="00A057D4"/>
    <w:rsid w:val="00A100D1"/>
    <w:rsid w:val="00A10D00"/>
    <w:rsid w:val="00A11034"/>
    <w:rsid w:val="00A1277F"/>
    <w:rsid w:val="00A13D43"/>
    <w:rsid w:val="00A15BCD"/>
    <w:rsid w:val="00A16B70"/>
    <w:rsid w:val="00A1729A"/>
    <w:rsid w:val="00A20F19"/>
    <w:rsid w:val="00A223CF"/>
    <w:rsid w:val="00A24425"/>
    <w:rsid w:val="00A2446E"/>
    <w:rsid w:val="00A25846"/>
    <w:rsid w:val="00A25E58"/>
    <w:rsid w:val="00A2717C"/>
    <w:rsid w:val="00A2786B"/>
    <w:rsid w:val="00A3049B"/>
    <w:rsid w:val="00A327E6"/>
    <w:rsid w:val="00A375D1"/>
    <w:rsid w:val="00A404F7"/>
    <w:rsid w:val="00A41060"/>
    <w:rsid w:val="00A41E6D"/>
    <w:rsid w:val="00A45A34"/>
    <w:rsid w:val="00A45F4D"/>
    <w:rsid w:val="00A461E2"/>
    <w:rsid w:val="00A47F5F"/>
    <w:rsid w:val="00A505F0"/>
    <w:rsid w:val="00A51130"/>
    <w:rsid w:val="00A51369"/>
    <w:rsid w:val="00A5205C"/>
    <w:rsid w:val="00A53AE6"/>
    <w:rsid w:val="00A5410C"/>
    <w:rsid w:val="00A55205"/>
    <w:rsid w:val="00A56325"/>
    <w:rsid w:val="00A572D3"/>
    <w:rsid w:val="00A6060C"/>
    <w:rsid w:val="00A60C3E"/>
    <w:rsid w:val="00A610A5"/>
    <w:rsid w:val="00A611DE"/>
    <w:rsid w:val="00A6190F"/>
    <w:rsid w:val="00A63896"/>
    <w:rsid w:val="00A64279"/>
    <w:rsid w:val="00A657C5"/>
    <w:rsid w:val="00A65A09"/>
    <w:rsid w:val="00A6652D"/>
    <w:rsid w:val="00A67664"/>
    <w:rsid w:val="00A70DCE"/>
    <w:rsid w:val="00A72408"/>
    <w:rsid w:val="00A72CE1"/>
    <w:rsid w:val="00A72D09"/>
    <w:rsid w:val="00A7490E"/>
    <w:rsid w:val="00A770EF"/>
    <w:rsid w:val="00A7724A"/>
    <w:rsid w:val="00A80425"/>
    <w:rsid w:val="00A80C95"/>
    <w:rsid w:val="00A81B96"/>
    <w:rsid w:val="00A826F3"/>
    <w:rsid w:val="00A843DB"/>
    <w:rsid w:val="00A85B4B"/>
    <w:rsid w:val="00A85D52"/>
    <w:rsid w:val="00A86CB5"/>
    <w:rsid w:val="00A904F4"/>
    <w:rsid w:val="00A90544"/>
    <w:rsid w:val="00A91CDB"/>
    <w:rsid w:val="00A9225A"/>
    <w:rsid w:val="00A92535"/>
    <w:rsid w:val="00A92B3F"/>
    <w:rsid w:val="00A92D4C"/>
    <w:rsid w:val="00A93AEE"/>
    <w:rsid w:val="00A959AF"/>
    <w:rsid w:val="00A9656A"/>
    <w:rsid w:val="00A96B73"/>
    <w:rsid w:val="00AA04E2"/>
    <w:rsid w:val="00AA259D"/>
    <w:rsid w:val="00AA3956"/>
    <w:rsid w:val="00AA48F5"/>
    <w:rsid w:val="00AA4A01"/>
    <w:rsid w:val="00AA600A"/>
    <w:rsid w:val="00AA6279"/>
    <w:rsid w:val="00AA7B41"/>
    <w:rsid w:val="00AB2191"/>
    <w:rsid w:val="00AB25B7"/>
    <w:rsid w:val="00AB30B7"/>
    <w:rsid w:val="00AB3267"/>
    <w:rsid w:val="00AB391F"/>
    <w:rsid w:val="00AB3B93"/>
    <w:rsid w:val="00AB41A0"/>
    <w:rsid w:val="00AB4335"/>
    <w:rsid w:val="00AB4A1A"/>
    <w:rsid w:val="00AB5B78"/>
    <w:rsid w:val="00AB5EA7"/>
    <w:rsid w:val="00AB6254"/>
    <w:rsid w:val="00AB66CA"/>
    <w:rsid w:val="00AC079F"/>
    <w:rsid w:val="00AC36F0"/>
    <w:rsid w:val="00AC5C71"/>
    <w:rsid w:val="00AC6196"/>
    <w:rsid w:val="00AD0ACC"/>
    <w:rsid w:val="00AD1C75"/>
    <w:rsid w:val="00AD287E"/>
    <w:rsid w:val="00AD2DE6"/>
    <w:rsid w:val="00AD44A6"/>
    <w:rsid w:val="00AD5491"/>
    <w:rsid w:val="00AD5C05"/>
    <w:rsid w:val="00AD5D3B"/>
    <w:rsid w:val="00AD6878"/>
    <w:rsid w:val="00AE03E8"/>
    <w:rsid w:val="00AE1464"/>
    <w:rsid w:val="00AE17FB"/>
    <w:rsid w:val="00AE245C"/>
    <w:rsid w:val="00AE3714"/>
    <w:rsid w:val="00AE3787"/>
    <w:rsid w:val="00AE47B0"/>
    <w:rsid w:val="00AE567E"/>
    <w:rsid w:val="00AE7102"/>
    <w:rsid w:val="00AE7440"/>
    <w:rsid w:val="00AE7E03"/>
    <w:rsid w:val="00AF0D68"/>
    <w:rsid w:val="00AF1C10"/>
    <w:rsid w:val="00AF244A"/>
    <w:rsid w:val="00AF285E"/>
    <w:rsid w:val="00AF3043"/>
    <w:rsid w:val="00AF4D30"/>
    <w:rsid w:val="00AF55E7"/>
    <w:rsid w:val="00AF6389"/>
    <w:rsid w:val="00AF7D25"/>
    <w:rsid w:val="00B00357"/>
    <w:rsid w:val="00B00560"/>
    <w:rsid w:val="00B00B75"/>
    <w:rsid w:val="00B01118"/>
    <w:rsid w:val="00B01327"/>
    <w:rsid w:val="00B01CE1"/>
    <w:rsid w:val="00B03C34"/>
    <w:rsid w:val="00B04520"/>
    <w:rsid w:val="00B05F5F"/>
    <w:rsid w:val="00B0726F"/>
    <w:rsid w:val="00B07BF3"/>
    <w:rsid w:val="00B113F5"/>
    <w:rsid w:val="00B120EB"/>
    <w:rsid w:val="00B126BA"/>
    <w:rsid w:val="00B14EAA"/>
    <w:rsid w:val="00B14F58"/>
    <w:rsid w:val="00B165BC"/>
    <w:rsid w:val="00B1694B"/>
    <w:rsid w:val="00B16C13"/>
    <w:rsid w:val="00B20618"/>
    <w:rsid w:val="00B22D11"/>
    <w:rsid w:val="00B234F1"/>
    <w:rsid w:val="00B23A37"/>
    <w:rsid w:val="00B25460"/>
    <w:rsid w:val="00B26C76"/>
    <w:rsid w:val="00B30BFC"/>
    <w:rsid w:val="00B311CB"/>
    <w:rsid w:val="00B3319C"/>
    <w:rsid w:val="00B33487"/>
    <w:rsid w:val="00B33720"/>
    <w:rsid w:val="00B35ADF"/>
    <w:rsid w:val="00B35CCF"/>
    <w:rsid w:val="00B36822"/>
    <w:rsid w:val="00B4259C"/>
    <w:rsid w:val="00B42CBF"/>
    <w:rsid w:val="00B44B0B"/>
    <w:rsid w:val="00B453F1"/>
    <w:rsid w:val="00B45564"/>
    <w:rsid w:val="00B45809"/>
    <w:rsid w:val="00B462E9"/>
    <w:rsid w:val="00B46720"/>
    <w:rsid w:val="00B47B0E"/>
    <w:rsid w:val="00B47C52"/>
    <w:rsid w:val="00B50F26"/>
    <w:rsid w:val="00B5124E"/>
    <w:rsid w:val="00B5163C"/>
    <w:rsid w:val="00B523A3"/>
    <w:rsid w:val="00B53BEF"/>
    <w:rsid w:val="00B53E8E"/>
    <w:rsid w:val="00B55D8D"/>
    <w:rsid w:val="00B56F8D"/>
    <w:rsid w:val="00B5707A"/>
    <w:rsid w:val="00B60D38"/>
    <w:rsid w:val="00B60EF9"/>
    <w:rsid w:val="00B620BE"/>
    <w:rsid w:val="00B63B0C"/>
    <w:rsid w:val="00B64741"/>
    <w:rsid w:val="00B65E7E"/>
    <w:rsid w:val="00B72500"/>
    <w:rsid w:val="00B72794"/>
    <w:rsid w:val="00B735CC"/>
    <w:rsid w:val="00B73ACB"/>
    <w:rsid w:val="00B73E92"/>
    <w:rsid w:val="00B74FD9"/>
    <w:rsid w:val="00B75772"/>
    <w:rsid w:val="00B7646B"/>
    <w:rsid w:val="00B767D6"/>
    <w:rsid w:val="00B76998"/>
    <w:rsid w:val="00B77A37"/>
    <w:rsid w:val="00B80752"/>
    <w:rsid w:val="00B809DD"/>
    <w:rsid w:val="00B81B6E"/>
    <w:rsid w:val="00B8220A"/>
    <w:rsid w:val="00B82C44"/>
    <w:rsid w:val="00B83948"/>
    <w:rsid w:val="00B83CD6"/>
    <w:rsid w:val="00B85300"/>
    <w:rsid w:val="00B85501"/>
    <w:rsid w:val="00B858E2"/>
    <w:rsid w:val="00B872A6"/>
    <w:rsid w:val="00B873E3"/>
    <w:rsid w:val="00B876EC"/>
    <w:rsid w:val="00B90604"/>
    <w:rsid w:val="00B929A5"/>
    <w:rsid w:val="00B93E32"/>
    <w:rsid w:val="00BA1266"/>
    <w:rsid w:val="00BA491F"/>
    <w:rsid w:val="00BA4BE4"/>
    <w:rsid w:val="00BA5032"/>
    <w:rsid w:val="00BA557A"/>
    <w:rsid w:val="00BA61A5"/>
    <w:rsid w:val="00BB0EE2"/>
    <w:rsid w:val="00BB1EC9"/>
    <w:rsid w:val="00BB237D"/>
    <w:rsid w:val="00BB2B4B"/>
    <w:rsid w:val="00BB34AD"/>
    <w:rsid w:val="00BB4FB5"/>
    <w:rsid w:val="00BB77F6"/>
    <w:rsid w:val="00BB7B8F"/>
    <w:rsid w:val="00BC3B97"/>
    <w:rsid w:val="00BC45B1"/>
    <w:rsid w:val="00BD00E0"/>
    <w:rsid w:val="00BD0FD2"/>
    <w:rsid w:val="00BD218E"/>
    <w:rsid w:val="00BD3EF2"/>
    <w:rsid w:val="00BD7B79"/>
    <w:rsid w:val="00BE0671"/>
    <w:rsid w:val="00BE0ACE"/>
    <w:rsid w:val="00BE26BC"/>
    <w:rsid w:val="00BE383E"/>
    <w:rsid w:val="00BE476D"/>
    <w:rsid w:val="00BE494B"/>
    <w:rsid w:val="00BE58F4"/>
    <w:rsid w:val="00BE5A5F"/>
    <w:rsid w:val="00BE72C8"/>
    <w:rsid w:val="00BF1DFC"/>
    <w:rsid w:val="00BF2D71"/>
    <w:rsid w:val="00BF31AA"/>
    <w:rsid w:val="00BF4A2B"/>
    <w:rsid w:val="00BF5B20"/>
    <w:rsid w:val="00BF5B92"/>
    <w:rsid w:val="00BF5FF4"/>
    <w:rsid w:val="00C00F7E"/>
    <w:rsid w:val="00C06841"/>
    <w:rsid w:val="00C0733C"/>
    <w:rsid w:val="00C100F2"/>
    <w:rsid w:val="00C109C4"/>
    <w:rsid w:val="00C10E3E"/>
    <w:rsid w:val="00C1100F"/>
    <w:rsid w:val="00C11217"/>
    <w:rsid w:val="00C1149A"/>
    <w:rsid w:val="00C11517"/>
    <w:rsid w:val="00C131DC"/>
    <w:rsid w:val="00C1380B"/>
    <w:rsid w:val="00C158D8"/>
    <w:rsid w:val="00C15C33"/>
    <w:rsid w:val="00C15F4B"/>
    <w:rsid w:val="00C23105"/>
    <w:rsid w:val="00C23160"/>
    <w:rsid w:val="00C23304"/>
    <w:rsid w:val="00C266A9"/>
    <w:rsid w:val="00C26F63"/>
    <w:rsid w:val="00C270CE"/>
    <w:rsid w:val="00C32EC2"/>
    <w:rsid w:val="00C34B2D"/>
    <w:rsid w:val="00C34C17"/>
    <w:rsid w:val="00C34D8F"/>
    <w:rsid w:val="00C44406"/>
    <w:rsid w:val="00C44734"/>
    <w:rsid w:val="00C45731"/>
    <w:rsid w:val="00C46524"/>
    <w:rsid w:val="00C46ED1"/>
    <w:rsid w:val="00C47D03"/>
    <w:rsid w:val="00C47D63"/>
    <w:rsid w:val="00C50540"/>
    <w:rsid w:val="00C5096A"/>
    <w:rsid w:val="00C50F8E"/>
    <w:rsid w:val="00C51573"/>
    <w:rsid w:val="00C518E2"/>
    <w:rsid w:val="00C51CA1"/>
    <w:rsid w:val="00C5205C"/>
    <w:rsid w:val="00C53928"/>
    <w:rsid w:val="00C53939"/>
    <w:rsid w:val="00C53F92"/>
    <w:rsid w:val="00C552EE"/>
    <w:rsid w:val="00C5606C"/>
    <w:rsid w:val="00C56647"/>
    <w:rsid w:val="00C5706C"/>
    <w:rsid w:val="00C60A2D"/>
    <w:rsid w:val="00C658DF"/>
    <w:rsid w:val="00C65AF8"/>
    <w:rsid w:val="00C66192"/>
    <w:rsid w:val="00C663A2"/>
    <w:rsid w:val="00C666DC"/>
    <w:rsid w:val="00C7049F"/>
    <w:rsid w:val="00C70CAA"/>
    <w:rsid w:val="00C7109E"/>
    <w:rsid w:val="00C713CB"/>
    <w:rsid w:val="00C71CDC"/>
    <w:rsid w:val="00C726EC"/>
    <w:rsid w:val="00C7401C"/>
    <w:rsid w:val="00C74B23"/>
    <w:rsid w:val="00C76574"/>
    <w:rsid w:val="00C76EC0"/>
    <w:rsid w:val="00C81410"/>
    <w:rsid w:val="00C831A0"/>
    <w:rsid w:val="00C91BCC"/>
    <w:rsid w:val="00C927D8"/>
    <w:rsid w:val="00C97CE4"/>
    <w:rsid w:val="00CA0E01"/>
    <w:rsid w:val="00CA1271"/>
    <w:rsid w:val="00CA12EA"/>
    <w:rsid w:val="00CA1814"/>
    <w:rsid w:val="00CA2490"/>
    <w:rsid w:val="00CA26F4"/>
    <w:rsid w:val="00CA457F"/>
    <w:rsid w:val="00CA50C7"/>
    <w:rsid w:val="00CA53A5"/>
    <w:rsid w:val="00CA740E"/>
    <w:rsid w:val="00CA7497"/>
    <w:rsid w:val="00CB0A02"/>
    <w:rsid w:val="00CB15C9"/>
    <w:rsid w:val="00CB42E9"/>
    <w:rsid w:val="00CB4C60"/>
    <w:rsid w:val="00CB66E3"/>
    <w:rsid w:val="00CC06B3"/>
    <w:rsid w:val="00CC2E22"/>
    <w:rsid w:val="00CC3213"/>
    <w:rsid w:val="00CC378D"/>
    <w:rsid w:val="00CC3C76"/>
    <w:rsid w:val="00CC3D17"/>
    <w:rsid w:val="00CC5E1F"/>
    <w:rsid w:val="00CC770E"/>
    <w:rsid w:val="00CD07D2"/>
    <w:rsid w:val="00CD0FE8"/>
    <w:rsid w:val="00CD1BF8"/>
    <w:rsid w:val="00CD1C5E"/>
    <w:rsid w:val="00CD23E3"/>
    <w:rsid w:val="00CD2910"/>
    <w:rsid w:val="00CD3D6C"/>
    <w:rsid w:val="00CD769A"/>
    <w:rsid w:val="00CD7770"/>
    <w:rsid w:val="00CE0075"/>
    <w:rsid w:val="00CE0223"/>
    <w:rsid w:val="00CE4D0A"/>
    <w:rsid w:val="00CE5433"/>
    <w:rsid w:val="00CE5E7E"/>
    <w:rsid w:val="00CE65C2"/>
    <w:rsid w:val="00CE6E3B"/>
    <w:rsid w:val="00CF0786"/>
    <w:rsid w:val="00CF0BA2"/>
    <w:rsid w:val="00CF0BD3"/>
    <w:rsid w:val="00CF1E41"/>
    <w:rsid w:val="00CF260A"/>
    <w:rsid w:val="00CF2B04"/>
    <w:rsid w:val="00CF3C59"/>
    <w:rsid w:val="00CF617D"/>
    <w:rsid w:val="00CF67EE"/>
    <w:rsid w:val="00CF79AE"/>
    <w:rsid w:val="00D01AE2"/>
    <w:rsid w:val="00D03F21"/>
    <w:rsid w:val="00D04CF2"/>
    <w:rsid w:val="00D06512"/>
    <w:rsid w:val="00D10F13"/>
    <w:rsid w:val="00D129FF"/>
    <w:rsid w:val="00D13B51"/>
    <w:rsid w:val="00D13FE9"/>
    <w:rsid w:val="00D15CFC"/>
    <w:rsid w:val="00D163FB"/>
    <w:rsid w:val="00D167EB"/>
    <w:rsid w:val="00D175BD"/>
    <w:rsid w:val="00D205D5"/>
    <w:rsid w:val="00D20C3C"/>
    <w:rsid w:val="00D21817"/>
    <w:rsid w:val="00D21A4E"/>
    <w:rsid w:val="00D21FBB"/>
    <w:rsid w:val="00D22703"/>
    <w:rsid w:val="00D2280D"/>
    <w:rsid w:val="00D238B3"/>
    <w:rsid w:val="00D25E0E"/>
    <w:rsid w:val="00D26DD0"/>
    <w:rsid w:val="00D27675"/>
    <w:rsid w:val="00D27941"/>
    <w:rsid w:val="00D31B86"/>
    <w:rsid w:val="00D328B6"/>
    <w:rsid w:val="00D33414"/>
    <w:rsid w:val="00D35F58"/>
    <w:rsid w:val="00D367A8"/>
    <w:rsid w:val="00D368B4"/>
    <w:rsid w:val="00D37C1E"/>
    <w:rsid w:val="00D41D29"/>
    <w:rsid w:val="00D4256D"/>
    <w:rsid w:val="00D42AA3"/>
    <w:rsid w:val="00D42FC1"/>
    <w:rsid w:val="00D4350F"/>
    <w:rsid w:val="00D43B05"/>
    <w:rsid w:val="00D471C4"/>
    <w:rsid w:val="00D50D02"/>
    <w:rsid w:val="00D531E2"/>
    <w:rsid w:val="00D55996"/>
    <w:rsid w:val="00D5603E"/>
    <w:rsid w:val="00D56257"/>
    <w:rsid w:val="00D56E87"/>
    <w:rsid w:val="00D57498"/>
    <w:rsid w:val="00D578D9"/>
    <w:rsid w:val="00D603CA"/>
    <w:rsid w:val="00D60892"/>
    <w:rsid w:val="00D60AC4"/>
    <w:rsid w:val="00D61CD6"/>
    <w:rsid w:val="00D61ED5"/>
    <w:rsid w:val="00D62714"/>
    <w:rsid w:val="00D627E8"/>
    <w:rsid w:val="00D62ECA"/>
    <w:rsid w:val="00D63B75"/>
    <w:rsid w:val="00D63C2C"/>
    <w:rsid w:val="00D65CB4"/>
    <w:rsid w:val="00D669B6"/>
    <w:rsid w:val="00D67D4F"/>
    <w:rsid w:val="00D71D04"/>
    <w:rsid w:val="00D72BC8"/>
    <w:rsid w:val="00D737D1"/>
    <w:rsid w:val="00D73D51"/>
    <w:rsid w:val="00D75AF6"/>
    <w:rsid w:val="00D76CE0"/>
    <w:rsid w:val="00D85F88"/>
    <w:rsid w:val="00D861F4"/>
    <w:rsid w:val="00D869B0"/>
    <w:rsid w:val="00D91620"/>
    <w:rsid w:val="00D92952"/>
    <w:rsid w:val="00D92B16"/>
    <w:rsid w:val="00D947FF"/>
    <w:rsid w:val="00D96A9C"/>
    <w:rsid w:val="00D96E43"/>
    <w:rsid w:val="00DA1A84"/>
    <w:rsid w:val="00DA1EE6"/>
    <w:rsid w:val="00DA3180"/>
    <w:rsid w:val="00DA7529"/>
    <w:rsid w:val="00DB08D6"/>
    <w:rsid w:val="00DB1665"/>
    <w:rsid w:val="00DB2E26"/>
    <w:rsid w:val="00DB3272"/>
    <w:rsid w:val="00DB3467"/>
    <w:rsid w:val="00DB3D00"/>
    <w:rsid w:val="00DB4A3E"/>
    <w:rsid w:val="00DB74CE"/>
    <w:rsid w:val="00DC24F3"/>
    <w:rsid w:val="00DC38C8"/>
    <w:rsid w:val="00DC38E3"/>
    <w:rsid w:val="00DC3FF6"/>
    <w:rsid w:val="00DC418C"/>
    <w:rsid w:val="00DC4993"/>
    <w:rsid w:val="00DC64F3"/>
    <w:rsid w:val="00DC6DE4"/>
    <w:rsid w:val="00DC7113"/>
    <w:rsid w:val="00DD1EEB"/>
    <w:rsid w:val="00DD58D3"/>
    <w:rsid w:val="00DD7B35"/>
    <w:rsid w:val="00DE19E3"/>
    <w:rsid w:val="00DE245E"/>
    <w:rsid w:val="00DE26B8"/>
    <w:rsid w:val="00DE3525"/>
    <w:rsid w:val="00DE35D0"/>
    <w:rsid w:val="00DE3775"/>
    <w:rsid w:val="00DE3E13"/>
    <w:rsid w:val="00DE47DC"/>
    <w:rsid w:val="00DE4ABD"/>
    <w:rsid w:val="00DE5159"/>
    <w:rsid w:val="00DE6C55"/>
    <w:rsid w:val="00DE73B4"/>
    <w:rsid w:val="00DF0EBB"/>
    <w:rsid w:val="00DF33D0"/>
    <w:rsid w:val="00DF35AC"/>
    <w:rsid w:val="00DF4636"/>
    <w:rsid w:val="00DF50CC"/>
    <w:rsid w:val="00DF5204"/>
    <w:rsid w:val="00DF6054"/>
    <w:rsid w:val="00DF63A9"/>
    <w:rsid w:val="00DF6655"/>
    <w:rsid w:val="00E00BBC"/>
    <w:rsid w:val="00E039C1"/>
    <w:rsid w:val="00E06248"/>
    <w:rsid w:val="00E100D0"/>
    <w:rsid w:val="00E10727"/>
    <w:rsid w:val="00E15899"/>
    <w:rsid w:val="00E171D2"/>
    <w:rsid w:val="00E17694"/>
    <w:rsid w:val="00E17A00"/>
    <w:rsid w:val="00E20A2B"/>
    <w:rsid w:val="00E241A0"/>
    <w:rsid w:val="00E2702A"/>
    <w:rsid w:val="00E27448"/>
    <w:rsid w:val="00E27617"/>
    <w:rsid w:val="00E308F1"/>
    <w:rsid w:val="00E319B7"/>
    <w:rsid w:val="00E33B39"/>
    <w:rsid w:val="00E34A1E"/>
    <w:rsid w:val="00E34B3B"/>
    <w:rsid w:val="00E3579D"/>
    <w:rsid w:val="00E3797D"/>
    <w:rsid w:val="00E37FB7"/>
    <w:rsid w:val="00E40E3C"/>
    <w:rsid w:val="00E427C6"/>
    <w:rsid w:val="00E431D1"/>
    <w:rsid w:val="00E432E0"/>
    <w:rsid w:val="00E43BDD"/>
    <w:rsid w:val="00E44708"/>
    <w:rsid w:val="00E44AAF"/>
    <w:rsid w:val="00E44D2A"/>
    <w:rsid w:val="00E4517B"/>
    <w:rsid w:val="00E45CBB"/>
    <w:rsid w:val="00E47726"/>
    <w:rsid w:val="00E47D2E"/>
    <w:rsid w:val="00E50F23"/>
    <w:rsid w:val="00E51C75"/>
    <w:rsid w:val="00E522C7"/>
    <w:rsid w:val="00E53C57"/>
    <w:rsid w:val="00E54CB5"/>
    <w:rsid w:val="00E5650C"/>
    <w:rsid w:val="00E60106"/>
    <w:rsid w:val="00E6188C"/>
    <w:rsid w:val="00E61AC9"/>
    <w:rsid w:val="00E621C6"/>
    <w:rsid w:val="00E62376"/>
    <w:rsid w:val="00E625C8"/>
    <w:rsid w:val="00E627AF"/>
    <w:rsid w:val="00E63258"/>
    <w:rsid w:val="00E64998"/>
    <w:rsid w:val="00E65DE2"/>
    <w:rsid w:val="00E66E14"/>
    <w:rsid w:val="00E67CD6"/>
    <w:rsid w:val="00E7183C"/>
    <w:rsid w:val="00E725ED"/>
    <w:rsid w:val="00E725F5"/>
    <w:rsid w:val="00E729F3"/>
    <w:rsid w:val="00E74FD1"/>
    <w:rsid w:val="00E7648D"/>
    <w:rsid w:val="00E772DC"/>
    <w:rsid w:val="00E7792C"/>
    <w:rsid w:val="00E77F1C"/>
    <w:rsid w:val="00E80CC4"/>
    <w:rsid w:val="00E81C8D"/>
    <w:rsid w:val="00E8299D"/>
    <w:rsid w:val="00E84926"/>
    <w:rsid w:val="00E8532C"/>
    <w:rsid w:val="00E85AD9"/>
    <w:rsid w:val="00E8703A"/>
    <w:rsid w:val="00E875DE"/>
    <w:rsid w:val="00E87746"/>
    <w:rsid w:val="00E90AEA"/>
    <w:rsid w:val="00E9187E"/>
    <w:rsid w:val="00E91B68"/>
    <w:rsid w:val="00E93597"/>
    <w:rsid w:val="00E93B4B"/>
    <w:rsid w:val="00E9593D"/>
    <w:rsid w:val="00E96C55"/>
    <w:rsid w:val="00E9728F"/>
    <w:rsid w:val="00E978E7"/>
    <w:rsid w:val="00E97B7A"/>
    <w:rsid w:val="00E97E43"/>
    <w:rsid w:val="00EA126F"/>
    <w:rsid w:val="00EA2002"/>
    <w:rsid w:val="00EA414B"/>
    <w:rsid w:val="00EA701E"/>
    <w:rsid w:val="00EA748E"/>
    <w:rsid w:val="00EB1AC2"/>
    <w:rsid w:val="00EB5DEC"/>
    <w:rsid w:val="00EB7381"/>
    <w:rsid w:val="00EC05E3"/>
    <w:rsid w:val="00EC4C1C"/>
    <w:rsid w:val="00EC5D92"/>
    <w:rsid w:val="00EC7286"/>
    <w:rsid w:val="00ED0127"/>
    <w:rsid w:val="00ED30E0"/>
    <w:rsid w:val="00ED428C"/>
    <w:rsid w:val="00ED6480"/>
    <w:rsid w:val="00ED733D"/>
    <w:rsid w:val="00EE1A96"/>
    <w:rsid w:val="00EE23E7"/>
    <w:rsid w:val="00EE2589"/>
    <w:rsid w:val="00EE5018"/>
    <w:rsid w:val="00EE5BA6"/>
    <w:rsid w:val="00EE6228"/>
    <w:rsid w:val="00EE6EF3"/>
    <w:rsid w:val="00EE7B15"/>
    <w:rsid w:val="00EF1694"/>
    <w:rsid w:val="00EF1BCE"/>
    <w:rsid w:val="00EF1E92"/>
    <w:rsid w:val="00EF2F18"/>
    <w:rsid w:val="00EF3FDB"/>
    <w:rsid w:val="00EF42EC"/>
    <w:rsid w:val="00EF585F"/>
    <w:rsid w:val="00EF5DAC"/>
    <w:rsid w:val="00F00585"/>
    <w:rsid w:val="00F011DE"/>
    <w:rsid w:val="00F011E1"/>
    <w:rsid w:val="00F01F15"/>
    <w:rsid w:val="00F020CC"/>
    <w:rsid w:val="00F0365A"/>
    <w:rsid w:val="00F037A5"/>
    <w:rsid w:val="00F037E0"/>
    <w:rsid w:val="00F05D5F"/>
    <w:rsid w:val="00F06818"/>
    <w:rsid w:val="00F07AA6"/>
    <w:rsid w:val="00F07AFB"/>
    <w:rsid w:val="00F14997"/>
    <w:rsid w:val="00F15998"/>
    <w:rsid w:val="00F177FD"/>
    <w:rsid w:val="00F2016D"/>
    <w:rsid w:val="00F201F6"/>
    <w:rsid w:val="00F212A3"/>
    <w:rsid w:val="00F22FF8"/>
    <w:rsid w:val="00F25BC7"/>
    <w:rsid w:val="00F2626F"/>
    <w:rsid w:val="00F26A61"/>
    <w:rsid w:val="00F2704B"/>
    <w:rsid w:val="00F3065C"/>
    <w:rsid w:val="00F33050"/>
    <w:rsid w:val="00F33F20"/>
    <w:rsid w:val="00F3528F"/>
    <w:rsid w:val="00F37207"/>
    <w:rsid w:val="00F4044E"/>
    <w:rsid w:val="00F40C11"/>
    <w:rsid w:val="00F42728"/>
    <w:rsid w:val="00F43069"/>
    <w:rsid w:val="00F43783"/>
    <w:rsid w:val="00F46869"/>
    <w:rsid w:val="00F469CC"/>
    <w:rsid w:val="00F50BF1"/>
    <w:rsid w:val="00F51831"/>
    <w:rsid w:val="00F53061"/>
    <w:rsid w:val="00F54606"/>
    <w:rsid w:val="00F547FD"/>
    <w:rsid w:val="00F54C39"/>
    <w:rsid w:val="00F552D0"/>
    <w:rsid w:val="00F556B4"/>
    <w:rsid w:val="00F57237"/>
    <w:rsid w:val="00F57EB2"/>
    <w:rsid w:val="00F605C2"/>
    <w:rsid w:val="00F60D87"/>
    <w:rsid w:val="00F62F89"/>
    <w:rsid w:val="00F63F64"/>
    <w:rsid w:val="00F642D7"/>
    <w:rsid w:val="00F64ED0"/>
    <w:rsid w:val="00F660B9"/>
    <w:rsid w:val="00F665E2"/>
    <w:rsid w:val="00F668AA"/>
    <w:rsid w:val="00F67368"/>
    <w:rsid w:val="00F70532"/>
    <w:rsid w:val="00F7152C"/>
    <w:rsid w:val="00F73E0A"/>
    <w:rsid w:val="00F74F1D"/>
    <w:rsid w:val="00F751B5"/>
    <w:rsid w:val="00F75F1B"/>
    <w:rsid w:val="00F761E1"/>
    <w:rsid w:val="00F847A6"/>
    <w:rsid w:val="00F8606E"/>
    <w:rsid w:val="00F87289"/>
    <w:rsid w:val="00F8750A"/>
    <w:rsid w:val="00F9025E"/>
    <w:rsid w:val="00F906EA"/>
    <w:rsid w:val="00F91F0A"/>
    <w:rsid w:val="00F92E76"/>
    <w:rsid w:val="00F9310D"/>
    <w:rsid w:val="00F9363D"/>
    <w:rsid w:val="00F94292"/>
    <w:rsid w:val="00F94394"/>
    <w:rsid w:val="00F94471"/>
    <w:rsid w:val="00F95B40"/>
    <w:rsid w:val="00FA01D9"/>
    <w:rsid w:val="00FA0C93"/>
    <w:rsid w:val="00FA1015"/>
    <w:rsid w:val="00FA1976"/>
    <w:rsid w:val="00FA269E"/>
    <w:rsid w:val="00FA520A"/>
    <w:rsid w:val="00FA5AFD"/>
    <w:rsid w:val="00FA76B8"/>
    <w:rsid w:val="00FA7E87"/>
    <w:rsid w:val="00FB034C"/>
    <w:rsid w:val="00FB0C60"/>
    <w:rsid w:val="00FB33D4"/>
    <w:rsid w:val="00FB36E5"/>
    <w:rsid w:val="00FB595C"/>
    <w:rsid w:val="00FB6164"/>
    <w:rsid w:val="00FB63FF"/>
    <w:rsid w:val="00FC31A3"/>
    <w:rsid w:val="00FC3E98"/>
    <w:rsid w:val="00FC424A"/>
    <w:rsid w:val="00FC791B"/>
    <w:rsid w:val="00FD064C"/>
    <w:rsid w:val="00FD124C"/>
    <w:rsid w:val="00FD177C"/>
    <w:rsid w:val="00FD403D"/>
    <w:rsid w:val="00FD4184"/>
    <w:rsid w:val="00FD4537"/>
    <w:rsid w:val="00FD63A1"/>
    <w:rsid w:val="00FD6D88"/>
    <w:rsid w:val="00FE0178"/>
    <w:rsid w:val="00FE0B3D"/>
    <w:rsid w:val="00FE154D"/>
    <w:rsid w:val="00FE24E3"/>
    <w:rsid w:val="00FE3E7D"/>
    <w:rsid w:val="00FE5C77"/>
    <w:rsid w:val="00FE6684"/>
    <w:rsid w:val="00FF1256"/>
    <w:rsid w:val="00FF4357"/>
    <w:rsid w:val="00FF4505"/>
    <w:rsid w:val="00FF484D"/>
    <w:rsid w:val="00FF6373"/>
    <w:rsid w:val="00FF683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0006CA"/>
    <w:pPr>
      <w:spacing w:before="200" w:after="200" w:line="276" w:lineRule="auto"/>
    </w:pPr>
    <w:rPr>
      <w:rFonts w:ascii="Cambria" w:hAnsi="Cambria"/>
      <w:sz w:val="24"/>
      <w:szCs w:val="20"/>
      <w:lang w:eastAsia="en-US"/>
    </w:rPr>
  </w:style>
  <w:style w:type="paragraph" w:styleId="Heading1">
    <w:name w:val="heading 1"/>
    <w:basedOn w:val="Normal"/>
    <w:next w:val="Normal"/>
    <w:link w:val="Heading1Char"/>
    <w:uiPriority w:val="99"/>
    <w:qFormat/>
    <w:rsid w:val="009E47C4"/>
    <w:pPr>
      <w:numPr>
        <w:numId w:val="8"/>
      </w:num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caps/>
      <w:color w:val="FFFFFF"/>
      <w:spacing w:val="15"/>
      <w:sz w:val="22"/>
    </w:rPr>
  </w:style>
  <w:style w:type="paragraph" w:styleId="Heading2">
    <w:name w:val="heading 2"/>
    <w:basedOn w:val="Normal"/>
    <w:next w:val="Normal"/>
    <w:link w:val="Heading2Char"/>
    <w:uiPriority w:val="99"/>
    <w:qFormat/>
    <w:rsid w:val="009104B4"/>
    <w:pPr>
      <w:numPr>
        <w:ilvl w:val="1"/>
        <w:numId w:val="8"/>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rPr>
  </w:style>
  <w:style w:type="paragraph" w:styleId="Heading3">
    <w:name w:val="heading 3"/>
    <w:basedOn w:val="Normal"/>
    <w:next w:val="Normal"/>
    <w:link w:val="Heading3Char"/>
    <w:uiPriority w:val="99"/>
    <w:qFormat/>
    <w:rsid w:val="009E47C4"/>
    <w:pPr>
      <w:numPr>
        <w:ilvl w:val="2"/>
        <w:numId w:val="8"/>
      </w:numPr>
      <w:pBdr>
        <w:top w:val="single" w:sz="6" w:space="2" w:color="4F81BD"/>
        <w:left w:val="single" w:sz="6" w:space="2" w:color="4F81BD"/>
      </w:pBdr>
      <w:spacing w:before="300" w:after="0"/>
      <w:outlineLvl w:val="2"/>
    </w:pPr>
    <w:rPr>
      <w:caps/>
      <w:color w:val="243F60"/>
      <w:spacing w:val="15"/>
      <w:sz w:val="22"/>
      <w:szCs w:val="22"/>
    </w:rPr>
  </w:style>
  <w:style w:type="paragraph" w:styleId="Heading4">
    <w:name w:val="heading 4"/>
    <w:basedOn w:val="Normal"/>
    <w:next w:val="Normal"/>
    <w:link w:val="Heading4Char"/>
    <w:uiPriority w:val="99"/>
    <w:qFormat/>
    <w:rsid w:val="009E47C4"/>
    <w:pPr>
      <w:numPr>
        <w:ilvl w:val="3"/>
        <w:numId w:val="8"/>
      </w:numPr>
      <w:pBdr>
        <w:top w:val="dotted" w:sz="6" w:space="2" w:color="4F81BD"/>
        <w:left w:val="dotted" w:sz="6" w:space="2" w:color="4F81BD"/>
      </w:pBdr>
      <w:spacing w:before="300" w:after="0"/>
      <w:outlineLvl w:val="3"/>
    </w:pPr>
    <w:rPr>
      <w:caps/>
      <w:color w:val="365F91"/>
      <w:spacing w:val="10"/>
      <w:sz w:val="22"/>
    </w:rPr>
  </w:style>
  <w:style w:type="paragraph" w:styleId="Heading5">
    <w:name w:val="heading 5"/>
    <w:basedOn w:val="Normal"/>
    <w:next w:val="Normal"/>
    <w:link w:val="Heading5Char"/>
    <w:uiPriority w:val="99"/>
    <w:qFormat/>
    <w:rsid w:val="009E47C4"/>
    <w:pPr>
      <w:numPr>
        <w:ilvl w:val="4"/>
        <w:numId w:val="8"/>
      </w:numPr>
      <w:pBdr>
        <w:bottom w:val="single" w:sz="6" w:space="1" w:color="4F81BD"/>
      </w:pBdr>
      <w:spacing w:before="300" w:after="0"/>
      <w:outlineLvl w:val="4"/>
    </w:pPr>
    <w:rPr>
      <w:caps/>
      <w:color w:val="365F91"/>
      <w:spacing w:val="10"/>
      <w:sz w:val="22"/>
    </w:rPr>
  </w:style>
  <w:style w:type="paragraph" w:styleId="Heading6">
    <w:name w:val="heading 6"/>
    <w:basedOn w:val="Normal"/>
    <w:next w:val="Normal"/>
    <w:link w:val="Heading6Char"/>
    <w:uiPriority w:val="99"/>
    <w:qFormat/>
    <w:rsid w:val="009E47C4"/>
    <w:pPr>
      <w:numPr>
        <w:ilvl w:val="5"/>
        <w:numId w:val="8"/>
      </w:numPr>
      <w:pBdr>
        <w:bottom w:val="dotted" w:sz="6" w:space="1" w:color="4F81BD"/>
      </w:pBdr>
      <w:spacing w:before="300" w:after="0"/>
      <w:outlineLvl w:val="5"/>
    </w:pPr>
    <w:rPr>
      <w:caps/>
      <w:color w:val="365F91"/>
      <w:spacing w:val="10"/>
      <w:sz w:val="22"/>
    </w:rPr>
  </w:style>
  <w:style w:type="paragraph" w:styleId="Heading7">
    <w:name w:val="heading 7"/>
    <w:basedOn w:val="Normal"/>
    <w:next w:val="Normal"/>
    <w:link w:val="Heading7Char"/>
    <w:uiPriority w:val="99"/>
    <w:qFormat/>
    <w:rsid w:val="009E47C4"/>
    <w:pPr>
      <w:numPr>
        <w:ilvl w:val="6"/>
        <w:numId w:val="8"/>
      </w:numPr>
      <w:spacing w:before="300" w:after="0"/>
      <w:outlineLvl w:val="6"/>
    </w:pPr>
    <w:rPr>
      <w:caps/>
      <w:color w:val="365F91"/>
      <w:spacing w:val="10"/>
      <w:sz w:val="22"/>
    </w:rPr>
  </w:style>
  <w:style w:type="paragraph" w:styleId="Heading8">
    <w:name w:val="heading 8"/>
    <w:basedOn w:val="Normal"/>
    <w:next w:val="Normal"/>
    <w:link w:val="Heading8Char"/>
    <w:uiPriority w:val="99"/>
    <w:qFormat/>
    <w:rsid w:val="009E47C4"/>
    <w:pPr>
      <w:numPr>
        <w:ilvl w:val="7"/>
        <w:numId w:val="8"/>
      </w:numPr>
      <w:spacing w:before="300" w:after="0"/>
      <w:outlineLvl w:val="7"/>
    </w:pPr>
    <w:rPr>
      <w:caps/>
      <w:spacing w:val="10"/>
      <w:sz w:val="18"/>
    </w:rPr>
  </w:style>
  <w:style w:type="paragraph" w:styleId="Heading9">
    <w:name w:val="heading 9"/>
    <w:basedOn w:val="Normal"/>
    <w:next w:val="Normal"/>
    <w:link w:val="Heading9Char"/>
    <w:uiPriority w:val="99"/>
    <w:qFormat/>
    <w:rsid w:val="009E47C4"/>
    <w:pPr>
      <w:numPr>
        <w:ilvl w:val="8"/>
        <w:numId w:val="8"/>
      </w:numPr>
      <w:spacing w:before="300" w:after="0"/>
      <w:outlineLvl w:val="8"/>
    </w:pPr>
    <w:rPr>
      <w:i/>
      <w:caps/>
      <w:spacing w:val="10"/>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306C0"/>
    <w:rPr>
      <w:rFonts w:ascii="Cambria" w:hAnsi="Cambria" w:cs="Times New Roman"/>
      <w:b/>
      <w:caps/>
      <w:color w:val="FFFFFF"/>
      <w:spacing w:val="15"/>
      <w:sz w:val="20"/>
      <w:szCs w:val="20"/>
      <w:shd w:val="clear" w:color="auto" w:fill="4F81BD"/>
    </w:rPr>
  </w:style>
  <w:style w:type="character" w:customStyle="1" w:styleId="Heading2Char">
    <w:name w:val="Heading 2 Char"/>
    <w:basedOn w:val="DefaultParagraphFont"/>
    <w:link w:val="Heading2"/>
    <w:uiPriority w:val="99"/>
    <w:locked/>
    <w:rsid w:val="009104B4"/>
    <w:rPr>
      <w:rFonts w:ascii="Cambria" w:hAnsi="Cambria" w:cs="Times New Roman"/>
      <w:caps/>
      <w:spacing w:val="15"/>
      <w:sz w:val="20"/>
      <w:szCs w:val="20"/>
      <w:shd w:val="clear" w:color="auto" w:fill="DBE5F1"/>
    </w:rPr>
  </w:style>
  <w:style w:type="character" w:customStyle="1" w:styleId="Heading3Char">
    <w:name w:val="Heading 3 Char"/>
    <w:basedOn w:val="DefaultParagraphFont"/>
    <w:link w:val="Heading3"/>
    <w:uiPriority w:val="99"/>
    <w:locked/>
    <w:rsid w:val="002306C0"/>
    <w:rPr>
      <w:rFonts w:ascii="Cambria" w:hAnsi="Cambria" w:cs="Times New Roman"/>
      <w:caps/>
      <w:color w:val="243F60"/>
      <w:spacing w:val="15"/>
    </w:rPr>
  </w:style>
  <w:style w:type="character" w:customStyle="1" w:styleId="Heading4Char">
    <w:name w:val="Heading 4 Char"/>
    <w:basedOn w:val="DefaultParagraphFont"/>
    <w:link w:val="Heading4"/>
    <w:uiPriority w:val="99"/>
    <w:locked/>
    <w:rsid w:val="002306C0"/>
    <w:rPr>
      <w:rFonts w:ascii="Cambria" w:hAnsi="Cambria" w:cs="Times New Roman"/>
      <w:caps/>
      <w:color w:val="365F91"/>
      <w:spacing w:val="10"/>
      <w:sz w:val="20"/>
      <w:szCs w:val="20"/>
    </w:rPr>
  </w:style>
  <w:style w:type="character" w:customStyle="1" w:styleId="Heading5Char">
    <w:name w:val="Heading 5 Char"/>
    <w:basedOn w:val="DefaultParagraphFont"/>
    <w:link w:val="Heading5"/>
    <w:uiPriority w:val="99"/>
    <w:locked/>
    <w:rsid w:val="002306C0"/>
    <w:rPr>
      <w:rFonts w:ascii="Cambria" w:hAnsi="Cambria" w:cs="Times New Roman"/>
      <w:caps/>
      <w:color w:val="365F91"/>
      <w:spacing w:val="10"/>
      <w:sz w:val="20"/>
      <w:szCs w:val="20"/>
    </w:rPr>
  </w:style>
  <w:style w:type="character" w:customStyle="1" w:styleId="Heading6Char">
    <w:name w:val="Heading 6 Char"/>
    <w:basedOn w:val="DefaultParagraphFont"/>
    <w:link w:val="Heading6"/>
    <w:uiPriority w:val="99"/>
    <w:locked/>
    <w:rsid w:val="002306C0"/>
    <w:rPr>
      <w:rFonts w:ascii="Cambria" w:hAnsi="Cambria" w:cs="Times New Roman"/>
      <w:caps/>
      <w:color w:val="365F91"/>
      <w:spacing w:val="10"/>
      <w:sz w:val="20"/>
      <w:szCs w:val="20"/>
    </w:rPr>
  </w:style>
  <w:style w:type="character" w:customStyle="1" w:styleId="Heading7Char">
    <w:name w:val="Heading 7 Char"/>
    <w:basedOn w:val="DefaultParagraphFont"/>
    <w:link w:val="Heading7"/>
    <w:uiPriority w:val="99"/>
    <w:locked/>
    <w:rsid w:val="002306C0"/>
    <w:rPr>
      <w:rFonts w:ascii="Cambria" w:hAnsi="Cambria" w:cs="Times New Roman"/>
      <w:caps/>
      <w:color w:val="365F91"/>
      <w:spacing w:val="10"/>
      <w:sz w:val="20"/>
      <w:szCs w:val="20"/>
    </w:rPr>
  </w:style>
  <w:style w:type="character" w:customStyle="1" w:styleId="Heading8Char">
    <w:name w:val="Heading 8 Char"/>
    <w:basedOn w:val="DefaultParagraphFont"/>
    <w:link w:val="Heading8"/>
    <w:uiPriority w:val="99"/>
    <w:locked/>
    <w:rsid w:val="002306C0"/>
    <w:rPr>
      <w:rFonts w:ascii="Cambria" w:hAnsi="Cambria" w:cs="Times New Roman"/>
      <w:caps/>
      <w:spacing w:val="10"/>
      <w:sz w:val="20"/>
      <w:szCs w:val="20"/>
    </w:rPr>
  </w:style>
  <w:style w:type="character" w:customStyle="1" w:styleId="Heading9Char">
    <w:name w:val="Heading 9 Char"/>
    <w:basedOn w:val="DefaultParagraphFont"/>
    <w:link w:val="Heading9"/>
    <w:uiPriority w:val="99"/>
    <w:locked/>
    <w:rsid w:val="002306C0"/>
    <w:rPr>
      <w:rFonts w:ascii="Cambria" w:hAnsi="Cambria" w:cs="Times New Roman"/>
      <w:i/>
      <w:caps/>
      <w:spacing w:val="10"/>
      <w:sz w:val="20"/>
      <w:szCs w:val="20"/>
    </w:rPr>
  </w:style>
  <w:style w:type="paragraph" w:styleId="BalloonText">
    <w:name w:val="Balloon Text"/>
    <w:basedOn w:val="Normal"/>
    <w:link w:val="BalloonTextChar"/>
    <w:uiPriority w:val="99"/>
    <w:rsid w:val="002306C0"/>
    <w:rPr>
      <w:rFonts w:ascii="Tahoma" w:hAnsi="Tahoma"/>
      <w:sz w:val="16"/>
    </w:rPr>
  </w:style>
  <w:style w:type="character" w:customStyle="1" w:styleId="BalloonTextChar">
    <w:name w:val="Balloon Text Char"/>
    <w:basedOn w:val="DefaultParagraphFont"/>
    <w:link w:val="BalloonText"/>
    <w:uiPriority w:val="99"/>
    <w:locked/>
    <w:rsid w:val="002306C0"/>
    <w:rPr>
      <w:rFonts w:ascii="Tahoma" w:hAnsi="Tahoma" w:cs="Times New Roman"/>
      <w:sz w:val="16"/>
    </w:rPr>
  </w:style>
  <w:style w:type="character" w:customStyle="1" w:styleId="CharChar2">
    <w:name w:val="Char Char2"/>
    <w:uiPriority w:val="99"/>
    <w:rsid w:val="002306C0"/>
    <w:rPr>
      <w:rFonts w:ascii="Arial" w:hAnsi="Arial"/>
      <w:b/>
      <w:kern w:val="32"/>
      <w:sz w:val="32"/>
      <w:lang w:val="en-US" w:eastAsia="en-US"/>
    </w:rPr>
  </w:style>
  <w:style w:type="character" w:customStyle="1" w:styleId="CharChar1">
    <w:name w:val="Char Char1"/>
    <w:uiPriority w:val="99"/>
    <w:rsid w:val="002306C0"/>
    <w:rPr>
      <w:rFonts w:ascii="Arial" w:hAnsi="Arial"/>
      <w:b/>
      <w:sz w:val="28"/>
      <w:lang w:val="en-US" w:eastAsia="en-US"/>
    </w:rPr>
  </w:style>
  <w:style w:type="paragraph" w:styleId="FootnoteText">
    <w:name w:val="footnote text"/>
    <w:basedOn w:val="Normal"/>
    <w:link w:val="FootnoteTextChar"/>
    <w:uiPriority w:val="99"/>
    <w:semiHidden/>
    <w:rsid w:val="009E47C4"/>
  </w:style>
  <w:style w:type="character" w:customStyle="1" w:styleId="FootnoteTextChar">
    <w:name w:val="Footnote Text Char"/>
    <w:basedOn w:val="DefaultParagraphFont"/>
    <w:link w:val="FootnoteText"/>
    <w:uiPriority w:val="99"/>
    <w:semiHidden/>
    <w:locked/>
    <w:rsid w:val="002306C0"/>
    <w:rPr>
      <w:rFonts w:ascii="Cambria" w:hAnsi="Cambria" w:cs="Times New Roman"/>
      <w:sz w:val="20"/>
      <w:szCs w:val="20"/>
    </w:rPr>
  </w:style>
  <w:style w:type="character" w:customStyle="1" w:styleId="CommentTextChar">
    <w:name w:val="Comment Text Char"/>
    <w:uiPriority w:val="99"/>
    <w:locked/>
    <w:rsid w:val="002306C0"/>
    <w:rPr>
      <w:lang w:val="en-US" w:eastAsia="en-US"/>
    </w:rPr>
  </w:style>
  <w:style w:type="paragraph" w:styleId="CommentText">
    <w:name w:val="annotation text"/>
    <w:basedOn w:val="Normal"/>
    <w:link w:val="CommentTextChar1"/>
    <w:uiPriority w:val="99"/>
    <w:rsid w:val="009E47C4"/>
  </w:style>
  <w:style w:type="character" w:customStyle="1" w:styleId="CommentTextChar1">
    <w:name w:val="Comment Text Char1"/>
    <w:basedOn w:val="DefaultParagraphFont"/>
    <w:link w:val="CommentText"/>
    <w:uiPriority w:val="99"/>
    <w:locked/>
    <w:rsid w:val="002306C0"/>
    <w:rPr>
      <w:rFonts w:ascii="Cambria" w:hAnsi="Cambria" w:cs="Times New Roman"/>
      <w:sz w:val="20"/>
      <w:szCs w:val="20"/>
    </w:rPr>
  </w:style>
  <w:style w:type="character" w:styleId="FootnoteReference">
    <w:name w:val="footnote reference"/>
    <w:basedOn w:val="DefaultParagraphFont"/>
    <w:uiPriority w:val="99"/>
    <w:semiHidden/>
    <w:rsid w:val="002306C0"/>
    <w:rPr>
      <w:rFonts w:cs="Times New Roman"/>
      <w:vertAlign w:val="superscript"/>
    </w:rPr>
  </w:style>
  <w:style w:type="paragraph" w:styleId="BodyText">
    <w:name w:val="Body Text"/>
    <w:basedOn w:val="Normal"/>
    <w:link w:val="BodyTextChar1"/>
    <w:uiPriority w:val="99"/>
    <w:rsid w:val="009E47C4"/>
    <w:pPr>
      <w:spacing w:after="120"/>
    </w:pPr>
    <w:rPr>
      <w:lang w:eastAsia="zh-TW"/>
    </w:rPr>
  </w:style>
  <w:style w:type="character" w:customStyle="1" w:styleId="BodyTextChar">
    <w:name w:val="Body Text Char"/>
    <w:basedOn w:val="DefaultParagraphFont"/>
    <w:link w:val="BodyText"/>
    <w:uiPriority w:val="99"/>
    <w:locked/>
    <w:rsid w:val="002306C0"/>
    <w:rPr>
      <w:rFonts w:eastAsia="Times New Roman" w:cs="Times New Roman"/>
      <w:sz w:val="20"/>
    </w:rPr>
  </w:style>
  <w:style w:type="character" w:customStyle="1" w:styleId="BodyTextChar1">
    <w:name w:val="Body Text Char1"/>
    <w:link w:val="BodyText"/>
    <w:uiPriority w:val="99"/>
    <w:locked/>
    <w:rsid w:val="002306C0"/>
    <w:rPr>
      <w:rFonts w:ascii="Cambria" w:hAnsi="Cambria"/>
      <w:sz w:val="20"/>
    </w:rPr>
  </w:style>
  <w:style w:type="paragraph" w:customStyle="1" w:styleId="SectionTitle">
    <w:name w:val="Section Title"/>
    <w:basedOn w:val="Normal"/>
    <w:next w:val="Normal"/>
    <w:autoRedefine/>
    <w:uiPriority w:val="99"/>
    <w:rsid w:val="009E47C4"/>
    <w:rPr>
      <w:rFonts w:cs="Arial"/>
      <w:b/>
    </w:rPr>
  </w:style>
  <w:style w:type="paragraph" w:styleId="Caption">
    <w:name w:val="caption"/>
    <w:basedOn w:val="Normal"/>
    <w:next w:val="Normal"/>
    <w:uiPriority w:val="99"/>
    <w:qFormat/>
    <w:rsid w:val="001C3521"/>
    <w:rPr>
      <w:b/>
      <w:bCs/>
      <w:szCs w:val="16"/>
    </w:rPr>
  </w:style>
  <w:style w:type="character" w:customStyle="1" w:styleId="Footnote">
    <w:name w:val="Footnote"/>
    <w:uiPriority w:val="99"/>
    <w:rsid w:val="002306C0"/>
    <w:rPr>
      <w:rFonts w:ascii="Times New Roman" w:hAnsi="Times New Roman"/>
      <w:sz w:val="16"/>
    </w:rPr>
  </w:style>
  <w:style w:type="character" w:styleId="CommentReference">
    <w:name w:val="annotation reference"/>
    <w:basedOn w:val="DefaultParagraphFont"/>
    <w:uiPriority w:val="99"/>
    <w:semiHidden/>
    <w:rsid w:val="002306C0"/>
    <w:rPr>
      <w:rFonts w:cs="Times New Roman"/>
      <w:sz w:val="16"/>
    </w:rPr>
  </w:style>
  <w:style w:type="character" w:styleId="Emphasis">
    <w:name w:val="Emphasis"/>
    <w:basedOn w:val="DefaultParagraphFont"/>
    <w:uiPriority w:val="99"/>
    <w:qFormat/>
    <w:rsid w:val="002306C0"/>
    <w:rPr>
      <w:rFonts w:cs="Times New Roman"/>
      <w:caps/>
      <w:color w:val="243F60"/>
      <w:spacing w:val="5"/>
    </w:rPr>
  </w:style>
  <w:style w:type="paragraph" w:styleId="BodyTextIndent2">
    <w:name w:val="Body Text Indent 2"/>
    <w:basedOn w:val="Normal"/>
    <w:link w:val="BodyTextIndent2Char"/>
    <w:uiPriority w:val="99"/>
    <w:rsid w:val="009E47C4"/>
    <w:pPr>
      <w:ind w:firstLine="720"/>
    </w:pPr>
  </w:style>
  <w:style w:type="character" w:customStyle="1" w:styleId="BodyTextIndent2Char">
    <w:name w:val="Body Text Indent 2 Char"/>
    <w:basedOn w:val="DefaultParagraphFont"/>
    <w:link w:val="BodyTextIndent2"/>
    <w:uiPriority w:val="99"/>
    <w:locked/>
    <w:rsid w:val="002306C0"/>
    <w:rPr>
      <w:rFonts w:ascii="Cambria" w:hAnsi="Cambria" w:cs="Times New Roman"/>
      <w:sz w:val="20"/>
      <w:szCs w:val="20"/>
    </w:rPr>
  </w:style>
  <w:style w:type="paragraph" w:customStyle="1" w:styleId="Default">
    <w:name w:val="Default"/>
    <w:uiPriority w:val="99"/>
    <w:rsid w:val="002306C0"/>
    <w:pPr>
      <w:autoSpaceDE w:val="0"/>
      <w:autoSpaceDN w:val="0"/>
      <w:adjustRightInd w:val="0"/>
      <w:spacing w:before="200" w:after="240" w:line="480" w:lineRule="auto"/>
      <w:ind w:firstLine="360"/>
    </w:pPr>
    <w:rPr>
      <w:rFonts w:ascii="KMNEIN+Arial,Bold" w:hAnsi="KMNEIN+Arial,Bold" w:cs="KMNEIN+Arial,Bold"/>
      <w:color w:val="000000"/>
      <w:sz w:val="24"/>
      <w:szCs w:val="24"/>
      <w:lang w:eastAsia="en-US"/>
    </w:rPr>
  </w:style>
  <w:style w:type="paragraph" w:styleId="EndnoteText">
    <w:name w:val="endnote text"/>
    <w:basedOn w:val="Normal"/>
    <w:link w:val="EndnoteTextChar"/>
    <w:uiPriority w:val="99"/>
    <w:semiHidden/>
    <w:rsid w:val="009E47C4"/>
  </w:style>
  <w:style w:type="character" w:customStyle="1" w:styleId="EndnoteTextChar">
    <w:name w:val="Endnote Text Char"/>
    <w:basedOn w:val="DefaultParagraphFont"/>
    <w:link w:val="EndnoteText"/>
    <w:uiPriority w:val="99"/>
    <w:semiHidden/>
    <w:locked/>
    <w:rsid w:val="002306C0"/>
    <w:rPr>
      <w:rFonts w:ascii="Cambria" w:hAnsi="Cambria" w:cs="Times New Roman"/>
      <w:sz w:val="20"/>
      <w:szCs w:val="20"/>
    </w:rPr>
  </w:style>
  <w:style w:type="character" w:styleId="EndnoteReference">
    <w:name w:val="endnote reference"/>
    <w:basedOn w:val="DefaultParagraphFont"/>
    <w:uiPriority w:val="99"/>
    <w:semiHidden/>
    <w:rsid w:val="002306C0"/>
    <w:rPr>
      <w:rFonts w:cs="Times New Roman"/>
      <w:vertAlign w:val="superscript"/>
    </w:rPr>
  </w:style>
  <w:style w:type="paragraph" w:customStyle="1" w:styleId="lead1">
    <w:name w:val="lead1"/>
    <w:basedOn w:val="Normal"/>
    <w:uiPriority w:val="99"/>
    <w:rsid w:val="002306C0"/>
    <w:pPr>
      <w:spacing w:after="60"/>
      <w:jc w:val="center"/>
    </w:pPr>
    <w:rPr>
      <w:rFonts w:ascii="GillSans" w:hAnsi="GillSans"/>
      <w:b/>
      <w:sz w:val="36"/>
    </w:rPr>
  </w:style>
  <w:style w:type="paragraph" w:styleId="BodyTextIndent">
    <w:name w:val="Body Text Indent"/>
    <w:basedOn w:val="Normal"/>
    <w:link w:val="BodyTextIndentChar"/>
    <w:uiPriority w:val="99"/>
    <w:rsid w:val="009E47C4"/>
    <w:pPr>
      <w:spacing w:after="120"/>
      <w:ind w:left="360"/>
    </w:pPr>
  </w:style>
  <w:style w:type="character" w:customStyle="1" w:styleId="BodyTextIndentChar">
    <w:name w:val="Body Text Indent Char"/>
    <w:basedOn w:val="DefaultParagraphFont"/>
    <w:link w:val="BodyTextIndent"/>
    <w:uiPriority w:val="99"/>
    <w:locked/>
    <w:rsid w:val="002306C0"/>
    <w:rPr>
      <w:rFonts w:ascii="Cambria" w:hAnsi="Cambria" w:cs="Times New Roman"/>
      <w:sz w:val="20"/>
      <w:szCs w:val="20"/>
    </w:rPr>
  </w:style>
  <w:style w:type="paragraph" w:customStyle="1" w:styleId="reference">
    <w:name w:val="reference"/>
    <w:basedOn w:val="FootnoteText"/>
    <w:uiPriority w:val="99"/>
    <w:rsid w:val="009E47C4"/>
  </w:style>
  <w:style w:type="character" w:customStyle="1" w:styleId="referenceChar">
    <w:name w:val="reference Char"/>
    <w:uiPriority w:val="99"/>
    <w:rsid w:val="002306C0"/>
    <w:rPr>
      <w:lang w:val="en-US" w:eastAsia="en-US"/>
    </w:rPr>
  </w:style>
  <w:style w:type="character" w:styleId="Hyperlink">
    <w:name w:val="Hyperlink"/>
    <w:basedOn w:val="DefaultParagraphFont"/>
    <w:uiPriority w:val="99"/>
    <w:rsid w:val="002306C0"/>
    <w:rPr>
      <w:rFonts w:cs="Times New Roman"/>
      <w:color w:val="0000FF"/>
      <w:u w:val="single"/>
    </w:rPr>
  </w:style>
  <w:style w:type="character" w:customStyle="1" w:styleId="Normal1">
    <w:name w:val="Normal1"/>
    <w:uiPriority w:val="99"/>
    <w:rsid w:val="002306C0"/>
    <w:rPr>
      <w:rFonts w:ascii="Frutiger 55 Roman" w:hAnsi="Frutiger 55 Roman"/>
      <w:sz w:val="16"/>
    </w:rPr>
  </w:style>
  <w:style w:type="paragraph" w:styleId="TOC1">
    <w:name w:val="toc 1"/>
    <w:basedOn w:val="Normal"/>
    <w:next w:val="Normal"/>
    <w:link w:val="TOC1Char"/>
    <w:autoRedefine/>
    <w:uiPriority w:val="99"/>
    <w:rsid w:val="0079795D"/>
    <w:pPr>
      <w:tabs>
        <w:tab w:val="left" w:pos="450"/>
        <w:tab w:val="right" w:leader="dot" w:pos="9350"/>
      </w:tabs>
      <w:spacing w:before="120" w:after="120"/>
    </w:pPr>
    <w:rPr>
      <w:b/>
      <w:caps/>
      <w:lang w:eastAsia="zh-TW"/>
    </w:rPr>
  </w:style>
  <w:style w:type="paragraph" w:styleId="TOC2">
    <w:name w:val="toc 2"/>
    <w:basedOn w:val="Normal"/>
    <w:next w:val="Normal"/>
    <w:autoRedefine/>
    <w:uiPriority w:val="99"/>
    <w:rsid w:val="00E17A00"/>
    <w:pPr>
      <w:tabs>
        <w:tab w:val="left" w:pos="800"/>
        <w:tab w:val="right" w:leader="dot" w:pos="9350"/>
      </w:tabs>
      <w:spacing w:before="0" w:after="0" w:line="240" w:lineRule="auto"/>
      <w:ind w:left="720" w:hanging="518"/>
    </w:pPr>
    <w:rPr>
      <w:rFonts w:cs="Calibri"/>
      <w:smallCaps/>
    </w:rPr>
  </w:style>
  <w:style w:type="paragraph" w:styleId="TOC3">
    <w:name w:val="toc 3"/>
    <w:basedOn w:val="Normal"/>
    <w:next w:val="Normal"/>
    <w:autoRedefine/>
    <w:uiPriority w:val="99"/>
    <w:rsid w:val="006871AA"/>
    <w:pPr>
      <w:tabs>
        <w:tab w:val="left" w:pos="1200"/>
        <w:tab w:val="right" w:leader="dot" w:pos="9350"/>
      </w:tabs>
      <w:spacing w:before="0" w:after="0"/>
      <w:ind w:left="400"/>
    </w:pPr>
    <w:rPr>
      <w:rFonts w:cs="Calibri"/>
      <w:iCs/>
      <w:noProof/>
    </w:rPr>
  </w:style>
  <w:style w:type="paragraph" w:styleId="TableofFigures">
    <w:name w:val="table of figures"/>
    <w:basedOn w:val="Normal"/>
    <w:next w:val="Normal"/>
    <w:uiPriority w:val="99"/>
    <w:rsid w:val="008D7424"/>
  </w:style>
  <w:style w:type="paragraph" w:styleId="Footer">
    <w:name w:val="footer"/>
    <w:basedOn w:val="Normal"/>
    <w:link w:val="FooterChar"/>
    <w:uiPriority w:val="99"/>
    <w:rsid w:val="009E47C4"/>
    <w:pPr>
      <w:tabs>
        <w:tab w:val="center" w:pos="4320"/>
        <w:tab w:val="right" w:pos="8640"/>
      </w:tabs>
    </w:pPr>
  </w:style>
  <w:style w:type="character" w:customStyle="1" w:styleId="FooterChar">
    <w:name w:val="Footer Char"/>
    <w:basedOn w:val="DefaultParagraphFont"/>
    <w:link w:val="Footer"/>
    <w:uiPriority w:val="99"/>
    <w:locked/>
    <w:rsid w:val="002306C0"/>
    <w:rPr>
      <w:rFonts w:ascii="Cambria" w:hAnsi="Cambria" w:cs="Times New Roman"/>
      <w:sz w:val="20"/>
      <w:szCs w:val="20"/>
    </w:rPr>
  </w:style>
  <w:style w:type="character" w:styleId="PageNumber">
    <w:name w:val="page number"/>
    <w:basedOn w:val="DefaultParagraphFont"/>
    <w:uiPriority w:val="99"/>
    <w:rsid w:val="002306C0"/>
    <w:rPr>
      <w:rFonts w:cs="Times New Roman"/>
    </w:rPr>
  </w:style>
  <w:style w:type="paragraph" w:styleId="Header">
    <w:name w:val="header"/>
    <w:basedOn w:val="Normal"/>
    <w:link w:val="HeaderChar"/>
    <w:uiPriority w:val="99"/>
    <w:rsid w:val="009E47C4"/>
    <w:pPr>
      <w:tabs>
        <w:tab w:val="center" w:pos="4320"/>
        <w:tab w:val="right" w:pos="8640"/>
      </w:tabs>
    </w:pPr>
  </w:style>
  <w:style w:type="character" w:customStyle="1" w:styleId="HeaderChar">
    <w:name w:val="Header Char"/>
    <w:basedOn w:val="DefaultParagraphFont"/>
    <w:link w:val="Header"/>
    <w:uiPriority w:val="99"/>
    <w:locked/>
    <w:rsid w:val="002306C0"/>
    <w:rPr>
      <w:rFonts w:ascii="Cambria" w:hAnsi="Cambria" w:cs="Times New Roman"/>
      <w:sz w:val="20"/>
      <w:szCs w:val="20"/>
    </w:rPr>
  </w:style>
  <w:style w:type="paragraph" w:customStyle="1" w:styleId="ColorfulList-Accent11">
    <w:name w:val="Colorful List - Accent 11"/>
    <w:basedOn w:val="Normal"/>
    <w:uiPriority w:val="99"/>
    <w:rsid w:val="009E47C4"/>
    <w:pPr>
      <w:ind w:left="720"/>
      <w:contextualSpacing/>
    </w:pPr>
  </w:style>
  <w:style w:type="paragraph" w:styleId="TOC5">
    <w:name w:val="toc 5"/>
    <w:basedOn w:val="Normal"/>
    <w:next w:val="Normal"/>
    <w:autoRedefine/>
    <w:uiPriority w:val="99"/>
    <w:rsid w:val="009E47C4"/>
    <w:pPr>
      <w:spacing w:before="0" w:after="0"/>
      <w:ind w:left="800"/>
    </w:pPr>
    <w:rPr>
      <w:rFonts w:cs="Calibri"/>
      <w:sz w:val="18"/>
      <w:szCs w:val="18"/>
    </w:rPr>
  </w:style>
  <w:style w:type="paragraph" w:styleId="TOC4">
    <w:name w:val="toc 4"/>
    <w:basedOn w:val="Normal"/>
    <w:next w:val="Normal"/>
    <w:autoRedefine/>
    <w:uiPriority w:val="99"/>
    <w:rsid w:val="009E47C4"/>
    <w:pPr>
      <w:spacing w:before="0" w:after="0"/>
      <w:ind w:left="600"/>
    </w:pPr>
    <w:rPr>
      <w:rFonts w:cs="Calibri"/>
      <w:sz w:val="18"/>
      <w:szCs w:val="18"/>
    </w:rPr>
  </w:style>
  <w:style w:type="paragraph" w:styleId="TOC6">
    <w:name w:val="toc 6"/>
    <w:basedOn w:val="Normal"/>
    <w:next w:val="Normal"/>
    <w:autoRedefine/>
    <w:uiPriority w:val="99"/>
    <w:rsid w:val="009E47C4"/>
    <w:pPr>
      <w:spacing w:before="0" w:after="0"/>
      <w:ind w:left="1000"/>
    </w:pPr>
    <w:rPr>
      <w:rFonts w:cs="Calibri"/>
      <w:sz w:val="18"/>
      <w:szCs w:val="18"/>
    </w:rPr>
  </w:style>
  <w:style w:type="paragraph" w:styleId="HTMLPreformatted">
    <w:name w:val="HTML Preformatted"/>
    <w:basedOn w:val="Normal"/>
    <w:link w:val="HTMLPreformattedChar"/>
    <w:uiPriority w:val="99"/>
    <w:rsid w:val="009E4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basedOn w:val="DefaultParagraphFont"/>
    <w:link w:val="HTMLPreformatted"/>
    <w:uiPriority w:val="99"/>
    <w:locked/>
    <w:rsid w:val="002306C0"/>
    <w:rPr>
      <w:rFonts w:ascii="Courier New" w:hAnsi="Courier New" w:cs="Times New Roman"/>
      <w:sz w:val="20"/>
      <w:szCs w:val="20"/>
    </w:rPr>
  </w:style>
  <w:style w:type="paragraph" w:styleId="List2">
    <w:name w:val="List 2"/>
    <w:basedOn w:val="Normal"/>
    <w:uiPriority w:val="99"/>
    <w:rsid w:val="009E47C4"/>
    <w:pPr>
      <w:ind w:left="720" w:hanging="360"/>
    </w:pPr>
  </w:style>
  <w:style w:type="paragraph" w:styleId="Date">
    <w:name w:val="Date"/>
    <w:basedOn w:val="Normal"/>
    <w:next w:val="Normal"/>
    <w:link w:val="DateChar"/>
    <w:uiPriority w:val="99"/>
    <w:rsid w:val="009E47C4"/>
  </w:style>
  <w:style w:type="character" w:customStyle="1" w:styleId="DateChar">
    <w:name w:val="Date Char"/>
    <w:basedOn w:val="DefaultParagraphFont"/>
    <w:link w:val="Date"/>
    <w:uiPriority w:val="99"/>
    <w:locked/>
    <w:rsid w:val="002306C0"/>
    <w:rPr>
      <w:rFonts w:ascii="Cambria" w:hAnsi="Cambria" w:cs="Times New Roman"/>
      <w:sz w:val="20"/>
      <w:szCs w:val="20"/>
    </w:rPr>
  </w:style>
  <w:style w:type="paragraph" w:styleId="BodyTextFirstIndent">
    <w:name w:val="Body Text First Indent"/>
    <w:basedOn w:val="BodyText"/>
    <w:link w:val="BodyTextFirstIndentChar"/>
    <w:uiPriority w:val="99"/>
    <w:rsid w:val="009E47C4"/>
    <w:pPr>
      <w:ind w:firstLine="210"/>
    </w:pPr>
  </w:style>
  <w:style w:type="character" w:customStyle="1" w:styleId="BodyTextFirstIndentChar">
    <w:name w:val="Body Text First Indent Char"/>
    <w:basedOn w:val="BodyTextChar1"/>
    <w:link w:val="BodyTextFirstIndent"/>
    <w:uiPriority w:val="99"/>
    <w:locked/>
    <w:rsid w:val="002306C0"/>
    <w:rPr>
      <w:rFonts w:cs="Times New Roman"/>
      <w:szCs w:val="20"/>
    </w:rPr>
  </w:style>
  <w:style w:type="paragraph" w:styleId="BodyTextFirstIndent2">
    <w:name w:val="Body Text First Indent 2"/>
    <w:basedOn w:val="BodyTextIndent"/>
    <w:link w:val="BodyTextFirstIndent2Char"/>
    <w:uiPriority w:val="99"/>
    <w:rsid w:val="009E47C4"/>
    <w:pPr>
      <w:ind w:firstLine="210"/>
    </w:pPr>
  </w:style>
  <w:style w:type="character" w:customStyle="1" w:styleId="BodyTextFirstIndent2Char">
    <w:name w:val="Body Text First Indent 2 Char"/>
    <w:basedOn w:val="BodyTextIndentChar"/>
    <w:link w:val="BodyTextFirstIndent2"/>
    <w:uiPriority w:val="99"/>
    <w:locked/>
    <w:rsid w:val="002306C0"/>
  </w:style>
  <w:style w:type="paragraph" w:styleId="TOC7">
    <w:name w:val="toc 7"/>
    <w:basedOn w:val="Normal"/>
    <w:next w:val="Normal"/>
    <w:autoRedefine/>
    <w:uiPriority w:val="99"/>
    <w:rsid w:val="009E47C4"/>
    <w:pPr>
      <w:spacing w:before="0" w:after="0"/>
      <w:ind w:left="1200"/>
    </w:pPr>
    <w:rPr>
      <w:rFonts w:cs="Calibri"/>
      <w:sz w:val="18"/>
      <w:szCs w:val="18"/>
    </w:rPr>
  </w:style>
  <w:style w:type="paragraph" w:styleId="TOC8">
    <w:name w:val="toc 8"/>
    <w:basedOn w:val="Normal"/>
    <w:next w:val="Normal"/>
    <w:autoRedefine/>
    <w:uiPriority w:val="99"/>
    <w:rsid w:val="009E47C4"/>
    <w:pPr>
      <w:spacing w:before="0" w:after="0"/>
      <w:ind w:left="1400"/>
    </w:pPr>
    <w:rPr>
      <w:rFonts w:cs="Calibri"/>
      <w:sz w:val="18"/>
      <w:szCs w:val="18"/>
    </w:rPr>
  </w:style>
  <w:style w:type="paragraph" w:styleId="TOC9">
    <w:name w:val="toc 9"/>
    <w:basedOn w:val="Normal"/>
    <w:next w:val="Normal"/>
    <w:autoRedefine/>
    <w:uiPriority w:val="99"/>
    <w:rsid w:val="009E47C4"/>
    <w:pPr>
      <w:spacing w:before="0" w:after="0"/>
      <w:ind w:left="1600"/>
    </w:pPr>
    <w:rPr>
      <w:rFonts w:cs="Calibri"/>
      <w:sz w:val="18"/>
      <w:szCs w:val="18"/>
    </w:rPr>
  </w:style>
  <w:style w:type="paragraph" w:customStyle="1" w:styleId="smallleft">
    <w:name w:val="smallleft"/>
    <w:basedOn w:val="Normal"/>
    <w:uiPriority w:val="99"/>
    <w:rsid w:val="009E47C4"/>
    <w:pPr>
      <w:spacing w:before="100" w:beforeAutospacing="1" w:after="100" w:afterAutospacing="1"/>
    </w:pPr>
    <w:rPr>
      <w:color w:val="104E8B"/>
    </w:rPr>
  </w:style>
  <w:style w:type="paragraph" w:customStyle="1" w:styleId="CM47">
    <w:name w:val="CM47"/>
    <w:basedOn w:val="Normal"/>
    <w:next w:val="Normal"/>
    <w:uiPriority w:val="99"/>
    <w:rsid w:val="009E47C4"/>
    <w:pPr>
      <w:widowControl w:val="0"/>
      <w:autoSpaceDE w:val="0"/>
      <w:autoSpaceDN w:val="0"/>
      <w:adjustRightInd w:val="0"/>
    </w:pPr>
  </w:style>
  <w:style w:type="paragraph" w:customStyle="1" w:styleId="listparagraph">
    <w:name w:val="listparagraph"/>
    <w:basedOn w:val="Normal"/>
    <w:uiPriority w:val="99"/>
    <w:rsid w:val="009E47C4"/>
    <w:pPr>
      <w:ind w:left="720"/>
    </w:pPr>
  </w:style>
  <w:style w:type="paragraph" w:customStyle="1" w:styleId="listparagraphcxspmiddle">
    <w:name w:val="listparagraphcxspmiddle"/>
    <w:basedOn w:val="Normal"/>
    <w:uiPriority w:val="99"/>
    <w:rsid w:val="009E47C4"/>
    <w:pPr>
      <w:ind w:left="720"/>
    </w:pPr>
  </w:style>
  <w:style w:type="paragraph" w:customStyle="1" w:styleId="listparagraphcxsplast">
    <w:name w:val="listparagraphcxsplast"/>
    <w:basedOn w:val="Normal"/>
    <w:uiPriority w:val="99"/>
    <w:rsid w:val="009E47C4"/>
    <w:pPr>
      <w:ind w:left="720"/>
    </w:pPr>
  </w:style>
  <w:style w:type="character" w:customStyle="1" w:styleId="MargaretRound">
    <w:name w:val="Margaret Round"/>
    <w:uiPriority w:val="99"/>
    <w:semiHidden/>
    <w:rsid w:val="002306C0"/>
    <w:rPr>
      <w:rFonts w:ascii="Arial" w:hAnsi="Arial"/>
      <w:color w:val="auto"/>
      <w:sz w:val="20"/>
    </w:rPr>
  </w:style>
  <w:style w:type="paragraph" w:customStyle="1" w:styleId="CM49">
    <w:name w:val="CM49"/>
    <w:basedOn w:val="Default"/>
    <w:next w:val="Default"/>
    <w:uiPriority w:val="99"/>
    <w:rsid w:val="002306C0"/>
    <w:pPr>
      <w:widowControl w:val="0"/>
    </w:pPr>
    <w:rPr>
      <w:rFonts w:ascii="Times New Roman" w:hAnsi="Times New Roman" w:cs="Times New Roman"/>
      <w:color w:val="auto"/>
    </w:rPr>
  </w:style>
  <w:style w:type="paragraph" w:customStyle="1" w:styleId="CM45">
    <w:name w:val="CM45"/>
    <w:basedOn w:val="Default"/>
    <w:next w:val="Default"/>
    <w:uiPriority w:val="99"/>
    <w:rsid w:val="002306C0"/>
    <w:pPr>
      <w:widowControl w:val="0"/>
    </w:pPr>
    <w:rPr>
      <w:rFonts w:ascii="Times New Roman" w:hAnsi="Times New Roman" w:cs="Times New Roman"/>
      <w:color w:val="auto"/>
    </w:rPr>
  </w:style>
  <w:style w:type="paragraph" w:customStyle="1" w:styleId="CM6">
    <w:name w:val="CM6"/>
    <w:basedOn w:val="Default"/>
    <w:next w:val="Default"/>
    <w:uiPriority w:val="99"/>
    <w:rsid w:val="002306C0"/>
    <w:pPr>
      <w:widowControl w:val="0"/>
      <w:spacing w:line="243" w:lineRule="atLeast"/>
    </w:pPr>
    <w:rPr>
      <w:rFonts w:ascii="Times New Roman" w:hAnsi="Times New Roman" w:cs="Times New Roman"/>
      <w:color w:val="auto"/>
    </w:rPr>
  </w:style>
  <w:style w:type="paragraph" w:customStyle="1" w:styleId="CM5">
    <w:name w:val="CM5"/>
    <w:basedOn w:val="Default"/>
    <w:next w:val="Default"/>
    <w:uiPriority w:val="99"/>
    <w:rsid w:val="002306C0"/>
    <w:pPr>
      <w:widowControl w:val="0"/>
      <w:spacing w:line="253" w:lineRule="atLeast"/>
    </w:pPr>
    <w:rPr>
      <w:rFonts w:ascii="Times New Roman" w:hAnsi="Times New Roman" w:cs="Times New Roman"/>
      <w:color w:val="auto"/>
    </w:rPr>
  </w:style>
  <w:style w:type="paragraph" w:styleId="NormalWeb">
    <w:name w:val="Normal (Web)"/>
    <w:basedOn w:val="Normal"/>
    <w:uiPriority w:val="99"/>
    <w:rsid w:val="009E47C4"/>
    <w:pPr>
      <w:spacing w:before="100" w:beforeAutospacing="1" w:after="100" w:afterAutospacing="1"/>
    </w:pPr>
    <w:rPr>
      <w:sz w:val="18"/>
      <w:szCs w:val="18"/>
    </w:rPr>
  </w:style>
  <w:style w:type="paragraph" w:customStyle="1" w:styleId="sanssmall">
    <w:name w:val="sanssmall"/>
    <w:basedOn w:val="Normal"/>
    <w:uiPriority w:val="99"/>
    <w:rsid w:val="009E47C4"/>
    <w:pPr>
      <w:spacing w:before="100" w:beforeAutospacing="1" w:after="100" w:afterAutospacing="1"/>
    </w:pPr>
    <w:rPr>
      <w:rFonts w:cs="Arial"/>
      <w:color w:val="104E8B"/>
      <w:sz w:val="16"/>
      <w:szCs w:val="16"/>
    </w:rPr>
  </w:style>
  <w:style w:type="paragraph" w:styleId="Index1">
    <w:name w:val="index 1"/>
    <w:basedOn w:val="Normal"/>
    <w:next w:val="Normal"/>
    <w:autoRedefine/>
    <w:uiPriority w:val="99"/>
    <w:semiHidden/>
    <w:rsid w:val="009E47C4"/>
    <w:pPr>
      <w:ind w:left="240" w:hanging="240"/>
    </w:pPr>
  </w:style>
  <w:style w:type="character" w:styleId="Strong">
    <w:name w:val="Strong"/>
    <w:basedOn w:val="DefaultParagraphFont"/>
    <w:uiPriority w:val="99"/>
    <w:qFormat/>
    <w:rsid w:val="002306C0"/>
    <w:rPr>
      <w:rFonts w:cs="Times New Roman"/>
      <w:b/>
    </w:rPr>
  </w:style>
  <w:style w:type="paragraph" w:styleId="Index2">
    <w:name w:val="index 2"/>
    <w:basedOn w:val="Normal"/>
    <w:next w:val="Normal"/>
    <w:autoRedefine/>
    <w:uiPriority w:val="99"/>
    <w:semiHidden/>
    <w:rsid w:val="009E47C4"/>
    <w:pPr>
      <w:ind w:left="480" w:hanging="240"/>
    </w:pPr>
  </w:style>
  <w:style w:type="paragraph" w:styleId="Index3">
    <w:name w:val="index 3"/>
    <w:basedOn w:val="Normal"/>
    <w:next w:val="Normal"/>
    <w:autoRedefine/>
    <w:uiPriority w:val="99"/>
    <w:semiHidden/>
    <w:rsid w:val="009E47C4"/>
    <w:pPr>
      <w:ind w:left="720" w:hanging="240"/>
    </w:pPr>
  </w:style>
  <w:style w:type="paragraph" w:styleId="Index4">
    <w:name w:val="index 4"/>
    <w:basedOn w:val="Normal"/>
    <w:next w:val="Normal"/>
    <w:autoRedefine/>
    <w:uiPriority w:val="99"/>
    <w:semiHidden/>
    <w:rsid w:val="009E47C4"/>
    <w:pPr>
      <w:ind w:left="960" w:hanging="240"/>
    </w:pPr>
  </w:style>
  <w:style w:type="paragraph" w:styleId="Index5">
    <w:name w:val="index 5"/>
    <w:basedOn w:val="Normal"/>
    <w:next w:val="Normal"/>
    <w:autoRedefine/>
    <w:uiPriority w:val="99"/>
    <w:semiHidden/>
    <w:rsid w:val="009E47C4"/>
    <w:pPr>
      <w:ind w:left="1200" w:hanging="240"/>
    </w:pPr>
  </w:style>
  <w:style w:type="paragraph" w:styleId="Index6">
    <w:name w:val="index 6"/>
    <w:basedOn w:val="Normal"/>
    <w:next w:val="Normal"/>
    <w:autoRedefine/>
    <w:uiPriority w:val="99"/>
    <w:semiHidden/>
    <w:rsid w:val="009E47C4"/>
    <w:pPr>
      <w:ind w:left="1440" w:hanging="240"/>
    </w:pPr>
  </w:style>
  <w:style w:type="paragraph" w:styleId="Index7">
    <w:name w:val="index 7"/>
    <w:basedOn w:val="Normal"/>
    <w:next w:val="Normal"/>
    <w:autoRedefine/>
    <w:uiPriority w:val="99"/>
    <w:semiHidden/>
    <w:rsid w:val="009E47C4"/>
    <w:pPr>
      <w:ind w:left="1680" w:hanging="240"/>
    </w:pPr>
  </w:style>
  <w:style w:type="paragraph" w:styleId="Index8">
    <w:name w:val="index 8"/>
    <w:basedOn w:val="Normal"/>
    <w:next w:val="Normal"/>
    <w:autoRedefine/>
    <w:uiPriority w:val="99"/>
    <w:semiHidden/>
    <w:rsid w:val="009E47C4"/>
    <w:pPr>
      <w:ind w:left="1920" w:hanging="240"/>
    </w:pPr>
  </w:style>
  <w:style w:type="paragraph" w:styleId="Index9">
    <w:name w:val="index 9"/>
    <w:basedOn w:val="Normal"/>
    <w:next w:val="Normal"/>
    <w:autoRedefine/>
    <w:uiPriority w:val="99"/>
    <w:semiHidden/>
    <w:rsid w:val="009E47C4"/>
    <w:pPr>
      <w:ind w:left="2160" w:hanging="240"/>
    </w:pPr>
  </w:style>
  <w:style w:type="paragraph" w:styleId="IndexHeading">
    <w:name w:val="index heading"/>
    <w:basedOn w:val="Normal"/>
    <w:next w:val="Index1"/>
    <w:uiPriority w:val="99"/>
    <w:semiHidden/>
    <w:rsid w:val="009E47C4"/>
  </w:style>
  <w:style w:type="table" w:styleId="TableGrid">
    <w:name w:val="Table Grid"/>
    <w:basedOn w:val="TableNormal"/>
    <w:uiPriority w:val="99"/>
    <w:rsid w:val="002306C0"/>
    <w:pPr>
      <w:spacing w:before="20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rsid w:val="009E47C4"/>
    <w:rPr>
      <w:b/>
    </w:rPr>
  </w:style>
  <w:style w:type="character" w:customStyle="1" w:styleId="CommentSubjectChar">
    <w:name w:val="Comment Subject Char"/>
    <w:basedOn w:val="CommentTextChar1"/>
    <w:link w:val="CommentSubject"/>
    <w:uiPriority w:val="99"/>
    <w:locked/>
    <w:rsid w:val="002306C0"/>
    <w:rPr>
      <w:b/>
    </w:rPr>
  </w:style>
  <w:style w:type="paragraph" w:customStyle="1" w:styleId="StyleHeading5NotItalicLeft0">
    <w:name w:val="Style Heading 5 + Not Italic Left:  0&quot;"/>
    <w:basedOn w:val="Heading5"/>
    <w:uiPriority w:val="99"/>
    <w:rsid w:val="002306C0"/>
    <w:pPr>
      <w:spacing w:before="120" w:after="120"/>
    </w:pPr>
    <w:rPr>
      <w:rFonts w:ascii="Arial" w:hAnsi="Arial"/>
      <w:i/>
      <w:iCs/>
    </w:rPr>
  </w:style>
  <w:style w:type="paragraph" w:customStyle="1" w:styleId="StyleHeading4Arial12pt">
    <w:name w:val="Style Heading 4 + Arial 12 pt"/>
    <w:basedOn w:val="Heading4"/>
    <w:uiPriority w:val="99"/>
    <w:rsid w:val="002306C0"/>
    <w:rPr>
      <w:rFonts w:ascii="Arial" w:hAnsi="Arial"/>
      <w:u w:val="single"/>
    </w:rPr>
  </w:style>
  <w:style w:type="paragraph" w:styleId="Title">
    <w:name w:val="Title"/>
    <w:basedOn w:val="Normal"/>
    <w:next w:val="Normal"/>
    <w:link w:val="TitleChar"/>
    <w:uiPriority w:val="99"/>
    <w:qFormat/>
    <w:rsid w:val="009E47C4"/>
    <w:pPr>
      <w:spacing w:before="720"/>
    </w:pPr>
    <w:rPr>
      <w:caps/>
      <w:color w:val="4F81BD"/>
      <w:spacing w:val="10"/>
      <w:kern w:val="28"/>
      <w:sz w:val="52"/>
    </w:rPr>
  </w:style>
  <w:style w:type="character" w:customStyle="1" w:styleId="TitleChar">
    <w:name w:val="Title Char"/>
    <w:basedOn w:val="DefaultParagraphFont"/>
    <w:link w:val="Title"/>
    <w:uiPriority w:val="99"/>
    <w:locked/>
    <w:rsid w:val="002306C0"/>
    <w:rPr>
      <w:rFonts w:ascii="Cambria" w:hAnsi="Cambria" w:cs="Times New Roman"/>
      <w:caps/>
      <w:color w:val="4F81BD"/>
      <w:spacing w:val="10"/>
      <w:kern w:val="28"/>
      <w:sz w:val="20"/>
      <w:szCs w:val="20"/>
    </w:rPr>
  </w:style>
  <w:style w:type="character" w:customStyle="1" w:styleId="TitleChar1">
    <w:name w:val="Title Char1"/>
    <w:uiPriority w:val="99"/>
    <w:locked/>
    <w:rsid w:val="002306C0"/>
    <w:rPr>
      <w:rFonts w:ascii="Times New Roman Bold" w:hAnsi="Times New Roman Bold"/>
      <w:b/>
      <w:spacing w:val="10"/>
      <w:sz w:val="32"/>
    </w:rPr>
  </w:style>
  <w:style w:type="paragraph" w:styleId="Subtitle">
    <w:name w:val="Subtitle"/>
    <w:basedOn w:val="Normal"/>
    <w:next w:val="Normal"/>
    <w:link w:val="SubtitleChar"/>
    <w:uiPriority w:val="99"/>
    <w:qFormat/>
    <w:rsid w:val="009E47C4"/>
    <w:pPr>
      <w:spacing w:after="1000" w:line="240" w:lineRule="auto"/>
    </w:pPr>
    <w:rPr>
      <w:caps/>
      <w:color w:val="595959"/>
      <w:spacing w:val="10"/>
    </w:rPr>
  </w:style>
  <w:style w:type="character" w:customStyle="1" w:styleId="SubtitleChar">
    <w:name w:val="Subtitle Char"/>
    <w:basedOn w:val="DefaultParagraphFont"/>
    <w:link w:val="Subtitle"/>
    <w:uiPriority w:val="99"/>
    <w:locked/>
    <w:rsid w:val="002306C0"/>
    <w:rPr>
      <w:rFonts w:ascii="Cambria" w:hAnsi="Cambria" w:cs="Times New Roman"/>
      <w:caps/>
      <w:color w:val="595959"/>
      <w:spacing w:val="10"/>
      <w:sz w:val="20"/>
      <w:szCs w:val="20"/>
    </w:rPr>
  </w:style>
  <w:style w:type="paragraph" w:customStyle="1" w:styleId="MediumGrid21">
    <w:name w:val="Medium Grid 21"/>
    <w:basedOn w:val="Normal"/>
    <w:link w:val="MediumGrid2Char"/>
    <w:uiPriority w:val="99"/>
    <w:rsid w:val="009E47C4"/>
    <w:rPr>
      <w:lang w:eastAsia="zh-TW"/>
    </w:rPr>
  </w:style>
  <w:style w:type="paragraph" w:customStyle="1" w:styleId="ColorfulGrid-Accent11">
    <w:name w:val="Colorful Grid - Accent 11"/>
    <w:basedOn w:val="Normal"/>
    <w:next w:val="Normal"/>
    <w:link w:val="ColorfulGrid-Accent1Char"/>
    <w:uiPriority w:val="99"/>
    <w:rsid w:val="009E47C4"/>
    <w:rPr>
      <w:color w:val="5A5A5A"/>
      <w:lang w:eastAsia="zh-TW"/>
    </w:rPr>
  </w:style>
  <w:style w:type="character" w:customStyle="1" w:styleId="ColorfulGrid-Accent1Char">
    <w:name w:val="Colorful Grid - Accent 1 Char"/>
    <w:link w:val="ColorfulGrid-Accent11"/>
    <w:uiPriority w:val="99"/>
    <w:locked/>
    <w:rsid w:val="002306C0"/>
    <w:rPr>
      <w:rFonts w:ascii="Cambria" w:hAnsi="Cambria"/>
      <w:color w:val="5A5A5A"/>
      <w:sz w:val="20"/>
    </w:rPr>
  </w:style>
  <w:style w:type="paragraph" w:customStyle="1" w:styleId="LightShading-Accent21">
    <w:name w:val="Light Shading - Accent 21"/>
    <w:basedOn w:val="Normal"/>
    <w:next w:val="Normal"/>
    <w:link w:val="LightShading-Accent2Char"/>
    <w:uiPriority w:val="99"/>
    <w:rsid w:val="009E47C4"/>
    <w:pPr>
      <w:spacing w:before="320" w:after="480"/>
      <w:ind w:left="720" w:right="720"/>
      <w:jc w:val="center"/>
    </w:pPr>
    <w:rPr>
      <w:i/>
      <w:lang w:eastAsia="zh-TW"/>
    </w:rPr>
  </w:style>
  <w:style w:type="character" w:customStyle="1" w:styleId="LightShading-Accent2Char">
    <w:name w:val="Light Shading - Accent 2 Char"/>
    <w:link w:val="LightShading-Accent21"/>
    <w:uiPriority w:val="99"/>
    <w:locked/>
    <w:rsid w:val="002306C0"/>
    <w:rPr>
      <w:rFonts w:ascii="Cambria" w:hAnsi="Cambria"/>
      <w:i/>
      <w:sz w:val="20"/>
    </w:rPr>
  </w:style>
  <w:style w:type="character" w:customStyle="1" w:styleId="SubtleEmphasis1">
    <w:name w:val="Subtle Emphasis1"/>
    <w:uiPriority w:val="99"/>
    <w:rsid w:val="002306C0"/>
    <w:rPr>
      <w:i/>
      <w:color w:val="5A5A5A"/>
    </w:rPr>
  </w:style>
  <w:style w:type="character" w:customStyle="1" w:styleId="IntenseEmphasis1">
    <w:name w:val="Intense Emphasis1"/>
    <w:uiPriority w:val="99"/>
    <w:rsid w:val="002306C0"/>
    <w:rPr>
      <w:b/>
      <w:i/>
      <w:color w:val="auto"/>
      <w:u w:val="single"/>
    </w:rPr>
  </w:style>
  <w:style w:type="character" w:customStyle="1" w:styleId="SubtleReference1">
    <w:name w:val="Subtle Reference1"/>
    <w:uiPriority w:val="99"/>
    <w:rsid w:val="002306C0"/>
    <w:rPr>
      <w:smallCaps/>
    </w:rPr>
  </w:style>
  <w:style w:type="character" w:customStyle="1" w:styleId="IntenseReference1">
    <w:name w:val="Intense Reference1"/>
    <w:uiPriority w:val="99"/>
    <w:rsid w:val="002306C0"/>
    <w:rPr>
      <w:b/>
      <w:smallCaps/>
      <w:color w:val="auto"/>
    </w:rPr>
  </w:style>
  <w:style w:type="character" w:customStyle="1" w:styleId="BookTitle1">
    <w:name w:val="Book Title1"/>
    <w:uiPriority w:val="99"/>
    <w:rsid w:val="002306C0"/>
    <w:rPr>
      <w:rFonts w:ascii="Cambria" w:hAnsi="Cambria"/>
      <w:b/>
      <w:smallCaps/>
      <w:color w:val="auto"/>
      <w:u w:val="single"/>
    </w:rPr>
  </w:style>
  <w:style w:type="paragraph" w:customStyle="1" w:styleId="TOCHeading1">
    <w:name w:val="TOC Heading1"/>
    <w:basedOn w:val="Heading1"/>
    <w:next w:val="TOC1"/>
    <w:uiPriority w:val="99"/>
    <w:rsid w:val="002306C0"/>
    <w:pPr>
      <w:spacing w:before="0" w:after="320" w:line="480" w:lineRule="auto"/>
      <w:jc w:val="center"/>
      <w:outlineLvl w:val="9"/>
    </w:pPr>
    <w:rPr>
      <w:rFonts w:ascii="Times New Roman" w:hAnsi="Times New Roman"/>
      <w:i/>
    </w:rPr>
  </w:style>
  <w:style w:type="character" w:customStyle="1" w:styleId="MediumGrid2Char">
    <w:name w:val="Medium Grid 2 Char"/>
    <w:link w:val="MediumGrid21"/>
    <w:uiPriority w:val="99"/>
    <w:locked/>
    <w:rsid w:val="002306C0"/>
    <w:rPr>
      <w:rFonts w:ascii="Cambria" w:hAnsi="Cambria"/>
      <w:sz w:val="20"/>
    </w:rPr>
  </w:style>
  <w:style w:type="paragraph" w:styleId="NoSpacing">
    <w:name w:val="No Spacing"/>
    <w:basedOn w:val="Normal"/>
    <w:link w:val="NoSpacingChar"/>
    <w:uiPriority w:val="99"/>
    <w:qFormat/>
    <w:rsid w:val="009E47C4"/>
    <w:pPr>
      <w:spacing w:before="0" w:after="0" w:line="240" w:lineRule="auto"/>
    </w:pPr>
    <w:rPr>
      <w:lang w:eastAsia="zh-TW"/>
    </w:rPr>
  </w:style>
  <w:style w:type="character" w:customStyle="1" w:styleId="NoSpacingChar">
    <w:name w:val="No Spacing Char"/>
    <w:link w:val="NoSpacing"/>
    <w:uiPriority w:val="99"/>
    <w:locked/>
    <w:rsid w:val="002306C0"/>
    <w:rPr>
      <w:rFonts w:ascii="Cambria" w:hAnsi="Cambria"/>
      <w:sz w:val="20"/>
    </w:rPr>
  </w:style>
  <w:style w:type="paragraph" w:styleId="ListParagraph0">
    <w:name w:val="List Paragraph"/>
    <w:basedOn w:val="Normal"/>
    <w:uiPriority w:val="99"/>
    <w:qFormat/>
    <w:rsid w:val="009E47C4"/>
    <w:pPr>
      <w:ind w:left="720"/>
      <w:contextualSpacing/>
    </w:pPr>
  </w:style>
  <w:style w:type="character" w:styleId="FollowedHyperlink">
    <w:name w:val="FollowedHyperlink"/>
    <w:basedOn w:val="DefaultParagraphFont"/>
    <w:uiPriority w:val="99"/>
    <w:rsid w:val="002306C0"/>
    <w:rPr>
      <w:rFonts w:cs="Times New Roman"/>
      <w:color w:val="800080"/>
      <w:u w:val="single"/>
    </w:rPr>
  </w:style>
  <w:style w:type="paragraph" w:styleId="NormalIndent">
    <w:name w:val="Normal Indent"/>
    <w:basedOn w:val="Normal"/>
    <w:link w:val="NormalIndentChar"/>
    <w:uiPriority w:val="99"/>
    <w:rsid w:val="009E47C4"/>
    <w:pPr>
      <w:spacing w:line="480" w:lineRule="auto"/>
      <w:ind w:firstLine="720"/>
    </w:pPr>
    <w:rPr>
      <w:lang w:eastAsia="zh-TW"/>
    </w:rPr>
  </w:style>
  <w:style w:type="character" w:customStyle="1" w:styleId="NormalIndentChar">
    <w:name w:val="Normal Indent Char"/>
    <w:link w:val="NormalIndent"/>
    <w:uiPriority w:val="99"/>
    <w:locked/>
    <w:rsid w:val="002306C0"/>
    <w:rPr>
      <w:rFonts w:ascii="Cambria" w:hAnsi="Cambria"/>
      <w:sz w:val="20"/>
    </w:rPr>
  </w:style>
  <w:style w:type="paragraph" w:styleId="DocumentMap">
    <w:name w:val="Document Map"/>
    <w:basedOn w:val="Normal"/>
    <w:link w:val="DocumentMapChar"/>
    <w:uiPriority w:val="99"/>
    <w:semiHidden/>
    <w:rsid w:val="009E47C4"/>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2306C0"/>
    <w:rPr>
      <w:rFonts w:ascii="Tahoma" w:hAnsi="Tahoma" w:cs="Times New Roman"/>
      <w:sz w:val="20"/>
      <w:szCs w:val="20"/>
      <w:shd w:val="clear" w:color="auto" w:fill="000080"/>
    </w:rPr>
  </w:style>
  <w:style w:type="paragraph" w:customStyle="1" w:styleId="Title2">
    <w:name w:val="Title2"/>
    <w:basedOn w:val="TOC1"/>
    <w:next w:val="NormalIndent"/>
    <w:link w:val="Title2CharChar"/>
    <w:uiPriority w:val="99"/>
    <w:rsid w:val="009E47C4"/>
    <w:pPr>
      <w:numPr>
        <w:ilvl w:val="1"/>
        <w:numId w:val="1"/>
      </w:numPr>
      <w:spacing w:before="240" w:after="0" w:line="480" w:lineRule="auto"/>
    </w:pPr>
  </w:style>
  <w:style w:type="character" w:customStyle="1" w:styleId="TOC1Char">
    <w:name w:val="TOC 1 Char"/>
    <w:link w:val="TOC1"/>
    <w:uiPriority w:val="99"/>
    <w:locked/>
    <w:rsid w:val="0079795D"/>
    <w:rPr>
      <w:rFonts w:ascii="Cambria" w:hAnsi="Cambria"/>
      <w:b/>
      <w:caps/>
      <w:sz w:val="20"/>
    </w:rPr>
  </w:style>
  <w:style w:type="character" w:customStyle="1" w:styleId="Title2CharChar">
    <w:name w:val="Title2 Char Char"/>
    <w:link w:val="Title2"/>
    <w:uiPriority w:val="99"/>
    <w:locked/>
    <w:rsid w:val="002306C0"/>
    <w:rPr>
      <w:rFonts w:ascii="Cambria" w:hAnsi="Cambria"/>
      <w:b/>
      <w:caps/>
      <w:sz w:val="20"/>
    </w:rPr>
  </w:style>
  <w:style w:type="paragraph" w:customStyle="1" w:styleId="Title3">
    <w:name w:val="Title3"/>
    <w:basedOn w:val="Title2"/>
    <w:next w:val="NormalIndent"/>
    <w:uiPriority w:val="99"/>
    <w:rsid w:val="009E47C4"/>
    <w:pPr>
      <w:numPr>
        <w:ilvl w:val="2"/>
      </w:numPr>
    </w:pPr>
  </w:style>
  <w:style w:type="paragraph" w:customStyle="1" w:styleId="Title4">
    <w:name w:val="Title4"/>
    <w:basedOn w:val="Title3"/>
    <w:next w:val="NormalIndent"/>
    <w:uiPriority w:val="99"/>
    <w:rsid w:val="009E47C4"/>
    <w:pPr>
      <w:numPr>
        <w:ilvl w:val="3"/>
      </w:numPr>
    </w:pPr>
  </w:style>
  <w:style w:type="paragraph" w:customStyle="1" w:styleId="Title5">
    <w:name w:val="Title5"/>
    <w:basedOn w:val="Title4"/>
    <w:next w:val="NormalIndent"/>
    <w:uiPriority w:val="99"/>
    <w:rsid w:val="009E47C4"/>
    <w:pPr>
      <w:numPr>
        <w:ilvl w:val="0"/>
        <w:numId w:val="2"/>
      </w:numPr>
      <w:ind w:left="0"/>
    </w:pPr>
  </w:style>
  <w:style w:type="paragraph" w:customStyle="1" w:styleId="title5b">
    <w:name w:val="title5b"/>
    <w:basedOn w:val="Title5"/>
    <w:next w:val="NormalIndent"/>
    <w:uiPriority w:val="99"/>
    <w:rsid w:val="009E47C4"/>
    <w:pPr>
      <w:numPr>
        <w:numId w:val="3"/>
      </w:numPr>
      <w:ind w:left="720"/>
    </w:pPr>
  </w:style>
  <w:style w:type="paragraph" w:styleId="Quote">
    <w:name w:val="Quote"/>
    <w:basedOn w:val="Normal"/>
    <w:next w:val="Normal"/>
    <w:link w:val="QuoteChar"/>
    <w:uiPriority w:val="99"/>
    <w:qFormat/>
    <w:rsid w:val="009E47C4"/>
    <w:rPr>
      <w:i/>
    </w:rPr>
  </w:style>
  <w:style w:type="character" w:customStyle="1" w:styleId="QuoteChar">
    <w:name w:val="Quote Char"/>
    <w:basedOn w:val="DefaultParagraphFont"/>
    <w:link w:val="Quote"/>
    <w:uiPriority w:val="99"/>
    <w:locked/>
    <w:rsid w:val="002306C0"/>
    <w:rPr>
      <w:rFonts w:ascii="Cambria" w:hAnsi="Cambria" w:cs="Times New Roman"/>
      <w:i/>
      <w:sz w:val="20"/>
      <w:szCs w:val="20"/>
    </w:rPr>
  </w:style>
  <w:style w:type="paragraph" w:styleId="IntenseQuote">
    <w:name w:val="Intense Quote"/>
    <w:basedOn w:val="Normal"/>
    <w:next w:val="Normal"/>
    <w:link w:val="IntenseQuoteChar"/>
    <w:uiPriority w:val="99"/>
    <w:qFormat/>
    <w:rsid w:val="009E47C4"/>
    <w:pPr>
      <w:pBdr>
        <w:top w:val="single" w:sz="4" w:space="10" w:color="4F81BD"/>
        <w:left w:val="single" w:sz="4" w:space="10" w:color="4F81BD"/>
      </w:pBdr>
      <w:spacing w:after="0"/>
      <w:ind w:left="1296" w:right="1152"/>
      <w:jc w:val="both"/>
    </w:pPr>
    <w:rPr>
      <w:i/>
      <w:color w:val="4F81BD"/>
    </w:rPr>
  </w:style>
  <w:style w:type="character" w:customStyle="1" w:styleId="IntenseQuoteChar">
    <w:name w:val="Intense Quote Char"/>
    <w:basedOn w:val="DefaultParagraphFont"/>
    <w:link w:val="IntenseQuote"/>
    <w:uiPriority w:val="99"/>
    <w:locked/>
    <w:rsid w:val="002306C0"/>
    <w:rPr>
      <w:rFonts w:ascii="Cambria" w:hAnsi="Cambria" w:cs="Times New Roman"/>
      <w:i/>
      <w:color w:val="4F81BD"/>
      <w:sz w:val="20"/>
      <w:szCs w:val="20"/>
    </w:rPr>
  </w:style>
  <w:style w:type="character" w:styleId="SubtleEmphasis">
    <w:name w:val="Subtle Emphasis"/>
    <w:basedOn w:val="DefaultParagraphFont"/>
    <w:uiPriority w:val="99"/>
    <w:qFormat/>
    <w:rsid w:val="002306C0"/>
    <w:rPr>
      <w:rFonts w:cs="Times New Roman"/>
      <w:i/>
      <w:color w:val="243F60"/>
    </w:rPr>
  </w:style>
  <w:style w:type="character" w:styleId="IntenseEmphasis">
    <w:name w:val="Intense Emphasis"/>
    <w:basedOn w:val="DefaultParagraphFont"/>
    <w:uiPriority w:val="99"/>
    <w:qFormat/>
    <w:rsid w:val="002306C0"/>
    <w:rPr>
      <w:rFonts w:cs="Times New Roman"/>
      <w:b/>
      <w:caps/>
      <w:color w:val="243F60"/>
      <w:spacing w:val="10"/>
    </w:rPr>
  </w:style>
  <w:style w:type="character" w:styleId="SubtleReference">
    <w:name w:val="Subtle Reference"/>
    <w:basedOn w:val="DefaultParagraphFont"/>
    <w:uiPriority w:val="99"/>
    <w:qFormat/>
    <w:rsid w:val="002306C0"/>
    <w:rPr>
      <w:rFonts w:cs="Times New Roman"/>
      <w:b/>
      <w:color w:val="4F81BD"/>
    </w:rPr>
  </w:style>
  <w:style w:type="character" w:styleId="IntenseReference">
    <w:name w:val="Intense Reference"/>
    <w:basedOn w:val="DefaultParagraphFont"/>
    <w:uiPriority w:val="99"/>
    <w:qFormat/>
    <w:rsid w:val="002306C0"/>
    <w:rPr>
      <w:rFonts w:cs="Times New Roman"/>
      <w:b/>
      <w:i/>
      <w:caps/>
      <w:color w:val="4F81BD"/>
    </w:rPr>
  </w:style>
  <w:style w:type="character" w:styleId="BookTitle">
    <w:name w:val="Book Title"/>
    <w:basedOn w:val="DefaultParagraphFont"/>
    <w:uiPriority w:val="99"/>
    <w:qFormat/>
    <w:rsid w:val="002306C0"/>
    <w:rPr>
      <w:rFonts w:cs="Times New Roman"/>
      <w:b/>
      <w:i/>
      <w:spacing w:val="9"/>
    </w:rPr>
  </w:style>
  <w:style w:type="paragraph" w:styleId="TOCHeading">
    <w:name w:val="TOC Heading"/>
    <w:basedOn w:val="Heading1"/>
    <w:next w:val="Normal"/>
    <w:uiPriority w:val="99"/>
    <w:qFormat/>
    <w:rsid w:val="009E47C4"/>
    <w:pPr>
      <w:outlineLvl w:val="9"/>
    </w:pPr>
  </w:style>
  <w:style w:type="table" w:customStyle="1" w:styleId="LightShading-Accent11">
    <w:name w:val="Light Shading - Accent 11"/>
    <w:uiPriority w:val="99"/>
    <w:rsid w:val="002306C0"/>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List-Accent11">
    <w:name w:val="Light List - Accent 11"/>
    <w:uiPriority w:val="99"/>
    <w:rsid w:val="002306C0"/>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character" w:customStyle="1" w:styleId="abstract">
    <w:name w:val="abstract"/>
    <w:uiPriority w:val="99"/>
    <w:rsid w:val="002306C0"/>
  </w:style>
  <w:style w:type="character" w:customStyle="1" w:styleId="ft">
    <w:name w:val="ft"/>
    <w:uiPriority w:val="99"/>
    <w:rsid w:val="00F4044E"/>
  </w:style>
  <w:style w:type="table" w:customStyle="1" w:styleId="MediumShading1-Accent11">
    <w:name w:val="Medium Shading 1 - Accent 11"/>
    <w:uiPriority w:val="99"/>
    <w:rsid w:val="00C53928"/>
    <w:rPr>
      <w:sz w:val="20"/>
      <w:szCs w:val="20"/>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Shading-Accent111">
    <w:name w:val="Light Shading - Accent 111"/>
    <w:uiPriority w:val="99"/>
    <w:rsid w:val="00C53928"/>
    <w:rPr>
      <w:color w:val="365F91"/>
      <w:sz w:val="20"/>
      <w:szCs w:val="20"/>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MediumShading1-Accent12">
    <w:name w:val="Medium Shading 1 - Accent 12"/>
    <w:uiPriority w:val="99"/>
    <w:rsid w:val="008D653C"/>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paragraph" w:styleId="Revision">
    <w:name w:val="Revision"/>
    <w:hidden/>
    <w:uiPriority w:val="99"/>
    <w:semiHidden/>
    <w:rsid w:val="00E2702A"/>
    <w:rPr>
      <w:sz w:val="20"/>
      <w:szCs w:val="20"/>
      <w:lang w:eastAsia="en-US"/>
    </w:rPr>
  </w:style>
  <w:style w:type="paragraph" w:customStyle="1" w:styleId="AutoCorrect">
    <w:name w:val="AutoCorrect"/>
    <w:uiPriority w:val="99"/>
    <w:rsid w:val="000C79E7"/>
    <w:pPr>
      <w:spacing w:after="200" w:line="276" w:lineRule="auto"/>
    </w:pPr>
    <w:rPr>
      <w:lang w:eastAsia="en-US"/>
    </w:rPr>
  </w:style>
  <w:style w:type="character" w:customStyle="1" w:styleId="EndnoteTextChar1">
    <w:name w:val="Endnote Text Char1"/>
    <w:uiPriority w:val="99"/>
    <w:semiHidden/>
    <w:rsid w:val="000C79E7"/>
    <w:rPr>
      <w:rFonts w:ascii="Calibri" w:hAnsi="Calibri"/>
      <w:sz w:val="20"/>
    </w:rPr>
  </w:style>
  <w:style w:type="character" w:customStyle="1" w:styleId="DocumentMapChar1">
    <w:name w:val="Document Map Char1"/>
    <w:uiPriority w:val="99"/>
    <w:semiHidden/>
    <w:rsid w:val="000C79E7"/>
    <w:rPr>
      <w:rFonts w:ascii="Tahoma" w:hAnsi="Tahoma"/>
      <w:sz w:val="16"/>
    </w:rPr>
  </w:style>
  <w:style w:type="table" w:styleId="LightShading-Accent1">
    <w:name w:val="Light Shading Accent 1"/>
    <w:basedOn w:val="TableNormal"/>
    <w:uiPriority w:val="99"/>
    <w:rsid w:val="00B00357"/>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LightList-Accent1">
    <w:name w:val="Light List Accent 1"/>
    <w:basedOn w:val="TableNormal"/>
    <w:uiPriority w:val="99"/>
    <w:rsid w:val="00B00357"/>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MediumShading1-Accent1">
    <w:name w:val="Medium Shading 1 Accent 1"/>
    <w:basedOn w:val="TableNormal"/>
    <w:uiPriority w:val="99"/>
    <w:rsid w:val="00B00357"/>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paragraph" w:customStyle="1" w:styleId="xmsonormal">
    <w:name w:val="x_msonormal"/>
    <w:basedOn w:val="Normal"/>
    <w:uiPriority w:val="99"/>
    <w:rsid w:val="00B14EAA"/>
    <w:pPr>
      <w:spacing w:before="100" w:beforeAutospacing="1" w:after="100" w:afterAutospacing="1" w:line="240" w:lineRule="auto"/>
    </w:pPr>
    <w:rPr>
      <w:rFonts w:ascii="Times New Roman" w:hAnsi="Times New Roman"/>
      <w:szCs w:val="24"/>
    </w:rPr>
  </w:style>
  <w:style w:type="table" w:styleId="LightList">
    <w:name w:val="Light List"/>
    <w:basedOn w:val="TableNormal"/>
    <w:uiPriority w:val="99"/>
    <w:rsid w:val="006F6E36"/>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99"/>
    <w:rsid w:val="006F6E36"/>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customStyle="1" w:styleId="ref-journal">
    <w:name w:val="ref-journal"/>
    <w:basedOn w:val="DefaultParagraphFont"/>
    <w:uiPriority w:val="99"/>
    <w:rsid w:val="00BF5B20"/>
    <w:rPr>
      <w:rFonts w:cs="Times New Roman"/>
    </w:rPr>
  </w:style>
  <w:style w:type="character" w:customStyle="1" w:styleId="ref-vol">
    <w:name w:val="ref-vol"/>
    <w:basedOn w:val="DefaultParagraphFont"/>
    <w:uiPriority w:val="99"/>
    <w:rsid w:val="00BF5B20"/>
    <w:rPr>
      <w:rFonts w:cs="Times New Roman"/>
    </w:rPr>
  </w:style>
  <w:style w:type="character" w:customStyle="1" w:styleId="jrnl">
    <w:name w:val="jrnl"/>
    <w:basedOn w:val="DefaultParagraphFont"/>
    <w:uiPriority w:val="99"/>
    <w:rsid w:val="00122D68"/>
    <w:rPr>
      <w:rFonts w:cs="Times New Roman"/>
    </w:rPr>
  </w:style>
  <w:style w:type="paragraph" w:customStyle="1" w:styleId="desc2">
    <w:name w:val="desc2"/>
    <w:basedOn w:val="Normal"/>
    <w:uiPriority w:val="99"/>
    <w:rsid w:val="00122D68"/>
    <w:pPr>
      <w:spacing w:before="0" w:after="0" w:line="240" w:lineRule="auto"/>
    </w:pPr>
    <w:rPr>
      <w:rFonts w:ascii="Times New Roman" w:hAnsi="Times New Roman"/>
      <w:sz w:val="26"/>
      <w:szCs w:val="26"/>
    </w:rPr>
  </w:style>
  <w:style w:type="paragraph" w:customStyle="1" w:styleId="details1">
    <w:name w:val="details1"/>
    <w:basedOn w:val="Normal"/>
    <w:uiPriority w:val="99"/>
    <w:rsid w:val="00122D68"/>
    <w:pPr>
      <w:spacing w:before="0" w:after="0" w:line="240" w:lineRule="auto"/>
    </w:pPr>
    <w:rPr>
      <w:rFonts w:ascii="Times New Roman" w:hAnsi="Times New Roman"/>
      <w:sz w:val="22"/>
      <w:szCs w:val="22"/>
    </w:rPr>
  </w:style>
  <w:style w:type="table" w:styleId="TableColumns3">
    <w:name w:val="Table Columns 3"/>
    <w:basedOn w:val="TableNormal"/>
    <w:uiPriority w:val="99"/>
    <w:locked/>
    <w:rsid w:val="0066381E"/>
    <w:pPr>
      <w:spacing w:before="200"/>
    </w:pPr>
    <w:rPr>
      <w:rFonts w:ascii="Times New Roman" w:hAnsi="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LightList-Accent12">
    <w:name w:val="Light List - Accent 12"/>
    <w:uiPriority w:val="99"/>
    <w:rsid w:val="0066381E"/>
    <w:pPr>
      <w:spacing w:before="200"/>
    </w:pPr>
    <w:rPr>
      <w:rFonts w:eastAsia="PMingLiU"/>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1">
    <w:name w:val="Light List - Accent 111"/>
    <w:uiPriority w:val="99"/>
    <w:rsid w:val="00760E37"/>
    <w:pPr>
      <w:spacing w:before="200"/>
    </w:pPr>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Columns31">
    <w:name w:val="Table Columns 31"/>
    <w:uiPriority w:val="99"/>
    <w:rsid w:val="00760E37"/>
    <w:pPr>
      <w:spacing w:before="200"/>
    </w:pPr>
    <w:rPr>
      <w:rFonts w:ascii="Times New Roman" w:hAnsi="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LightShading-Accent112">
    <w:name w:val="Light Shading - Accent 112"/>
    <w:uiPriority w:val="99"/>
    <w:rsid w:val="00760E37"/>
    <w:pPr>
      <w:spacing w:before="200"/>
    </w:pPr>
    <w:rPr>
      <w:rFonts w:eastAsia="PMingLiU"/>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MediumShading1-Accent111">
    <w:name w:val="Medium Shading 1 - Accent 111"/>
    <w:uiPriority w:val="99"/>
    <w:rsid w:val="00760E37"/>
    <w:pPr>
      <w:spacing w:before="200"/>
    </w:pPr>
    <w:rPr>
      <w:rFonts w:eastAsia="PMingLiU"/>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LightList-Accent121">
    <w:name w:val="Light List - Accent 121"/>
    <w:uiPriority w:val="99"/>
    <w:rsid w:val="00760E37"/>
    <w:pPr>
      <w:spacing w:before="200"/>
    </w:pPr>
    <w:rPr>
      <w:rFonts w:eastAsia="PMingLiU"/>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
    <w:name w:val="Table Grid1"/>
    <w:uiPriority w:val="99"/>
    <w:rsid w:val="00760E37"/>
    <w:pPr>
      <w:spacing w:before="200"/>
    </w:pPr>
    <w:rPr>
      <w:rFonts w:eastAsia="PMingLiU"/>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uiPriority w:val="99"/>
    <w:rsid w:val="00760E37"/>
    <w:pPr>
      <w:spacing w:before="200"/>
    </w:pPr>
    <w:rPr>
      <w:rFonts w:eastAsia="PMingLiU"/>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List-Accent13">
    <w:name w:val="Light List - Accent 13"/>
    <w:uiPriority w:val="99"/>
    <w:rsid w:val="00760E37"/>
    <w:pPr>
      <w:spacing w:before="200"/>
    </w:pPr>
    <w:rPr>
      <w:rFonts w:eastAsia="PMingLiU"/>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4">
    <w:name w:val="Light List - Accent 14"/>
    <w:uiPriority w:val="99"/>
    <w:rsid w:val="005B3BE7"/>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2">
    <w:name w:val="Medium Shading 1 - Accent 112"/>
    <w:uiPriority w:val="99"/>
    <w:rsid w:val="00CC06B3"/>
    <w:pPr>
      <w:spacing w:before="200"/>
    </w:pPr>
    <w:rPr>
      <w:rFonts w:eastAsia="PMingLiU"/>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MediumShading1-Accent113">
    <w:name w:val="Medium Shading 1 - Accent 113"/>
    <w:uiPriority w:val="99"/>
    <w:rsid w:val="00CC06B3"/>
    <w:pPr>
      <w:spacing w:before="200"/>
    </w:pPr>
    <w:rPr>
      <w:rFonts w:eastAsia="PMingLiU"/>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s>
</file>

<file path=word/webSettings.xml><?xml version="1.0" encoding="utf-8"?>
<w:webSettings xmlns:r="http://schemas.openxmlformats.org/officeDocument/2006/relationships" xmlns:w="http://schemas.openxmlformats.org/wordprocessingml/2006/main">
  <w:divs>
    <w:div w:id="1377310821">
      <w:marLeft w:val="0"/>
      <w:marRight w:val="0"/>
      <w:marTop w:val="0"/>
      <w:marBottom w:val="0"/>
      <w:divBdr>
        <w:top w:val="none" w:sz="0" w:space="0" w:color="auto"/>
        <w:left w:val="none" w:sz="0" w:space="0" w:color="auto"/>
        <w:bottom w:val="none" w:sz="0" w:space="0" w:color="auto"/>
        <w:right w:val="none" w:sz="0" w:space="0" w:color="auto"/>
      </w:divBdr>
    </w:div>
    <w:div w:id="1377310824">
      <w:marLeft w:val="0"/>
      <w:marRight w:val="0"/>
      <w:marTop w:val="0"/>
      <w:marBottom w:val="0"/>
      <w:divBdr>
        <w:top w:val="none" w:sz="0" w:space="0" w:color="auto"/>
        <w:left w:val="none" w:sz="0" w:space="0" w:color="auto"/>
        <w:bottom w:val="none" w:sz="0" w:space="0" w:color="auto"/>
        <w:right w:val="none" w:sz="0" w:space="0" w:color="auto"/>
      </w:divBdr>
    </w:div>
    <w:div w:id="1377310838">
      <w:marLeft w:val="0"/>
      <w:marRight w:val="0"/>
      <w:marTop w:val="0"/>
      <w:marBottom w:val="0"/>
      <w:divBdr>
        <w:top w:val="none" w:sz="0" w:space="0" w:color="auto"/>
        <w:left w:val="none" w:sz="0" w:space="0" w:color="auto"/>
        <w:bottom w:val="none" w:sz="0" w:space="0" w:color="auto"/>
        <w:right w:val="none" w:sz="0" w:space="0" w:color="auto"/>
      </w:divBdr>
      <w:divsChild>
        <w:div w:id="1377310872">
          <w:marLeft w:val="0"/>
          <w:marRight w:val="0"/>
          <w:marTop w:val="0"/>
          <w:marBottom w:val="0"/>
          <w:divBdr>
            <w:top w:val="none" w:sz="0" w:space="0" w:color="auto"/>
            <w:left w:val="none" w:sz="0" w:space="0" w:color="auto"/>
            <w:bottom w:val="none" w:sz="0" w:space="0" w:color="auto"/>
            <w:right w:val="none" w:sz="0" w:space="0" w:color="auto"/>
          </w:divBdr>
          <w:divsChild>
            <w:div w:id="1377310934">
              <w:marLeft w:val="0"/>
              <w:marRight w:val="0"/>
              <w:marTop w:val="0"/>
              <w:marBottom w:val="0"/>
              <w:divBdr>
                <w:top w:val="none" w:sz="0" w:space="0" w:color="auto"/>
                <w:left w:val="none" w:sz="0" w:space="0" w:color="auto"/>
                <w:bottom w:val="none" w:sz="0" w:space="0" w:color="auto"/>
                <w:right w:val="none" w:sz="0" w:space="0" w:color="auto"/>
              </w:divBdr>
              <w:divsChild>
                <w:div w:id="1377310936">
                  <w:marLeft w:val="0"/>
                  <w:marRight w:val="0"/>
                  <w:marTop w:val="0"/>
                  <w:marBottom w:val="0"/>
                  <w:divBdr>
                    <w:top w:val="none" w:sz="0" w:space="0" w:color="auto"/>
                    <w:left w:val="none" w:sz="0" w:space="0" w:color="auto"/>
                    <w:bottom w:val="none" w:sz="0" w:space="0" w:color="auto"/>
                    <w:right w:val="none" w:sz="0" w:space="0" w:color="auto"/>
                  </w:divBdr>
                  <w:divsChild>
                    <w:div w:id="1377310834">
                      <w:marLeft w:val="0"/>
                      <w:marRight w:val="0"/>
                      <w:marTop w:val="0"/>
                      <w:marBottom w:val="0"/>
                      <w:divBdr>
                        <w:top w:val="none" w:sz="0" w:space="0" w:color="auto"/>
                        <w:left w:val="none" w:sz="0" w:space="0" w:color="auto"/>
                        <w:bottom w:val="none" w:sz="0" w:space="0" w:color="auto"/>
                        <w:right w:val="none" w:sz="0" w:space="0" w:color="auto"/>
                      </w:divBdr>
                      <w:divsChild>
                        <w:div w:id="1377310935">
                          <w:marLeft w:val="0"/>
                          <w:marRight w:val="0"/>
                          <w:marTop w:val="0"/>
                          <w:marBottom w:val="0"/>
                          <w:divBdr>
                            <w:top w:val="none" w:sz="0" w:space="0" w:color="auto"/>
                            <w:left w:val="none" w:sz="0" w:space="0" w:color="auto"/>
                            <w:bottom w:val="none" w:sz="0" w:space="0" w:color="auto"/>
                            <w:right w:val="none" w:sz="0" w:space="0" w:color="auto"/>
                          </w:divBdr>
                          <w:divsChild>
                            <w:div w:id="1377310862">
                              <w:marLeft w:val="0"/>
                              <w:marRight w:val="0"/>
                              <w:marTop w:val="0"/>
                              <w:marBottom w:val="0"/>
                              <w:divBdr>
                                <w:top w:val="none" w:sz="0" w:space="0" w:color="auto"/>
                                <w:left w:val="none" w:sz="0" w:space="0" w:color="auto"/>
                                <w:bottom w:val="none" w:sz="0" w:space="0" w:color="auto"/>
                                <w:right w:val="none" w:sz="0" w:space="0" w:color="auto"/>
                              </w:divBdr>
                              <w:divsChild>
                                <w:div w:id="1377310893">
                                  <w:marLeft w:val="0"/>
                                  <w:marRight w:val="0"/>
                                  <w:marTop w:val="0"/>
                                  <w:marBottom w:val="0"/>
                                  <w:divBdr>
                                    <w:top w:val="none" w:sz="0" w:space="0" w:color="auto"/>
                                    <w:left w:val="none" w:sz="0" w:space="0" w:color="auto"/>
                                    <w:bottom w:val="none" w:sz="0" w:space="0" w:color="auto"/>
                                    <w:right w:val="none" w:sz="0" w:space="0" w:color="auto"/>
                                  </w:divBdr>
                                  <w:divsChild>
                                    <w:div w:id="1377310889">
                                      <w:marLeft w:val="0"/>
                                      <w:marRight w:val="0"/>
                                      <w:marTop w:val="0"/>
                                      <w:marBottom w:val="0"/>
                                      <w:divBdr>
                                        <w:top w:val="none" w:sz="0" w:space="0" w:color="auto"/>
                                        <w:left w:val="none" w:sz="0" w:space="0" w:color="auto"/>
                                        <w:bottom w:val="none" w:sz="0" w:space="0" w:color="auto"/>
                                        <w:right w:val="none" w:sz="0" w:space="0" w:color="auto"/>
                                      </w:divBdr>
                                      <w:divsChild>
                                        <w:div w:id="1377310825">
                                          <w:marLeft w:val="0"/>
                                          <w:marRight w:val="0"/>
                                          <w:marTop w:val="0"/>
                                          <w:marBottom w:val="0"/>
                                          <w:divBdr>
                                            <w:top w:val="none" w:sz="0" w:space="0" w:color="auto"/>
                                            <w:left w:val="none" w:sz="0" w:space="0" w:color="auto"/>
                                            <w:bottom w:val="none" w:sz="0" w:space="0" w:color="auto"/>
                                            <w:right w:val="none" w:sz="0" w:space="0" w:color="auto"/>
                                          </w:divBdr>
                                        </w:div>
                                      </w:divsChild>
                                    </w:div>
                                    <w:div w:id="1377310890">
                                      <w:marLeft w:val="0"/>
                                      <w:marRight w:val="0"/>
                                      <w:marTop w:val="0"/>
                                      <w:marBottom w:val="0"/>
                                      <w:divBdr>
                                        <w:top w:val="none" w:sz="0" w:space="0" w:color="auto"/>
                                        <w:left w:val="none" w:sz="0" w:space="0" w:color="auto"/>
                                        <w:bottom w:val="none" w:sz="0" w:space="0" w:color="auto"/>
                                        <w:right w:val="none" w:sz="0" w:space="0" w:color="auto"/>
                                      </w:divBdr>
                                    </w:div>
                                    <w:div w:id="1377310945">
                                      <w:marLeft w:val="0"/>
                                      <w:marRight w:val="0"/>
                                      <w:marTop w:val="0"/>
                                      <w:marBottom w:val="0"/>
                                      <w:divBdr>
                                        <w:top w:val="none" w:sz="0" w:space="0" w:color="auto"/>
                                        <w:left w:val="none" w:sz="0" w:space="0" w:color="auto"/>
                                        <w:bottom w:val="none" w:sz="0" w:space="0" w:color="auto"/>
                                        <w:right w:val="none" w:sz="0" w:space="0" w:color="auto"/>
                                      </w:divBdr>
                                    </w:div>
                                    <w:div w:id="137731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310845">
      <w:marLeft w:val="0"/>
      <w:marRight w:val="0"/>
      <w:marTop w:val="0"/>
      <w:marBottom w:val="0"/>
      <w:divBdr>
        <w:top w:val="none" w:sz="0" w:space="0" w:color="auto"/>
        <w:left w:val="none" w:sz="0" w:space="0" w:color="auto"/>
        <w:bottom w:val="none" w:sz="0" w:space="0" w:color="auto"/>
        <w:right w:val="none" w:sz="0" w:space="0" w:color="auto"/>
      </w:divBdr>
    </w:div>
    <w:div w:id="1377310869">
      <w:marLeft w:val="0"/>
      <w:marRight w:val="0"/>
      <w:marTop w:val="0"/>
      <w:marBottom w:val="0"/>
      <w:divBdr>
        <w:top w:val="none" w:sz="0" w:space="0" w:color="auto"/>
        <w:left w:val="none" w:sz="0" w:space="0" w:color="auto"/>
        <w:bottom w:val="none" w:sz="0" w:space="0" w:color="auto"/>
        <w:right w:val="none" w:sz="0" w:space="0" w:color="auto"/>
      </w:divBdr>
    </w:div>
    <w:div w:id="1377310898">
      <w:marLeft w:val="0"/>
      <w:marRight w:val="0"/>
      <w:marTop w:val="0"/>
      <w:marBottom w:val="0"/>
      <w:divBdr>
        <w:top w:val="none" w:sz="0" w:space="0" w:color="auto"/>
        <w:left w:val="none" w:sz="0" w:space="0" w:color="auto"/>
        <w:bottom w:val="none" w:sz="0" w:space="0" w:color="auto"/>
        <w:right w:val="none" w:sz="0" w:space="0" w:color="auto"/>
      </w:divBdr>
    </w:div>
    <w:div w:id="1377310899">
      <w:marLeft w:val="0"/>
      <w:marRight w:val="0"/>
      <w:marTop w:val="0"/>
      <w:marBottom w:val="0"/>
      <w:divBdr>
        <w:top w:val="none" w:sz="0" w:space="0" w:color="auto"/>
        <w:left w:val="none" w:sz="0" w:space="0" w:color="auto"/>
        <w:bottom w:val="none" w:sz="0" w:space="0" w:color="auto"/>
        <w:right w:val="none" w:sz="0" w:space="0" w:color="auto"/>
      </w:divBdr>
    </w:div>
    <w:div w:id="1377310900">
      <w:marLeft w:val="0"/>
      <w:marRight w:val="0"/>
      <w:marTop w:val="0"/>
      <w:marBottom w:val="0"/>
      <w:divBdr>
        <w:top w:val="none" w:sz="0" w:space="0" w:color="auto"/>
        <w:left w:val="none" w:sz="0" w:space="0" w:color="auto"/>
        <w:bottom w:val="none" w:sz="0" w:space="0" w:color="auto"/>
        <w:right w:val="none" w:sz="0" w:space="0" w:color="auto"/>
      </w:divBdr>
    </w:div>
    <w:div w:id="1377310901">
      <w:marLeft w:val="0"/>
      <w:marRight w:val="0"/>
      <w:marTop w:val="0"/>
      <w:marBottom w:val="0"/>
      <w:divBdr>
        <w:top w:val="none" w:sz="0" w:space="0" w:color="auto"/>
        <w:left w:val="none" w:sz="0" w:space="0" w:color="auto"/>
        <w:bottom w:val="none" w:sz="0" w:space="0" w:color="auto"/>
        <w:right w:val="none" w:sz="0" w:space="0" w:color="auto"/>
      </w:divBdr>
    </w:div>
    <w:div w:id="1377310902">
      <w:marLeft w:val="0"/>
      <w:marRight w:val="0"/>
      <w:marTop w:val="0"/>
      <w:marBottom w:val="0"/>
      <w:divBdr>
        <w:top w:val="none" w:sz="0" w:space="0" w:color="auto"/>
        <w:left w:val="none" w:sz="0" w:space="0" w:color="auto"/>
        <w:bottom w:val="none" w:sz="0" w:space="0" w:color="auto"/>
        <w:right w:val="none" w:sz="0" w:space="0" w:color="auto"/>
      </w:divBdr>
    </w:div>
    <w:div w:id="1377310903">
      <w:marLeft w:val="0"/>
      <w:marRight w:val="0"/>
      <w:marTop w:val="0"/>
      <w:marBottom w:val="0"/>
      <w:divBdr>
        <w:top w:val="none" w:sz="0" w:space="0" w:color="auto"/>
        <w:left w:val="none" w:sz="0" w:space="0" w:color="auto"/>
        <w:bottom w:val="none" w:sz="0" w:space="0" w:color="auto"/>
        <w:right w:val="none" w:sz="0" w:space="0" w:color="auto"/>
      </w:divBdr>
    </w:div>
    <w:div w:id="1377310904">
      <w:marLeft w:val="0"/>
      <w:marRight w:val="0"/>
      <w:marTop w:val="0"/>
      <w:marBottom w:val="0"/>
      <w:divBdr>
        <w:top w:val="none" w:sz="0" w:space="0" w:color="auto"/>
        <w:left w:val="none" w:sz="0" w:space="0" w:color="auto"/>
        <w:bottom w:val="none" w:sz="0" w:space="0" w:color="auto"/>
        <w:right w:val="none" w:sz="0" w:space="0" w:color="auto"/>
      </w:divBdr>
    </w:div>
    <w:div w:id="1377310905">
      <w:marLeft w:val="0"/>
      <w:marRight w:val="0"/>
      <w:marTop w:val="0"/>
      <w:marBottom w:val="0"/>
      <w:divBdr>
        <w:top w:val="none" w:sz="0" w:space="0" w:color="auto"/>
        <w:left w:val="none" w:sz="0" w:space="0" w:color="auto"/>
        <w:bottom w:val="none" w:sz="0" w:space="0" w:color="auto"/>
        <w:right w:val="none" w:sz="0" w:space="0" w:color="auto"/>
      </w:divBdr>
    </w:div>
    <w:div w:id="1377310906">
      <w:marLeft w:val="0"/>
      <w:marRight w:val="0"/>
      <w:marTop w:val="0"/>
      <w:marBottom w:val="0"/>
      <w:divBdr>
        <w:top w:val="none" w:sz="0" w:space="0" w:color="auto"/>
        <w:left w:val="none" w:sz="0" w:space="0" w:color="auto"/>
        <w:bottom w:val="none" w:sz="0" w:space="0" w:color="auto"/>
        <w:right w:val="none" w:sz="0" w:space="0" w:color="auto"/>
      </w:divBdr>
    </w:div>
    <w:div w:id="1377310907">
      <w:marLeft w:val="0"/>
      <w:marRight w:val="0"/>
      <w:marTop w:val="0"/>
      <w:marBottom w:val="0"/>
      <w:divBdr>
        <w:top w:val="none" w:sz="0" w:space="0" w:color="auto"/>
        <w:left w:val="none" w:sz="0" w:space="0" w:color="auto"/>
        <w:bottom w:val="none" w:sz="0" w:space="0" w:color="auto"/>
        <w:right w:val="none" w:sz="0" w:space="0" w:color="auto"/>
      </w:divBdr>
    </w:div>
    <w:div w:id="1377310908">
      <w:marLeft w:val="0"/>
      <w:marRight w:val="0"/>
      <w:marTop w:val="0"/>
      <w:marBottom w:val="0"/>
      <w:divBdr>
        <w:top w:val="none" w:sz="0" w:space="0" w:color="auto"/>
        <w:left w:val="none" w:sz="0" w:space="0" w:color="auto"/>
        <w:bottom w:val="none" w:sz="0" w:space="0" w:color="auto"/>
        <w:right w:val="none" w:sz="0" w:space="0" w:color="auto"/>
      </w:divBdr>
    </w:div>
    <w:div w:id="1377310909">
      <w:marLeft w:val="0"/>
      <w:marRight w:val="0"/>
      <w:marTop w:val="0"/>
      <w:marBottom w:val="0"/>
      <w:divBdr>
        <w:top w:val="none" w:sz="0" w:space="0" w:color="auto"/>
        <w:left w:val="none" w:sz="0" w:space="0" w:color="auto"/>
        <w:bottom w:val="none" w:sz="0" w:space="0" w:color="auto"/>
        <w:right w:val="none" w:sz="0" w:space="0" w:color="auto"/>
      </w:divBdr>
    </w:div>
    <w:div w:id="1377310910">
      <w:marLeft w:val="0"/>
      <w:marRight w:val="0"/>
      <w:marTop w:val="0"/>
      <w:marBottom w:val="0"/>
      <w:divBdr>
        <w:top w:val="none" w:sz="0" w:space="0" w:color="auto"/>
        <w:left w:val="none" w:sz="0" w:space="0" w:color="auto"/>
        <w:bottom w:val="none" w:sz="0" w:space="0" w:color="auto"/>
        <w:right w:val="none" w:sz="0" w:space="0" w:color="auto"/>
      </w:divBdr>
    </w:div>
    <w:div w:id="1377310911">
      <w:marLeft w:val="0"/>
      <w:marRight w:val="0"/>
      <w:marTop w:val="0"/>
      <w:marBottom w:val="0"/>
      <w:divBdr>
        <w:top w:val="none" w:sz="0" w:space="0" w:color="auto"/>
        <w:left w:val="none" w:sz="0" w:space="0" w:color="auto"/>
        <w:bottom w:val="none" w:sz="0" w:space="0" w:color="auto"/>
        <w:right w:val="none" w:sz="0" w:space="0" w:color="auto"/>
      </w:divBdr>
    </w:div>
    <w:div w:id="1377310912">
      <w:marLeft w:val="0"/>
      <w:marRight w:val="0"/>
      <w:marTop w:val="0"/>
      <w:marBottom w:val="0"/>
      <w:divBdr>
        <w:top w:val="none" w:sz="0" w:space="0" w:color="auto"/>
        <w:left w:val="none" w:sz="0" w:space="0" w:color="auto"/>
        <w:bottom w:val="none" w:sz="0" w:space="0" w:color="auto"/>
        <w:right w:val="none" w:sz="0" w:space="0" w:color="auto"/>
      </w:divBdr>
    </w:div>
    <w:div w:id="1377310913">
      <w:marLeft w:val="0"/>
      <w:marRight w:val="0"/>
      <w:marTop w:val="0"/>
      <w:marBottom w:val="0"/>
      <w:divBdr>
        <w:top w:val="none" w:sz="0" w:space="0" w:color="auto"/>
        <w:left w:val="none" w:sz="0" w:space="0" w:color="auto"/>
        <w:bottom w:val="none" w:sz="0" w:space="0" w:color="auto"/>
        <w:right w:val="none" w:sz="0" w:space="0" w:color="auto"/>
      </w:divBdr>
    </w:div>
    <w:div w:id="1377310914">
      <w:marLeft w:val="0"/>
      <w:marRight w:val="0"/>
      <w:marTop w:val="0"/>
      <w:marBottom w:val="0"/>
      <w:divBdr>
        <w:top w:val="none" w:sz="0" w:space="0" w:color="auto"/>
        <w:left w:val="none" w:sz="0" w:space="0" w:color="auto"/>
        <w:bottom w:val="none" w:sz="0" w:space="0" w:color="auto"/>
        <w:right w:val="none" w:sz="0" w:space="0" w:color="auto"/>
      </w:divBdr>
    </w:div>
    <w:div w:id="1377310915">
      <w:marLeft w:val="0"/>
      <w:marRight w:val="0"/>
      <w:marTop w:val="0"/>
      <w:marBottom w:val="0"/>
      <w:divBdr>
        <w:top w:val="none" w:sz="0" w:space="0" w:color="auto"/>
        <w:left w:val="none" w:sz="0" w:space="0" w:color="auto"/>
        <w:bottom w:val="none" w:sz="0" w:space="0" w:color="auto"/>
        <w:right w:val="none" w:sz="0" w:space="0" w:color="auto"/>
      </w:divBdr>
    </w:div>
    <w:div w:id="1377310916">
      <w:marLeft w:val="0"/>
      <w:marRight w:val="0"/>
      <w:marTop w:val="0"/>
      <w:marBottom w:val="0"/>
      <w:divBdr>
        <w:top w:val="none" w:sz="0" w:space="0" w:color="auto"/>
        <w:left w:val="none" w:sz="0" w:space="0" w:color="auto"/>
        <w:bottom w:val="none" w:sz="0" w:space="0" w:color="auto"/>
        <w:right w:val="none" w:sz="0" w:space="0" w:color="auto"/>
      </w:divBdr>
    </w:div>
    <w:div w:id="1377310917">
      <w:marLeft w:val="0"/>
      <w:marRight w:val="0"/>
      <w:marTop w:val="0"/>
      <w:marBottom w:val="0"/>
      <w:divBdr>
        <w:top w:val="none" w:sz="0" w:space="0" w:color="auto"/>
        <w:left w:val="none" w:sz="0" w:space="0" w:color="auto"/>
        <w:bottom w:val="none" w:sz="0" w:space="0" w:color="auto"/>
        <w:right w:val="none" w:sz="0" w:space="0" w:color="auto"/>
      </w:divBdr>
    </w:div>
    <w:div w:id="1377310918">
      <w:marLeft w:val="0"/>
      <w:marRight w:val="0"/>
      <w:marTop w:val="0"/>
      <w:marBottom w:val="0"/>
      <w:divBdr>
        <w:top w:val="none" w:sz="0" w:space="0" w:color="auto"/>
        <w:left w:val="none" w:sz="0" w:space="0" w:color="auto"/>
        <w:bottom w:val="none" w:sz="0" w:space="0" w:color="auto"/>
        <w:right w:val="none" w:sz="0" w:space="0" w:color="auto"/>
      </w:divBdr>
    </w:div>
    <w:div w:id="1377310919">
      <w:marLeft w:val="0"/>
      <w:marRight w:val="0"/>
      <w:marTop w:val="0"/>
      <w:marBottom w:val="0"/>
      <w:divBdr>
        <w:top w:val="none" w:sz="0" w:space="0" w:color="auto"/>
        <w:left w:val="none" w:sz="0" w:space="0" w:color="auto"/>
        <w:bottom w:val="none" w:sz="0" w:space="0" w:color="auto"/>
        <w:right w:val="none" w:sz="0" w:space="0" w:color="auto"/>
      </w:divBdr>
    </w:div>
    <w:div w:id="1377310920">
      <w:marLeft w:val="0"/>
      <w:marRight w:val="0"/>
      <w:marTop w:val="0"/>
      <w:marBottom w:val="0"/>
      <w:divBdr>
        <w:top w:val="none" w:sz="0" w:space="0" w:color="auto"/>
        <w:left w:val="none" w:sz="0" w:space="0" w:color="auto"/>
        <w:bottom w:val="none" w:sz="0" w:space="0" w:color="auto"/>
        <w:right w:val="none" w:sz="0" w:space="0" w:color="auto"/>
      </w:divBdr>
    </w:div>
    <w:div w:id="1377310921">
      <w:marLeft w:val="0"/>
      <w:marRight w:val="0"/>
      <w:marTop w:val="0"/>
      <w:marBottom w:val="0"/>
      <w:divBdr>
        <w:top w:val="none" w:sz="0" w:space="0" w:color="auto"/>
        <w:left w:val="none" w:sz="0" w:space="0" w:color="auto"/>
        <w:bottom w:val="none" w:sz="0" w:space="0" w:color="auto"/>
        <w:right w:val="none" w:sz="0" w:space="0" w:color="auto"/>
      </w:divBdr>
    </w:div>
    <w:div w:id="1377310922">
      <w:marLeft w:val="0"/>
      <w:marRight w:val="0"/>
      <w:marTop w:val="0"/>
      <w:marBottom w:val="0"/>
      <w:divBdr>
        <w:top w:val="none" w:sz="0" w:space="0" w:color="auto"/>
        <w:left w:val="none" w:sz="0" w:space="0" w:color="auto"/>
        <w:bottom w:val="none" w:sz="0" w:space="0" w:color="auto"/>
        <w:right w:val="none" w:sz="0" w:space="0" w:color="auto"/>
      </w:divBdr>
    </w:div>
    <w:div w:id="1377310923">
      <w:marLeft w:val="0"/>
      <w:marRight w:val="0"/>
      <w:marTop w:val="0"/>
      <w:marBottom w:val="0"/>
      <w:divBdr>
        <w:top w:val="none" w:sz="0" w:space="0" w:color="auto"/>
        <w:left w:val="none" w:sz="0" w:space="0" w:color="auto"/>
        <w:bottom w:val="none" w:sz="0" w:space="0" w:color="auto"/>
        <w:right w:val="none" w:sz="0" w:space="0" w:color="auto"/>
      </w:divBdr>
    </w:div>
    <w:div w:id="1377310924">
      <w:marLeft w:val="0"/>
      <w:marRight w:val="0"/>
      <w:marTop w:val="0"/>
      <w:marBottom w:val="0"/>
      <w:divBdr>
        <w:top w:val="none" w:sz="0" w:space="0" w:color="auto"/>
        <w:left w:val="none" w:sz="0" w:space="0" w:color="auto"/>
        <w:bottom w:val="none" w:sz="0" w:space="0" w:color="auto"/>
        <w:right w:val="none" w:sz="0" w:space="0" w:color="auto"/>
      </w:divBdr>
    </w:div>
    <w:div w:id="1377310925">
      <w:marLeft w:val="0"/>
      <w:marRight w:val="0"/>
      <w:marTop w:val="0"/>
      <w:marBottom w:val="0"/>
      <w:divBdr>
        <w:top w:val="none" w:sz="0" w:space="0" w:color="auto"/>
        <w:left w:val="none" w:sz="0" w:space="0" w:color="auto"/>
        <w:bottom w:val="none" w:sz="0" w:space="0" w:color="auto"/>
        <w:right w:val="none" w:sz="0" w:space="0" w:color="auto"/>
      </w:divBdr>
    </w:div>
    <w:div w:id="1377310926">
      <w:marLeft w:val="0"/>
      <w:marRight w:val="0"/>
      <w:marTop w:val="0"/>
      <w:marBottom w:val="0"/>
      <w:divBdr>
        <w:top w:val="none" w:sz="0" w:space="0" w:color="auto"/>
        <w:left w:val="none" w:sz="0" w:space="0" w:color="auto"/>
        <w:bottom w:val="none" w:sz="0" w:space="0" w:color="auto"/>
        <w:right w:val="none" w:sz="0" w:space="0" w:color="auto"/>
      </w:divBdr>
    </w:div>
    <w:div w:id="1377310927">
      <w:marLeft w:val="0"/>
      <w:marRight w:val="0"/>
      <w:marTop w:val="0"/>
      <w:marBottom w:val="0"/>
      <w:divBdr>
        <w:top w:val="none" w:sz="0" w:space="0" w:color="auto"/>
        <w:left w:val="none" w:sz="0" w:space="0" w:color="auto"/>
        <w:bottom w:val="none" w:sz="0" w:space="0" w:color="auto"/>
        <w:right w:val="none" w:sz="0" w:space="0" w:color="auto"/>
      </w:divBdr>
    </w:div>
    <w:div w:id="1377310932">
      <w:marLeft w:val="0"/>
      <w:marRight w:val="0"/>
      <w:marTop w:val="0"/>
      <w:marBottom w:val="0"/>
      <w:divBdr>
        <w:top w:val="none" w:sz="0" w:space="0" w:color="auto"/>
        <w:left w:val="none" w:sz="0" w:space="0" w:color="auto"/>
        <w:bottom w:val="none" w:sz="0" w:space="0" w:color="auto"/>
        <w:right w:val="none" w:sz="0" w:space="0" w:color="auto"/>
      </w:divBdr>
      <w:divsChild>
        <w:div w:id="1377310820">
          <w:marLeft w:val="0"/>
          <w:marRight w:val="0"/>
          <w:marTop w:val="0"/>
          <w:marBottom w:val="0"/>
          <w:divBdr>
            <w:top w:val="none" w:sz="0" w:space="0" w:color="auto"/>
            <w:left w:val="none" w:sz="0" w:space="0" w:color="auto"/>
            <w:bottom w:val="none" w:sz="0" w:space="0" w:color="auto"/>
            <w:right w:val="none" w:sz="0" w:space="0" w:color="auto"/>
          </w:divBdr>
          <w:divsChild>
            <w:div w:id="137731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310933">
      <w:marLeft w:val="0"/>
      <w:marRight w:val="0"/>
      <w:marTop w:val="0"/>
      <w:marBottom w:val="0"/>
      <w:divBdr>
        <w:top w:val="none" w:sz="0" w:space="0" w:color="auto"/>
        <w:left w:val="none" w:sz="0" w:space="0" w:color="auto"/>
        <w:bottom w:val="none" w:sz="0" w:space="0" w:color="auto"/>
        <w:right w:val="none" w:sz="0" w:space="0" w:color="auto"/>
      </w:divBdr>
      <w:divsChild>
        <w:div w:id="1377310819">
          <w:marLeft w:val="0"/>
          <w:marRight w:val="0"/>
          <w:marTop w:val="0"/>
          <w:marBottom w:val="0"/>
          <w:divBdr>
            <w:top w:val="none" w:sz="0" w:space="0" w:color="auto"/>
            <w:left w:val="none" w:sz="0" w:space="0" w:color="auto"/>
            <w:bottom w:val="none" w:sz="0" w:space="0" w:color="auto"/>
            <w:right w:val="none" w:sz="0" w:space="0" w:color="auto"/>
          </w:divBdr>
        </w:div>
        <w:div w:id="1377310822">
          <w:marLeft w:val="0"/>
          <w:marRight w:val="0"/>
          <w:marTop w:val="0"/>
          <w:marBottom w:val="0"/>
          <w:divBdr>
            <w:top w:val="none" w:sz="0" w:space="0" w:color="auto"/>
            <w:left w:val="none" w:sz="0" w:space="0" w:color="auto"/>
            <w:bottom w:val="none" w:sz="0" w:space="0" w:color="auto"/>
            <w:right w:val="none" w:sz="0" w:space="0" w:color="auto"/>
          </w:divBdr>
        </w:div>
        <w:div w:id="1377310823">
          <w:marLeft w:val="0"/>
          <w:marRight w:val="0"/>
          <w:marTop w:val="0"/>
          <w:marBottom w:val="0"/>
          <w:divBdr>
            <w:top w:val="none" w:sz="0" w:space="0" w:color="auto"/>
            <w:left w:val="none" w:sz="0" w:space="0" w:color="auto"/>
            <w:bottom w:val="none" w:sz="0" w:space="0" w:color="auto"/>
            <w:right w:val="none" w:sz="0" w:space="0" w:color="auto"/>
          </w:divBdr>
        </w:div>
        <w:div w:id="1377310826">
          <w:marLeft w:val="0"/>
          <w:marRight w:val="0"/>
          <w:marTop w:val="0"/>
          <w:marBottom w:val="0"/>
          <w:divBdr>
            <w:top w:val="none" w:sz="0" w:space="0" w:color="auto"/>
            <w:left w:val="none" w:sz="0" w:space="0" w:color="auto"/>
            <w:bottom w:val="none" w:sz="0" w:space="0" w:color="auto"/>
            <w:right w:val="none" w:sz="0" w:space="0" w:color="auto"/>
          </w:divBdr>
        </w:div>
        <w:div w:id="1377310827">
          <w:marLeft w:val="0"/>
          <w:marRight w:val="0"/>
          <w:marTop w:val="0"/>
          <w:marBottom w:val="0"/>
          <w:divBdr>
            <w:top w:val="none" w:sz="0" w:space="0" w:color="auto"/>
            <w:left w:val="none" w:sz="0" w:space="0" w:color="auto"/>
            <w:bottom w:val="none" w:sz="0" w:space="0" w:color="auto"/>
            <w:right w:val="none" w:sz="0" w:space="0" w:color="auto"/>
          </w:divBdr>
        </w:div>
        <w:div w:id="1377310828">
          <w:marLeft w:val="0"/>
          <w:marRight w:val="0"/>
          <w:marTop w:val="0"/>
          <w:marBottom w:val="0"/>
          <w:divBdr>
            <w:top w:val="none" w:sz="0" w:space="0" w:color="auto"/>
            <w:left w:val="none" w:sz="0" w:space="0" w:color="auto"/>
            <w:bottom w:val="none" w:sz="0" w:space="0" w:color="auto"/>
            <w:right w:val="none" w:sz="0" w:space="0" w:color="auto"/>
          </w:divBdr>
        </w:div>
        <w:div w:id="1377310829">
          <w:marLeft w:val="0"/>
          <w:marRight w:val="0"/>
          <w:marTop w:val="0"/>
          <w:marBottom w:val="0"/>
          <w:divBdr>
            <w:top w:val="none" w:sz="0" w:space="0" w:color="auto"/>
            <w:left w:val="none" w:sz="0" w:space="0" w:color="auto"/>
            <w:bottom w:val="none" w:sz="0" w:space="0" w:color="auto"/>
            <w:right w:val="none" w:sz="0" w:space="0" w:color="auto"/>
          </w:divBdr>
        </w:div>
        <w:div w:id="1377310830">
          <w:marLeft w:val="0"/>
          <w:marRight w:val="0"/>
          <w:marTop w:val="0"/>
          <w:marBottom w:val="0"/>
          <w:divBdr>
            <w:top w:val="none" w:sz="0" w:space="0" w:color="auto"/>
            <w:left w:val="none" w:sz="0" w:space="0" w:color="auto"/>
            <w:bottom w:val="none" w:sz="0" w:space="0" w:color="auto"/>
            <w:right w:val="none" w:sz="0" w:space="0" w:color="auto"/>
          </w:divBdr>
        </w:div>
        <w:div w:id="1377310831">
          <w:marLeft w:val="0"/>
          <w:marRight w:val="0"/>
          <w:marTop w:val="0"/>
          <w:marBottom w:val="0"/>
          <w:divBdr>
            <w:top w:val="none" w:sz="0" w:space="0" w:color="auto"/>
            <w:left w:val="none" w:sz="0" w:space="0" w:color="auto"/>
            <w:bottom w:val="none" w:sz="0" w:space="0" w:color="auto"/>
            <w:right w:val="none" w:sz="0" w:space="0" w:color="auto"/>
          </w:divBdr>
        </w:div>
        <w:div w:id="1377310832">
          <w:marLeft w:val="0"/>
          <w:marRight w:val="0"/>
          <w:marTop w:val="0"/>
          <w:marBottom w:val="0"/>
          <w:divBdr>
            <w:top w:val="none" w:sz="0" w:space="0" w:color="auto"/>
            <w:left w:val="none" w:sz="0" w:space="0" w:color="auto"/>
            <w:bottom w:val="none" w:sz="0" w:space="0" w:color="auto"/>
            <w:right w:val="none" w:sz="0" w:space="0" w:color="auto"/>
          </w:divBdr>
        </w:div>
        <w:div w:id="1377310833">
          <w:marLeft w:val="0"/>
          <w:marRight w:val="0"/>
          <w:marTop w:val="0"/>
          <w:marBottom w:val="0"/>
          <w:divBdr>
            <w:top w:val="none" w:sz="0" w:space="0" w:color="auto"/>
            <w:left w:val="none" w:sz="0" w:space="0" w:color="auto"/>
            <w:bottom w:val="none" w:sz="0" w:space="0" w:color="auto"/>
            <w:right w:val="none" w:sz="0" w:space="0" w:color="auto"/>
          </w:divBdr>
        </w:div>
        <w:div w:id="1377310835">
          <w:marLeft w:val="0"/>
          <w:marRight w:val="0"/>
          <w:marTop w:val="0"/>
          <w:marBottom w:val="0"/>
          <w:divBdr>
            <w:top w:val="none" w:sz="0" w:space="0" w:color="auto"/>
            <w:left w:val="none" w:sz="0" w:space="0" w:color="auto"/>
            <w:bottom w:val="none" w:sz="0" w:space="0" w:color="auto"/>
            <w:right w:val="none" w:sz="0" w:space="0" w:color="auto"/>
          </w:divBdr>
        </w:div>
        <w:div w:id="1377310836">
          <w:marLeft w:val="0"/>
          <w:marRight w:val="0"/>
          <w:marTop w:val="0"/>
          <w:marBottom w:val="0"/>
          <w:divBdr>
            <w:top w:val="none" w:sz="0" w:space="0" w:color="auto"/>
            <w:left w:val="none" w:sz="0" w:space="0" w:color="auto"/>
            <w:bottom w:val="none" w:sz="0" w:space="0" w:color="auto"/>
            <w:right w:val="none" w:sz="0" w:space="0" w:color="auto"/>
          </w:divBdr>
        </w:div>
        <w:div w:id="1377310837">
          <w:marLeft w:val="0"/>
          <w:marRight w:val="0"/>
          <w:marTop w:val="0"/>
          <w:marBottom w:val="0"/>
          <w:divBdr>
            <w:top w:val="none" w:sz="0" w:space="0" w:color="auto"/>
            <w:left w:val="none" w:sz="0" w:space="0" w:color="auto"/>
            <w:bottom w:val="none" w:sz="0" w:space="0" w:color="auto"/>
            <w:right w:val="none" w:sz="0" w:space="0" w:color="auto"/>
          </w:divBdr>
        </w:div>
        <w:div w:id="1377310839">
          <w:marLeft w:val="0"/>
          <w:marRight w:val="0"/>
          <w:marTop w:val="0"/>
          <w:marBottom w:val="0"/>
          <w:divBdr>
            <w:top w:val="none" w:sz="0" w:space="0" w:color="auto"/>
            <w:left w:val="none" w:sz="0" w:space="0" w:color="auto"/>
            <w:bottom w:val="none" w:sz="0" w:space="0" w:color="auto"/>
            <w:right w:val="none" w:sz="0" w:space="0" w:color="auto"/>
          </w:divBdr>
        </w:div>
        <w:div w:id="1377310840">
          <w:marLeft w:val="0"/>
          <w:marRight w:val="0"/>
          <w:marTop w:val="0"/>
          <w:marBottom w:val="0"/>
          <w:divBdr>
            <w:top w:val="none" w:sz="0" w:space="0" w:color="auto"/>
            <w:left w:val="none" w:sz="0" w:space="0" w:color="auto"/>
            <w:bottom w:val="none" w:sz="0" w:space="0" w:color="auto"/>
            <w:right w:val="none" w:sz="0" w:space="0" w:color="auto"/>
          </w:divBdr>
        </w:div>
        <w:div w:id="1377310841">
          <w:marLeft w:val="0"/>
          <w:marRight w:val="0"/>
          <w:marTop w:val="0"/>
          <w:marBottom w:val="0"/>
          <w:divBdr>
            <w:top w:val="none" w:sz="0" w:space="0" w:color="auto"/>
            <w:left w:val="none" w:sz="0" w:space="0" w:color="auto"/>
            <w:bottom w:val="none" w:sz="0" w:space="0" w:color="auto"/>
            <w:right w:val="none" w:sz="0" w:space="0" w:color="auto"/>
          </w:divBdr>
        </w:div>
        <w:div w:id="1377310842">
          <w:marLeft w:val="0"/>
          <w:marRight w:val="0"/>
          <w:marTop w:val="0"/>
          <w:marBottom w:val="0"/>
          <w:divBdr>
            <w:top w:val="none" w:sz="0" w:space="0" w:color="auto"/>
            <w:left w:val="none" w:sz="0" w:space="0" w:color="auto"/>
            <w:bottom w:val="none" w:sz="0" w:space="0" w:color="auto"/>
            <w:right w:val="none" w:sz="0" w:space="0" w:color="auto"/>
          </w:divBdr>
        </w:div>
        <w:div w:id="1377310843">
          <w:marLeft w:val="0"/>
          <w:marRight w:val="0"/>
          <w:marTop w:val="0"/>
          <w:marBottom w:val="0"/>
          <w:divBdr>
            <w:top w:val="none" w:sz="0" w:space="0" w:color="auto"/>
            <w:left w:val="none" w:sz="0" w:space="0" w:color="auto"/>
            <w:bottom w:val="none" w:sz="0" w:space="0" w:color="auto"/>
            <w:right w:val="none" w:sz="0" w:space="0" w:color="auto"/>
          </w:divBdr>
        </w:div>
        <w:div w:id="1377310844">
          <w:marLeft w:val="0"/>
          <w:marRight w:val="0"/>
          <w:marTop w:val="0"/>
          <w:marBottom w:val="0"/>
          <w:divBdr>
            <w:top w:val="none" w:sz="0" w:space="0" w:color="auto"/>
            <w:left w:val="none" w:sz="0" w:space="0" w:color="auto"/>
            <w:bottom w:val="none" w:sz="0" w:space="0" w:color="auto"/>
            <w:right w:val="none" w:sz="0" w:space="0" w:color="auto"/>
          </w:divBdr>
        </w:div>
        <w:div w:id="1377310846">
          <w:marLeft w:val="0"/>
          <w:marRight w:val="0"/>
          <w:marTop w:val="0"/>
          <w:marBottom w:val="0"/>
          <w:divBdr>
            <w:top w:val="none" w:sz="0" w:space="0" w:color="auto"/>
            <w:left w:val="none" w:sz="0" w:space="0" w:color="auto"/>
            <w:bottom w:val="none" w:sz="0" w:space="0" w:color="auto"/>
            <w:right w:val="none" w:sz="0" w:space="0" w:color="auto"/>
          </w:divBdr>
        </w:div>
        <w:div w:id="1377310847">
          <w:marLeft w:val="0"/>
          <w:marRight w:val="0"/>
          <w:marTop w:val="0"/>
          <w:marBottom w:val="0"/>
          <w:divBdr>
            <w:top w:val="none" w:sz="0" w:space="0" w:color="auto"/>
            <w:left w:val="none" w:sz="0" w:space="0" w:color="auto"/>
            <w:bottom w:val="none" w:sz="0" w:space="0" w:color="auto"/>
            <w:right w:val="none" w:sz="0" w:space="0" w:color="auto"/>
          </w:divBdr>
        </w:div>
        <w:div w:id="1377310848">
          <w:marLeft w:val="0"/>
          <w:marRight w:val="0"/>
          <w:marTop w:val="0"/>
          <w:marBottom w:val="0"/>
          <w:divBdr>
            <w:top w:val="none" w:sz="0" w:space="0" w:color="auto"/>
            <w:left w:val="none" w:sz="0" w:space="0" w:color="auto"/>
            <w:bottom w:val="none" w:sz="0" w:space="0" w:color="auto"/>
            <w:right w:val="none" w:sz="0" w:space="0" w:color="auto"/>
          </w:divBdr>
        </w:div>
        <w:div w:id="1377310849">
          <w:marLeft w:val="0"/>
          <w:marRight w:val="0"/>
          <w:marTop w:val="0"/>
          <w:marBottom w:val="0"/>
          <w:divBdr>
            <w:top w:val="none" w:sz="0" w:space="0" w:color="auto"/>
            <w:left w:val="none" w:sz="0" w:space="0" w:color="auto"/>
            <w:bottom w:val="none" w:sz="0" w:space="0" w:color="auto"/>
            <w:right w:val="none" w:sz="0" w:space="0" w:color="auto"/>
          </w:divBdr>
        </w:div>
        <w:div w:id="1377310850">
          <w:marLeft w:val="0"/>
          <w:marRight w:val="0"/>
          <w:marTop w:val="0"/>
          <w:marBottom w:val="0"/>
          <w:divBdr>
            <w:top w:val="none" w:sz="0" w:space="0" w:color="auto"/>
            <w:left w:val="none" w:sz="0" w:space="0" w:color="auto"/>
            <w:bottom w:val="none" w:sz="0" w:space="0" w:color="auto"/>
            <w:right w:val="none" w:sz="0" w:space="0" w:color="auto"/>
          </w:divBdr>
        </w:div>
        <w:div w:id="1377310851">
          <w:marLeft w:val="0"/>
          <w:marRight w:val="0"/>
          <w:marTop w:val="0"/>
          <w:marBottom w:val="0"/>
          <w:divBdr>
            <w:top w:val="none" w:sz="0" w:space="0" w:color="auto"/>
            <w:left w:val="none" w:sz="0" w:space="0" w:color="auto"/>
            <w:bottom w:val="none" w:sz="0" w:space="0" w:color="auto"/>
            <w:right w:val="none" w:sz="0" w:space="0" w:color="auto"/>
          </w:divBdr>
        </w:div>
        <w:div w:id="1377310852">
          <w:marLeft w:val="0"/>
          <w:marRight w:val="0"/>
          <w:marTop w:val="0"/>
          <w:marBottom w:val="0"/>
          <w:divBdr>
            <w:top w:val="none" w:sz="0" w:space="0" w:color="auto"/>
            <w:left w:val="none" w:sz="0" w:space="0" w:color="auto"/>
            <w:bottom w:val="none" w:sz="0" w:space="0" w:color="auto"/>
            <w:right w:val="none" w:sz="0" w:space="0" w:color="auto"/>
          </w:divBdr>
        </w:div>
        <w:div w:id="1377310853">
          <w:marLeft w:val="0"/>
          <w:marRight w:val="0"/>
          <w:marTop w:val="0"/>
          <w:marBottom w:val="0"/>
          <w:divBdr>
            <w:top w:val="none" w:sz="0" w:space="0" w:color="auto"/>
            <w:left w:val="none" w:sz="0" w:space="0" w:color="auto"/>
            <w:bottom w:val="none" w:sz="0" w:space="0" w:color="auto"/>
            <w:right w:val="none" w:sz="0" w:space="0" w:color="auto"/>
          </w:divBdr>
        </w:div>
        <w:div w:id="1377310854">
          <w:marLeft w:val="0"/>
          <w:marRight w:val="0"/>
          <w:marTop w:val="0"/>
          <w:marBottom w:val="0"/>
          <w:divBdr>
            <w:top w:val="none" w:sz="0" w:space="0" w:color="auto"/>
            <w:left w:val="none" w:sz="0" w:space="0" w:color="auto"/>
            <w:bottom w:val="none" w:sz="0" w:space="0" w:color="auto"/>
            <w:right w:val="none" w:sz="0" w:space="0" w:color="auto"/>
          </w:divBdr>
        </w:div>
        <w:div w:id="1377310855">
          <w:marLeft w:val="0"/>
          <w:marRight w:val="0"/>
          <w:marTop w:val="0"/>
          <w:marBottom w:val="0"/>
          <w:divBdr>
            <w:top w:val="none" w:sz="0" w:space="0" w:color="auto"/>
            <w:left w:val="none" w:sz="0" w:space="0" w:color="auto"/>
            <w:bottom w:val="none" w:sz="0" w:space="0" w:color="auto"/>
            <w:right w:val="none" w:sz="0" w:space="0" w:color="auto"/>
          </w:divBdr>
        </w:div>
        <w:div w:id="1377310856">
          <w:marLeft w:val="0"/>
          <w:marRight w:val="0"/>
          <w:marTop w:val="0"/>
          <w:marBottom w:val="0"/>
          <w:divBdr>
            <w:top w:val="none" w:sz="0" w:space="0" w:color="auto"/>
            <w:left w:val="none" w:sz="0" w:space="0" w:color="auto"/>
            <w:bottom w:val="none" w:sz="0" w:space="0" w:color="auto"/>
            <w:right w:val="none" w:sz="0" w:space="0" w:color="auto"/>
          </w:divBdr>
        </w:div>
        <w:div w:id="1377310857">
          <w:marLeft w:val="0"/>
          <w:marRight w:val="0"/>
          <w:marTop w:val="0"/>
          <w:marBottom w:val="0"/>
          <w:divBdr>
            <w:top w:val="none" w:sz="0" w:space="0" w:color="auto"/>
            <w:left w:val="none" w:sz="0" w:space="0" w:color="auto"/>
            <w:bottom w:val="none" w:sz="0" w:space="0" w:color="auto"/>
            <w:right w:val="none" w:sz="0" w:space="0" w:color="auto"/>
          </w:divBdr>
        </w:div>
        <w:div w:id="1377310858">
          <w:marLeft w:val="0"/>
          <w:marRight w:val="0"/>
          <w:marTop w:val="0"/>
          <w:marBottom w:val="0"/>
          <w:divBdr>
            <w:top w:val="none" w:sz="0" w:space="0" w:color="auto"/>
            <w:left w:val="none" w:sz="0" w:space="0" w:color="auto"/>
            <w:bottom w:val="none" w:sz="0" w:space="0" w:color="auto"/>
            <w:right w:val="none" w:sz="0" w:space="0" w:color="auto"/>
          </w:divBdr>
        </w:div>
        <w:div w:id="1377310859">
          <w:marLeft w:val="0"/>
          <w:marRight w:val="0"/>
          <w:marTop w:val="0"/>
          <w:marBottom w:val="0"/>
          <w:divBdr>
            <w:top w:val="none" w:sz="0" w:space="0" w:color="auto"/>
            <w:left w:val="none" w:sz="0" w:space="0" w:color="auto"/>
            <w:bottom w:val="none" w:sz="0" w:space="0" w:color="auto"/>
            <w:right w:val="none" w:sz="0" w:space="0" w:color="auto"/>
          </w:divBdr>
        </w:div>
        <w:div w:id="1377310860">
          <w:marLeft w:val="0"/>
          <w:marRight w:val="0"/>
          <w:marTop w:val="0"/>
          <w:marBottom w:val="0"/>
          <w:divBdr>
            <w:top w:val="none" w:sz="0" w:space="0" w:color="auto"/>
            <w:left w:val="none" w:sz="0" w:space="0" w:color="auto"/>
            <w:bottom w:val="none" w:sz="0" w:space="0" w:color="auto"/>
            <w:right w:val="none" w:sz="0" w:space="0" w:color="auto"/>
          </w:divBdr>
        </w:div>
        <w:div w:id="1377310861">
          <w:marLeft w:val="0"/>
          <w:marRight w:val="0"/>
          <w:marTop w:val="0"/>
          <w:marBottom w:val="0"/>
          <w:divBdr>
            <w:top w:val="none" w:sz="0" w:space="0" w:color="auto"/>
            <w:left w:val="none" w:sz="0" w:space="0" w:color="auto"/>
            <w:bottom w:val="none" w:sz="0" w:space="0" w:color="auto"/>
            <w:right w:val="none" w:sz="0" w:space="0" w:color="auto"/>
          </w:divBdr>
        </w:div>
        <w:div w:id="1377310863">
          <w:marLeft w:val="0"/>
          <w:marRight w:val="0"/>
          <w:marTop w:val="0"/>
          <w:marBottom w:val="0"/>
          <w:divBdr>
            <w:top w:val="none" w:sz="0" w:space="0" w:color="auto"/>
            <w:left w:val="none" w:sz="0" w:space="0" w:color="auto"/>
            <w:bottom w:val="none" w:sz="0" w:space="0" w:color="auto"/>
            <w:right w:val="none" w:sz="0" w:space="0" w:color="auto"/>
          </w:divBdr>
        </w:div>
        <w:div w:id="1377310864">
          <w:marLeft w:val="0"/>
          <w:marRight w:val="0"/>
          <w:marTop w:val="0"/>
          <w:marBottom w:val="0"/>
          <w:divBdr>
            <w:top w:val="none" w:sz="0" w:space="0" w:color="auto"/>
            <w:left w:val="none" w:sz="0" w:space="0" w:color="auto"/>
            <w:bottom w:val="none" w:sz="0" w:space="0" w:color="auto"/>
            <w:right w:val="none" w:sz="0" w:space="0" w:color="auto"/>
          </w:divBdr>
        </w:div>
        <w:div w:id="1377310865">
          <w:marLeft w:val="0"/>
          <w:marRight w:val="0"/>
          <w:marTop w:val="0"/>
          <w:marBottom w:val="0"/>
          <w:divBdr>
            <w:top w:val="none" w:sz="0" w:space="0" w:color="auto"/>
            <w:left w:val="none" w:sz="0" w:space="0" w:color="auto"/>
            <w:bottom w:val="none" w:sz="0" w:space="0" w:color="auto"/>
            <w:right w:val="none" w:sz="0" w:space="0" w:color="auto"/>
          </w:divBdr>
        </w:div>
        <w:div w:id="1377310866">
          <w:marLeft w:val="0"/>
          <w:marRight w:val="0"/>
          <w:marTop w:val="0"/>
          <w:marBottom w:val="0"/>
          <w:divBdr>
            <w:top w:val="none" w:sz="0" w:space="0" w:color="auto"/>
            <w:left w:val="none" w:sz="0" w:space="0" w:color="auto"/>
            <w:bottom w:val="none" w:sz="0" w:space="0" w:color="auto"/>
            <w:right w:val="none" w:sz="0" w:space="0" w:color="auto"/>
          </w:divBdr>
        </w:div>
        <w:div w:id="1377310867">
          <w:marLeft w:val="0"/>
          <w:marRight w:val="0"/>
          <w:marTop w:val="0"/>
          <w:marBottom w:val="0"/>
          <w:divBdr>
            <w:top w:val="none" w:sz="0" w:space="0" w:color="auto"/>
            <w:left w:val="none" w:sz="0" w:space="0" w:color="auto"/>
            <w:bottom w:val="none" w:sz="0" w:space="0" w:color="auto"/>
            <w:right w:val="none" w:sz="0" w:space="0" w:color="auto"/>
          </w:divBdr>
        </w:div>
        <w:div w:id="1377310868">
          <w:marLeft w:val="0"/>
          <w:marRight w:val="0"/>
          <w:marTop w:val="0"/>
          <w:marBottom w:val="0"/>
          <w:divBdr>
            <w:top w:val="none" w:sz="0" w:space="0" w:color="auto"/>
            <w:left w:val="none" w:sz="0" w:space="0" w:color="auto"/>
            <w:bottom w:val="none" w:sz="0" w:space="0" w:color="auto"/>
            <w:right w:val="none" w:sz="0" w:space="0" w:color="auto"/>
          </w:divBdr>
        </w:div>
        <w:div w:id="1377310870">
          <w:marLeft w:val="0"/>
          <w:marRight w:val="0"/>
          <w:marTop w:val="0"/>
          <w:marBottom w:val="0"/>
          <w:divBdr>
            <w:top w:val="none" w:sz="0" w:space="0" w:color="auto"/>
            <w:left w:val="none" w:sz="0" w:space="0" w:color="auto"/>
            <w:bottom w:val="none" w:sz="0" w:space="0" w:color="auto"/>
            <w:right w:val="none" w:sz="0" w:space="0" w:color="auto"/>
          </w:divBdr>
        </w:div>
        <w:div w:id="1377310871">
          <w:marLeft w:val="0"/>
          <w:marRight w:val="0"/>
          <w:marTop w:val="0"/>
          <w:marBottom w:val="0"/>
          <w:divBdr>
            <w:top w:val="none" w:sz="0" w:space="0" w:color="auto"/>
            <w:left w:val="none" w:sz="0" w:space="0" w:color="auto"/>
            <w:bottom w:val="none" w:sz="0" w:space="0" w:color="auto"/>
            <w:right w:val="none" w:sz="0" w:space="0" w:color="auto"/>
          </w:divBdr>
        </w:div>
        <w:div w:id="1377310873">
          <w:marLeft w:val="0"/>
          <w:marRight w:val="0"/>
          <w:marTop w:val="0"/>
          <w:marBottom w:val="0"/>
          <w:divBdr>
            <w:top w:val="none" w:sz="0" w:space="0" w:color="auto"/>
            <w:left w:val="none" w:sz="0" w:space="0" w:color="auto"/>
            <w:bottom w:val="none" w:sz="0" w:space="0" w:color="auto"/>
            <w:right w:val="none" w:sz="0" w:space="0" w:color="auto"/>
          </w:divBdr>
        </w:div>
        <w:div w:id="1377310874">
          <w:marLeft w:val="0"/>
          <w:marRight w:val="0"/>
          <w:marTop w:val="0"/>
          <w:marBottom w:val="0"/>
          <w:divBdr>
            <w:top w:val="none" w:sz="0" w:space="0" w:color="auto"/>
            <w:left w:val="none" w:sz="0" w:space="0" w:color="auto"/>
            <w:bottom w:val="none" w:sz="0" w:space="0" w:color="auto"/>
            <w:right w:val="none" w:sz="0" w:space="0" w:color="auto"/>
          </w:divBdr>
        </w:div>
        <w:div w:id="1377310875">
          <w:marLeft w:val="0"/>
          <w:marRight w:val="0"/>
          <w:marTop w:val="0"/>
          <w:marBottom w:val="0"/>
          <w:divBdr>
            <w:top w:val="none" w:sz="0" w:space="0" w:color="auto"/>
            <w:left w:val="none" w:sz="0" w:space="0" w:color="auto"/>
            <w:bottom w:val="none" w:sz="0" w:space="0" w:color="auto"/>
            <w:right w:val="none" w:sz="0" w:space="0" w:color="auto"/>
          </w:divBdr>
        </w:div>
        <w:div w:id="1377310876">
          <w:marLeft w:val="0"/>
          <w:marRight w:val="0"/>
          <w:marTop w:val="0"/>
          <w:marBottom w:val="0"/>
          <w:divBdr>
            <w:top w:val="none" w:sz="0" w:space="0" w:color="auto"/>
            <w:left w:val="none" w:sz="0" w:space="0" w:color="auto"/>
            <w:bottom w:val="none" w:sz="0" w:space="0" w:color="auto"/>
            <w:right w:val="none" w:sz="0" w:space="0" w:color="auto"/>
          </w:divBdr>
        </w:div>
        <w:div w:id="1377310877">
          <w:marLeft w:val="0"/>
          <w:marRight w:val="0"/>
          <w:marTop w:val="0"/>
          <w:marBottom w:val="0"/>
          <w:divBdr>
            <w:top w:val="none" w:sz="0" w:space="0" w:color="auto"/>
            <w:left w:val="none" w:sz="0" w:space="0" w:color="auto"/>
            <w:bottom w:val="none" w:sz="0" w:space="0" w:color="auto"/>
            <w:right w:val="none" w:sz="0" w:space="0" w:color="auto"/>
          </w:divBdr>
        </w:div>
        <w:div w:id="1377310878">
          <w:marLeft w:val="0"/>
          <w:marRight w:val="0"/>
          <w:marTop w:val="0"/>
          <w:marBottom w:val="0"/>
          <w:divBdr>
            <w:top w:val="none" w:sz="0" w:space="0" w:color="auto"/>
            <w:left w:val="none" w:sz="0" w:space="0" w:color="auto"/>
            <w:bottom w:val="none" w:sz="0" w:space="0" w:color="auto"/>
            <w:right w:val="none" w:sz="0" w:space="0" w:color="auto"/>
          </w:divBdr>
        </w:div>
        <w:div w:id="1377310879">
          <w:marLeft w:val="0"/>
          <w:marRight w:val="0"/>
          <w:marTop w:val="0"/>
          <w:marBottom w:val="0"/>
          <w:divBdr>
            <w:top w:val="none" w:sz="0" w:space="0" w:color="auto"/>
            <w:left w:val="none" w:sz="0" w:space="0" w:color="auto"/>
            <w:bottom w:val="none" w:sz="0" w:space="0" w:color="auto"/>
            <w:right w:val="none" w:sz="0" w:space="0" w:color="auto"/>
          </w:divBdr>
        </w:div>
        <w:div w:id="1377310880">
          <w:marLeft w:val="0"/>
          <w:marRight w:val="0"/>
          <w:marTop w:val="0"/>
          <w:marBottom w:val="0"/>
          <w:divBdr>
            <w:top w:val="none" w:sz="0" w:space="0" w:color="auto"/>
            <w:left w:val="none" w:sz="0" w:space="0" w:color="auto"/>
            <w:bottom w:val="none" w:sz="0" w:space="0" w:color="auto"/>
            <w:right w:val="none" w:sz="0" w:space="0" w:color="auto"/>
          </w:divBdr>
        </w:div>
        <w:div w:id="1377310881">
          <w:marLeft w:val="0"/>
          <w:marRight w:val="0"/>
          <w:marTop w:val="0"/>
          <w:marBottom w:val="0"/>
          <w:divBdr>
            <w:top w:val="none" w:sz="0" w:space="0" w:color="auto"/>
            <w:left w:val="none" w:sz="0" w:space="0" w:color="auto"/>
            <w:bottom w:val="none" w:sz="0" w:space="0" w:color="auto"/>
            <w:right w:val="none" w:sz="0" w:space="0" w:color="auto"/>
          </w:divBdr>
        </w:div>
        <w:div w:id="1377310882">
          <w:marLeft w:val="0"/>
          <w:marRight w:val="0"/>
          <w:marTop w:val="0"/>
          <w:marBottom w:val="0"/>
          <w:divBdr>
            <w:top w:val="none" w:sz="0" w:space="0" w:color="auto"/>
            <w:left w:val="none" w:sz="0" w:space="0" w:color="auto"/>
            <w:bottom w:val="none" w:sz="0" w:space="0" w:color="auto"/>
            <w:right w:val="none" w:sz="0" w:space="0" w:color="auto"/>
          </w:divBdr>
        </w:div>
        <w:div w:id="1377310883">
          <w:marLeft w:val="0"/>
          <w:marRight w:val="0"/>
          <w:marTop w:val="0"/>
          <w:marBottom w:val="0"/>
          <w:divBdr>
            <w:top w:val="none" w:sz="0" w:space="0" w:color="auto"/>
            <w:left w:val="none" w:sz="0" w:space="0" w:color="auto"/>
            <w:bottom w:val="none" w:sz="0" w:space="0" w:color="auto"/>
            <w:right w:val="none" w:sz="0" w:space="0" w:color="auto"/>
          </w:divBdr>
        </w:div>
        <w:div w:id="1377310884">
          <w:marLeft w:val="0"/>
          <w:marRight w:val="0"/>
          <w:marTop w:val="0"/>
          <w:marBottom w:val="0"/>
          <w:divBdr>
            <w:top w:val="none" w:sz="0" w:space="0" w:color="auto"/>
            <w:left w:val="none" w:sz="0" w:space="0" w:color="auto"/>
            <w:bottom w:val="none" w:sz="0" w:space="0" w:color="auto"/>
            <w:right w:val="none" w:sz="0" w:space="0" w:color="auto"/>
          </w:divBdr>
        </w:div>
        <w:div w:id="1377310885">
          <w:marLeft w:val="0"/>
          <w:marRight w:val="0"/>
          <w:marTop w:val="0"/>
          <w:marBottom w:val="0"/>
          <w:divBdr>
            <w:top w:val="none" w:sz="0" w:space="0" w:color="auto"/>
            <w:left w:val="none" w:sz="0" w:space="0" w:color="auto"/>
            <w:bottom w:val="none" w:sz="0" w:space="0" w:color="auto"/>
            <w:right w:val="none" w:sz="0" w:space="0" w:color="auto"/>
          </w:divBdr>
        </w:div>
        <w:div w:id="1377310887">
          <w:marLeft w:val="0"/>
          <w:marRight w:val="0"/>
          <w:marTop w:val="0"/>
          <w:marBottom w:val="0"/>
          <w:divBdr>
            <w:top w:val="none" w:sz="0" w:space="0" w:color="auto"/>
            <w:left w:val="none" w:sz="0" w:space="0" w:color="auto"/>
            <w:bottom w:val="none" w:sz="0" w:space="0" w:color="auto"/>
            <w:right w:val="none" w:sz="0" w:space="0" w:color="auto"/>
          </w:divBdr>
        </w:div>
        <w:div w:id="1377310888">
          <w:marLeft w:val="0"/>
          <w:marRight w:val="0"/>
          <w:marTop w:val="0"/>
          <w:marBottom w:val="0"/>
          <w:divBdr>
            <w:top w:val="none" w:sz="0" w:space="0" w:color="auto"/>
            <w:left w:val="none" w:sz="0" w:space="0" w:color="auto"/>
            <w:bottom w:val="none" w:sz="0" w:space="0" w:color="auto"/>
            <w:right w:val="none" w:sz="0" w:space="0" w:color="auto"/>
          </w:divBdr>
        </w:div>
        <w:div w:id="1377310891">
          <w:marLeft w:val="0"/>
          <w:marRight w:val="0"/>
          <w:marTop w:val="0"/>
          <w:marBottom w:val="0"/>
          <w:divBdr>
            <w:top w:val="none" w:sz="0" w:space="0" w:color="auto"/>
            <w:left w:val="none" w:sz="0" w:space="0" w:color="auto"/>
            <w:bottom w:val="none" w:sz="0" w:space="0" w:color="auto"/>
            <w:right w:val="none" w:sz="0" w:space="0" w:color="auto"/>
          </w:divBdr>
        </w:div>
        <w:div w:id="1377310892">
          <w:marLeft w:val="0"/>
          <w:marRight w:val="0"/>
          <w:marTop w:val="0"/>
          <w:marBottom w:val="0"/>
          <w:divBdr>
            <w:top w:val="none" w:sz="0" w:space="0" w:color="auto"/>
            <w:left w:val="none" w:sz="0" w:space="0" w:color="auto"/>
            <w:bottom w:val="none" w:sz="0" w:space="0" w:color="auto"/>
            <w:right w:val="none" w:sz="0" w:space="0" w:color="auto"/>
          </w:divBdr>
        </w:div>
        <w:div w:id="1377310894">
          <w:marLeft w:val="0"/>
          <w:marRight w:val="0"/>
          <w:marTop w:val="0"/>
          <w:marBottom w:val="0"/>
          <w:divBdr>
            <w:top w:val="none" w:sz="0" w:space="0" w:color="auto"/>
            <w:left w:val="none" w:sz="0" w:space="0" w:color="auto"/>
            <w:bottom w:val="none" w:sz="0" w:space="0" w:color="auto"/>
            <w:right w:val="none" w:sz="0" w:space="0" w:color="auto"/>
          </w:divBdr>
        </w:div>
        <w:div w:id="1377310895">
          <w:marLeft w:val="0"/>
          <w:marRight w:val="0"/>
          <w:marTop w:val="0"/>
          <w:marBottom w:val="0"/>
          <w:divBdr>
            <w:top w:val="none" w:sz="0" w:space="0" w:color="auto"/>
            <w:left w:val="none" w:sz="0" w:space="0" w:color="auto"/>
            <w:bottom w:val="none" w:sz="0" w:space="0" w:color="auto"/>
            <w:right w:val="none" w:sz="0" w:space="0" w:color="auto"/>
          </w:divBdr>
        </w:div>
        <w:div w:id="1377310896">
          <w:marLeft w:val="0"/>
          <w:marRight w:val="0"/>
          <w:marTop w:val="0"/>
          <w:marBottom w:val="0"/>
          <w:divBdr>
            <w:top w:val="none" w:sz="0" w:space="0" w:color="auto"/>
            <w:left w:val="none" w:sz="0" w:space="0" w:color="auto"/>
            <w:bottom w:val="none" w:sz="0" w:space="0" w:color="auto"/>
            <w:right w:val="none" w:sz="0" w:space="0" w:color="auto"/>
          </w:divBdr>
        </w:div>
        <w:div w:id="1377310897">
          <w:marLeft w:val="0"/>
          <w:marRight w:val="0"/>
          <w:marTop w:val="0"/>
          <w:marBottom w:val="0"/>
          <w:divBdr>
            <w:top w:val="none" w:sz="0" w:space="0" w:color="auto"/>
            <w:left w:val="none" w:sz="0" w:space="0" w:color="auto"/>
            <w:bottom w:val="none" w:sz="0" w:space="0" w:color="auto"/>
            <w:right w:val="none" w:sz="0" w:space="0" w:color="auto"/>
          </w:divBdr>
        </w:div>
        <w:div w:id="1377310928">
          <w:marLeft w:val="0"/>
          <w:marRight w:val="0"/>
          <w:marTop w:val="0"/>
          <w:marBottom w:val="0"/>
          <w:divBdr>
            <w:top w:val="none" w:sz="0" w:space="0" w:color="auto"/>
            <w:left w:val="none" w:sz="0" w:space="0" w:color="auto"/>
            <w:bottom w:val="none" w:sz="0" w:space="0" w:color="auto"/>
            <w:right w:val="none" w:sz="0" w:space="0" w:color="auto"/>
          </w:divBdr>
        </w:div>
        <w:div w:id="1377310929">
          <w:marLeft w:val="0"/>
          <w:marRight w:val="0"/>
          <w:marTop w:val="0"/>
          <w:marBottom w:val="0"/>
          <w:divBdr>
            <w:top w:val="none" w:sz="0" w:space="0" w:color="auto"/>
            <w:left w:val="none" w:sz="0" w:space="0" w:color="auto"/>
            <w:bottom w:val="none" w:sz="0" w:space="0" w:color="auto"/>
            <w:right w:val="none" w:sz="0" w:space="0" w:color="auto"/>
          </w:divBdr>
        </w:div>
        <w:div w:id="1377310930">
          <w:marLeft w:val="0"/>
          <w:marRight w:val="0"/>
          <w:marTop w:val="0"/>
          <w:marBottom w:val="0"/>
          <w:divBdr>
            <w:top w:val="none" w:sz="0" w:space="0" w:color="auto"/>
            <w:left w:val="none" w:sz="0" w:space="0" w:color="auto"/>
            <w:bottom w:val="none" w:sz="0" w:space="0" w:color="auto"/>
            <w:right w:val="none" w:sz="0" w:space="0" w:color="auto"/>
          </w:divBdr>
        </w:div>
        <w:div w:id="1377310931">
          <w:marLeft w:val="0"/>
          <w:marRight w:val="0"/>
          <w:marTop w:val="0"/>
          <w:marBottom w:val="0"/>
          <w:divBdr>
            <w:top w:val="none" w:sz="0" w:space="0" w:color="auto"/>
            <w:left w:val="none" w:sz="0" w:space="0" w:color="auto"/>
            <w:bottom w:val="none" w:sz="0" w:space="0" w:color="auto"/>
            <w:right w:val="none" w:sz="0" w:space="0" w:color="auto"/>
          </w:divBdr>
        </w:div>
        <w:div w:id="1377310937">
          <w:marLeft w:val="0"/>
          <w:marRight w:val="0"/>
          <w:marTop w:val="0"/>
          <w:marBottom w:val="0"/>
          <w:divBdr>
            <w:top w:val="none" w:sz="0" w:space="0" w:color="auto"/>
            <w:left w:val="none" w:sz="0" w:space="0" w:color="auto"/>
            <w:bottom w:val="none" w:sz="0" w:space="0" w:color="auto"/>
            <w:right w:val="none" w:sz="0" w:space="0" w:color="auto"/>
          </w:divBdr>
        </w:div>
        <w:div w:id="1377310938">
          <w:marLeft w:val="0"/>
          <w:marRight w:val="0"/>
          <w:marTop w:val="0"/>
          <w:marBottom w:val="0"/>
          <w:divBdr>
            <w:top w:val="none" w:sz="0" w:space="0" w:color="auto"/>
            <w:left w:val="none" w:sz="0" w:space="0" w:color="auto"/>
            <w:bottom w:val="none" w:sz="0" w:space="0" w:color="auto"/>
            <w:right w:val="none" w:sz="0" w:space="0" w:color="auto"/>
          </w:divBdr>
        </w:div>
        <w:div w:id="1377310939">
          <w:marLeft w:val="0"/>
          <w:marRight w:val="0"/>
          <w:marTop w:val="0"/>
          <w:marBottom w:val="0"/>
          <w:divBdr>
            <w:top w:val="none" w:sz="0" w:space="0" w:color="auto"/>
            <w:left w:val="none" w:sz="0" w:space="0" w:color="auto"/>
            <w:bottom w:val="none" w:sz="0" w:space="0" w:color="auto"/>
            <w:right w:val="none" w:sz="0" w:space="0" w:color="auto"/>
          </w:divBdr>
        </w:div>
        <w:div w:id="1377310940">
          <w:marLeft w:val="0"/>
          <w:marRight w:val="0"/>
          <w:marTop w:val="0"/>
          <w:marBottom w:val="0"/>
          <w:divBdr>
            <w:top w:val="none" w:sz="0" w:space="0" w:color="auto"/>
            <w:left w:val="none" w:sz="0" w:space="0" w:color="auto"/>
            <w:bottom w:val="none" w:sz="0" w:space="0" w:color="auto"/>
            <w:right w:val="none" w:sz="0" w:space="0" w:color="auto"/>
          </w:divBdr>
        </w:div>
        <w:div w:id="1377310941">
          <w:marLeft w:val="0"/>
          <w:marRight w:val="0"/>
          <w:marTop w:val="0"/>
          <w:marBottom w:val="0"/>
          <w:divBdr>
            <w:top w:val="none" w:sz="0" w:space="0" w:color="auto"/>
            <w:left w:val="none" w:sz="0" w:space="0" w:color="auto"/>
            <w:bottom w:val="none" w:sz="0" w:space="0" w:color="auto"/>
            <w:right w:val="none" w:sz="0" w:space="0" w:color="auto"/>
          </w:divBdr>
        </w:div>
        <w:div w:id="1377310942">
          <w:marLeft w:val="0"/>
          <w:marRight w:val="0"/>
          <w:marTop w:val="0"/>
          <w:marBottom w:val="0"/>
          <w:divBdr>
            <w:top w:val="none" w:sz="0" w:space="0" w:color="auto"/>
            <w:left w:val="none" w:sz="0" w:space="0" w:color="auto"/>
            <w:bottom w:val="none" w:sz="0" w:space="0" w:color="auto"/>
            <w:right w:val="none" w:sz="0" w:space="0" w:color="auto"/>
          </w:divBdr>
        </w:div>
        <w:div w:id="1377310944">
          <w:marLeft w:val="0"/>
          <w:marRight w:val="0"/>
          <w:marTop w:val="0"/>
          <w:marBottom w:val="0"/>
          <w:divBdr>
            <w:top w:val="none" w:sz="0" w:space="0" w:color="auto"/>
            <w:left w:val="none" w:sz="0" w:space="0" w:color="auto"/>
            <w:bottom w:val="none" w:sz="0" w:space="0" w:color="auto"/>
            <w:right w:val="none" w:sz="0" w:space="0" w:color="auto"/>
          </w:divBdr>
        </w:div>
        <w:div w:id="1377310946">
          <w:marLeft w:val="0"/>
          <w:marRight w:val="0"/>
          <w:marTop w:val="0"/>
          <w:marBottom w:val="0"/>
          <w:divBdr>
            <w:top w:val="none" w:sz="0" w:space="0" w:color="auto"/>
            <w:left w:val="none" w:sz="0" w:space="0" w:color="auto"/>
            <w:bottom w:val="none" w:sz="0" w:space="0" w:color="auto"/>
            <w:right w:val="none" w:sz="0" w:space="0" w:color="auto"/>
          </w:divBdr>
        </w:div>
        <w:div w:id="1377310947">
          <w:marLeft w:val="0"/>
          <w:marRight w:val="0"/>
          <w:marTop w:val="0"/>
          <w:marBottom w:val="0"/>
          <w:divBdr>
            <w:top w:val="none" w:sz="0" w:space="0" w:color="auto"/>
            <w:left w:val="none" w:sz="0" w:space="0" w:color="auto"/>
            <w:bottom w:val="none" w:sz="0" w:space="0" w:color="auto"/>
            <w:right w:val="none" w:sz="0" w:space="0" w:color="auto"/>
          </w:divBdr>
        </w:div>
        <w:div w:id="1377310949">
          <w:marLeft w:val="0"/>
          <w:marRight w:val="0"/>
          <w:marTop w:val="0"/>
          <w:marBottom w:val="0"/>
          <w:divBdr>
            <w:top w:val="none" w:sz="0" w:space="0" w:color="auto"/>
            <w:left w:val="none" w:sz="0" w:space="0" w:color="auto"/>
            <w:bottom w:val="none" w:sz="0" w:space="0" w:color="auto"/>
            <w:right w:val="none" w:sz="0" w:space="0" w:color="auto"/>
          </w:divBdr>
        </w:div>
        <w:div w:id="1377310950">
          <w:marLeft w:val="0"/>
          <w:marRight w:val="0"/>
          <w:marTop w:val="0"/>
          <w:marBottom w:val="0"/>
          <w:divBdr>
            <w:top w:val="none" w:sz="0" w:space="0" w:color="auto"/>
            <w:left w:val="none" w:sz="0" w:space="0" w:color="auto"/>
            <w:bottom w:val="none" w:sz="0" w:space="0" w:color="auto"/>
            <w:right w:val="none" w:sz="0" w:space="0" w:color="auto"/>
          </w:divBdr>
        </w:div>
      </w:divsChild>
    </w:div>
    <w:div w:id="1377310943">
      <w:marLeft w:val="0"/>
      <w:marRight w:val="0"/>
      <w:marTop w:val="0"/>
      <w:marBottom w:val="0"/>
      <w:divBdr>
        <w:top w:val="none" w:sz="0" w:space="0" w:color="auto"/>
        <w:left w:val="none" w:sz="0" w:space="0" w:color="auto"/>
        <w:bottom w:val="none" w:sz="0" w:space="0" w:color="auto"/>
        <w:right w:val="none" w:sz="0" w:space="0" w:color="auto"/>
      </w:divBdr>
    </w:div>
    <w:div w:id="13773109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image" Target="media/image3.jpeg"/>
  <Relationship Id="rId13" Type="http://schemas.openxmlformats.org/officeDocument/2006/relationships/footer" Target="footer4.xml"/>
  <Relationship Id="rId14" Type="http://schemas.openxmlformats.org/officeDocument/2006/relationships/image" Target="media/image4.png"/>
  <Relationship Id="rId15" Type="http://schemas.openxmlformats.org/officeDocument/2006/relationships/image" Target="media/image5.jpeg"/>
  <Relationship Id="rId16" Type="http://schemas.openxmlformats.org/officeDocument/2006/relationships/image" Target="media/image6.jpeg"/>
  <Relationship Id="rId17" Type="http://schemas.openxmlformats.org/officeDocument/2006/relationships/image" Target="media/image7.jpeg"/>
  <Relationship Id="rId18" Type="http://schemas.openxmlformats.org/officeDocument/2006/relationships/header" Target="header1.xml"/>
  <Relationship Id="rId19" Type="http://schemas.openxmlformats.org/officeDocument/2006/relationships/footer" Target="footer5.xml"/>
  <Relationship Id="rId2" Type="http://schemas.openxmlformats.org/officeDocument/2006/relationships/styles" Target="styles.xml"/>
  <Relationship Id="rId20" Type="http://schemas.openxmlformats.org/officeDocument/2006/relationships/footer" Target="footer6.xml"/>
  <Relationship Id="rId21" Type="http://schemas.openxmlformats.org/officeDocument/2006/relationships/header" Target="header2.xml"/>
  <Relationship Id="rId22" Type="http://schemas.openxmlformats.org/officeDocument/2006/relationships/image" Target="media/image8.jpeg"/>
  <Relationship Id="rId23" Type="http://schemas.openxmlformats.org/officeDocument/2006/relationships/image" Target="media/image9.jpeg"/>
  <Relationship Id="rId24" Type="http://schemas.openxmlformats.org/officeDocument/2006/relationships/image" Target="media/image10.jpeg"/>
  <Relationship Id="rId25" Type="http://schemas.openxmlformats.org/officeDocument/2006/relationships/header" Target="header3.xml"/>
  <Relationship Id="rId26" Type="http://schemas.openxmlformats.org/officeDocument/2006/relationships/footer" Target="footer7.xml"/>
  <Relationship Id="rId27" Type="http://schemas.openxmlformats.org/officeDocument/2006/relationships/footer" Target="footer8.xml"/>
  <Relationship Id="rId28" Type="http://schemas.openxmlformats.org/officeDocument/2006/relationships/header" Target="header4.xml"/>
  <Relationship Id="rId29" Type="http://schemas.openxmlformats.org/officeDocument/2006/relationships/image" Target="media/image11.emf"/>
  <Relationship Id="rId3" Type="http://schemas.openxmlformats.org/officeDocument/2006/relationships/settings" Target="settings.xml"/>
  <Relationship Id="rId30" Type="http://schemas.openxmlformats.org/officeDocument/2006/relationships/footer" Target="footer9.xml"/>
  <Relationship Id="rId31" Type="http://schemas.openxmlformats.org/officeDocument/2006/relationships/hyperlink" TargetMode="External" Target="http://www.cdc.gov/brfss/training/index.htm"/>
  <Relationship Id="rId32" Type="http://schemas.openxmlformats.org/officeDocument/2006/relationships/hyperlink" TargetMode="External" Target="http://www.who.int/publications/cra/chapters/volume2/part2/en/index.html"/>
  <Relationship Id="rId33" Type="http://schemas.openxmlformats.org/officeDocument/2006/relationships/hyperlink" TargetMode="External" Target="http://www.ncbi.nlm.nih.gov.ezp1.harvard.edu/sites/entrez?Db=pubmed&amp;Cmd=Search&amp;Term=%22Lee%20YL%22%5BAuthor%5D&amp;itool=EntrezSystem2.PEntrez.Pubmed.Pubmed_ResultsPanel.Pubmed_DiscoveryPanel.Pubmed_RVAbstractPlus"/>
  <Relationship Id="rId34" Type="http://schemas.openxmlformats.org/officeDocument/2006/relationships/hyperlink" TargetMode="External" Target="http://www.ncbi.nlm.nih.gov.ezp1.harvard.edu/sites/entrez?Db=pubmed&amp;Cmd=Search&amp;Term=%22Hwang%20BF%22%5BAuthor%5D&amp;itool=EntrezSystem2.PEntrez.Pubmed.Pubmed_ResultsPanel.Pubmed_DiscoveryPanel.Pubmed_RVAbstractPlus"/>
  <Relationship Id="rId35" Type="http://schemas.openxmlformats.org/officeDocument/2006/relationships/hyperlink" TargetMode="External" Target="http://www.ncbi.nlm.nih.gov.ezp1.harvard.edu/sites/entrez?Db=pubmed&amp;Cmd=Search&amp;Term=%22Lin%20YC%22%5BAuthor%5D&amp;itool=EntrezSystem2.PEntrez.Pubmed.Pubmed_ResultsPanel.Pubmed_DiscoveryPanel.Pubmed_RVAbstractPlus"/>
  <Relationship Id="rId36" Type="http://schemas.openxmlformats.org/officeDocument/2006/relationships/hyperlink" TargetMode="External" Target="http://www.ncbi.nlm.nih.gov.ezp1.harvard.edu/sites/entrez?Db=pubmed&amp;Cmd=Search&amp;Term=%22Guo%20YL%22%5BAuthor%5D&amp;itool=EntrezSystem2.PEntrez.Pubmed.Pubmed_ResultsPanel.Pubmed_DiscoveryPanel.Pubmed_RVAbstractPlus"/>
  <Relationship Id="rId37" Type="http://schemas.openxmlformats.org/officeDocument/2006/relationships/hyperlink" TargetMode="External" Target="http://www.epa.gov/ttnamti1/files/ambient/airtox/2007-workshop/%2001_100307_%20morin.pdf-"/>
  <Relationship Id="rId38" Type="http://schemas.openxmlformats.org/officeDocument/2006/relationships/hyperlink" TargetMode="External" Target="http://www.nidcd.nih.gov/health/inside/index.asp"/>
  <Relationship Id="rId39" Type="http://schemas.openxmlformats.org/officeDocument/2006/relationships/hyperlink" TargetMode="External" Target="http://www.aapor.org/AM/Template.cfm?Section=Do_Response_Rates_Matter_1&amp;Template=/CM/ContentDisplay.cfm&amp;ContentID=4682"/>
  <Relationship Id="rId4" Type="http://schemas.openxmlformats.org/officeDocument/2006/relationships/webSettings" Target="webSettings.xml"/>
  <Relationship Id="rId40" Type="http://schemas.openxmlformats.org/officeDocument/2006/relationships/hyperlink" TargetMode="External" Target="http://thorax.bmj.com/search?author1=J+Sunyer&amp;sortspec=date&amp;submit=Submit"/>
  <Relationship Id="rId41" Type="http://schemas.openxmlformats.org/officeDocument/2006/relationships/hyperlink" TargetMode="External" Target="http://thorax.bmj.com/search?author1=C+Spix&amp;sortspec=date&amp;submit=Submit"/>
  <Relationship Id="rId42" Type="http://schemas.openxmlformats.org/officeDocument/2006/relationships/hyperlink" TargetMode="External" Target="http://thorax.bmj.com/search?author1=P+Qu%C3%A9nel&amp;sortspec=date&amp;submit=Submit"/>
  <Relationship Id="rId43" Type="http://schemas.openxmlformats.org/officeDocument/2006/relationships/hyperlink" TargetMode="External" Target="http://thorax.bmj.com/search?author1=A+Ponce-de-Le%C3%B3n&amp;sortspec=date&amp;submit=Submit"/>
  <Relationship Id="rId44" Type="http://schemas.openxmlformats.org/officeDocument/2006/relationships/hyperlink" TargetMode="External" Target="http://thorax.bmj.com/search?author1=A+P%C3%B6nka&amp;sortspec=date&amp;submit=Submit"/>
  <Relationship Id="rId45" Type="http://schemas.openxmlformats.org/officeDocument/2006/relationships/hyperlink" TargetMode="External" Target="http://thorax.bmj.com/search?author1=T+Barumandzadeh&amp;sortspec=date&amp;submit=Submit"/>
  <Relationship Id="rId46" Type="http://schemas.openxmlformats.org/officeDocument/2006/relationships/hyperlink" TargetMode="External" Target="http://thorax.bmj.com/search?author1=G+Touloumi&amp;sortspec=date&amp;submit=Submit"/>
  <Relationship Id="rId47" Type="http://schemas.openxmlformats.org/officeDocument/2006/relationships/hyperlink" TargetMode="External" Target="http://thorax.bmj.com/search?author1=L+Bacharova&amp;sortspec=date&amp;submit=Submit"/>
  <Relationship Id="rId48" Type="http://schemas.openxmlformats.org/officeDocument/2006/relationships/hyperlink" TargetMode="External" Target="http://thorax.bmj.com/search?author1=B+Wojtyniak&amp;sortspec=date&amp;submit=Submit"/>
  <Relationship Id="rId49" Type="http://schemas.openxmlformats.org/officeDocument/2006/relationships/hyperlink" TargetMode="External" Target="http://thorax.bmj.com/search?author1=J+Vonk&amp;sortspec=date&amp;submit=Submit"/>
  <Relationship Id="rId5" Type="http://schemas.openxmlformats.org/officeDocument/2006/relationships/footnotes" Target="footnotes.xml"/>
  <Relationship Id="rId50" Type="http://schemas.openxmlformats.org/officeDocument/2006/relationships/hyperlink" TargetMode="External" Target="http://thorax.bmj.com/search?author1=L+Bisanti&amp;sortspec=date&amp;submit=Submit"/>
  <Relationship Id="rId51" Type="http://schemas.openxmlformats.org/officeDocument/2006/relationships/hyperlink" TargetMode="External" Target="http://thorax.bmj.com/search?author1=J+Schwartz&amp;sortspec=date&amp;submit=Submit"/>
  <Relationship Id="rId52" Type="http://schemas.openxmlformats.org/officeDocument/2006/relationships/hyperlink" TargetMode="External" Target="http://thorax.bmj.com/search?author1=K+Katsouyanni&amp;sortspec=date&amp;submit=Submit"/>
  <Relationship Id="rId53" Type="http://schemas.openxmlformats.org/officeDocument/2006/relationships/hyperlink" TargetMode="External" Target="http://nonoise.org/library/levels74/levels74.htm"/>
  <Relationship Id="rId54" Type="http://schemas.openxmlformats.org/officeDocument/2006/relationships/hyperlink" TargetMode="External" Target="http://www.epa.gov/air/data/"/>
  <Relationship Id="rId55" Type="http://schemas.openxmlformats.org/officeDocument/2006/relationships/hyperlink" TargetMode="External" Target="http://www.faa.gov/about/office_org/headquarters_offices/apl/research/models/edms_model/media/EDMS%205.1.3%20User%20Manual.pdf"/>
  <Relationship Id="rId56" Type="http://schemas.openxmlformats.org/officeDocument/2006/relationships/fontTable" Target="fontTable.xml"/>
  <Relationship Id="rId57" Type="http://schemas.openxmlformats.org/officeDocument/2006/relationships/theme" Target="theme/theme1.xml"/>
  <Relationship Id="rId6" Type="http://schemas.openxmlformats.org/officeDocument/2006/relationships/endnotes" Target="endnotes.xml"/>
  <Relationship Id="rId7" Type="http://schemas.openxmlformats.org/officeDocument/2006/relationships/image" Target="media/image1.jpeg"/>
  <Relationship Id="rId8" Type="http://schemas.openxmlformats.org/officeDocument/2006/relationships/image" Target="media/image2.jpe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130</Pages>
  <Words>-32766</Words>
  <Characters>-32766</Characters>
  <Application>Microsoft Office Outlook</Application>
  <DocSecurity>0</DocSecurity>
  <Lines>0</Lines>
  <Paragraphs>0</Paragraphs>
  <ScaleCrop>false</ScaleCrop>
  <Company>EOHHS</Company>
  <LinksUpToDate>false</LinksUpToDate>
  <CharactersWithSpaces>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2014-05-25T17:44:00Z</dcterms:created>
  <dc:creator>MDPH - Bureau of Environmental Health</dc:creator>
  <lastModifiedBy>Administrator</lastModifiedBy>
  <lastPrinted>2014-05-23T10:41:00Z</lastPrinted>
  <dcterms:modified xsi:type="dcterms:W3CDTF">2014-05-28T14:15:00Z</dcterms:modified>
  <revision>8</revision>
  <dc:title>Logan Airport Health Study</dc:title>
</coreProperties>
</file>