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38" w:rsidRPr="00405DBA" w:rsidRDefault="00645538" w:rsidP="00645538">
      <w:pPr>
        <w:jc w:val="center"/>
        <w:rPr>
          <w:rFonts w:ascii="Garamond" w:hAnsi="Garamond"/>
          <w:b/>
          <w:sz w:val="28"/>
          <w:szCs w:val="28"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r w:rsidRPr="00405DBA">
            <w:rPr>
              <w:rFonts w:ascii="Garamond" w:hAnsi="Garamond"/>
              <w:b/>
              <w:sz w:val="28"/>
              <w:szCs w:val="28"/>
            </w:rPr>
            <w:t>COMMONWEALTH</w:t>
          </w:r>
        </w:smartTag>
        <w:r w:rsidRPr="00405DBA">
          <w:rPr>
            <w:rFonts w:ascii="Garamond" w:hAnsi="Garamond"/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405DBA">
            <w:rPr>
              <w:rFonts w:ascii="Garamond" w:hAnsi="Garamond"/>
              <w:b/>
              <w:sz w:val="28"/>
              <w:szCs w:val="28"/>
            </w:rPr>
            <w:t>MASSACHUSETTS</w:t>
          </w:r>
        </w:smartTag>
      </w:smartTag>
    </w:p>
    <w:p w:rsidR="00645538" w:rsidRPr="00405DBA" w:rsidRDefault="00645538" w:rsidP="0064553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405DBA" w:rsidRPr="00405DBA" w:rsidTr="008A7727">
        <w:tc>
          <w:tcPr>
            <w:tcW w:w="4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45538" w:rsidRPr="00405DBA" w:rsidRDefault="00645538" w:rsidP="008A7727">
            <w:smartTag w:uri="urn:schemas-microsoft-com:office:smarttags" w:element="place">
              <w:smartTag w:uri="urn:schemas-microsoft-com:office:smarttags" w:element="City">
                <w:r w:rsidRPr="00405DBA">
                  <w:t>Suffolk</w:t>
                </w:r>
              </w:smartTag>
            </w:smartTag>
            <w:r w:rsidRPr="00405DBA">
              <w:t>, ss.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5538" w:rsidRPr="00405DBA" w:rsidRDefault="00645538" w:rsidP="008A7727">
            <w:pPr>
              <w:rPr>
                <w:b/>
              </w:rPr>
            </w:pPr>
            <w:r w:rsidRPr="00405DBA">
              <w:rPr>
                <w:b/>
              </w:rPr>
              <w:t>Division of Administrative Law Appeals</w:t>
            </w:r>
          </w:p>
          <w:p w:rsidR="00645538" w:rsidRPr="00405DBA" w:rsidRDefault="00645538" w:rsidP="008A7727">
            <w:pPr>
              <w:rPr>
                <w:b/>
              </w:rPr>
            </w:pPr>
          </w:p>
          <w:p w:rsidR="00645538" w:rsidRDefault="00C52FCF" w:rsidP="008A7727">
            <w:r w:rsidRPr="00C52FCF">
              <w:t>August 11, 2017</w:t>
            </w:r>
          </w:p>
          <w:p w:rsidR="00C52FCF" w:rsidRPr="00C52FCF" w:rsidRDefault="00C52FCF" w:rsidP="008A7727"/>
        </w:tc>
      </w:tr>
      <w:tr w:rsidR="00645538" w:rsidRPr="00405DBA" w:rsidTr="008A7727">
        <w:tc>
          <w:tcPr>
            <w:tcW w:w="4428" w:type="dxa"/>
            <w:tcBorders>
              <w:left w:val="nil"/>
              <w:right w:val="nil"/>
            </w:tcBorders>
            <w:shd w:val="clear" w:color="auto" w:fill="auto"/>
          </w:tcPr>
          <w:p w:rsidR="00645538" w:rsidRPr="00405DBA" w:rsidRDefault="00645538" w:rsidP="008A7727"/>
          <w:p w:rsidR="00645538" w:rsidRPr="00405DBA" w:rsidRDefault="00D1529A" w:rsidP="008A7727">
            <w:pPr>
              <w:rPr>
                <w:b/>
              </w:rPr>
            </w:pPr>
            <w:r w:rsidRPr="00405DBA">
              <w:rPr>
                <w:b/>
              </w:rPr>
              <w:t>Leslie Loomis</w:t>
            </w:r>
            <w:r w:rsidR="00645538" w:rsidRPr="00405DBA">
              <w:t>,</w:t>
            </w:r>
          </w:p>
          <w:p w:rsidR="00645538" w:rsidRPr="00405DBA" w:rsidRDefault="00645538" w:rsidP="008A7727">
            <w:r w:rsidRPr="00405DBA">
              <w:tab/>
              <w:t>Petitioner</w:t>
            </w:r>
          </w:p>
          <w:p w:rsidR="00645538" w:rsidRPr="00405DBA" w:rsidRDefault="00645538" w:rsidP="008A7727"/>
          <w:p w:rsidR="00645538" w:rsidRPr="00405DBA" w:rsidRDefault="00645538" w:rsidP="008A7727">
            <w:r w:rsidRPr="00405DBA">
              <w:tab/>
            </w:r>
            <w:r w:rsidRPr="00405DBA">
              <w:tab/>
              <w:t>v.</w:t>
            </w:r>
          </w:p>
          <w:p w:rsidR="00645538" w:rsidRPr="00405DBA" w:rsidRDefault="00645538" w:rsidP="008A7727"/>
          <w:p w:rsidR="00645538" w:rsidRPr="00405DBA" w:rsidRDefault="00645538" w:rsidP="008A7727">
            <w:r w:rsidRPr="00405DBA">
              <w:rPr>
                <w:b/>
              </w:rPr>
              <w:t>Massachusetts Teachers’ Retirement System</w:t>
            </w:r>
            <w:r w:rsidRPr="00405DBA">
              <w:t>,</w:t>
            </w:r>
          </w:p>
          <w:p w:rsidR="00645538" w:rsidRPr="00405DBA" w:rsidRDefault="00645538" w:rsidP="008A7727">
            <w:r w:rsidRPr="00405DBA">
              <w:tab/>
              <w:t>Respondent</w:t>
            </w:r>
          </w:p>
          <w:p w:rsidR="00645538" w:rsidRPr="00405DBA" w:rsidRDefault="00645538" w:rsidP="008A7727"/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45538" w:rsidRPr="00405DBA" w:rsidRDefault="00645538" w:rsidP="008A7727"/>
          <w:p w:rsidR="00645538" w:rsidRPr="00405DBA" w:rsidRDefault="00645538" w:rsidP="00600B3D">
            <w:r w:rsidRPr="00405DBA">
              <w:t>Docket No. CR-</w:t>
            </w:r>
            <w:r w:rsidR="00600B3D" w:rsidRPr="00405DBA">
              <w:t>15-269</w:t>
            </w:r>
          </w:p>
        </w:tc>
      </w:tr>
    </w:tbl>
    <w:p w:rsidR="00645538" w:rsidRPr="00405DBA" w:rsidRDefault="00645538" w:rsidP="00645538"/>
    <w:p w:rsidR="00645538" w:rsidRPr="00405DBA" w:rsidRDefault="00645538" w:rsidP="00645538"/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405DBA" w:rsidRPr="00405DBA" w:rsidTr="008A7727">
        <w:tc>
          <w:tcPr>
            <w:tcW w:w="4428" w:type="dxa"/>
            <w:shd w:val="clear" w:color="auto" w:fill="auto"/>
          </w:tcPr>
          <w:p w:rsidR="00645538" w:rsidRPr="00405DBA" w:rsidRDefault="00645538" w:rsidP="008A7727">
            <w:r w:rsidRPr="00405DBA">
              <w:rPr>
                <w:b/>
              </w:rPr>
              <w:t>Appearance for Petitioner</w:t>
            </w:r>
            <w:r w:rsidRPr="00405DBA">
              <w:t>:</w:t>
            </w:r>
          </w:p>
          <w:p w:rsidR="00645538" w:rsidRPr="00405DBA" w:rsidRDefault="00645538" w:rsidP="008A7727"/>
          <w:p w:rsidR="006217E0" w:rsidRPr="00405DBA" w:rsidRDefault="006217E0" w:rsidP="006217E0">
            <w:r w:rsidRPr="00405DBA">
              <w:t xml:space="preserve">Leslie Loomis, </w:t>
            </w:r>
            <w:r w:rsidRPr="00405DBA">
              <w:rPr>
                <w:i/>
              </w:rPr>
              <w:t>Pro se</w:t>
            </w:r>
          </w:p>
          <w:p w:rsidR="006217E0" w:rsidRPr="00405DBA" w:rsidRDefault="006217E0" w:rsidP="006217E0">
            <w:r w:rsidRPr="00405DBA">
              <w:t>23 Cambridge Terrace, #1</w:t>
            </w:r>
          </w:p>
          <w:p w:rsidR="006217E0" w:rsidRPr="00405DBA" w:rsidRDefault="006217E0" w:rsidP="006217E0">
            <w:r w:rsidRPr="00405DBA">
              <w:t>Cambridge, MA 02140</w:t>
            </w:r>
          </w:p>
          <w:p w:rsidR="00645538" w:rsidRPr="00405DBA" w:rsidRDefault="00645538" w:rsidP="008A7727"/>
        </w:tc>
      </w:tr>
      <w:tr w:rsidR="00645538" w:rsidRPr="00405DBA" w:rsidTr="008A7727">
        <w:tc>
          <w:tcPr>
            <w:tcW w:w="4428" w:type="dxa"/>
            <w:shd w:val="clear" w:color="auto" w:fill="auto"/>
          </w:tcPr>
          <w:p w:rsidR="00645538" w:rsidRPr="00405DBA" w:rsidRDefault="00645538" w:rsidP="008A7727">
            <w:pPr>
              <w:rPr>
                <w:b/>
              </w:rPr>
            </w:pPr>
            <w:r w:rsidRPr="00405DBA">
              <w:rPr>
                <w:b/>
              </w:rPr>
              <w:t>Appearance for Respondent</w:t>
            </w:r>
            <w:r w:rsidRPr="00405DBA">
              <w:t>:</w:t>
            </w:r>
          </w:p>
          <w:p w:rsidR="00645538" w:rsidRPr="00405DBA" w:rsidRDefault="00645538" w:rsidP="008A7727"/>
          <w:p w:rsidR="00645538" w:rsidRPr="00405DBA" w:rsidRDefault="00645538" w:rsidP="00645538">
            <w:r w:rsidRPr="00405DBA">
              <w:t>Christina L. Keefe, Esq.</w:t>
            </w:r>
          </w:p>
          <w:p w:rsidR="00645538" w:rsidRPr="00405DBA" w:rsidRDefault="00645538" w:rsidP="00645538">
            <w:r w:rsidRPr="00405DBA">
              <w:t>Massachusetts Teachers’ Retirement</w:t>
            </w:r>
            <w:r w:rsidR="00BD587A">
              <w:t xml:space="preserve"> </w:t>
            </w:r>
            <w:r w:rsidRPr="00405DBA">
              <w:t>System</w:t>
            </w:r>
          </w:p>
          <w:p w:rsidR="00645538" w:rsidRPr="00405DBA" w:rsidRDefault="00645538" w:rsidP="00645538">
            <w:r w:rsidRPr="00405DBA">
              <w:t>500 Rutherford Avenue</w:t>
            </w:r>
          </w:p>
          <w:p w:rsidR="00645538" w:rsidRPr="00405DBA" w:rsidRDefault="00645538" w:rsidP="00645538">
            <w:r w:rsidRPr="00405DBA">
              <w:t>Suite 120</w:t>
            </w:r>
          </w:p>
          <w:p w:rsidR="00645538" w:rsidRPr="00405DBA" w:rsidRDefault="00645538" w:rsidP="00645538">
            <w:r w:rsidRPr="00405DBA">
              <w:t>Charlestown, MA 02129</w:t>
            </w:r>
          </w:p>
          <w:p w:rsidR="00645538" w:rsidRPr="00405DBA" w:rsidRDefault="00645538" w:rsidP="008A7727"/>
        </w:tc>
      </w:tr>
    </w:tbl>
    <w:p w:rsidR="00645538" w:rsidRPr="00405DBA" w:rsidRDefault="00645538" w:rsidP="00645538"/>
    <w:p w:rsidR="00645538" w:rsidRPr="00405DBA" w:rsidRDefault="00645538" w:rsidP="00645538">
      <w:r w:rsidRPr="00405DBA">
        <w:rPr>
          <w:b/>
        </w:rPr>
        <w:t>Administrative Magistrate</w:t>
      </w:r>
      <w:r w:rsidRPr="00405DBA">
        <w:t>:</w:t>
      </w:r>
    </w:p>
    <w:p w:rsidR="00645538" w:rsidRPr="00405DBA" w:rsidRDefault="00645538" w:rsidP="00645538"/>
    <w:p w:rsidR="00645538" w:rsidRPr="00405DBA" w:rsidRDefault="00645538" w:rsidP="00645538">
      <w:r w:rsidRPr="00405DBA">
        <w:t xml:space="preserve">Bonney </w:t>
      </w:r>
      <w:r w:rsidR="0004675B">
        <w:t>Cashin</w:t>
      </w:r>
    </w:p>
    <w:p w:rsidR="0078398E" w:rsidRPr="00405DBA" w:rsidRDefault="0078398E" w:rsidP="00067307"/>
    <w:p w:rsidR="0078398E" w:rsidRPr="00405DBA" w:rsidRDefault="0078398E" w:rsidP="0078398E">
      <w:pPr>
        <w:jc w:val="center"/>
      </w:pPr>
      <w:r w:rsidRPr="00405DBA">
        <w:rPr>
          <w:b/>
        </w:rPr>
        <w:t>SUMMARY</w:t>
      </w:r>
    </w:p>
    <w:p w:rsidR="007D347A" w:rsidRPr="00405DBA" w:rsidRDefault="007D347A" w:rsidP="007D347A"/>
    <w:p w:rsidR="00987252" w:rsidRPr="00405DBA" w:rsidRDefault="00987252" w:rsidP="007D347A">
      <w:r w:rsidRPr="00405DBA">
        <w:tab/>
      </w:r>
      <w:r w:rsidR="00AB7C83" w:rsidRPr="00405DBA">
        <w:t>The Massachusetts Teachers’ Retirement System’s denial of Leslie Loomis’</w:t>
      </w:r>
      <w:r w:rsidR="00485C82">
        <w:t>s</w:t>
      </w:r>
      <w:r w:rsidR="00AB7C83" w:rsidRPr="00405DBA">
        <w:t xml:space="preserve"> applicat</w:t>
      </w:r>
      <w:r w:rsidR="0052068E" w:rsidRPr="00405DBA">
        <w:t xml:space="preserve">ion to purchase prior non-public school creditable service is affirmed. </w:t>
      </w:r>
      <w:r w:rsidR="005D4062" w:rsidRPr="00405DBA">
        <w:t xml:space="preserve"> The Petitioner has failed to prove that she was “engaged in teaching </w:t>
      </w:r>
      <w:r w:rsidR="005D270C" w:rsidRPr="00405DBA">
        <w:t xml:space="preserve">pupils” </w:t>
      </w:r>
      <w:r w:rsidR="00CA6F37" w:rsidRPr="00405DBA">
        <w:t xml:space="preserve">in her former </w:t>
      </w:r>
      <w:r w:rsidR="00854793">
        <w:t>position</w:t>
      </w:r>
      <w:r w:rsidR="00CA6F37" w:rsidRPr="00405DBA">
        <w:t xml:space="preserve"> as a </w:t>
      </w:r>
      <w:r w:rsidR="0093215F" w:rsidRPr="00405DBA">
        <w:t xml:space="preserve">“Parent </w:t>
      </w:r>
      <w:r w:rsidR="00854793">
        <w:t>Worker</w:t>
      </w:r>
      <w:r w:rsidR="0093215F" w:rsidRPr="00405DBA">
        <w:t>”</w:t>
      </w:r>
      <w:r w:rsidR="007645C8" w:rsidRPr="00405DBA">
        <w:t xml:space="preserve"> while</w:t>
      </w:r>
      <w:r w:rsidR="005D270C" w:rsidRPr="00405DBA">
        <w:t xml:space="preserve"> at the </w:t>
      </w:r>
      <w:r w:rsidR="00924921" w:rsidRPr="00405DBA">
        <w:t>Farr Academy</w:t>
      </w:r>
      <w:r w:rsidR="005F41C1" w:rsidRPr="00405DBA">
        <w:t xml:space="preserve">, as required under G.L. c. </w:t>
      </w:r>
      <w:r w:rsidR="002E6778" w:rsidRPr="00405DBA">
        <w:t xml:space="preserve">32, </w:t>
      </w:r>
      <w:r w:rsidR="005A566A" w:rsidRPr="00405DBA">
        <w:t xml:space="preserve">§ 4 (1)(p). </w:t>
      </w:r>
    </w:p>
    <w:p w:rsidR="00C7581A" w:rsidRPr="00405DBA" w:rsidRDefault="00C7581A" w:rsidP="007D347A"/>
    <w:p w:rsidR="00457B39" w:rsidRDefault="00457B39" w:rsidP="009309CC">
      <w:pPr>
        <w:jc w:val="center"/>
        <w:rPr>
          <w:b/>
        </w:rPr>
      </w:pPr>
    </w:p>
    <w:p w:rsidR="009309CC" w:rsidRPr="00405DBA" w:rsidRDefault="005949A4" w:rsidP="009309CC">
      <w:pPr>
        <w:jc w:val="center"/>
      </w:pPr>
      <w:r w:rsidRPr="00405DBA">
        <w:rPr>
          <w:b/>
        </w:rPr>
        <w:lastRenderedPageBreak/>
        <w:t>DECISION</w:t>
      </w:r>
    </w:p>
    <w:p w:rsidR="009309CC" w:rsidRPr="00405DBA" w:rsidRDefault="009309CC" w:rsidP="009309CC">
      <w:pPr>
        <w:jc w:val="center"/>
      </w:pPr>
    </w:p>
    <w:p w:rsidR="008C4FC7" w:rsidRPr="00405DBA" w:rsidRDefault="009309CC" w:rsidP="00887347">
      <w:pPr>
        <w:spacing w:line="480" w:lineRule="auto"/>
      </w:pPr>
      <w:r w:rsidRPr="00405DBA">
        <w:rPr>
          <w:b/>
        </w:rPr>
        <w:tab/>
      </w:r>
      <w:r w:rsidR="00277634" w:rsidRPr="00405DBA">
        <w:t>The Petitioner, Leslie Loomis, appeals the May 29, 2015 decision of the Massachusetts Teachers’ Retirement System (MTRS)</w:t>
      </w:r>
      <w:r w:rsidR="00610769">
        <w:t>,</w:t>
      </w:r>
      <w:r w:rsidR="00277634" w:rsidRPr="00405DBA">
        <w:t xml:space="preserve"> deny</w:t>
      </w:r>
      <w:r w:rsidR="00610769">
        <w:t>ing</w:t>
      </w:r>
      <w:r w:rsidR="00277634" w:rsidRPr="00405DBA">
        <w:t xml:space="preserve"> </w:t>
      </w:r>
      <w:r w:rsidR="00BE087B" w:rsidRPr="00405DBA">
        <w:t>her applicatio</w:t>
      </w:r>
      <w:r w:rsidR="003E27EA" w:rsidRPr="00405DBA">
        <w:t>n to purchase non-public school</w:t>
      </w:r>
      <w:r w:rsidR="00124FD9">
        <w:t xml:space="preserve"> </w:t>
      </w:r>
      <w:r w:rsidR="00D52FFC">
        <w:t>service</w:t>
      </w:r>
      <w:r w:rsidR="003E27EA" w:rsidRPr="00405DBA">
        <w:t xml:space="preserve">. </w:t>
      </w:r>
      <w:r w:rsidR="00887347">
        <w:t xml:space="preserve"> </w:t>
      </w:r>
      <w:r w:rsidR="00595806" w:rsidRPr="00405DBA">
        <w:t>I held a</w:t>
      </w:r>
      <w:r w:rsidR="008D091A" w:rsidRPr="00405DBA">
        <w:t xml:space="preserve"> hearing on July 11, 2017</w:t>
      </w:r>
      <w:r w:rsidR="00240247">
        <w:t>, which I digitally recorded</w:t>
      </w:r>
      <w:r w:rsidR="00597375">
        <w:t>,</w:t>
      </w:r>
      <w:r w:rsidR="00D116A4" w:rsidRPr="00405DBA">
        <w:t xml:space="preserve"> at the Division of Administrative </w:t>
      </w:r>
      <w:r w:rsidR="0041068B" w:rsidRPr="00405DBA">
        <w:t>Law Appeals</w:t>
      </w:r>
      <w:r w:rsidR="00D663E6" w:rsidRPr="00405DBA">
        <w:t xml:space="preserve"> at One Congress Street, </w:t>
      </w:r>
      <w:r w:rsidR="00CE74F3" w:rsidRPr="00405DBA">
        <w:t>Boston, M</w:t>
      </w:r>
      <w:r w:rsidR="0057414C" w:rsidRPr="00405DBA">
        <w:t>assachusetts</w:t>
      </w:r>
      <w:r w:rsidR="00610769">
        <w:t>.</w:t>
      </w:r>
      <w:r w:rsidR="00BE29BA" w:rsidRPr="00405DBA">
        <w:t xml:space="preserve"> The parties submitted pre-hearing memoranda</w:t>
      </w:r>
      <w:r w:rsidR="00525D64" w:rsidRPr="00405DBA">
        <w:t>.</w:t>
      </w:r>
      <w:r w:rsidR="00193973" w:rsidRPr="00405DBA">
        <w:t xml:space="preserve"> </w:t>
      </w:r>
      <w:r w:rsidR="00303D94">
        <w:t xml:space="preserve"> </w:t>
      </w:r>
      <w:r w:rsidR="00193973" w:rsidRPr="00405DBA">
        <w:t>Ms. Loomis testified on her own behalf.</w:t>
      </w:r>
      <w:r w:rsidR="00323C4D" w:rsidRPr="00405DBA">
        <w:t xml:space="preserve"> </w:t>
      </w:r>
      <w:r w:rsidR="00593838">
        <w:t xml:space="preserve"> </w:t>
      </w:r>
      <w:r w:rsidR="00323C4D" w:rsidRPr="00405DBA">
        <w:t>MTRS called no witnesses.</w:t>
      </w:r>
      <w:r w:rsidR="00193973" w:rsidRPr="00405DBA">
        <w:t xml:space="preserve"> </w:t>
      </w:r>
      <w:r w:rsidR="0013458C">
        <w:t xml:space="preserve"> </w:t>
      </w:r>
      <w:r w:rsidR="00193973" w:rsidRPr="00405DBA">
        <w:t xml:space="preserve">I </w:t>
      </w:r>
      <w:r w:rsidR="00A37AB4" w:rsidRPr="00405DBA">
        <w:t>admitted</w:t>
      </w:r>
      <w:r w:rsidR="00193973" w:rsidRPr="00405DBA">
        <w:t xml:space="preserve"> </w:t>
      </w:r>
      <w:r w:rsidR="00355B15" w:rsidRPr="00405DBA">
        <w:t>nine</w:t>
      </w:r>
      <w:r w:rsidR="0042048A" w:rsidRPr="00405DBA">
        <w:t xml:space="preserve"> ex</w:t>
      </w:r>
      <w:r w:rsidR="00A110DD" w:rsidRPr="00405DBA">
        <w:t>hibits into evidence (</w:t>
      </w:r>
      <w:proofErr w:type="spellStart"/>
      <w:r w:rsidR="00A110DD" w:rsidRPr="00405DBA">
        <w:t>Ex</w:t>
      </w:r>
      <w:r w:rsidR="000861E6" w:rsidRPr="00405DBA">
        <w:t>s</w:t>
      </w:r>
      <w:proofErr w:type="spellEnd"/>
      <w:r w:rsidR="009600F0" w:rsidRPr="00405DBA">
        <w:t>. 1-</w:t>
      </w:r>
      <w:r w:rsidR="00355B15" w:rsidRPr="00405DBA">
        <w:t>9</w:t>
      </w:r>
      <w:r w:rsidR="009600F0" w:rsidRPr="00405DBA">
        <w:t xml:space="preserve">). </w:t>
      </w:r>
      <w:r w:rsidR="00887347">
        <w:t xml:space="preserve"> </w:t>
      </w:r>
      <w:r w:rsidR="008C4FC7" w:rsidRPr="00405DBA">
        <w:t>The record closed on July 11, 2017</w:t>
      </w:r>
      <w:r w:rsidR="00FD4282">
        <w:t xml:space="preserve">, after the parties </w:t>
      </w:r>
      <w:r w:rsidR="008C3CEB">
        <w:t xml:space="preserve">presented oral closing arguments. </w:t>
      </w:r>
    </w:p>
    <w:p w:rsidR="00210098" w:rsidRPr="00405DBA" w:rsidRDefault="00210098" w:rsidP="00210098">
      <w:pPr>
        <w:spacing w:line="480" w:lineRule="auto"/>
        <w:ind w:firstLine="720"/>
        <w:jc w:val="center"/>
      </w:pPr>
      <w:r w:rsidRPr="00405DBA">
        <w:rPr>
          <w:b/>
        </w:rPr>
        <w:t>FINDINGS OF FACT</w:t>
      </w:r>
    </w:p>
    <w:p w:rsidR="007B7CC5" w:rsidRPr="00405DBA" w:rsidRDefault="007B7CC5" w:rsidP="007B7CC5">
      <w:pPr>
        <w:shd w:val="clear" w:color="auto" w:fill="FFFFFF"/>
        <w:spacing w:line="480" w:lineRule="auto"/>
        <w:rPr>
          <w:rFonts w:eastAsia="Times New Roman"/>
        </w:rPr>
      </w:pPr>
      <w:r w:rsidRPr="00405DBA">
        <w:rPr>
          <w:rFonts w:eastAsia="Times New Roman"/>
          <w:noProof/>
        </w:rPr>
        <w:drawing>
          <wp:inline distT="0" distB="0" distL="0" distR="0" wp14:anchorId="5FB50007" wp14:editId="3DCEEBA1">
            <wp:extent cx="9525" cy="9525"/>
            <wp:effectExtent l="0" t="0" r="0" b="0"/>
            <wp:docPr id="2" name="Picture 2" descr="http://sll.gvpi.net/images/1x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ll.gvpi.net/images/1x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DBA">
        <w:rPr>
          <w:rFonts w:eastAsia="Times New Roman"/>
        </w:rPr>
        <w:tab/>
        <w:t>Based upon the evidence in the record and the reasonable inferences from it, I make the following findings of fact:</w:t>
      </w:r>
    </w:p>
    <w:p w:rsidR="00C52FCF" w:rsidRDefault="00D45444" w:rsidP="00C7105E">
      <w:pPr>
        <w:pStyle w:val="ListParagraph"/>
        <w:numPr>
          <w:ilvl w:val="0"/>
          <w:numId w:val="1"/>
        </w:numPr>
        <w:spacing w:line="480" w:lineRule="auto"/>
        <w:ind w:left="360" w:firstLine="360"/>
      </w:pPr>
      <w:r>
        <w:t>Leslie Loomis</w:t>
      </w:r>
      <w:r w:rsidR="00DC019B">
        <w:t xml:space="preserve"> is employed</w:t>
      </w:r>
      <w:r w:rsidR="00323220">
        <w:t xml:space="preserve"> as a </w:t>
      </w:r>
      <w:r w:rsidR="00C52FCF">
        <w:t xml:space="preserve">school psychologist </w:t>
      </w:r>
      <w:r w:rsidR="00DC019B">
        <w:t xml:space="preserve">for </w:t>
      </w:r>
      <w:r w:rsidR="00C52FCF">
        <w:t xml:space="preserve">the </w:t>
      </w:r>
      <w:r w:rsidR="00DC019B">
        <w:t>Cambridge Public Schools</w:t>
      </w:r>
      <w:r w:rsidR="00C52FCF">
        <w:t xml:space="preserve">.  She continues to be an active member of MTRS.  (Test., Ex. 6). </w:t>
      </w:r>
    </w:p>
    <w:p w:rsidR="009508FB" w:rsidRDefault="00C52FCF" w:rsidP="00C7105E">
      <w:pPr>
        <w:pStyle w:val="ListParagraph"/>
        <w:numPr>
          <w:ilvl w:val="0"/>
          <w:numId w:val="1"/>
        </w:numPr>
        <w:spacing w:line="480" w:lineRule="auto"/>
        <w:ind w:left="360" w:firstLine="360"/>
      </w:pPr>
      <w:r>
        <w:t xml:space="preserve">Ms. Loomis is certified </w:t>
      </w:r>
      <w:r w:rsidR="00454E4F">
        <w:t xml:space="preserve">by the Department of Elementary and Secondary Education </w:t>
      </w:r>
      <w:r>
        <w:t>as a School Psychologist (All Levels)</w:t>
      </w:r>
      <w:r w:rsidR="006C052B">
        <w:t>.</w:t>
      </w:r>
      <w:r w:rsidR="0074514D">
        <w:t xml:space="preserve"> </w:t>
      </w:r>
      <w:r w:rsidR="00DC019B">
        <w:t xml:space="preserve"> (Ex. 8). </w:t>
      </w:r>
    </w:p>
    <w:p w:rsidR="000818D3" w:rsidRDefault="00BD587A" w:rsidP="00E56824">
      <w:pPr>
        <w:pStyle w:val="ListParagraph"/>
        <w:numPr>
          <w:ilvl w:val="0"/>
          <w:numId w:val="1"/>
        </w:numPr>
        <w:spacing w:line="480" w:lineRule="auto"/>
        <w:ind w:left="360" w:firstLine="360"/>
      </w:pPr>
      <w:r>
        <w:t xml:space="preserve">From September </w:t>
      </w:r>
      <w:r w:rsidRPr="00405DBA">
        <w:t>8, 1988 until August 30, 1999</w:t>
      </w:r>
      <w:r>
        <w:t xml:space="preserve">, </w:t>
      </w:r>
      <w:r w:rsidR="00D45444">
        <w:t xml:space="preserve">Ms. Loomis </w:t>
      </w:r>
      <w:r w:rsidR="00A36E4D">
        <w:t xml:space="preserve">was employed </w:t>
      </w:r>
      <w:r w:rsidRPr="00405DBA">
        <w:t xml:space="preserve">as </w:t>
      </w:r>
      <w:r>
        <w:t xml:space="preserve">a Parent Worker </w:t>
      </w:r>
      <w:r w:rsidR="00A36E4D">
        <w:t>at</w:t>
      </w:r>
      <w:r w:rsidR="00CA6FE6" w:rsidRPr="00405DBA">
        <w:t xml:space="preserve"> the </w:t>
      </w:r>
      <w:r w:rsidR="009B478E" w:rsidRPr="00405DBA">
        <w:t>Farr Academy,</w:t>
      </w:r>
      <w:r w:rsidR="00C7105E">
        <w:t xml:space="preserve"> a </w:t>
      </w:r>
      <w:r w:rsidR="004E640F">
        <w:t>C</w:t>
      </w:r>
      <w:r w:rsidR="00C7105E">
        <w:t>hapter 766 school</w:t>
      </w:r>
      <w:r w:rsidR="00A623EF">
        <w:rPr>
          <w:rStyle w:val="FootnoteReference"/>
        </w:rPr>
        <w:footnoteReference w:id="1"/>
      </w:r>
      <w:r w:rsidR="009B478E" w:rsidRPr="00405DBA">
        <w:t xml:space="preserve"> located in Cambridge, Massachusetts</w:t>
      </w:r>
      <w:r w:rsidR="00CE5E89" w:rsidRPr="00405DBA">
        <w:t xml:space="preserve">. </w:t>
      </w:r>
      <w:r w:rsidR="00A93E5E">
        <w:t xml:space="preserve"> </w:t>
      </w:r>
      <w:r w:rsidR="00CE5E89" w:rsidRPr="00405DBA">
        <w:t>(</w:t>
      </w:r>
      <w:r w:rsidR="00C52FCF">
        <w:t>Test.,</w:t>
      </w:r>
      <w:r w:rsidR="00454E4F">
        <w:t xml:space="preserve"> </w:t>
      </w:r>
      <w:r w:rsidR="00CE5E89" w:rsidRPr="00405DBA">
        <w:t xml:space="preserve">Ex. </w:t>
      </w:r>
      <w:r w:rsidR="00C52FCF">
        <w:t>6</w:t>
      </w:r>
      <w:r w:rsidR="00843012" w:rsidRPr="00405DBA">
        <w:t xml:space="preserve">). </w:t>
      </w:r>
    </w:p>
    <w:p w:rsidR="00C52FCF" w:rsidRPr="00405DBA" w:rsidRDefault="00C52FCF" w:rsidP="00E56824">
      <w:pPr>
        <w:pStyle w:val="ListParagraph"/>
        <w:numPr>
          <w:ilvl w:val="0"/>
          <w:numId w:val="1"/>
        </w:numPr>
        <w:spacing w:line="480" w:lineRule="auto"/>
        <w:ind w:left="360" w:firstLine="360"/>
      </w:pPr>
      <w:r>
        <w:t xml:space="preserve">When she worked at the Farr Academy, Ms. Loomis was certified </w:t>
      </w:r>
      <w:r w:rsidR="00454E4F">
        <w:t>as a School Ps</w:t>
      </w:r>
      <w:r w:rsidR="002A6D3D">
        <w:t>y</w:t>
      </w:r>
      <w:r w:rsidR="00454E4F">
        <w:t>chologist, School Guidance Counselor, and as a School Social Worker.  (Test., Ex. 1).</w:t>
      </w:r>
    </w:p>
    <w:p w:rsidR="00E56824" w:rsidRPr="00405DBA" w:rsidRDefault="00ED3087" w:rsidP="00380513">
      <w:pPr>
        <w:pStyle w:val="ListParagraph"/>
        <w:numPr>
          <w:ilvl w:val="0"/>
          <w:numId w:val="1"/>
        </w:numPr>
        <w:spacing w:line="480" w:lineRule="auto"/>
        <w:ind w:left="360" w:firstLine="360"/>
      </w:pPr>
      <w:r w:rsidRPr="00405DBA">
        <w:t>The job description for a Parent Worker at</w:t>
      </w:r>
      <w:r w:rsidR="00380513" w:rsidRPr="00405DBA">
        <w:t xml:space="preserve"> the Farr Academy is as follows</w:t>
      </w:r>
      <w:r w:rsidR="000F5A8D">
        <w:t>:</w:t>
      </w:r>
    </w:p>
    <w:p w:rsidR="007B695C" w:rsidRPr="00405DBA" w:rsidRDefault="007B695C" w:rsidP="007B695C">
      <w:pPr>
        <w:pStyle w:val="ListParagraph"/>
        <w:ind w:left="1440" w:right="720"/>
        <w:rPr>
          <w:u w:val="single"/>
        </w:rPr>
      </w:pPr>
      <w:r w:rsidRPr="00405DBA">
        <w:rPr>
          <w:u w:val="single"/>
        </w:rPr>
        <w:lastRenderedPageBreak/>
        <w:t>PARENT WORKER</w:t>
      </w:r>
    </w:p>
    <w:p w:rsidR="007B695C" w:rsidRPr="00405DBA" w:rsidRDefault="007B695C" w:rsidP="007B695C">
      <w:pPr>
        <w:pStyle w:val="ListParagraph"/>
        <w:ind w:left="1440" w:right="720"/>
        <w:rPr>
          <w:u w:val="single"/>
        </w:rPr>
      </w:pPr>
    </w:p>
    <w:p w:rsidR="00380513" w:rsidRPr="00405DBA" w:rsidRDefault="00E33B30" w:rsidP="007B695C">
      <w:pPr>
        <w:pStyle w:val="ListParagraph"/>
        <w:ind w:left="1440" w:right="720"/>
      </w:pPr>
      <w:r w:rsidRPr="00405DBA">
        <w:t xml:space="preserve">I. Responsible for the </w:t>
      </w:r>
      <w:r w:rsidR="00005CC6" w:rsidRPr="00405DBA">
        <w:t>initiation</w:t>
      </w:r>
      <w:r w:rsidRPr="00405DBA">
        <w:t xml:space="preserve"> of and follow through on clinical family contacts, i.e. parent group </w:t>
      </w:r>
      <w:r w:rsidR="004F355E" w:rsidRPr="00405DBA">
        <w:t>meetings</w:t>
      </w:r>
      <w:r w:rsidRPr="00405DBA">
        <w:t xml:space="preserve"> and individual parent meetings on a regular basis and/or as the need arises</w:t>
      </w:r>
      <w:r w:rsidR="00357151">
        <w:t>.</w:t>
      </w:r>
    </w:p>
    <w:p w:rsidR="007B695C" w:rsidRPr="00405DBA" w:rsidRDefault="007B695C" w:rsidP="007B695C">
      <w:pPr>
        <w:pStyle w:val="ListParagraph"/>
        <w:ind w:left="1440" w:right="720"/>
      </w:pPr>
    </w:p>
    <w:p w:rsidR="00E33B30" w:rsidRPr="00405DBA" w:rsidRDefault="00E33B30" w:rsidP="007B695C">
      <w:pPr>
        <w:pStyle w:val="ListParagraph"/>
        <w:ind w:left="1440" w:right="720"/>
      </w:pPr>
      <w:r w:rsidRPr="00405DBA">
        <w:t xml:space="preserve">II. Assist in the intake </w:t>
      </w:r>
      <w:r w:rsidR="004F355E" w:rsidRPr="00405DBA">
        <w:t>process</w:t>
      </w:r>
      <w:r w:rsidR="00357151">
        <w:t>.</w:t>
      </w:r>
    </w:p>
    <w:p w:rsidR="007B695C" w:rsidRPr="00405DBA" w:rsidRDefault="007B695C" w:rsidP="007B695C">
      <w:pPr>
        <w:pStyle w:val="ListParagraph"/>
        <w:ind w:left="1440" w:right="720"/>
      </w:pPr>
    </w:p>
    <w:p w:rsidR="004F355E" w:rsidRPr="00405DBA" w:rsidRDefault="004F355E" w:rsidP="007B695C">
      <w:pPr>
        <w:pStyle w:val="ListParagraph"/>
        <w:ind w:left="1440" w:right="720"/>
      </w:pPr>
      <w:r w:rsidRPr="00405DBA">
        <w:t>III. Join and assist the entire staff in planning effective therapeutic strategies for each of our students</w:t>
      </w:r>
      <w:r w:rsidR="00357151">
        <w:t>.</w:t>
      </w:r>
    </w:p>
    <w:p w:rsidR="007B695C" w:rsidRPr="00405DBA" w:rsidRDefault="007B695C" w:rsidP="007B695C">
      <w:pPr>
        <w:pStyle w:val="ListParagraph"/>
        <w:ind w:left="1440" w:right="720"/>
      </w:pPr>
    </w:p>
    <w:p w:rsidR="004F355E" w:rsidRPr="00405DBA" w:rsidRDefault="004F355E" w:rsidP="007B695C">
      <w:pPr>
        <w:pStyle w:val="ListParagraph"/>
        <w:ind w:left="1440" w:right="720"/>
      </w:pPr>
      <w:r w:rsidRPr="00405DBA">
        <w:t>IV. Initiate and develop other resource placements that may benefit our students, i.e. treatment modalities such as alcoholic groups, psychiatric evaluations and treatment, summer camp placements, and other.</w:t>
      </w:r>
    </w:p>
    <w:p w:rsidR="007B695C" w:rsidRPr="00405DBA" w:rsidRDefault="007B695C" w:rsidP="007B695C">
      <w:pPr>
        <w:pStyle w:val="ListParagraph"/>
        <w:ind w:left="1440" w:right="720"/>
      </w:pPr>
    </w:p>
    <w:p w:rsidR="00431B70" w:rsidRPr="00405DBA" w:rsidRDefault="00431B70" w:rsidP="007B695C">
      <w:pPr>
        <w:pStyle w:val="ListParagraph"/>
        <w:ind w:left="1440" w:right="720"/>
      </w:pPr>
      <w:r w:rsidRPr="00405DBA">
        <w:t>V. Initiate and develop clinical concepts that would be applicable to our program</w:t>
      </w:r>
      <w:r w:rsidR="00357151">
        <w:t>.</w:t>
      </w:r>
    </w:p>
    <w:p w:rsidR="007B695C" w:rsidRPr="00405DBA" w:rsidRDefault="007B695C" w:rsidP="007B695C">
      <w:pPr>
        <w:pStyle w:val="ListParagraph"/>
        <w:ind w:left="1440" w:right="720"/>
      </w:pPr>
    </w:p>
    <w:p w:rsidR="004F355E" w:rsidRPr="00405DBA" w:rsidRDefault="004F355E" w:rsidP="007B695C">
      <w:pPr>
        <w:pStyle w:val="ListParagraph"/>
        <w:ind w:left="1440" w:right="720"/>
      </w:pPr>
      <w:r w:rsidRPr="00405DBA">
        <w:t>V</w:t>
      </w:r>
      <w:r w:rsidR="00AA1051" w:rsidRPr="00405DBA">
        <w:t>I</w:t>
      </w:r>
      <w:r w:rsidRPr="00405DBA">
        <w:t>.</w:t>
      </w:r>
      <w:r w:rsidR="00776586" w:rsidRPr="00405DBA">
        <w:t xml:space="preserve"> </w:t>
      </w:r>
      <w:r w:rsidR="000214E5" w:rsidRPr="00405DBA">
        <w:t xml:space="preserve">Develop fund </w:t>
      </w:r>
      <w:r w:rsidR="00AA1051" w:rsidRPr="00405DBA">
        <w:t>raising</w:t>
      </w:r>
      <w:r w:rsidR="000214E5" w:rsidRPr="00405DBA">
        <w:t xml:space="preserve"> proposals related to our clinical needs and desires</w:t>
      </w:r>
      <w:r w:rsidR="00357151">
        <w:t>.</w:t>
      </w:r>
    </w:p>
    <w:p w:rsidR="007B695C" w:rsidRPr="00405DBA" w:rsidRDefault="007B695C" w:rsidP="007B695C">
      <w:pPr>
        <w:pStyle w:val="ListParagraph"/>
        <w:ind w:left="1440" w:right="720"/>
      </w:pPr>
    </w:p>
    <w:p w:rsidR="000214E5" w:rsidRDefault="000214E5" w:rsidP="007B695C">
      <w:pPr>
        <w:pStyle w:val="ListParagraph"/>
        <w:ind w:left="1440" w:right="720"/>
      </w:pPr>
      <w:r w:rsidRPr="00405DBA">
        <w:t xml:space="preserve">VII. Record </w:t>
      </w:r>
      <w:r w:rsidR="003E0285" w:rsidRPr="00405DBA">
        <w:t xml:space="preserve">and write reports based on the personal observations as </w:t>
      </w:r>
      <w:r w:rsidR="006547B0">
        <w:t xml:space="preserve">well as </w:t>
      </w:r>
      <w:r w:rsidR="003E0285" w:rsidRPr="00405DBA">
        <w:t>some input from other staff</w:t>
      </w:r>
      <w:r w:rsidR="00357151">
        <w:t>.</w:t>
      </w:r>
    </w:p>
    <w:p w:rsidR="00BD587A" w:rsidRPr="00405DBA" w:rsidRDefault="00BD587A" w:rsidP="007B695C">
      <w:pPr>
        <w:pStyle w:val="ListParagraph"/>
        <w:ind w:left="1440" w:right="720"/>
      </w:pPr>
    </w:p>
    <w:p w:rsidR="00F63406" w:rsidRDefault="00F63406" w:rsidP="00F63406">
      <w:pPr>
        <w:ind w:right="720"/>
      </w:pPr>
      <w:r w:rsidRPr="00405DBA">
        <w:tab/>
      </w:r>
      <w:proofErr w:type="gramStart"/>
      <w:r w:rsidRPr="00405DBA">
        <w:t xml:space="preserve">(Ex. </w:t>
      </w:r>
      <w:r w:rsidR="00454E4F">
        <w:t>2</w:t>
      </w:r>
      <w:r w:rsidRPr="00405DBA">
        <w:t>).</w:t>
      </w:r>
      <w:proofErr w:type="gramEnd"/>
      <w:r w:rsidRPr="00405DBA">
        <w:t xml:space="preserve"> </w:t>
      </w:r>
    </w:p>
    <w:p w:rsidR="00695C2B" w:rsidRPr="00405DBA" w:rsidRDefault="00695C2B" w:rsidP="00F63406">
      <w:pPr>
        <w:ind w:right="720"/>
      </w:pPr>
    </w:p>
    <w:p w:rsidR="00D93918" w:rsidRDefault="00D93918" w:rsidP="00AA298C">
      <w:pPr>
        <w:pStyle w:val="ListParagraph"/>
        <w:numPr>
          <w:ilvl w:val="0"/>
          <w:numId w:val="1"/>
        </w:numPr>
        <w:spacing w:line="480" w:lineRule="auto"/>
        <w:ind w:left="360" w:right="720" w:firstLine="360"/>
      </w:pPr>
      <w:r>
        <w:t>Although Ms. Loomis’</w:t>
      </w:r>
      <w:r w:rsidR="002529F3">
        <w:t>s</w:t>
      </w:r>
      <w:r>
        <w:t xml:space="preserve"> </w:t>
      </w:r>
      <w:r w:rsidR="00454E4F">
        <w:t xml:space="preserve">responsibilities </w:t>
      </w:r>
      <w:r w:rsidR="00E9712B">
        <w:t xml:space="preserve">varied </w:t>
      </w:r>
      <w:r w:rsidR="00983F68">
        <w:t>daily</w:t>
      </w:r>
      <w:r w:rsidR="00E9712B">
        <w:t xml:space="preserve">, </w:t>
      </w:r>
      <w:r w:rsidR="00E01DBA">
        <w:t xml:space="preserve">her </w:t>
      </w:r>
      <w:r w:rsidR="00C8322C">
        <w:t xml:space="preserve">routine </w:t>
      </w:r>
      <w:r w:rsidR="00E93747">
        <w:t xml:space="preserve">duties </w:t>
      </w:r>
      <w:r w:rsidR="003F1E29">
        <w:t xml:space="preserve">as a Parent Worker </w:t>
      </w:r>
      <w:r w:rsidR="00E93747">
        <w:t>included</w:t>
      </w:r>
      <w:r w:rsidR="008B0DB4">
        <w:t xml:space="preserve"> reviewing </w:t>
      </w:r>
      <w:r w:rsidR="00454E4F">
        <w:t>ad</w:t>
      </w:r>
      <w:r w:rsidR="008B0DB4">
        <w:t xml:space="preserve">mission packets, providing support for students, making </w:t>
      </w:r>
      <w:r w:rsidR="00314C23">
        <w:t>appointments</w:t>
      </w:r>
      <w:r w:rsidR="008B0DB4">
        <w:t xml:space="preserve"> </w:t>
      </w:r>
      <w:r w:rsidR="00454E4F">
        <w:t xml:space="preserve">and attending meetings </w:t>
      </w:r>
      <w:r w:rsidR="008B0DB4">
        <w:t>with parents</w:t>
      </w:r>
      <w:r w:rsidR="00454E4F">
        <w:t xml:space="preserve">, students, </w:t>
      </w:r>
      <w:r w:rsidR="008B0DB4">
        <w:t>and staff</w:t>
      </w:r>
      <w:r w:rsidR="00314C23">
        <w:t xml:space="preserve">, observing </w:t>
      </w:r>
      <w:r w:rsidR="00CB7380">
        <w:t>classes</w:t>
      </w:r>
      <w:r w:rsidR="00342E25">
        <w:t xml:space="preserve">, </w:t>
      </w:r>
      <w:r w:rsidR="005F0C7E">
        <w:t xml:space="preserve">and </w:t>
      </w:r>
      <w:r w:rsidR="00342E25">
        <w:t xml:space="preserve">consulting with staff </w:t>
      </w:r>
      <w:r w:rsidR="00454E4F">
        <w:t>about</w:t>
      </w:r>
      <w:r w:rsidR="00342E25">
        <w:t xml:space="preserve"> children </w:t>
      </w:r>
      <w:r w:rsidR="00056DDB">
        <w:t>who may have had problems</w:t>
      </w:r>
      <w:r w:rsidR="00342E25">
        <w:t xml:space="preserve"> at home</w:t>
      </w:r>
      <w:r w:rsidR="00C36315">
        <w:t xml:space="preserve">. </w:t>
      </w:r>
      <w:r w:rsidR="000803F5">
        <w:t xml:space="preserve"> </w:t>
      </w:r>
      <w:r w:rsidR="00C36315">
        <w:t>(Test.)</w:t>
      </w:r>
      <w:r w:rsidR="00454E4F">
        <w:t>.</w:t>
      </w:r>
    </w:p>
    <w:p w:rsidR="00C8322C" w:rsidRDefault="00C8322C" w:rsidP="00AA298C">
      <w:pPr>
        <w:pStyle w:val="ListParagraph"/>
        <w:numPr>
          <w:ilvl w:val="0"/>
          <w:numId w:val="1"/>
        </w:numPr>
        <w:spacing w:line="480" w:lineRule="auto"/>
        <w:ind w:left="360" w:right="720" w:firstLine="360"/>
      </w:pPr>
      <w:r>
        <w:t>Ms. Loomis described her direct interaction with Farr Academy students as “minimal and moderate.”  She learned of student’s needs, particularly for psychological help, from teachers and staff members.  (Test.).</w:t>
      </w:r>
    </w:p>
    <w:p w:rsidR="009B20B2" w:rsidRDefault="001A6790" w:rsidP="00AA298C">
      <w:pPr>
        <w:pStyle w:val="ListParagraph"/>
        <w:numPr>
          <w:ilvl w:val="0"/>
          <w:numId w:val="1"/>
        </w:numPr>
        <w:spacing w:line="480" w:lineRule="auto"/>
        <w:ind w:left="360" w:right="720" w:firstLine="360"/>
      </w:pPr>
      <w:r>
        <w:t xml:space="preserve">Many of the duties Ms. Loomis performed at the Farr Academy </w:t>
      </w:r>
      <w:r w:rsidR="00C8322C">
        <w:t>we</w:t>
      </w:r>
      <w:r>
        <w:t xml:space="preserve">re similar to her present duties </w:t>
      </w:r>
      <w:r w:rsidR="00C8322C">
        <w:t xml:space="preserve">as a psychologist </w:t>
      </w:r>
      <w:r>
        <w:t xml:space="preserve">at </w:t>
      </w:r>
      <w:r w:rsidR="00C8322C">
        <w:t xml:space="preserve">the </w:t>
      </w:r>
      <w:r>
        <w:t xml:space="preserve">Cambridge Public Schools.  </w:t>
      </w:r>
      <w:r w:rsidR="00232CB1">
        <w:lastRenderedPageBreak/>
        <w:t xml:space="preserve">Some of these duties include </w:t>
      </w:r>
      <w:r w:rsidR="00936719">
        <w:t xml:space="preserve">interpreting </w:t>
      </w:r>
      <w:r w:rsidR="00A82948">
        <w:t>psychological and achievement tests and</w:t>
      </w:r>
      <w:r w:rsidR="00936719">
        <w:t xml:space="preserve"> </w:t>
      </w:r>
      <w:r w:rsidR="00A82948">
        <w:t xml:space="preserve">working closely with teachers and students </w:t>
      </w:r>
      <w:r w:rsidR="007911BB">
        <w:t>during</w:t>
      </w:r>
      <w:r w:rsidR="00A82948">
        <w:t xml:space="preserve"> the </w:t>
      </w:r>
      <w:r w:rsidR="00483DDB">
        <w:t xml:space="preserve">admissions process. </w:t>
      </w:r>
      <w:r w:rsidR="00DA063F">
        <w:t xml:space="preserve"> </w:t>
      </w:r>
      <w:r w:rsidR="00815CE9">
        <w:t xml:space="preserve">(Test.). </w:t>
      </w:r>
    </w:p>
    <w:p w:rsidR="00CB439A" w:rsidRPr="00405DBA" w:rsidRDefault="002A3417" w:rsidP="00AA298C">
      <w:pPr>
        <w:pStyle w:val="ListParagraph"/>
        <w:numPr>
          <w:ilvl w:val="0"/>
          <w:numId w:val="1"/>
        </w:numPr>
        <w:spacing w:line="480" w:lineRule="auto"/>
        <w:ind w:left="360" w:right="720" w:firstLine="360"/>
      </w:pPr>
      <w:r>
        <w:t>Although</w:t>
      </w:r>
      <w:r w:rsidR="006332DA" w:rsidRPr="00405DBA">
        <w:t xml:space="preserve"> </w:t>
      </w:r>
      <w:r w:rsidR="001C68C3">
        <w:t>at times she</w:t>
      </w:r>
      <w:r w:rsidR="006332DA" w:rsidRPr="00405DBA">
        <w:t xml:space="preserve"> observed </w:t>
      </w:r>
      <w:r w:rsidR="00430A9A">
        <w:t>students in class</w:t>
      </w:r>
      <w:r w:rsidR="006332DA" w:rsidRPr="00405DBA">
        <w:t xml:space="preserve">, </w:t>
      </w:r>
      <w:r w:rsidR="00CB439A" w:rsidRPr="00405DBA">
        <w:t xml:space="preserve">Ms. Loomis </w:t>
      </w:r>
      <w:r w:rsidR="00430A9A">
        <w:t xml:space="preserve">did not teach students </w:t>
      </w:r>
      <w:r w:rsidR="00BD5EAC">
        <w:t xml:space="preserve">in a classroom </w:t>
      </w:r>
      <w:r w:rsidR="00430A9A">
        <w:t xml:space="preserve">at the Farr Academy.  </w:t>
      </w:r>
      <w:r w:rsidR="00CB439A" w:rsidRPr="00405DBA">
        <w:t>(Test.</w:t>
      </w:r>
      <w:r w:rsidR="00C8322C">
        <w:t xml:space="preserve">, </w:t>
      </w:r>
      <w:proofErr w:type="spellStart"/>
      <w:r w:rsidR="00C8322C">
        <w:t>Exs</w:t>
      </w:r>
      <w:proofErr w:type="spellEnd"/>
      <w:r w:rsidR="00C8322C">
        <w:t>. 5, 6</w:t>
      </w:r>
      <w:r w:rsidR="00CB439A" w:rsidRPr="00405DBA">
        <w:t xml:space="preserve">). </w:t>
      </w:r>
    </w:p>
    <w:p w:rsidR="00AC2E64" w:rsidRDefault="00407DE5" w:rsidP="00AA298C">
      <w:pPr>
        <w:pStyle w:val="ListParagraph"/>
        <w:numPr>
          <w:ilvl w:val="0"/>
          <w:numId w:val="1"/>
        </w:numPr>
        <w:spacing w:line="480" w:lineRule="auto"/>
        <w:ind w:left="360" w:right="720" w:firstLine="360"/>
      </w:pPr>
      <w:r w:rsidRPr="00405DBA">
        <w:t xml:space="preserve">On </w:t>
      </w:r>
      <w:r w:rsidR="00AA298C" w:rsidRPr="00405DBA">
        <w:t>October</w:t>
      </w:r>
      <w:r w:rsidRPr="00405DBA">
        <w:t xml:space="preserve"> 16, 2013, </w:t>
      </w:r>
      <w:r w:rsidR="00CB292E">
        <w:t>Ms. Loomis</w:t>
      </w:r>
      <w:r w:rsidR="00403260" w:rsidRPr="00405DBA">
        <w:t xml:space="preserve"> submitted an application to </w:t>
      </w:r>
      <w:r w:rsidR="006877F3">
        <w:t xml:space="preserve">MTRS </w:t>
      </w:r>
      <w:r w:rsidR="00E3598D">
        <w:t xml:space="preserve">to </w:t>
      </w:r>
      <w:r w:rsidR="00403260" w:rsidRPr="00405DBA">
        <w:t xml:space="preserve">purchase </w:t>
      </w:r>
      <w:r w:rsidR="00956305">
        <w:t>creditable</w:t>
      </w:r>
      <w:r w:rsidR="00403260" w:rsidRPr="00405DBA">
        <w:t xml:space="preserve"> service </w:t>
      </w:r>
      <w:r w:rsidR="00CA42A8" w:rsidRPr="00405DBA">
        <w:t>for her work at the Farr Academy</w:t>
      </w:r>
      <w:r w:rsidR="003B5077" w:rsidRPr="00405DBA">
        <w:t xml:space="preserve"> from September 8, 1988 </w:t>
      </w:r>
      <w:r w:rsidR="00F011F2">
        <w:t>to</w:t>
      </w:r>
      <w:r w:rsidR="003B5077" w:rsidRPr="00405DBA">
        <w:t xml:space="preserve"> August 30, 1999</w:t>
      </w:r>
      <w:r w:rsidR="00403260" w:rsidRPr="00405DBA">
        <w:t xml:space="preserve">, pursuant to G.L. c. </w:t>
      </w:r>
      <w:r w:rsidR="00A760A5" w:rsidRPr="00405DBA">
        <w:t xml:space="preserve">32, </w:t>
      </w:r>
      <w:r w:rsidR="003F34DE" w:rsidRPr="00405DBA">
        <w:t>§ 4(1)(p)</w:t>
      </w:r>
      <w:r w:rsidR="00E20DC3" w:rsidRPr="00405DBA">
        <w:t xml:space="preserve">. </w:t>
      </w:r>
      <w:r w:rsidR="009361E1">
        <w:t xml:space="preserve"> </w:t>
      </w:r>
      <w:r w:rsidR="00E20DC3" w:rsidRPr="00405DBA">
        <w:t xml:space="preserve">(Ex. </w:t>
      </w:r>
      <w:r w:rsidR="00C8322C">
        <w:t>6</w:t>
      </w:r>
      <w:r w:rsidR="00E20DC3" w:rsidRPr="00405DBA">
        <w:t>).</w:t>
      </w:r>
    </w:p>
    <w:p w:rsidR="00E3598D" w:rsidRPr="00405DBA" w:rsidRDefault="00E3598D" w:rsidP="00AA298C">
      <w:pPr>
        <w:pStyle w:val="ListParagraph"/>
        <w:numPr>
          <w:ilvl w:val="0"/>
          <w:numId w:val="1"/>
        </w:numPr>
        <w:spacing w:line="480" w:lineRule="auto"/>
        <w:ind w:left="360" w:right="720" w:firstLine="360"/>
      </w:pPr>
      <w:r>
        <w:t>In her application, Ms. Loomis stated that her employer made contributions to Social Security on her behalf.  She identified $2</w:t>
      </w:r>
      <w:r w:rsidR="00695C2B">
        <w:t>,</w:t>
      </w:r>
      <w:r>
        <w:t xml:space="preserve">769.00 as the </w:t>
      </w:r>
      <w:r w:rsidR="00E16153">
        <w:t>“</w:t>
      </w:r>
      <w:r>
        <w:t>amount of retirement contributions</w:t>
      </w:r>
      <w:r w:rsidR="00E16153">
        <w:t xml:space="preserve"> by employer.”</w:t>
      </w:r>
      <w:r>
        <w:t xml:space="preserve">  </w:t>
      </w:r>
      <w:r w:rsidR="00E16153">
        <w:t>According to her W-2 forms for the years 1998 and 1999, the total amount of Social Security tax and Medicare tax withheld was $2</w:t>
      </w:r>
      <w:r w:rsidR="00695C2B">
        <w:t>,</w:t>
      </w:r>
      <w:r w:rsidR="00E16153">
        <w:t>769.35.  (</w:t>
      </w:r>
      <w:proofErr w:type="spellStart"/>
      <w:r w:rsidR="00E16153">
        <w:t>Ex</w:t>
      </w:r>
      <w:r w:rsidR="0001396F">
        <w:t>s</w:t>
      </w:r>
      <w:proofErr w:type="spellEnd"/>
      <w:r w:rsidR="00E16153">
        <w:t xml:space="preserve">. </w:t>
      </w:r>
      <w:r w:rsidR="0001396F">
        <w:t xml:space="preserve">3, </w:t>
      </w:r>
      <w:r w:rsidR="00E16153">
        <w:t>6).</w:t>
      </w:r>
      <w:r w:rsidR="0001396F">
        <w:t xml:space="preserve">  </w:t>
      </w:r>
    </w:p>
    <w:p w:rsidR="00AA298C" w:rsidRPr="00405DBA" w:rsidRDefault="00FC22C2" w:rsidP="008515F1">
      <w:pPr>
        <w:pStyle w:val="ListParagraph"/>
        <w:numPr>
          <w:ilvl w:val="0"/>
          <w:numId w:val="1"/>
        </w:numPr>
        <w:spacing w:line="480" w:lineRule="auto"/>
        <w:ind w:left="360" w:right="720" w:firstLine="360"/>
      </w:pPr>
      <w:r w:rsidRPr="00405DBA">
        <w:t xml:space="preserve">On </w:t>
      </w:r>
      <w:r w:rsidR="001553B7" w:rsidRPr="00405DBA">
        <w:t xml:space="preserve">May </w:t>
      </w:r>
      <w:r w:rsidR="00D57FA4" w:rsidRPr="00405DBA">
        <w:t>2</w:t>
      </w:r>
      <w:r w:rsidR="001553B7" w:rsidRPr="00405DBA">
        <w:t xml:space="preserve">9, 2015, the MTRS denied </w:t>
      </w:r>
      <w:r w:rsidR="007E7F14">
        <w:t>Ms. Loomis’s</w:t>
      </w:r>
      <w:r w:rsidR="001553B7" w:rsidRPr="00405DBA">
        <w:t xml:space="preserve"> application </w:t>
      </w:r>
      <w:r w:rsidR="00180515">
        <w:t>to purchase credit for service</w:t>
      </w:r>
      <w:r w:rsidR="008515F1" w:rsidRPr="00405DBA">
        <w:t xml:space="preserve"> rendered at the Farr Academy because she was not “engaged in teaching pupils” </w:t>
      </w:r>
      <w:r w:rsidR="00CD1750" w:rsidRPr="00405DBA">
        <w:t xml:space="preserve">and because </w:t>
      </w:r>
      <w:r w:rsidR="00663B30" w:rsidRPr="00405DBA">
        <w:t>the Farr Aca</w:t>
      </w:r>
      <w:r w:rsidR="00A43B24">
        <w:t>demy provided her with employer-</w:t>
      </w:r>
      <w:r w:rsidR="00663B30" w:rsidRPr="00405DBA">
        <w:t>paid contributions, which are considered a retirement benefit.</w:t>
      </w:r>
      <w:r w:rsidR="005F5EA5">
        <w:rPr>
          <w:rStyle w:val="FootnoteReference"/>
        </w:rPr>
        <w:footnoteReference w:id="2"/>
      </w:r>
      <w:r w:rsidR="008C0D22">
        <w:t xml:space="preserve"> </w:t>
      </w:r>
      <w:r w:rsidR="00663B30" w:rsidRPr="00405DBA">
        <w:t xml:space="preserve"> (Ex. 4).</w:t>
      </w:r>
    </w:p>
    <w:p w:rsidR="005928DB" w:rsidRPr="00B042AF" w:rsidRDefault="008001EA" w:rsidP="00B042AF">
      <w:pPr>
        <w:pStyle w:val="ListParagraph"/>
        <w:numPr>
          <w:ilvl w:val="0"/>
          <w:numId w:val="1"/>
        </w:numPr>
        <w:spacing w:line="480" w:lineRule="auto"/>
        <w:ind w:left="360" w:right="720" w:firstLine="360"/>
      </w:pPr>
      <w:r w:rsidRPr="00405DBA">
        <w:t xml:space="preserve">By letter dated June 11, 2015, </w:t>
      </w:r>
      <w:r w:rsidR="00847836">
        <w:t>Ms. Loomis</w:t>
      </w:r>
      <w:r w:rsidRPr="00405DBA">
        <w:t xml:space="preserve"> timely appealed the denial of her application to the Division of Administrative Law Appeals (DALA)</w:t>
      </w:r>
      <w:r w:rsidR="00C61707" w:rsidRPr="00405DBA">
        <w:t xml:space="preserve">. </w:t>
      </w:r>
      <w:r w:rsidR="008C0D22">
        <w:t xml:space="preserve"> </w:t>
      </w:r>
      <w:r w:rsidR="00C61707" w:rsidRPr="00405DBA">
        <w:t xml:space="preserve">(Ex. 5). </w:t>
      </w:r>
      <w:r w:rsidR="005F6F63" w:rsidRPr="00405DBA">
        <w:t xml:space="preserve"> </w:t>
      </w:r>
    </w:p>
    <w:p w:rsidR="00900172" w:rsidRDefault="00900172" w:rsidP="009C7198">
      <w:pPr>
        <w:spacing w:line="480" w:lineRule="auto"/>
        <w:ind w:right="720"/>
        <w:jc w:val="center"/>
        <w:rPr>
          <w:b/>
        </w:rPr>
      </w:pPr>
    </w:p>
    <w:p w:rsidR="00900172" w:rsidRDefault="00900172" w:rsidP="009C7198">
      <w:pPr>
        <w:spacing w:line="480" w:lineRule="auto"/>
        <w:ind w:right="720"/>
        <w:jc w:val="center"/>
        <w:rPr>
          <w:b/>
        </w:rPr>
      </w:pPr>
    </w:p>
    <w:p w:rsidR="00900172" w:rsidRDefault="00900172" w:rsidP="009C7198">
      <w:pPr>
        <w:spacing w:line="480" w:lineRule="auto"/>
        <w:ind w:right="720"/>
        <w:jc w:val="center"/>
        <w:rPr>
          <w:b/>
        </w:rPr>
      </w:pPr>
    </w:p>
    <w:p w:rsidR="00A80DAC" w:rsidRPr="00405DBA" w:rsidRDefault="009C7198" w:rsidP="009C7198">
      <w:pPr>
        <w:spacing w:line="480" w:lineRule="auto"/>
        <w:ind w:right="720"/>
        <w:jc w:val="center"/>
        <w:rPr>
          <w:b/>
        </w:rPr>
      </w:pPr>
      <w:r w:rsidRPr="00405DBA">
        <w:rPr>
          <w:b/>
        </w:rPr>
        <w:lastRenderedPageBreak/>
        <w:t>DISCUSSION</w:t>
      </w:r>
    </w:p>
    <w:p w:rsidR="009C7198" w:rsidRPr="00405DBA" w:rsidRDefault="00DA60A9" w:rsidP="00DA60A9">
      <w:pPr>
        <w:spacing w:line="480" w:lineRule="auto"/>
        <w:ind w:right="720"/>
      </w:pPr>
      <w:r w:rsidRPr="00405DBA">
        <w:tab/>
      </w:r>
      <w:r w:rsidR="00F00207" w:rsidRPr="00405DBA">
        <w:t xml:space="preserve">G.L. c. </w:t>
      </w:r>
      <w:r w:rsidR="006166F1" w:rsidRPr="00405DBA">
        <w:t xml:space="preserve">32, </w:t>
      </w:r>
      <w:r w:rsidR="005A13BD" w:rsidRPr="00405DBA">
        <w:t>§ 4 (1</w:t>
      </w:r>
      <w:proofErr w:type="gramStart"/>
      <w:r w:rsidR="005A13BD" w:rsidRPr="00405DBA">
        <w:t>)(</w:t>
      </w:r>
      <w:proofErr w:type="gramEnd"/>
      <w:r w:rsidR="005A13BD" w:rsidRPr="00405DBA">
        <w:t>p)</w:t>
      </w:r>
      <w:r w:rsidR="003A67F0" w:rsidRPr="00405DBA">
        <w:t xml:space="preserve"> </w:t>
      </w:r>
      <w:r w:rsidR="00816F51">
        <w:t>p</w:t>
      </w:r>
      <w:r w:rsidR="00945111">
        <w:t xml:space="preserve">rovides </w:t>
      </w:r>
      <w:r w:rsidR="00BD587A">
        <w:t xml:space="preserve">that </w:t>
      </w:r>
      <w:r w:rsidR="00945111">
        <w:t>certain individuals</w:t>
      </w:r>
      <w:r w:rsidR="00CE72F3">
        <w:t xml:space="preserve"> may </w:t>
      </w:r>
      <w:r w:rsidR="003B5AF9">
        <w:t>purchase</w:t>
      </w:r>
      <w:r w:rsidR="003A67F0" w:rsidRPr="00405DBA">
        <w:t xml:space="preserve"> </w:t>
      </w:r>
      <w:r w:rsidR="005C05B3">
        <w:t xml:space="preserve">past </w:t>
      </w:r>
      <w:r w:rsidR="00B07514">
        <w:t>creditable service rendered while working at</w:t>
      </w:r>
      <w:r w:rsidR="00287567">
        <w:t xml:space="preserve"> a</w:t>
      </w:r>
      <w:r w:rsidR="00701783" w:rsidRPr="00405DBA">
        <w:t xml:space="preserve"> non-public school within the </w:t>
      </w:r>
      <w:r w:rsidR="00C76494">
        <w:t>C</w:t>
      </w:r>
      <w:r w:rsidR="00701783" w:rsidRPr="00405DBA">
        <w:t xml:space="preserve">ommonwealth. </w:t>
      </w:r>
      <w:r w:rsidR="00085971">
        <w:t xml:space="preserve"> </w:t>
      </w:r>
      <w:r w:rsidR="00740199" w:rsidRPr="00405DBA">
        <w:t xml:space="preserve">In relevant part, </w:t>
      </w:r>
      <w:r w:rsidR="00C27560" w:rsidRPr="00405DBA">
        <w:t>G.L. c. 32, § 4 (1</w:t>
      </w:r>
      <w:proofErr w:type="gramStart"/>
      <w:r w:rsidR="00C27560" w:rsidRPr="00405DBA">
        <w:t>)(</w:t>
      </w:r>
      <w:proofErr w:type="gramEnd"/>
      <w:r w:rsidR="00C27560" w:rsidRPr="00405DBA">
        <w:t xml:space="preserve">p) </w:t>
      </w:r>
      <w:r w:rsidR="00753895" w:rsidRPr="00405DBA">
        <w:t>states</w:t>
      </w:r>
      <w:r w:rsidR="00C27560" w:rsidRPr="00405DBA">
        <w:t>:</w:t>
      </w:r>
    </w:p>
    <w:p w:rsidR="00413FFD" w:rsidRPr="00405DBA" w:rsidRDefault="00413FFD" w:rsidP="008468B7">
      <w:pPr>
        <w:ind w:left="720" w:right="720"/>
      </w:pPr>
      <w:r w:rsidRPr="00405DBA">
        <w:t>Any member of a contributory retirement system who is engaged in teaching position…and who was previously engaged in teaching pupils in any non-public school in the commonwealth, if the tuition of all such pupils taught was financed in part or in full by the commonwealth may…establish suc</w:t>
      </w:r>
      <w:r w:rsidR="008468B7" w:rsidRPr="00405DBA">
        <w:t>h service as creditable servic</w:t>
      </w:r>
      <w:r w:rsidR="00496C7E" w:rsidRPr="00405DBA">
        <w:t>e…</w:t>
      </w:r>
      <w:r w:rsidR="004A5AFD" w:rsidRPr="00405DBA">
        <w:t xml:space="preserve">provided, </w:t>
      </w:r>
      <w:r w:rsidR="00CB33FC" w:rsidRPr="00405DBA">
        <w:t xml:space="preserve">that no credit shall be allowed </w:t>
      </w:r>
      <w:r w:rsidR="00D04CB9" w:rsidRPr="00405DBA">
        <w:t xml:space="preserve">and no payment shall be accepted for any service for which the member shall be entitled to receive a retirement allowance, annuity or pension from any other source. </w:t>
      </w:r>
    </w:p>
    <w:p w:rsidR="00931EE4" w:rsidRPr="00405DBA" w:rsidRDefault="00931EE4" w:rsidP="00931EE4">
      <w:pPr>
        <w:ind w:right="720"/>
      </w:pPr>
    </w:p>
    <w:p w:rsidR="00C27560" w:rsidRPr="006D12BC" w:rsidRDefault="000B7127" w:rsidP="00DA60A9">
      <w:pPr>
        <w:spacing w:line="480" w:lineRule="auto"/>
        <w:ind w:right="720"/>
        <w:contextualSpacing/>
      </w:pPr>
      <w:r w:rsidRPr="00405DBA">
        <w:tab/>
      </w:r>
      <w:r w:rsidR="00776958">
        <w:t>It is well settled</w:t>
      </w:r>
      <w:r w:rsidR="007E103D">
        <w:t xml:space="preserve"> that</w:t>
      </w:r>
      <w:r w:rsidR="00654F59" w:rsidRPr="00405DBA">
        <w:t xml:space="preserve"> </w:t>
      </w:r>
      <w:r w:rsidR="006B41D0" w:rsidRPr="00405DBA">
        <w:t xml:space="preserve">the phrase </w:t>
      </w:r>
      <w:r w:rsidR="00DA18E2" w:rsidRPr="00405DBA">
        <w:t>“engaged in teaching pupils</w:t>
      </w:r>
      <w:r w:rsidR="00D34D0C">
        <w:t>,</w:t>
      </w:r>
      <w:r w:rsidR="00DA18E2" w:rsidRPr="00405DBA">
        <w:t>”</w:t>
      </w:r>
      <w:r w:rsidR="00D34D0C">
        <w:t xml:space="preserve"> as used </w:t>
      </w:r>
      <w:r w:rsidR="00695C2B">
        <w:t>in</w:t>
      </w:r>
      <w:r w:rsidR="006A2F35">
        <w:t xml:space="preserve"> </w:t>
      </w:r>
      <w:r w:rsidR="006A2F35" w:rsidRPr="00405DBA">
        <w:t>G.L. c. 32, § 4 (1)(p)</w:t>
      </w:r>
      <w:r w:rsidR="00883618">
        <w:t>,</w:t>
      </w:r>
      <w:r w:rsidR="006A2F35" w:rsidRPr="00405DBA">
        <w:t xml:space="preserve"> </w:t>
      </w:r>
      <w:r w:rsidR="00695C2B">
        <w:t>“</w:t>
      </w:r>
      <w:r w:rsidR="007268B0" w:rsidRPr="00405DBA">
        <w:t>h</w:t>
      </w:r>
      <w:r w:rsidR="00907273" w:rsidRPr="00405DBA">
        <w:t>as</w:t>
      </w:r>
      <w:r w:rsidR="00B27E8E" w:rsidRPr="00405DBA">
        <w:t xml:space="preserve"> a</w:t>
      </w:r>
      <w:r w:rsidR="00695C2B">
        <w:t xml:space="preserve"> ‘</w:t>
      </w:r>
      <w:r w:rsidR="00B27E8E" w:rsidRPr="00405DBA">
        <w:t>narrow interpretation</w:t>
      </w:r>
      <w:r w:rsidR="00695C2B">
        <w:t>’</w:t>
      </w:r>
      <w:r w:rsidR="00B27E8E" w:rsidRPr="00405DBA">
        <w:t>: that of</w:t>
      </w:r>
      <w:r w:rsidR="00695C2B">
        <w:t xml:space="preserve"> ‘</w:t>
      </w:r>
      <w:r w:rsidR="00B27E8E" w:rsidRPr="00405DBA">
        <w:t>teaching academics</w:t>
      </w:r>
      <w:r w:rsidR="00094EF1">
        <w:t>.</w:t>
      </w:r>
      <w:r w:rsidR="00695C2B">
        <w:t>’</w:t>
      </w:r>
      <w:r w:rsidR="00B27E8E" w:rsidRPr="00405DBA">
        <w:t>”</w:t>
      </w:r>
      <w:r w:rsidR="005A4893">
        <w:t xml:space="preserve">  </w:t>
      </w:r>
      <w:proofErr w:type="spellStart"/>
      <w:r w:rsidR="00942B23" w:rsidRPr="00B47CEB">
        <w:rPr>
          <w:i/>
        </w:rPr>
        <w:t>Einsel</w:t>
      </w:r>
      <w:proofErr w:type="spellEnd"/>
      <w:r w:rsidR="00942B23" w:rsidRPr="00B47CEB">
        <w:rPr>
          <w:i/>
        </w:rPr>
        <w:t xml:space="preserve"> v. Massachusetts Teachers’ Retirement System</w:t>
      </w:r>
      <w:r w:rsidR="000C0D98" w:rsidRPr="00405DBA">
        <w:t xml:space="preserve">, </w:t>
      </w:r>
      <w:r w:rsidR="008F083E">
        <w:t>Docket No.</w:t>
      </w:r>
      <w:r w:rsidR="0085646A">
        <w:t xml:space="preserve"> </w:t>
      </w:r>
      <w:r w:rsidR="000C0D98" w:rsidRPr="00405DBA">
        <w:t xml:space="preserve">CR-15-167 </w:t>
      </w:r>
      <w:r w:rsidR="00976D5B">
        <w:t>(Mass. Div. of Admin. Law App.</w:t>
      </w:r>
      <w:r w:rsidR="00B874E8">
        <w:t>, Sept. 8, 2015)</w:t>
      </w:r>
      <w:r w:rsidR="00976D5B">
        <w:t xml:space="preserve"> </w:t>
      </w:r>
      <w:r w:rsidR="000C0D98" w:rsidRPr="00405DBA">
        <w:t>(</w:t>
      </w:r>
      <w:r w:rsidR="00695C2B">
        <w:t>quoting</w:t>
      </w:r>
      <w:r w:rsidR="000C0D98" w:rsidRPr="00405DBA">
        <w:t xml:space="preserve"> </w:t>
      </w:r>
      <w:proofErr w:type="spellStart"/>
      <w:r w:rsidR="00903BFE" w:rsidRPr="001163BB">
        <w:rPr>
          <w:i/>
        </w:rPr>
        <w:t>Kraskouskas</w:t>
      </w:r>
      <w:proofErr w:type="spellEnd"/>
      <w:r w:rsidR="00903BFE" w:rsidRPr="001163BB">
        <w:rPr>
          <w:i/>
        </w:rPr>
        <w:t xml:space="preserve"> v. Massachusetts Teachers’ Retirement System</w:t>
      </w:r>
      <w:r w:rsidR="00903BFE" w:rsidRPr="00405DBA">
        <w:t xml:space="preserve">, </w:t>
      </w:r>
      <w:r w:rsidR="00F74E6F">
        <w:t xml:space="preserve">Docket No. </w:t>
      </w:r>
      <w:r w:rsidR="00903BFE" w:rsidRPr="00405DBA">
        <w:t>CR-09-288 (</w:t>
      </w:r>
      <w:r w:rsidR="003156A7">
        <w:t xml:space="preserve">Mass. Div. of Admin. Law App., Sept. 26, </w:t>
      </w:r>
      <w:r w:rsidR="00903BFE" w:rsidRPr="00405DBA">
        <w:t>2014).</w:t>
      </w:r>
      <w:r w:rsidR="00EE4DB8">
        <w:t xml:space="preserve"> </w:t>
      </w:r>
      <w:r w:rsidR="00BF46E4">
        <w:t xml:space="preserve"> </w:t>
      </w:r>
      <w:r w:rsidR="00195F4A" w:rsidRPr="00405DBA">
        <w:t xml:space="preserve">As such, </w:t>
      </w:r>
      <w:r w:rsidR="00CF4AAD">
        <w:t xml:space="preserve">the only </w:t>
      </w:r>
      <w:r w:rsidR="003F57D0">
        <w:t>job functions</w:t>
      </w:r>
      <w:r w:rsidR="00CF4AAD">
        <w:t xml:space="preserve"> that can qualify a </w:t>
      </w:r>
      <w:r w:rsidR="005106E5">
        <w:t>member</w:t>
      </w:r>
      <w:r w:rsidR="00CF4AAD">
        <w:t xml:space="preserve"> to purchase credit</w:t>
      </w:r>
      <w:r w:rsidR="00595E32">
        <w:t>able service</w:t>
      </w:r>
      <w:r w:rsidR="00CF4AAD">
        <w:t xml:space="preserve"> under </w:t>
      </w:r>
      <w:r w:rsidR="00CF4AAD" w:rsidRPr="00405DBA">
        <w:t>G.L. c. 32, § 4 (1)(p)</w:t>
      </w:r>
      <w:r w:rsidR="00CF4AAD">
        <w:t xml:space="preserve"> are </w:t>
      </w:r>
      <w:r w:rsidR="003D148B">
        <w:t>those involving the</w:t>
      </w:r>
      <w:r w:rsidR="002E6B16">
        <w:t xml:space="preserve"> direct teaching of</w:t>
      </w:r>
      <w:r w:rsidR="00CF4AAD">
        <w:t xml:space="preserve"> </w:t>
      </w:r>
      <w:r w:rsidR="00566B5E">
        <w:t>“academic subjects or</w:t>
      </w:r>
      <w:r w:rsidR="00695C2B">
        <w:t>…</w:t>
      </w:r>
      <w:r w:rsidR="00566B5E">
        <w:t xml:space="preserve">vocational </w:t>
      </w:r>
      <w:r w:rsidR="0028043A">
        <w:t>skills</w:t>
      </w:r>
      <w:r w:rsidR="00566B5E">
        <w:t>”</w:t>
      </w:r>
      <w:r w:rsidR="005C54B5">
        <w:t xml:space="preserve"> to students.</w:t>
      </w:r>
      <w:r w:rsidR="00987C98">
        <w:t xml:space="preserve"> </w:t>
      </w:r>
      <w:r w:rsidR="00CA3EA0">
        <w:t xml:space="preserve"> </w:t>
      </w:r>
      <w:proofErr w:type="spellStart"/>
      <w:r w:rsidR="00051429">
        <w:rPr>
          <w:i/>
        </w:rPr>
        <w:t>Kraskouskas</w:t>
      </w:r>
      <w:proofErr w:type="spellEnd"/>
      <w:r w:rsidR="00051429">
        <w:t xml:space="preserve">, </w:t>
      </w:r>
      <w:r w:rsidR="002C195B">
        <w:t xml:space="preserve">at </w:t>
      </w:r>
      <w:r w:rsidR="00051429">
        <w:t xml:space="preserve">* </w:t>
      </w:r>
      <w:r w:rsidR="00B73499">
        <w:t xml:space="preserve">7; </w:t>
      </w:r>
      <w:r w:rsidR="00744301">
        <w:rPr>
          <w:i/>
        </w:rPr>
        <w:t>Romano v. Massachusetts Teachers’ Retirement System</w:t>
      </w:r>
      <w:r w:rsidR="00744301">
        <w:t xml:space="preserve">, </w:t>
      </w:r>
      <w:r w:rsidR="00A64FC7">
        <w:t xml:space="preserve">Docket No. </w:t>
      </w:r>
      <w:r w:rsidR="00F10E6E">
        <w:t>CR-15-260 (</w:t>
      </w:r>
      <w:r w:rsidR="001E20DA">
        <w:t>Mass. Div. of Admin. Law App</w:t>
      </w:r>
      <w:r w:rsidR="000C6591">
        <w:t>.</w:t>
      </w:r>
      <w:r w:rsidR="003B6D8D">
        <w:t>,</w:t>
      </w:r>
      <w:r w:rsidR="000C6591">
        <w:t xml:space="preserve"> July 7,</w:t>
      </w:r>
      <w:r w:rsidR="00F10E6E">
        <w:t xml:space="preserve"> 2017)</w:t>
      </w:r>
      <w:r w:rsidR="001E20DA">
        <w:t xml:space="preserve"> (family therapist providing social and emotional therapy to students is not engaged in teaching pupils)</w:t>
      </w:r>
      <w:r w:rsidR="008E224E">
        <w:t xml:space="preserve">; </w:t>
      </w:r>
      <w:r w:rsidR="003C064A">
        <w:rPr>
          <w:i/>
        </w:rPr>
        <w:t>Farnsworth v. Massachusetts Teachers’ Retirement System</w:t>
      </w:r>
      <w:r w:rsidR="00977FD8">
        <w:t xml:space="preserve">, </w:t>
      </w:r>
      <w:r w:rsidR="00B54B07">
        <w:t xml:space="preserve">Docket No. </w:t>
      </w:r>
      <w:r w:rsidR="00977FD8">
        <w:t>CR-15-29</w:t>
      </w:r>
      <w:r w:rsidR="001E536D">
        <w:t xml:space="preserve">, Decision </w:t>
      </w:r>
      <w:r w:rsidR="00EA38BC">
        <w:t>(</w:t>
      </w:r>
      <w:r w:rsidR="002C195B">
        <w:t>Mass. Div. of Admin. Law App</w:t>
      </w:r>
      <w:r w:rsidR="00995E55">
        <w:t>.</w:t>
      </w:r>
      <w:r w:rsidR="003B6D8D">
        <w:t>,</w:t>
      </w:r>
      <w:r w:rsidR="00EA38BC">
        <w:t xml:space="preserve"> </w:t>
      </w:r>
      <w:r w:rsidR="00552936">
        <w:t>June 2</w:t>
      </w:r>
      <w:r w:rsidR="001848AC">
        <w:t>3</w:t>
      </w:r>
      <w:r w:rsidR="00552936">
        <w:t xml:space="preserve">, </w:t>
      </w:r>
      <w:r w:rsidR="00EA38BC">
        <w:t>201</w:t>
      </w:r>
      <w:r w:rsidR="001848AC">
        <w:t>7</w:t>
      </w:r>
      <w:r w:rsidR="00EA38BC">
        <w:t xml:space="preserve">) </w:t>
      </w:r>
      <w:r w:rsidR="00053C8A">
        <w:t>(</w:t>
      </w:r>
      <w:r w:rsidR="002C195B">
        <w:t>therapy, counseling, or teaching behavior skills or life skills do not constitute teaching academics)</w:t>
      </w:r>
      <w:r w:rsidR="00A022A9">
        <w:t>;</w:t>
      </w:r>
      <w:r w:rsidR="0045302A">
        <w:t xml:space="preserve"> </w:t>
      </w:r>
      <w:r w:rsidR="00B130B6">
        <w:rPr>
          <w:i/>
        </w:rPr>
        <w:t>Ca</w:t>
      </w:r>
      <w:r w:rsidR="004F5A53">
        <w:rPr>
          <w:i/>
        </w:rPr>
        <w:t>r</w:t>
      </w:r>
      <w:r w:rsidR="00B130B6">
        <w:rPr>
          <w:i/>
        </w:rPr>
        <w:t xml:space="preserve">roll v. </w:t>
      </w:r>
      <w:r w:rsidR="006D12BC">
        <w:rPr>
          <w:i/>
        </w:rPr>
        <w:t>Massachusetts Teachers’ Retirement System</w:t>
      </w:r>
      <w:r w:rsidR="006D12BC">
        <w:t xml:space="preserve">, </w:t>
      </w:r>
      <w:r w:rsidR="00641F1B">
        <w:t xml:space="preserve">Docket No. </w:t>
      </w:r>
      <w:r w:rsidR="006D12BC">
        <w:t>CR-15-8</w:t>
      </w:r>
      <w:r w:rsidR="001F500C">
        <w:t xml:space="preserve">, </w:t>
      </w:r>
      <w:r w:rsidR="00E8664F">
        <w:t>(</w:t>
      </w:r>
      <w:r w:rsidR="002C195B">
        <w:t>Mass. Div. of Admin. Law App</w:t>
      </w:r>
      <w:r w:rsidR="0045302A">
        <w:t xml:space="preserve">., </w:t>
      </w:r>
      <w:r w:rsidR="00160005">
        <w:t>November 17</w:t>
      </w:r>
      <w:r w:rsidR="0045302A">
        <w:t>,</w:t>
      </w:r>
      <w:r w:rsidR="00E8664F">
        <w:t xml:space="preserve"> 2016) </w:t>
      </w:r>
      <w:r w:rsidR="003A3988">
        <w:lastRenderedPageBreak/>
        <w:t>(supervisory duties</w:t>
      </w:r>
      <w:r w:rsidR="002C195B">
        <w:t>,</w:t>
      </w:r>
      <w:r w:rsidR="003A3988">
        <w:t xml:space="preserve"> </w:t>
      </w:r>
      <w:r w:rsidR="002C195B">
        <w:t>a</w:t>
      </w:r>
      <w:r w:rsidR="003A3988">
        <w:t xml:space="preserve">ssisting teachers in the classroom </w:t>
      </w:r>
      <w:r w:rsidR="002C195B">
        <w:t xml:space="preserve">and episodic substitute teaching </w:t>
      </w:r>
      <w:r w:rsidR="003A3988">
        <w:t xml:space="preserve">do not qualify as </w:t>
      </w:r>
      <w:r w:rsidR="00AB4512">
        <w:t>having</w:t>
      </w:r>
      <w:r w:rsidR="003A3988">
        <w:t xml:space="preserve"> “engaged in teaching pupils”</w:t>
      </w:r>
      <w:r w:rsidR="00904029">
        <w:t>)</w:t>
      </w:r>
      <w:r w:rsidR="00BF46E4">
        <w:t xml:space="preserve">. </w:t>
      </w:r>
    </w:p>
    <w:p w:rsidR="00291268" w:rsidRPr="00D959D6" w:rsidRDefault="00F31218" w:rsidP="00DA60A9">
      <w:pPr>
        <w:spacing w:line="480" w:lineRule="auto"/>
        <w:ind w:right="720"/>
        <w:contextualSpacing/>
      </w:pPr>
      <w:r>
        <w:tab/>
      </w:r>
      <w:r w:rsidR="00D3712F">
        <w:t>A</w:t>
      </w:r>
      <w:r w:rsidR="00627FE9">
        <w:t xml:space="preserve">s </w:t>
      </w:r>
      <w:r w:rsidR="00D10C55">
        <w:t>Ms. Loomis acknowledged</w:t>
      </w:r>
      <w:r w:rsidR="003655E3">
        <w:t xml:space="preserve"> </w:t>
      </w:r>
      <w:r w:rsidR="00627FE9">
        <w:t xml:space="preserve">and </w:t>
      </w:r>
      <w:r w:rsidR="00883618">
        <w:t xml:space="preserve">as </w:t>
      </w:r>
      <w:r w:rsidR="00D10C55">
        <w:t xml:space="preserve">is </w:t>
      </w:r>
      <w:r w:rsidR="00927144">
        <w:t xml:space="preserve">readily </w:t>
      </w:r>
      <w:r w:rsidR="00DC737E">
        <w:t>ascertainable from</w:t>
      </w:r>
      <w:r w:rsidR="002677C8">
        <w:t xml:space="preserve"> the</w:t>
      </w:r>
      <w:r w:rsidR="00003504">
        <w:t xml:space="preserve"> </w:t>
      </w:r>
      <w:r w:rsidR="005C0FF1">
        <w:t>P</w:t>
      </w:r>
      <w:r w:rsidR="007F11C8">
        <w:t xml:space="preserve">arent </w:t>
      </w:r>
      <w:r w:rsidR="005C0FF1">
        <w:t>W</w:t>
      </w:r>
      <w:r w:rsidR="007F11C8">
        <w:t>orker job</w:t>
      </w:r>
      <w:r w:rsidR="002677C8">
        <w:t xml:space="preserve"> </w:t>
      </w:r>
      <w:r w:rsidR="00627FE9">
        <w:t>description</w:t>
      </w:r>
      <w:r w:rsidR="003F4E02">
        <w:t xml:space="preserve"> (Ex. 4)</w:t>
      </w:r>
      <w:r w:rsidR="00A36728">
        <w:t xml:space="preserve">, </w:t>
      </w:r>
      <w:r w:rsidR="00CA32D4">
        <w:t xml:space="preserve">at </w:t>
      </w:r>
      <w:r w:rsidR="00A36728">
        <w:t>no point during her tenure a</w:t>
      </w:r>
      <w:r w:rsidR="007F7096">
        <w:t xml:space="preserve">t the Farr Academy was </w:t>
      </w:r>
      <w:r w:rsidR="00F26FA9">
        <w:t>Ms. Loomis</w:t>
      </w:r>
      <w:r w:rsidR="00DF3A04">
        <w:t xml:space="preserve"> “engaged in teaching pupils.”</w:t>
      </w:r>
      <w:r w:rsidR="003974A5">
        <w:t xml:space="preserve"> </w:t>
      </w:r>
      <w:r w:rsidR="00DF3A04">
        <w:t xml:space="preserve"> </w:t>
      </w:r>
      <w:r w:rsidR="001F7B61">
        <w:t xml:space="preserve">Like </w:t>
      </w:r>
      <w:r w:rsidR="008C2A60">
        <w:t xml:space="preserve">the petitioner in </w:t>
      </w:r>
      <w:r w:rsidR="007116C8">
        <w:rPr>
          <w:i/>
        </w:rPr>
        <w:t>Roman</w:t>
      </w:r>
      <w:r w:rsidR="003655E3">
        <w:rPr>
          <w:i/>
        </w:rPr>
        <w:t>o</w:t>
      </w:r>
      <w:r w:rsidR="00D91859">
        <w:t xml:space="preserve">, Ms. </w:t>
      </w:r>
      <w:r w:rsidR="00232D3A">
        <w:t>Loomis</w:t>
      </w:r>
      <w:r w:rsidR="000E6F51">
        <w:t xml:space="preserve"> provided</w:t>
      </w:r>
      <w:r w:rsidR="0092554A">
        <w:t xml:space="preserve"> important </w:t>
      </w:r>
      <w:r w:rsidR="00576ACF">
        <w:t>therapeutic services for students</w:t>
      </w:r>
      <w:r w:rsidR="00046B33">
        <w:t xml:space="preserve">. </w:t>
      </w:r>
      <w:r w:rsidR="00576ACF">
        <w:t xml:space="preserve"> </w:t>
      </w:r>
      <w:r w:rsidR="00046B33">
        <w:rPr>
          <w:i/>
        </w:rPr>
        <w:t>Romano</w:t>
      </w:r>
      <w:r w:rsidR="00046B33">
        <w:t xml:space="preserve">, at * 5.  In addition she provided services for </w:t>
      </w:r>
      <w:r w:rsidR="00576ACF">
        <w:t>their families</w:t>
      </w:r>
      <w:r w:rsidR="00046B33">
        <w:t>.</w:t>
      </w:r>
      <w:r w:rsidR="003974A5">
        <w:t xml:space="preserve"> </w:t>
      </w:r>
      <w:r w:rsidR="00C55A8A">
        <w:t xml:space="preserve"> </w:t>
      </w:r>
      <w:r w:rsidR="00805983">
        <w:t xml:space="preserve">However, </w:t>
      </w:r>
      <w:r w:rsidR="00046B33">
        <w:t xml:space="preserve">providing </w:t>
      </w:r>
      <w:r w:rsidR="00052049">
        <w:t xml:space="preserve">therapeutic </w:t>
      </w:r>
      <w:r w:rsidR="007D216E">
        <w:t xml:space="preserve">services </w:t>
      </w:r>
      <w:r w:rsidR="00046B33">
        <w:t>is</w:t>
      </w:r>
      <w:r w:rsidR="007D216E">
        <w:t xml:space="preserve"> not the same as </w:t>
      </w:r>
      <w:r w:rsidR="00046B33">
        <w:t xml:space="preserve">teaching </w:t>
      </w:r>
      <w:r w:rsidR="007D216E">
        <w:t>academ</w:t>
      </w:r>
      <w:r w:rsidR="00482485">
        <w:t xml:space="preserve">ic </w:t>
      </w:r>
      <w:r w:rsidR="00046B33">
        <w:t xml:space="preserve">subjects </w:t>
      </w:r>
      <w:r w:rsidR="00482485">
        <w:t>or vocational s</w:t>
      </w:r>
      <w:r w:rsidR="00046B33">
        <w:t>kills</w:t>
      </w:r>
      <w:r w:rsidR="00482485">
        <w:t xml:space="preserve">. </w:t>
      </w:r>
      <w:r w:rsidR="003974A5">
        <w:t xml:space="preserve"> </w:t>
      </w:r>
      <w:r w:rsidR="00D959D6">
        <w:rPr>
          <w:i/>
        </w:rPr>
        <w:t>Id.</w:t>
      </w:r>
      <w:r w:rsidR="00D959D6">
        <w:t xml:space="preserve">  </w:t>
      </w:r>
      <w:r w:rsidR="00836194">
        <w:t>Ms. Loomis’s service</w:t>
      </w:r>
      <w:r w:rsidR="00046B33">
        <w:t>, thus,</w:t>
      </w:r>
      <w:r w:rsidR="00836194">
        <w:t xml:space="preserve"> does not qualify for purchase pursuant to </w:t>
      </w:r>
      <w:r w:rsidR="00836194" w:rsidRPr="00405DBA">
        <w:t>G.L. c. 32, § 4 (1)(p)</w:t>
      </w:r>
      <w:r w:rsidR="00836194">
        <w:t xml:space="preserve">. </w:t>
      </w:r>
    </w:p>
    <w:p w:rsidR="00E12976" w:rsidRDefault="00B30772" w:rsidP="00A123CF">
      <w:pPr>
        <w:spacing w:line="480" w:lineRule="auto"/>
        <w:ind w:right="720" w:firstLine="720"/>
        <w:contextualSpacing/>
      </w:pPr>
      <w:r>
        <w:t>Ms. Loomis further maintains that,</w:t>
      </w:r>
      <w:r w:rsidR="00B92940">
        <w:t xml:space="preserve"> because </w:t>
      </w:r>
      <w:r w:rsidR="00DC4F2F">
        <w:t>her current position recognizes her</w:t>
      </w:r>
      <w:r w:rsidR="00A84B3F">
        <w:t xml:space="preserve"> a “teacher” and </w:t>
      </w:r>
      <w:r w:rsidR="00FA5798">
        <w:t xml:space="preserve">because </w:t>
      </w:r>
      <w:r w:rsidR="00F10BEB">
        <w:t xml:space="preserve">the </w:t>
      </w:r>
      <w:r w:rsidR="007C6D44" w:rsidRPr="00405DBA">
        <w:t>G.L. c. 32, §</w:t>
      </w:r>
      <w:r w:rsidR="00A030FF">
        <w:t xml:space="preserve"> 1</w:t>
      </w:r>
      <w:r w:rsidR="00F10BEB">
        <w:t xml:space="preserve"> definiti</w:t>
      </w:r>
      <w:r w:rsidR="005453B0">
        <w:t xml:space="preserve">on of a teacher </w:t>
      </w:r>
      <w:r w:rsidR="00A82771">
        <w:t>encompasses</w:t>
      </w:r>
      <w:r w:rsidR="00B74C2E">
        <w:t xml:space="preserve"> school psychologists</w:t>
      </w:r>
      <w:r w:rsidR="00207170">
        <w:t>, she satisfies</w:t>
      </w:r>
      <w:r w:rsidR="00CB3D3B">
        <w:t xml:space="preserve"> the G.L. c. </w:t>
      </w:r>
      <w:r w:rsidR="00556A40">
        <w:t>32, § 4(1)(p) requirement of having “engaged in teaching pupils.”</w:t>
      </w:r>
      <w:r w:rsidR="0089353A">
        <w:t xml:space="preserve">  </w:t>
      </w:r>
      <w:r w:rsidR="003D4593">
        <w:t>This argument, however, is i</w:t>
      </w:r>
      <w:r w:rsidR="00BD587A">
        <w:t>naccurate</w:t>
      </w:r>
      <w:r w:rsidR="003D4593">
        <w:t>.</w:t>
      </w:r>
      <w:r w:rsidR="00584737">
        <w:t xml:space="preserve"> </w:t>
      </w:r>
      <w:r w:rsidR="003D4593">
        <w:t xml:space="preserve"> </w:t>
      </w:r>
      <w:r w:rsidR="00681D6B">
        <w:t xml:space="preserve">While </w:t>
      </w:r>
      <w:r w:rsidR="00CE5902">
        <w:t xml:space="preserve">G.L. c. 32, § 1 </w:t>
      </w:r>
      <w:r w:rsidR="00DA5D72">
        <w:t>defines “teacher” to include</w:t>
      </w:r>
      <w:r w:rsidR="00BD587A">
        <w:t xml:space="preserve"> a</w:t>
      </w:r>
      <w:r w:rsidR="00895369">
        <w:t xml:space="preserve">: </w:t>
      </w:r>
      <w:r w:rsidR="008642A0">
        <w:t>“</w:t>
      </w:r>
      <w:r w:rsidR="00BD587A">
        <w:t>s</w:t>
      </w:r>
      <w:r w:rsidR="008642A0">
        <w:t xml:space="preserve">chool psychologist, </w:t>
      </w:r>
      <w:r w:rsidR="00514C5E">
        <w:t xml:space="preserve">school </w:t>
      </w:r>
      <w:r w:rsidR="008642A0">
        <w:t xml:space="preserve">psychiatrist, </w:t>
      </w:r>
      <w:r w:rsidR="0017546E">
        <w:t xml:space="preserve">school </w:t>
      </w:r>
      <w:r w:rsidR="008642A0">
        <w:t>adjustment counsel</w:t>
      </w:r>
      <w:r w:rsidR="0082176A">
        <w:t>l</w:t>
      </w:r>
      <w:r w:rsidR="008642A0">
        <w:t>or</w:t>
      </w:r>
      <w:r w:rsidR="0065781A">
        <w:t xml:space="preserve"> or</w:t>
      </w:r>
      <w:r w:rsidR="008642A0">
        <w:t xml:space="preserve"> director of occupational guidance </w:t>
      </w:r>
      <w:r w:rsidR="000B374A">
        <w:t>and placement…</w:t>
      </w:r>
      <w:r w:rsidR="008642A0">
        <w:t>principal, superintendent</w:t>
      </w:r>
      <w:r w:rsidR="00617F2B">
        <w:t xml:space="preserve">...or </w:t>
      </w:r>
      <w:r w:rsidR="00C97211">
        <w:t>supervisor</w:t>
      </w:r>
      <w:r w:rsidR="008642A0">
        <w:t xml:space="preserve"> or teacher of adult civic education”</w:t>
      </w:r>
      <w:r w:rsidR="00937B33">
        <w:t xml:space="preserve"> </w:t>
      </w:r>
      <w:r w:rsidR="00046B33">
        <w:t xml:space="preserve">this </w:t>
      </w:r>
      <w:r w:rsidR="002D5EFA">
        <w:t>is</w:t>
      </w:r>
      <w:r w:rsidR="00C60D41">
        <w:t xml:space="preserve"> </w:t>
      </w:r>
      <w:r w:rsidR="00863041">
        <w:t>so</w:t>
      </w:r>
      <w:r w:rsidR="00C60D41">
        <w:t xml:space="preserve"> that these </w:t>
      </w:r>
      <w:r w:rsidR="00371EED">
        <w:t>public school employees</w:t>
      </w:r>
      <w:r w:rsidR="00C60D41">
        <w:t xml:space="preserve"> </w:t>
      </w:r>
      <w:r w:rsidR="00EC4F8D">
        <w:t xml:space="preserve">may </w:t>
      </w:r>
      <w:r w:rsidR="00103E7C">
        <w:t>join</w:t>
      </w:r>
      <w:r w:rsidR="005F3B5E">
        <w:t xml:space="preserve"> the Commonwealth’s </w:t>
      </w:r>
      <w:r w:rsidR="001E7620">
        <w:t xml:space="preserve">teachers’ </w:t>
      </w:r>
      <w:r w:rsidR="00A123CF">
        <w:t>retirement system</w:t>
      </w:r>
      <w:r w:rsidR="00665B61">
        <w:t xml:space="preserve"> and have the right to purchase former public service</w:t>
      </w:r>
      <w:r w:rsidR="00A123CF">
        <w:t xml:space="preserve">.  </w:t>
      </w:r>
      <w:proofErr w:type="spellStart"/>
      <w:r w:rsidR="00B02933">
        <w:rPr>
          <w:i/>
        </w:rPr>
        <w:t>Buonaiuto</w:t>
      </w:r>
      <w:proofErr w:type="spellEnd"/>
      <w:r w:rsidR="00B02933">
        <w:rPr>
          <w:i/>
        </w:rPr>
        <w:t xml:space="preserve"> v. Massachusetts Teachers’ Retirement System</w:t>
      </w:r>
      <w:r w:rsidR="00B02933">
        <w:t>,</w:t>
      </w:r>
      <w:r w:rsidR="00741C44">
        <w:t xml:space="preserve"> Docket No.</w:t>
      </w:r>
      <w:r w:rsidR="00B02933">
        <w:t xml:space="preserve"> CR-15-26</w:t>
      </w:r>
      <w:r w:rsidR="0057799B">
        <w:t xml:space="preserve"> at *</w:t>
      </w:r>
      <w:r w:rsidR="00677A57">
        <w:t xml:space="preserve"> 10 </w:t>
      </w:r>
      <w:r w:rsidR="00B02933">
        <w:t>(</w:t>
      </w:r>
      <w:r w:rsidR="00634708">
        <w:t>Mass. Div.</w:t>
      </w:r>
      <w:r w:rsidR="00D02073">
        <w:t xml:space="preserve"> of Admin. Law App.</w:t>
      </w:r>
      <w:r w:rsidR="004A69C0">
        <w:t>,</w:t>
      </w:r>
      <w:r w:rsidR="00D02073">
        <w:t xml:space="preserve"> </w:t>
      </w:r>
      <w:r w:rsidR="00F03BB7">
        <w:t>Ma</w:t>
      </w:r>
      <w:r w:rsidR="00665B61">
        <w:t>r</w:t>
      </w:r>
      <w:r w:rsidR="005F3225">
        <w:t>.</w:t>
      </w:r>
      <w:r w:rsidR="00F03BB7">
        <w:t xml:space="preserve"> </w:t>
      </w:r>
      <w:r w:rsidR="00665B61">
        <w:t>2</w:t>
      </w:r>
      <w:r w:rsidR="00F03BB7">
        <w:t xml:space="preserve">4, </w:t>
      </w:r>
      <w:r w:rsidR="00B02933">
        <w:t>2017)</w:t>
      </w:r>
      <w:r w:rsidR="007B0BEA">
        <w:t xml:space="preserve"> </w:t>
      </w:r>
      <w:r w:rsidR="007B0BEA" w:rsidRPr="00665B61">
        <w:rPr>
          <w:i/>
        </w:rPr>
        <w:t>citing</w:t>
      </w:r>
      <w:r w:rsidR="007B0BEA">
        <w:t xml:space="preserve"> </w:t>
      </w:r>
      <w:r w:rsidR="007B0BEA">
        <w:rPr>
          <w:i/>
        </w:rPr>
        <w:t xml:space="preserve">Taft v. </w:t>
      </w:r>
      <w:r w:rsidR="00F47114">
        <w:rPr>
          <w:i/>
        </w:rPr>
        <w:t xml:space="preserve">Massachusetts Teachers’ </w:t>
      </w:r>
      <w:r w:rsidR="006C3763">
        <w:rPr>
          <w:i/>
        </w:rPr>
        <w:t>Retirement Bd.</w:t>
      </w:r>
      <w:r w:rsidR="006C3763">
        <w:t xml:space="preserve">, </w:t>
      </w:r>
      <w:r w:rsidR="002F2002">
        <w:t xml:space="preserve">Docket No. </w:t>
      </w:r>
      <w:r w:rsidR="008B40C6">
        <w:t xml:space="preserve">CR-02-657 (Mass. Div. of Admin. Law. App., </w:t>
      </w:r>
      <w:r w:rsidR="004C41C3">
        <w:t>June 4, 2004</w:t>
      </w:r>
      <w:r w:rsidR="006C3763">
        <w:t xml:space="preserve">), </w:t>
      </w:r>
      <w:r w:rsidR="006C3763">
        <w:rPr>
          <w:i/>
        </w:rPr>
        <w:t>aff’d</w:t>
      </w:r>
      <w:r w:rsidR="00FB15A8">
        <w:t xml:space="preserve"> (C</w:t>
      </w:r>
      <w:r w:rsidR="00BD3A45">
        <w:t xml:space="preserve">ontributory </w:t>
      </w:r>
      <w:r w:rsidR="00FB15A8">
        <w:t>R</w:t>
      </w:r>
      <w:r w:rsidR="00BD3A45">
        <w:t xml:space="preserve">et. </w:t>
      </w:r>
      <w:r w:rsidR="00FB15A8">
        <w:t>A</w:t>
      </w:r>
      <w:r w:rsidR="00BD3A45">
        <w:t xml:space="preserve">pp. </w:t>
      </w:r>
      <w:r w:rsidR="00FB15A8">
        <w:t>B</w:t>
      </w:r>
      <w:r w:rsidR="00BD3A45">
        <w:t>d.,</w:t>
      </w:r>
      <w:r w:rsidR="00307E39">
        <w:t xml:space="preserve"> Nov. 15,</w:t>
      </w:r>
      <w:r w:rsidR="00FB15A8">
        <w:t xml:space="preserve"> 2004</w:t>
      </w:r>
      <w:r w:rsidR="00BD3A45">
        <w:t>)</w:t>
      </w:r>
      <w:r w:rsidR="008F7AF9">
        <w:t xml:space="preserve"> </w:t>
      </w:r>
      <w:r w:rsidR="008F7AF9" w:rsidRPr="008F7AF9">
        <w:rPr>
          <w:i/>
        </w:rPr>
        <w:t>aff’d</w:t>
      </w:r>
      <w:r w:rsidR="008F7AF9">
        <w:t xml:space="preserve"> </w:t>
      </w:r>
      <w:r w:rsidR="00F47114" w:rsidRPr="00F47114">
        <w:rPr>
          <w:i/>
        </w:rPr>
        <w:t>Taft v. Contributory Retirement Appeal Bd</w:t>
      </w:r>
      <w:r w:rsidR="00F47114">
        <w:t xml:space="preserve">., </w:t>
      </w:r>
      <w:r w:rsidR="008F7AF9">
        <w:t>Civil Action No. 04-05441 (Suff. Sup. Ct.</w:t>
      </w:r>
      <w:r w:rsidR="00F47114">
        <w:t>,</w:t>
      </w:r>
      <w:r w:rsidR="008F7AF9">
        <w:t xml:space="preserve"> </w:t>
      </w:r>
      <w:r w:rsidR="00F47114">
        <w:t xml:space="preserve">Oct. 28, </w:t>
      </w:r>
      <w:r w:rsidR="008F7AF9">
        <w:t xml:space="preserve">2005) (director of vocational programs not engaged in teaching </w:t>
      </w:r>
      <w:r w:rsidR="008F7AF9">
        <w:lastRenderedPageBreak/>
        <w:t>pupils</w:t>
      </w:r>
      <w:r w:rsidR="001C7B9E">
        <w:t xml:space="preserve"> where she held an administrative position and occasionally filled in for absent teachers)</w:t>
      </w:r>
      <w:r w:rsidR="001E7620">
        <w:t xml:space="preserve">. </w:t>
      </w:r>
      <w:r w:rsidR="00CE5902">
        <w:t xml:space="preserve"> </w:t>
      </w:r>
      <w:r w:rsidR="001E7620">
        <w:t>The definition does not alter the limitation that the only former non-public school service that may be purchased involves teaching pupils.</w:t>
      </w:r>
    </w:p>
    <w:p w:rsidR="008F4B85" w:rsidRDefault="00B769AC" w:rsidP="00DA60A9">
      <w:pPr>
        <w:spacing w:line="480" w:lineRule="auto"/>
        <w:ind w:right="720"/>
        <w:contextualSpacing/>
      </w:pPr>
      <w:r>
        <w:tab/>
      </w:r>
      <w:r w:rsidR="00D73BC3">
        <w:t>Ms. Loomis</w:t>
      </w:r>
      <w:r>
        <w:t xml:space="preserve"> </w:t>
      </w:r>
      <w:r w:rsidR="001E7620">
        <w:t>also</w:t>
      </w:r>
      <w:r w:rsidR="00350C30">
        <w:t xml:space="preserve"> </w:t>
      </w:r>
      <w:r>
        <w:t xml:space="preserve">asks that I </w:t>
      </w:r>
      <w:r w:rsidR="008109CA">
        <w:t>rely on</w:t>
      </w:r>
      <w:r>
        <w:t xml:space="preserve"> the sworn affidavits of </w:t>
      </w:r>
      <w:r w:rsidR="00264EAD">
        <w:t>C</w:t>
      </w:r>
      <w:r w:rsidR="00DE7D27">
        <w:t>hristy Pappas</w:t>
      </w:r>
      <w:r w:rsidR="00380A40">
        <w:t>, Director</w:t>
      </w:r>
      <w:r w:rsidR="00EE4DB8">
        <w:t xml:space="preserve"> of the Farr Academy</w:t>
      </w:r>
      <w:r w:rsidR="00C837C0">
        <w:t>,</w:t>
      </w:r>
      <w:r w:rsidR="00DE7D27">
        <w:t xml:space="preserve"> </w:t>
      </w:r>
      <w:r w:rsidR="00F659CA">
        <w:t xml:space="preserve">and </w:t>
      </w:r>
      <w:r w:rsidR="002A7DB0">
        <w:t xml:space="preserve">David </w:t>
      </w:r>
      <w:proofErr w:type="spellStart"/>
      <w:r w:rsidR="002A7DB0">
        <w:t>Ollivierre</w:t>
      </w:r>
      <w:proofErr w:type="spellEnd"/>
      <w:r w:rsidR="002A7DB0">
        <w:t xml:space="preserve">, </w:t>
      </w:r>
      <w:r w:rsidR="00F659CA">
        <w:t xml:space="preserve">Bookkeeper </w:t>
      </w:r>
      <w:r w:rsidR="00D93834">
        <w:t>of the Farr Academy</w:t>
      </w:r>
      <w:r w:rsidR="00D45AAF">
        <w:t xml:space="preserve">, neither of whom </w:t>
      </w:r>
      <w:r w:rsidR="0084653B">
        <w:t>testified</w:t>
      </w:r>
      <w:r w:rsidR="00765D04">
        <w:t xml:space="preserve"> and </w:t>
      </w:r>
      <w:r w:rsidR="00BD587A">
        <w:t xml:space="preserve">were </w:t>
      </w:r>
      <w:r w:rsidR="00765D04">
        <w:t>available for cross-examination</w:t>
      </w:r>
      <w:r w:rsidR="00D45AAF">
        <w:t xml:space="preserve"> at the hearing.</w:t>
      </w:r>
      <w:r w:rsidR="00AB7154">
        <w:t xml:space="preserve"> </w:t>
      </w:r>
      <w:r w:rsidR="00C93025">
        <w:t xml:space="preserve"> </w:t>
      </w:r>
      <w:r w:rsidR="00AB7154">
        <w:rPr>
          <w:i/>
        </w:rPr>
        <w:t xml:space="preserve">See </w:t>
      </w:r>
      <w:r w:rsidR="00753613" w:rsidRPr="00AB7154">
        <w:rPr>
          <w:i/>
        </w:rPr>
        <w:t>Sargent</w:t>
      </w:r>
      <w:r w:rsidR="00753613">
        <w:rPr>
          <w:i/>
        </w:rPr>
        <w:t xml:space="preserve"> v. Worcester Retirement Board</w:t>
      </w:r>
      <w:r w:rsidR="00753613">
        <w:t xml:space="preserve">, </w:t>
      </w:r>
      <w:r w:rsidR="003544AD">
        <w:t xml:space="preserve">Docket No. </w:t>
      </w:r>
      <w:r w:rsidR="00753613">
        <w:t>CR-</w:t>
      </w:r>
      <w:r w:rsidR="00144D51">
        <w:t>07-953</w:t>
      </w:r>
      <w:r w:rsidR="00254BB9">
        <w:t xml:space="preserve"> (</w:t>
      </w:r>
      <w:r w:rsidR="009C3A88">
        <w:t>Mass. Div</w:t>
      </w:r>
      <w:r w:rsidR="001C7B9E">
        <w:t>.</w:t>
      </w:r>
      <w:r w:rsidR="009C3A88">
        <w:t xml:space="preserve"> of Admin</w:t>
      </w:r>
      <w:r w:rsidR="001C7B9E">
        <w:t>.</w:t>
      </w:r>
      <w:r w:rsidR="009C3A88">
        <w:t xml:space="preserve"> </w:t>
      </w:r>
      <w:proofErr w:type="gramStart"/>
      <w:r w:rsidR="009C3A88">
        <w:t>Law App.</w:t>
      </w:r>
      <w:r w:rsidR="001C7B9E">
        <w:t>,</w:t>
      </w:r>
      <w:r w:rsidR="009C3A88">
        <w:t xml:space="preserve"> </w:t>
      </w:r>
      <w:r w:rsidR="00972C6A">
        <w:t xml:space="preserve">Oct. 22, </w:t>
      </w:r>
      <w:r w:rsidR="00227DB9">
        <w:t>2010)</w:t>
      </w:r>
      <w:r w:rsidR="00C422D2">
        <w:t xml:space="preserve"> (</w:t>
      </w:r>
      <w:r w:rsidR="00B223B7">
        <w:t xml:space="preserve">affidavits </w:t>
      </w:r>
      <w:r w:rsidR="008F4B85">
        <w:t>insufficiently</w:t>
      </w:r>
      <w:r w:rsidR="00D5569F">
        <w:t xml:space="preserve"> reliable because affiants not subject to cross-examination)</w:t>
      </w:r>
      <w:r w:rsidR="008F4B85">
        <w:t>.</w:t>
      </w:r>
      <w:proofErr w:type="gramEnd"/>
      <w:r w:rsidR="008F4B85">
        <w:t xml:space="preserve"> </w:t>
      </w:r>
      <w:r w:rsidR="00ED143D">
        <w:t xml:space="preserve"> </w:t>
      </w:r>
      <w:r w:rsidR="003E7D05">
        <w:t xml:space="preserve">Moreover, </w:t>
      </w:r>
      <w:r w:rsidR="003C6901">
        <w:t xml:space="preserve">I note that, </w:t>
      </w:r>
      <w:r w:rsidR="003E7D05">
        <w:t>even</w:t>
      </w:r>
      <w:r w:rsidR="00FF59BA">
        <w:t xml:space="preserve"> </w:t>
      </w:r>
      <w:r w:rsidR="003E7D05">
        <w:t xml:space="preserve">if I were to rely on the Pappas </w:t>
      </w:r>
      <w:r w:rsidR="00FF59BA">
        <w:t>affidavit</w:t>
      </w:r>
      <w:r w:rsidR="00FA039C">
        <w:t xml:space="preserve"> (Ex. 7)</w:t>
      </w:r>
      <w:r w:rsidR="00FF59BA">
        <w:t xml:space="preserve">, it fails to establish that Ms. Loomis’s duties included </w:t>
      </w:r>
      <w:r w:rsidR="00050CBB">
        <w:t>teaching pupils.</w:t>
      </w:r>
      <w:r w:rsidR="003572E6">
        <w:rPr>
          <w:rStyle w:val="FootnoteReference"/>
        </w:rPr>
        <w:footnoteReference w:id="3"/>
      </w:r>
    </w:p>
    <w:p w:rsidR="00230C8C" w:rsidRDefault="002A0477" w:rsidP="00DA60A9">
      <w:pPr>
        <w:spacing w:line="480" w:lineRule="auto"/>
        <w:ind w:right="720"/>
        <w:contextualSpacing/>
      </w:pPr>
      <w:r>
        <w:tab/>
      </w:r>
      <w:r w:rsidR="008A1A4B">
        <w:t xml:space="preserve">For the above-stated reasons, </w:t>
      </w:r>
      <w:r w:rsidR="00457B39">
        <w:t xml:space="preserve">the </w:t>
      </w:r>
      <w:r w:rsidR="008A1A4B">
        <w:t>MTRS’s decision to deny Ms. Loomis’</w:t>
      </w:r>
      <w:r w:rsidR="003239D2">
        <w:t>s</w:t>
      </w:r>
      <w:r w:rsidR="008A1A4B">
        <w:t xml:space="preserve"> applicati</w:t>
      </w:r>
      <w:r w:rsidR="00AB175B">
        <w:t xml:space="preserve">on to purchase </w:t>
      </w:r>
      <w:r w:rsidR="00FF2C51" w:rsidRPr="00405DBA">
        <w:t xml:space="preserve">non-public school creditable service </w:t>
      </w:r>
      <w:r w:rsidR="00AB175B">
        <w:t xml:space="preserve">for </w:t>
      </w:r>
      <w:r w:rsidR="00230C8C" w:rsidRPr="00405DBA">
        <w:t>her work at t</w:t>
      </w:r>
      <w:r w:rsidR="00682A64">
        <w:t xml:space="preserve">he Farr Academy from September </w:t>
      </w:r>
      <w:r w:rsidR="00230C8C" w:rsidRPr="00405DBA">
        <w:t>8, 1988 until August 30, 1999</w:t>
      </w:r>
      <w:r w:rsidR="00EC7DD8">
        <w:t xml:space="preserve"> is </w:t>
      </w:r>
      <w:r w:rsidR="00FB68F2">
        <w:t xml:space="preserve">hereby </w:t>
      </w:r>
      <w:r w:rsidR="00EC7DD8">
        <w:t>affirmed.</w:t>
      </w:r>
    </w:p>
    <w:p w:rsidR="00A43B24" w:rsidRDefault="00A43B24" w:rsidP="005E01FB">
      <w:pPr>
        <w:ind w:right="720"/>
        <w:contextualSpacing/>
        <w:jc w:val="right"/>
      </w:pPr>
    </w:p>
    <w:p w:rsidR="00FC679A" w:rsidRDefault="00FC679A" w:rsidP="005E01FB">
      <w:pPr>
        <w:ind w:right="720"/>
        <w:contextualSpacing/>
        <w:jc w:val="right"/>
      </w:pPr>
    </w:p>
    <w:p w:rsidR="005E01FB" w:rsidRDefault="005E01FB" w:rsidP="005E01FB">
      <w:pPr>
        <w:ind w:right="720"/>
        <w:contextualSpacing/>
        <w:jc w:val="right"/>
      </w:pPr>
      <w:r>
        <w:t>DIVISION OF ADMINISTRATIVE LAW APPEALS</w:t>
      </w:r>
    </w:p>
    <w:p w:rsidR="005E01FB" w:rsidRDefault="005E01FB" w:rsidP="005E01FB">
      <w:pPr>
        <w:ind w:right="720"/>
        <w:contextualSpacing/>
        <w:jc w:val="right"/>
      </w:pPr>
    </w:p>
    <w:p w:rsidR="005E01FB" w:rsidRDefault="005E01FB" w:rsidP="005E01FB">
      <w:pPr>
        <w:ind w:right="720"/>
        <w:contextualSpacing/>
        <w:jc w:val="right"/>
      </w:pPr>
      <w:r>
        <w:t>____________________________________________</w:t>
      </w:r>
    </w:p>
    <w:p w:rsidR="005E01FB" w:rsidRDefault="0056780D" w:rsidP="005E01FB">
      <w:pPr>
        <w:ind w:right="720"/>
        <w:contextualSpacing/>
      </w:pPr>
      <w:r>
        <w:tab/>
      </w:r>
      <w:r>
        <w:tab/>
      </w:r>
      <w:r>
        <w:tab/>
      </w:r>
      <w:r>
        <w:tab/>
        <w:t xml:space="preserve">         Bonney Cashin</w:t>
      </w:r>
    </w:p>
    <w:p w:rsidR="005E01FB" w:rsidRDefault="005E01FB" w:rsidP="005E01FB">
      <w:pPr>
        <w:ind w:right="720"/>
        <w:contextualSpacing/>
      </w:pPr>
      <w:r>
        <w:tab/>
      </w:r>
      <w:r>
        <w:tab/>
      </w:r>
      <w:r>
        <w:tab/>
      </w:r>
      <w:r>
        <w:tab/>
        <w:t xml:space="preserve">         Administrative Magistrate</w:t>
      </w:r>
    </w:p>
    <w:p w:rsidR="005E01FB" w:rsidRDefault="005E01FB" w:rsidP="005E01FB">
      <w:pPr>
        <w:ind w:right="720"/>
        <w:contextualSpacing/>
      </w:pPr>
    </w:p>
    <w:p w:rsidR="005E01FB" w:rsidRDefault="005E01FB" w:rsidP="005E01FB">
      <w:pPr>
        <w:ind w:right="720"/>
        <w:contextualSpacing/>
      </w:pPr>
    </w:p>
    <w:p w:rsidR="005E01FB" w:rsidRPr="00753613" w:rsidRDefault="005E01FB" w:rsidP="005E01FB">
      <w:pPr>
        <w:ind w:right="720"/>
        <w:contextualSpacing/>
      </w:pPr>
      <w:r>
        <w:t xml:space="preserve">DATED: </w:t>
      </w:r>
      <w:r w:rsidR="000618A4">
        <w:t>August 11, 2017</w:t>
      </w:r>
    </w:p>
    <w:sectPr w:rsidR="005E01FB" w:rsidRPr="00753613" w:rsidSect="003B180C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685" w:rsidRDefault="00F87685" w:rsidP="004704F2">
      <w:r>
        <w:separator/>
      </w:r>
    </w:p>
  </w:endnote>
  <w:endnote w:type="continuationSeparator" w:id="0">
    <w:p w:rsidR="00F87685" w:rsidRDefault="00F87685" w:rsidP="00470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26288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793" w:rsidRDefault="008547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22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4793" w:rsidRDefault="008547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685" w:rsidRDefault="00F87685" w:rsidP="004704F2">
      <w:r>
        <w:separator/>
      </w:r>
    </w:p>
  </w:footnote>
  <w:footnote w:type="continuationSeparator" w:id="0">
    <w:p w:rsidR="00F87685" w:rsidRDefault="00F87685" w:rsidP="004704F2">
      <w:r>
        <w:continuationSeparator/>
      </w:r>
    </w:p>
  </w:footnote>
  <w:footnote w:id="1">
    <w:p w:rsidR="00C509A4" w:rsidRPr="00C509A4" w:rsidRDefault="00A623EF" w:rsidP="00C509A4">
      <w:pPr>
        <w:pStyle w:val="FootnoteText"/>
      </w:pPr>
      <w:r w:rsidRPr="00C509A4">
        <w:rPr>
          <w:rStyle w:val="FootnoteReference"/>
        </w:rPr>
        <w:footnoteRef/>
      </w:r>
      <w:r w:rsidRPr="00C509A4">
        <w:t xml:space="preserve"> </w:t>
      </w:r>
      <w:r w:rsidR="00C509A4" w:rsidRPr="00C509A4">
        <w:t xml:space="preserve">Commonly referred to as “Chapter 766,” G.L. c. 71B </w:t>
      </w:r>
      <w:r w:rsidR="00506EE8">
        <w:t>§ 4</w:t>
      </w:r>
      <w:r w:rsidR="00824BEF">
        <w:t xml:space="preserve"> </w:t>
      </w:r>
      <w:r w:rsidR="00454E4F">
        <w:t xml:space="preserve">allows </w:t>
      </w:r>
      <w:r w:rsidR="00C509A4" w:rsidRPr="00C509A4">
        <w:t>school committees to enter into agreements with private schools and institutions to provide special education programs for those children whose needs c</w:t>
      </w:r>
      <w:r w:rsidR="00454E4F">
        <w:t>an</w:t>
      </w:r>
      <w:r w:rsidR="00C509A4" w:rsidRPr="00C509A4">
        <w:t xml:space="preserve">not be met by the programs available in public schools.  </w:t>
      </w:r>
    </w:p>
    <w:p w:rsidR="00A623EF" w:rsidRPr="00C509A4" w:rsidRDefault="00A623EF">
      <w:pPr>
        <w:pStyle w:val="FootnoteText"/>
      </w:pPr>
    </w:p>
  </w:footnote>
  <w:footnote w:id="2">
    <w:p w:rsidR="005F5EA5" w:rsidRDefault="005F5EA5" w:rsidP="005F5EA5">
      <w:pPr>
        <w:ind w:right="720"/>
        <w:contextualSpacing/>
      </w:pPr>
      <w:r>
        <w:rPr>
          <w:rStyle w:val="FootnoteReference"/>
        </w:rPr>
        <w:footnoteRef/>
      </w:r>
      <w:r>
        <w:t xml:space="preserve"> </w:t>
      </w:r>
      <w:r w:rsidR="001F2128" w:rsidRPr="001E7620">
        <w:rPr>
          <w:sz w:val="20"/>
          <w:szCs w:val="20"/>
        </w:rPr>
        <w:t xml:space="preserve">The MTRS did not address its second ground for denial, that Ms. Loomis received a retirement benefit from the Farr Academy, in its pre-hearing memorandum, nor at the hearing.  I do not address this basis for denial further, except to note </w:t>
      </w:r>
      <w:r w:rsidRPr="001E7620">
        <w:rPr>
          <w:sz w:val="20"/>
          <w:szCs w:val="20"/>
        </w:rPr>
        <w:t>that Ms. Loomis’s application and W-2 forms (</w:t>
      </w:r>
      <w:proofErr w:type="spellStart"/>
      <w:r w:rsidRPr="001E7620">
        <w:rPr>
          <w:sz w:val="20"/>
          <w:szCs w:val="20"/>
        </w:rPr>
        <w:t>Exs</w:t>
      </w:r>
      <w:proofErr w:type="spellEnd"/>
      <w:r w:rsidRPr="001E7620">
        <w:rPr>
          <w:sz w:val="20"/>
          <w:szCs w:val="20"/>
        </w:rPr>
        <w:t xml:space="preserve">. 3 and 6), </w:t>
      </w:r>
      <w:r w:rsidR="001F2128" w:rsidRPr="001E7620">
        <w:rPr>
          <w:sz w:val="20"/>
          <w:szCs w:val="20"/>
        </w:rPr>
        <w:t xml:space="preserve">which together support </w:t>
      </w:r>
      <w:r w:rsidR="003572E6">
        <w:rPr>
          <w:sz w:val="20"/>
          <w:szCs w:val="20"/>
        </w:rPr>
        <w:t>David</w:t>
      </w:r>
      <w:r w:rsidRPr="001E7620">
        <w:rPr>
          <w:sz w:val="20"/>
          <w:szCs w:val="20"/>
        </w:rPr>
        <w:t xml:space="preserve"> </w:t>
      </w:r>
      <w:proofErr w:type="spellStart"/>
      <w:r w:rsidRPr="001E7620">
        <w:rPr>
          <w:sz w:val="20"/>
          <w:szCs w:val="20"/>
        </w:rPr>
        <w:t>Ollivierre’s</w:t>
      </w:r>
      <w:proofErr w:type="spellEnd"/>
      <w:r w:rsidRPr="001E7620">
        <w:rPr>
          <w:sz w:val="20"/>
          <w:szCs w:val="20"/>
        </w:rPr>
        <w:t xml:space="preserve"> affidavit (Ex. 9), establish that the MTRS was in error.</w:t>
      </w:r>
      <w:r w:rsidRPr="005F5EA5">
        <w:rPr>
          <w:sz w:val="16"/>
          <w:szCs w:val="16"/>
        </w:rPr>
        <w:t xml:space="preserve"> </w:t>
      </w:r>
    </w:p>
    <w:p w:rsidR="005F5EA5" w:rsidRDefault="005F5EA5">
      <w:pPr>
        <w:pStyle w:val="FootnoteText"/>
      </w:pPr>
    </w:p>
  </w:footnote>
  <w:footnote w:id="3">
    <w:p w:rsidR="003572E6" w:rsidRDefault="003572E6">
      <w:pPr>
        <w:pStyle w:val="FootnoteText"/>
      </w:pPr>
      <w:r>
        <w:rPr>
          <w:rStyle w:val="FootnoteReference"/>
        </w:rPr>
        <w:footnoteRef/>
      </w:r>
      <w:r>
        <w:t xml:space="preserve"> I assigned some weight to the </w:t>
      </w:r>
      <w:proofErr w:type="spellStart"/>
      <w:r>
        <w:t>Ollivierre</w:t>
      </w:r>
      <w:proofErr w:type="spellEnd"/>
      <w:r>
        <w:t xml:space="preserve"> affidavit because it is supported by other documents in the record.  </w:t>
      </w:r>
      <w:r w:rsidRPr="003572E6">
        <w:rPr>
          <w:i/>
        </w:rPr>
        <w:t>See</w:t>
      </w:r>
      <w:r>
        <w:t xml:space="preserve"> n. 2.</w:t>
      </w:r>
      <w:r w:rsidR="00AC64AD"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80C" w:rsidRPr="003B180C" w:rsidRDefault="003B180C" w:rsidP="003B180C">
    <w:pPr>
      <w:pStyle w:val="Header"/>
    </w:pPr>
    <w:r>
      <w:rPr>
        <w:i/>
      </w:rPr>
      <w:t>Leslie Loomis v. Massachusetts Teachers’ Retirement System</w:t>
    </w:r>
    <w:r>
      <w:tab/>
    </w:r>
    <w:r w:rsidRPr="003B180C">
      <w:rPr>
        <w:i/>
      </w:rPr>
      <w:t>CR-15-269</w:t>
    </w:r>
  </w:p>
  <w:p w:rsidR="003B180C" w:rsidRDefault="003B18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2120"/>
    <w:multiLevelType w:val="hybridMultilevel"/>
    <w:tmpl w:val="005AF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B003A"/>
    <w:multiLevelType w:val="hybridMultilevel"/>
    <w:tmpl w:val="CA56E3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307"/>
    <w:rsid w:val="00003504"/>
    <w:rsid w:val="00005CC6"/>
    <w:rsid w:val="0001190A"/>
    <w:rsid w:val="0001396F"/>
    <w:rsid w:val="000161B0"/>
    <w:rsid w:val="000214E5"/>
    <w:rsid w:val="00023214"/>
    <w:rsid w:val="00026217"/>
    <w:rsid w:val="000277A4"/>
    <w:rsid w:val="000332C0"/>
    <w:rsid w:val="00040DF6"/>
    <w:rsid w:val="00046323"/>
    <w:rsid w:val="0004675B"/>
    <w:rsid w:val="00046B33"/>
    <w:rsid w:val="00050CBB"/>
    <w:rsid w:val="00051429"/>
    <w:rsid w:val="00051885"/>
    <w:rsid w:val="00052049"/>
    <w:rsid w:val="000526FA"/>
    <w:rsid w:val="00053C8A"/>
    <w:rsid w:val="00056DDB"/>
    <w:rsid w:val="000618A4"/>
    <w:rsid w:val="000642CC"/>
    <w:rsid w:val="00064A67"/>
    <w:rsid w:val="00067307"/>
    <w:rsid w:val="00073C21"/>
    <w:rsid w:val="000803F5"/>
    <w:rsid w:val="000818D3"/>
    <w:rsid w:val="00082310"/>
    <w:rsid w:val="0008578C"/>
    <w:rsid w:val="00085971"/>
    <w:rsid w:val="000861E6"/>
    <w:rsid w:val="00094162"/>
    <w:rsid w:val="00094EF1"/>
    <w:rsid w:val="000B374A"/>
    <w:rsid w:val="000B3B46"/>
    <w:rsid w:val="000B64C9"/>
    <w:rsid w:val="000B7127"/>
    <w:rsid w:val="000B725B"/>
    <w:rsid w:val="000C0D98"/>
    <w:rsid w:val="000C1854"/>
    <w:rsid w:val="000C6467"/>
    <w:rsid w:val="000C6591"/>
    <w:rsid w:val="000E0F3F"/>
    <w:rsid w:val="000E3DC4"/>
    <w:rsid w:val="000E5B2D"/>
    <w:rsid w:val="000E6F51"/>
    <w:rsid w:val="000F5A8D"/>
    <w:rsid w:val="000F771B"/>
    <w:rsid w:val="00100D3A"/>
    <w:rsid w:val="00103594"/>
    <w:rsid w:val="00103E7C"/>
    <w:rsid w:val="001163BB"/>
    <w:rsid w:val="00117421"/>
    <w:rsid w:val="00123579"/>
    <w:rsid w:val="00124FD9"/>
    <w:rsid w:val="0013458C"/>
    <w:rsid w:val="00144BDA"/>
    <w:rsid w:val="00144D51"/>
    <w:rsid w:val="00146873"/>
    <w:rsid w:val="00154020"/>
    <w:rsid w:val="001544BA"/>
    <w:rsid w:val="001553B7"/>
    <w:rsid w:val="00160005"/>
    <w:rsid w:val="00167D8C"/>
    <w:rsid w:val="00172B66"/>
    <w:rsid w:val="0017546E"/>
    <w:rsid w:val="00180515"/>
    <w:rsid w:val="001848AC"/>
    <w:rsid w:val="00193973"/>
    <w:rsid w:val="00195F4A"/>
    <w:rsid w:val="00196A83"/>
    <w:rsid w:val="001A0E04"/>
    <w:rsid w:val="001A6790"/>
    <w:rsid w:val="001B3CCA"/>
    <w:rsid w:val="001C3E5C"/>
    <w:rsid w:val="001C68C3"/>
    <w:rsid w:val="001C7B9E"/>
    <w:rsid w:val="001D5183"/>
    <w:rsid w:val="001E20DA"/>
    <w:rsid w:val="001E536D"/>
    <w:rsid w:val="001E7620"/>
    <w:rsid w:val="001F1B9D"/>
    <w:rsid w:val="001F2128"/>
    <w:rsid w:val="001F500C"/>
    <w:rsid w:val="001F502C"/>
    <w:rsid w:val="001F7B61"/>
    <w:rsid w:val="00206FDF"/>
    <w:rsid w:val="00207170"/>
    <w:rsid w:val="00210098"/>
    <w:rsid w:val="002165B5"/>
    <w:rsid w:val="00223C43"/>
    <w:rsid w:val="00227DB9"/>
    <w:rsid w:val="00230C8C"/>
    <w:rsid w:val="00232CB1"/>
    <w:rsid w:val="00232D3A"/>
    <w:rsid w:val="00240247"/>
    <w:rsid w:val="00241CF7"/>
    <w:rsid w:val="00247043"/>
    <w:rsid w:val="002529F3"/>
    <w:rsid w:val="00252DD6"/>
    <w:rsid w:val="00254BB9"/>
    <w:rsid w:val="00264EAD"/>
    <w:rsid w:val="0026503D"/>
    <w:rsid w:val="002677C8"/>
    <w:rsid w:val="00273574"/>
    <w:rsid w:val="00277634"/>
    <w:rsid w:val="0028043A"/>
    <w:rsid w:val="00282838"/>
    <w:rsid w:val="002866E4"/>
    <w:rsid w:val="00287567"/>
    <w:rsid w:val="00291268"/>
    <w:rsid w:val="0029530B"/>
    <w:rsid w:val="0029666A"/>
    <w:rsid w:val="002A0477"/>
    <w:rsid w:val="002A3417"/>
    <w:rsid w:val="002A6D3D"/>
    <w:rsid w:val="002A7DB0"/>
    <w:rsid w:val="002B1AD3"/>
    <w:rsid w:val="002C0FDE"/>
    <w:rsid w:val="002C195B"/>
    <w:rsid w:val="002C2DBE"/>
    <w:rsid w:val="002C6078"/>
    <w:rsid w:val="002D33B1"/>
    <w:rsid w:val="002D5EFA"/>
    <w:rsid w:val="002E3507"/>
    <w:rsid w:val="002E6778"/>
    <w:rsid w:val="002E6B16"/>
    <w:rsid w:val="002F2002"/>
    <w:rsid w:val="002F2D71"/>
    <w:rsid w:val="00301688"/>
    <w:rsid w:val="00302EC3"/>
    <w:rsid w:val="00303D94"/>
    <w:rsid w:val="00304D9E"/>
    <w:rsid w:val="00307E39"/>
    <w:rsid w:val="00314C23"/>
    <w:rsid w:val="003156A7"/>
    <w:rsid w:val="003204EB"/>
    <w:rsid w:val="00322C49"/>
    <w:rsid w:val="00323220"/>
    <w:rsid w:val="003239D2"/>
    <w:rsid w:val="00323C4D"/>
    <w:rsid w:val="0033215C"/>
    <w:rsid w:val="00341D77"/>
    <w:rsid w:val="00342E25"/>
    <w:rsid w:val="0035062E"/>
    <w:rsid w:val="00350C30"/>
    <w:rsid w:val="003544AD"/>
    <w:rsid w:val="00355B15"/>
    <w:rsid w:val="00357151"/>
    <w:rsid w:val="003572E6"/>
    <w:rsid w:val="0035746A"/>
    <w:rsid w:val="00360658"/>
    <w:rsid w:val="003637DA"/>
    <w:rsid w:val="00363C10"/>
    <w:rsid w:val="003655E3"/>
    <w:rsid w:val="00371EED"/>
    <w:rsid w:val="00373159"/>
    <w:rsid w:val="00377CBC"/>
    <w:rsid w:val="003800DE"/>
    <w:rsid w:val="00380513"/>
    <w:rsid w:val="00380A40"/>
    <w:rsid w:val="00395F7C"/>
    <w:rsid w:val="003974A5"/>
    <w:rsid w:val="003A3988"/>
    <w:rsid w:val="003A4BD7"/>
    <w:rsid w:val="003A5A24"/>
    <w:rsid w:val="003A67F0"/>
    <w:rsid w:val="003A78F2"/>
    <w:rsid w:val="003B0B29"/>
    <w:rsid w:val="003B180C"/>
    <w:rsid w:val="003B5077"/>
    <w:rsid w:val="003B5AF9"/>
    <w:rsid w:val="003B699F"/>
    <w:rsid w:val="003B6CB6"/>
    <w:rsid w:val="003B6D8D"/>
    <w:rsid w:val="003C064A"/>
    <w:rsid w:val="003C17AA"/>
    <w:rsid w:val="003C6901"/>
    <w:rsid w:val="003D148B"/>
    <w:rsid w:val="003D4593"/>
    <w:rsid w:val="003E0285"/>
    <w:rsid w:val="003E27EA"/>
    <w:rsid w:val="003E66DF"/>
    <w:rsid w:val="003E7D05"/>
    <w:rsid w:val="003F0576"/>
    <w:rsid w:val="003F1E29"/>
    <w:rsid w:val="003F1F29"/>
    <w:rsid w:val="003F34DE"/>
    <w:rsid w:val="003F4E02"/>
    <w:rsid w:val="003F57D0"/>
    <w:rsid w:val="00403260"/>
    <w:rsid w:val="00404C2F"/>
    <w:rsid w:val="00405DBA"/>
    <w:rsid w:val="00407DE5"/>
    <w:rsid w:val="0041068B"/>
    <w:rsid w:val="00412896"/>
    <w:rsid w:val="00413FFD"/>
    <w:rsid w:val="004173EE"/>
    <w:rsid w:val="0042048A"/>
    <w:rsid w:val="004209F2"/>
    <w:rsid w:val="004223C9"/>
    <w:rsid w:val="00423FFA"/>
    <w:rsid w:val="0042592C"/>
    <w:rsid w:val="004259AD"/>
    <w:rsid w:val="00425B7B"/>
    <w:rsid w:val="00426782"/>
    <w:rsid w:val="0042719D"/>
    <w:rsid w:val="004273ED"/>
    <w:rsid w:val="004275BC"/>
    <w:rsid w:val="00430A9A"/>
    <w:rsid w:val="00431B70"/>
    <w:rsid w:val="004364A7"/>
    <w:rsid w:val="0044197B"/>
    <w:rsid w:val="0045302A"/>
    <w:rsid w:val="00454E4F"/>
    <w:rsid w:val="00457B39"/>
    <w:rsid w:val="004704F2"/>
    <w:rsid w:val="00472434"/>
    <w:rsid w:val="00473222"/>
    <w:rsid w:val="00474A8C"/>
    <w:rsid w:val="00475991"/>
    <w:rsid w:val="00482485"/>
    <w:rsid w:val="00483DDB"/>
    <w:rsid w:val="00485C82"/>
    <w:rsid w:val="00496C7E"/>
    <w:rsid w:val="004A2BB7"/>
    <w:rsid w:val="004A2DC7"/>
    <w:rsid w:val="004A5AFD"/>
    <w:rsid w:val="004A69C0"/>
    <w:rsid w:val="004B4070"/>
    <w:rsid w:val="004C018D"/>
    <w:rsid w:val="004C1471"/>
    <w:rsid w:val="004C41C3"/>
    <w:rsid w:val="004C5BB7"/>
    <w:rsid w:val="004C5C63"/>
    <w:rsid w:val="004D2FEE"/>
    <w:rsid w:val="004D39F4"/>
    <w:rsid w:val="004E3916"/>
    <w:rsid w:val="004E48EB"/>
    <w:rsid w:val="004E640F"/>
    <w:rsid w:val="004F355E"/>
    <w:rsid w:val="004F3780"/>
    <w:rsid w:val="004F5A53"/>
    <w:rsid w:val="004F5C15"/>
    <w:rsid w:val="005014B9"/>
    <w:rsid w:val="005028A8"/>
    <w:rsid w:val="00503047"/>
    <w:rsid w:val="0050649D"/>
    <w:rsid w:val="00506EE8"/>
    <w:rsid w:val="005106E5"/>
    <w:rsid w:val="00510BAC"/>
    <w:rsid w:val="00512CFB"/>
    <w:rsid w:val="00514C5E"/>
    <w:rsid w:val="005164FB"/>
    <w:rsid w:val="0052068E"/>
    <w:rsid w:val="0052468A"/>
    <w:rsid w:val="00525D64"/>
    <w:rsid w:val="005315DD"/>
    <w:rsid w:val="00533AB5"/>
    <w:rsid w:val="00534861"/>
    <w:rsid w:val="005352AF"/>
    <w:rsid w:val="005453B0"/>
    <w:rsid w:val="005524BE"/>
    <w:rsid w:val="00552936"/>
    <w:rsid w:val="005542E7"/>
    <w:rsid w:val="00556A40"/>
    <w:rsid w:val="00560956"/>
    <w:rsid w:val="0056422D"/>
    <w:rsid w:val="00566B5E"/>
    <w:rsid w:val="0056780D"/>
    <w:rsid w:val="0057414C"/>
    <w:rsid w:val="00576ACF"/>
    <w:rsid w:val="0057799B"/>
    <w:rsid w:val="00584737"/>
    <w:rsid w:val="005853C0"/>
    <w:rsid w:val="00590BDB"/>
    <w:rsid w:val="005928DB"/>
    <w:rsid w:val="00593838"/>
    <w:rsid w:val="0059400E"/>
    <w:rsid w:val="005949A4"/>
    <w:rsid w:val="005952C5"/>
    <w:rsid w:val="00595806"/>
    <w:rsid w:val="00595E32"/>
    <w:rsid w:val="00597375"/>
    <w:rsid w:val="00597FC6"/>
    <w:rsid w:val="005A13BD"/>
    <w:rsid w:val="005A1B96"/>
    <w:rsid w:val="005A4893"/>
    <w:rsid w:val="005A566A"/>
    <w:rsid w:val="005C05B3"/>
    <w:rsid w:val="005C0FF1"/>
    <w:rsid w:val="005C379C"/>
    <w:rsid w:val="005C54B5"/>
    <w:rsid w:val="005C58D0"/>
    <w:rsid w:val="005D0886"/>
    <w:rsid w:val="005D270C"/>
    <w:rsid w:val="005D344B"/>
    <w:rsid w:val="005D4062"/>
    <w:rsid w:val="005D4E50"/>
    <w:rsid w:val="005D6A5E"/>
    <w:rsid w:val="005E01FB"/>
    <w:rsid w:val="005E1A23"/>
    <w:rsid w:val="005E67F8"/>
    <w:rsid w:val="005E7062"/>
    <w:rsid w:val="005F0C7E"/>
    <w:rsid w:val="005F3225"/>
    <w:rsid w:val="005F3B5E"/>
    <w:rsid w:val="005F41C1"/>
    <w:rsid w:val="005F5EA5"/>
    <w:rsid w:val="005F6F63"/>
    <w:rsid w:val="00600B3D"/>
    <w:rsid w:val="00604C62"/>
    <w:rsid w:val="00610769"/>
    <w:rsid w:val="006166F1"/>
    <w:rsid w:val="00617F2B"/>
    <w:rsid w:val="006217E0"/>
    <w:rsid w:val="00626D1D"/>
    <w:rsid w:val="00627FE9"/>
    <w:rsid w:val="006332DA"/>
    <w:rsid w:val="0063340C"/>
    <w:rsid w:val="00634708"/>
    <w:rsid w:val="00640990"/>
    <w:rsid w:val="00641F1B"/>
    <w:rsid w:val="00645538"/>
    <w:rsid w:val="00646484"/>
    <w:rsid w:val="006547B0"/>
    <w:rsid w:val="00654F59"/>
    <w:rsid w:val="0065781A"/>
    <w:rsid w:val="00663B30"/>
    <w:rsid w:val="00665B61"/>
    <w:rsid w:val="0066733A"/>
    <w:rsid w:val="00670187"/>
    <w:rsid w:val="00675B36"/>
    <w:rsid w:val="00677A57"/>
    <w:rsid w:val="00681D6B"/>
    <w:rsid w:val="00682A64"/>
    <w:rsid w:val="00684EC2"/>
    <w:rsid w:val="006877F3"/>
    <w:rsid w:val="0069011D"/>
    <w:rsid w:val="00690B30"/>
    <w:rsid w:val="00695C2B"/>
    <w:rsid w:val="006A2F35"/>
    <w:rsid w:val="006A3306"/>
    <w:rsid w:val="006A3A33"/>
    <w:rsid w:val="006B34EB"/>
    <w:rsid w:val="006B4038"/>
    <w:rsid w:val="006B41D0"/>
    <w:rsid w:val="006B45E0"/>
    <w:rsid w:val="006B63CD"/>
    <w:rsid w:val="006C052B"/>
    <w:rsid w:val="006C3763"/>
    <w:rsid w:val="006C37A0"/>
    <w:rsid w:val="006C5ECF"/>
    <w:rsid w:val="006C60D3"/>
    <w:rsid w:val="006D12BC"/>
    <w:rsid w:val="006D581C"/>
    <w:rsid w:val="006E03AB"/>
    <w:rsid w:val="006E5BFF"/>
    <w:rsid w:val="006E6B91"/>
    <w:rsid w:val="006F5E9E"/>
    <w:rsid w:val="0070079C"/>
    <w:rsid w:val="00701783"/>
    <w:rsid w:val="007116C8"/>
    <w:rsid w:val="00713433"/>
    <w:rsid w:val="0072023A"/>
    <w:rsid w:val="007268B0"/>
    <w:rsid w:val="007307A5"/>
    <w:rsid w:val="00740199"/>
    <w:rsid w:val="00741C44"/>
    <w:rsid w:val="00743A9E"/>
    <w:rsid w:val="00744301"/>
    <w:rsid w:val="0074514D"/>
    <w:rsid w:val="0074608A"/>
    <w:rsid w:val="00753613"/>
    <w:rsid w:val="00753895"/>
    <w:rsid w:val="007551A8"/>
    <w:rsid w:val="007562B8"/>
    <w:rsid w:val="007645C8"/>
    <w:rsid w:val="00765943"/>
    <w:rsid w:val="00765D04"/>
    <w:rsid w:val="00765FC1"/>
    <w:rsid w:val="007712CD"/>
    <w:rsid w:val="00771D91"/>
    <w:rsid w:val="00776586"/>
    <w:rsid w:val="00776958"/>
    <w:rsid w:val="0078398E"/>
    <w:rsid w:val="007911BB"/>
    <w:rsid w:val="00796AC5"/>
    <w:rsid w:val="007A01CC"/>
    <w:rsid w:val="007A242E"/>
    <w:rsid w:val="007A265E"/>
    <w:rsid w:val="007A4AD5"/>
    <w:rsid w:val="007A4E8E"/>
    <w:rsid w:val="007A5180"/>
    <w:rsid w:val="007B0BEA"/>
    <w:rsid w:val="007B25A5"/>
    <w:rsid w:val="007B695C"/>
    <w:rsid w:val="007B7CC5"/>
    <w:rsid w:val="007C2C4D"/>
    <w:rsid w:val="007C501E"/>
    <w:rsid w:val="007C50D0"/>
    <w:rsid w:val="007C5DFD"/>
    <w:rsid w:val="007C6D44"/>
    <w:rsid w:val="007D0358"/>
    <w:rsid w:val="007D216E"/>
    <w:rsid w:val="007D347A"/>
    <w:rsid w:val="007E103D"/>
    <w:rsid w:val="007E7F14"/>
    <w:rsid w:val="007F11C8"/>
    <w:rsid w:val="007F226A"/>
    <w:rsid w:val="007F7096"/>
    <w:rsid w:val="008001EA"/>
    <w:rsid w:val="00805983"/>
    <w:rsid w:val="008109CA"/>
    <w:rsid w:val="00814624"/>
    <w:rsid w:val="00815CE9"/>
    <w:rsid w:val="00816F51"/>
    <w:rsid w:val="0082176A"/>
    <w:rsid w:val="00822423"/>
    <w:rsid w:val="008234E6"/>
    <w:rsid w:val="00824BEF"/>
    <w:rsid w:val="008262D8"/>
    <w:rsid w:val="00836194"/>
    <w:rsid w:val="00843012"/>
    <w:rsid w:val="00845909"/>
    <w:rsid w:val="00846466"/>
    <w:rsid w:val="0084653B"/>
    <w:rsid w:val="008468B7"/>
    <w:rsid w:val="00847836"/>
    <w:rsid w:val="008515F1"/>
    <w:rsid w:val="00854793"/>
    <w:rsid w:val="0085646A"/>
    <w:rsid w:val="00863041"/>
    <w:rsid w:val="008642A0"/>
    <w:rsid w:val="00876F30"/>
    <w:rsid w:val="00883618"/>
    <w:rsid w:val="008837C7"/>
    <w:rsid w:val="00887347"/>
    <w:rsid w:val="0089353A"/>
    <w:rsid w:val="00895369"/>
    <w:rsid w:val="008A09ED"/>
    <w:rsid w:val="008A15B5"/>
    <w:rsid w:val="008A1A4B"/>
    <w:rsid w:val="008A23B6"/>
    <w:rsid w:val="008A454E"/>
    <w:rsid w:val="008B0DB4"/>
    <w:rsid w:val="008B1395"/>
    <w:rsid w:val="008B3B92"/>
    <w:rsid w:val="008B40C6"/>
    <w:rsid w:val="008C0D22"/>
    <w:rsid w:val="008C19CF"/>
    <w:rsid w:val="008C2A60"/>
    <w:rsid w:val="008C3CEB"/>
    <w:rsid w:val="008C48A9"/>
    <w:rsid w:val="008C4FC7"/>
    <w:rsid w:val="008D091A"/>
    <w:rsid w:val="008D5AB3"/>
    <w:rsid w:val="008D6946"/>
    <w:rsid w:val="008E224E"/>
    <w:rsid w:val="008E5F5B"/>
    <w:rsid w:val="008F083E"/>
    <w:rsid w:val="008F446B"/>
    <w:rsid w:val="008F4B85"/>
    <w:rsid w:val="008F7AF9"/>
    <w:rsid w:val="00900172"/>
    <w:rsid w:val="00903BFE"/>
    <w:rsid w:val="00904029"/>
    <w:rsid w:val="00905864"/>
    <w:rsid w:val="00907273"/>
    <w:rsid w:val="00914A02"/>
    <w:rsid w:val="00916EC7"/>
    <w:rsid w:val="0092451E"/>
    <w:rsid w:val="00924921"/>
    <w:rsid w:val="0092554A"/>
    <w:rsid w:val="00927144"/>
    <w:rsid w:val="009309CC"/>
    <w:rsid w:val="00931EE4"/>
    <w:rsid w:val="0093215F"/>
    <w:rsid w:val="00934F02"/>
    <w:rsid w:val="009361E1"/>
    <w:rsid w:val="00936719"/>
    <w:rsid w:val="00937B33"/>
    <w:rsid w:val="00942B23"/>
    <w:rsid w:val="00945111"/>
    <w:rsid w:val="0094536E"/>
    <w:rsid w:val="00946F1A"/>
    <w:rsid w:val="009508FB"/>
    <w:rsid w:val="00951899"/>
    <w:rsid w:val="009561B5"/>
    <w:rsid w:val="00956305"/>
    <w:rsid w:val="009600F0"/>
    <w:rsid w:val="00972C6A"/>
    <w:rsid w:val="009749E8"/>
    <w:rsid w:val="00975C6E"/>
    <w:rsid w:val="00976D5B"/>
    <w:rsid w:val="00977FD8"/>
    <w:rsid w:val="00983F68"/>
    <w:rsid w:val="00984B05"/>
    <w:rsid w:val="00987252"/>
    <w:rsid w:val="00987C98"/>
    <w:rsid w:val="00995E55"/>
    <w:rsid w:val="009A16C8"/>
    <w:rsid w:val="009A6230"/>
    <w:rsid w:val="009B20B2"/>
    <w:rsid w:val="009B478E"/>
    <w:rsid w:val="009B76BF"/>
    <w:rsid w:val="009C34B1"/>
    <w:rsid w:val="009C3A88"/>
    <w:rsid w:val="009C6FFB"/>
    <w:rsid w:val="009C7198"/>
    <w:rsid w:val="009D06EB"/>
    <w:rsid w:val="009D178B"/>
    <w:rsid w:val="009D7214"/>
    <w:rsid w:val="009E7B08"/>
    <w:rsid w:val="00A022A9"/>
    <w:rsid w:val="00A02F6C"/>
    <w:rsid w:val="00A030FF"/>
    <w:rsid w:val="00A043A9"/>
    <w:rsid w:val="00A0529D"/>
    <w:rsid w:val="00A07868"/>
    <w:rsid w:val="00A110DD"/>
    <w:rsid w:val="00A123CF"/>
    <w:rsid w:val="00A1645D"/>
    <w:rsid w:val="00A22E7F"/>
    <w:rsid w:val="00A23265"/>
    <w:rsid w:val="00A249B7"/>
    <w:rsid w:val="00A3112A"/>
    <w:rsid w:val="00A31554"/>
    <w:rsid w:val="00A32265"/>
    <w:rsid w:val="00A36728"/>
    <w:rsid w:val="00A36E4D"/>
    <w:rsid w:val="00A37AB4"/>
    <w:rsid w:val="00A43B24"/>
    <w:rsid w:val="00A44548"/>
    <w:rsid w:val="00A45CC8"/>
    <w:rsid w:val="00A51FBA"/>
    <w:rsid w:val="00A55788"/>
    <w:rsid w:val="00A56B3C"/>
    <w:rsid w:val="00A61740"/>
    <w:rsid w:val="00A623EF"/>
    <w:rsid w:val="00A64FC7"/>
    <w:rsid w:val="00A65EFD"/>
    <w:rsid w:val="00A75D77"/>
    <w:rsid w:val="00A760A5"/>
    <w:rsid w:val="00A80DAC"/>
    <w:rsid w:val="00A82771"/>
    <w:rsid w:val="00A82948"/>
    <w:rsid w:val="00A836B9"/>
    <w:rsid w:val="00A84B3F"/>
    <w:rsid w:val="00A85C3A"/>
    <w:rsid w:val="00A85E3E"/>
    <w:rsid w:val="00A91DA8"/>
    <w:rsid w:val="00A93E5E"/>
    <w:rsid w:val="00AA1051"/>
    <w:rsid w:val="00AA298C"/>
    <w:rsid w:val="00AA4883"/>
    <w:rsid w:val="00AA5894"/>
    <w:rsid w:val="00AA6841"/>
    <w:rsid w:val="00AB175B"/>
    <w:rsid w:val="00AB3F12"/>
    <w:rsid w:val="00AB4512"/>
    <w:rsid w:val="00AB4F2E"/>
    <w:rsid w:val="00AB7154"/>
    <w:rsid w:val="00AB7C83"/>
    <w:rsid w:val="00AC1599"/>
    <w:rsid w:val="00AC2E64"/>
    <w:rsid w:val="00AC64AD"/>
    <w:rsid w:val="00AE50F6"/>
    <w:rsid w:val="00AF56E2"/>
    <w:rsid w:val="00B02933"/>
    <w:rsid w:val="00B042AF"/>
    <w:rsid w:val="00B07514"/>
    <w:rsid w:val="00B130B6"/>
    <w:rsid w:val="00B136C6"/>
    <w:rsid w:val="00B2075C"/>
    <w:rsid w:val="00B223B7"/>
    <w:rsid w:val="00B26C36"/>
    <w:rsid w:val="00B27D87"/>
    <w:rsid w:val="00B27E8E"/>
    <w:rsid w:val="00B30772"/>
    <w:rsid w:val="00B354BC"/>
    <w:rsid w:val="00B369A7"/>
    <w:rsid w:val="00B36F99"/>
    <w:rsid w:val="00B41326"/>
    <w:rsid w:val="00B427CA"/>
    <w:rsid w:val="00B462AE"/>
    <w:rsid w:val="00B47CEB"/>
    <w:rsid w:val="00B53675"/>
    <w:rsid w:val="00B54B07"/>
    <w:rsid w:val="00B55798"/>
    <w:rsid w:val="00B55895"/>
    <w:rsid w:val="00B564B0"/>
    <w:rsid w:val="00B639C8"/>
    <w:rsid w:val="00B73499"/>
    <w:rsid w:val="00B74C2E"/>
    <w:rsid w:val="00B769AC"/>
    <w:rsid w:val="00B80449"/>
    <w:rsid w:val="00B8435F"/>
    <w:rsid w:val="00B87054"/>
    <w:rsid w:val="00B874E8"/>
    <w:rsid w:val="00B92940"/>
    <w:rsid w:val="00B92D10"/>
    <w:rsid w:val="00B96BE6"/>
    <w:rsid w:val="00BA5156"/>
    <w:rsid w:val="00BB09DC"/>
    <w:rsid w:val="00BB113F"/>
    <w:rsid w:val="00BB1A97"/>
    <w:rsid w:val="00BB4C65"/>
    <w:rsid w:val="00BB595E"/>
    <w:rsid w:val="00BC05DF"/>
    <w:rsid w:val="00BC3BE2"/>
    <w:rsid w:val="00BD0F32"/>
    <w:rsid w:val="00BD11B9"/>
    <w:rsid w:val="00BD16CC"/>
    <w:rsid w:val="00BD373C"/>
    <w:rsid w:val="00BD3A45"/>
    <w:rsid w:val="00BD4320"/>
    <w:rsid w:val="00BD57DE"/>
    <w:rsid w:val="00BD587A"/>
    <w:rsid w:val="00BD5EAC"/>
    <w:rsid w:val="00BD6C11"/>
    <w:rsid w:val="00BE087B"/>
    <w:rsid w:val="00BE10D4"/>
    <w:rsid w:val="00BE29BA"/>
    <w:rsid w:val="00BE2F44"/>
    <w:rsid w:val="00BF13E1"/>
    <w:rsid w:val="00BF196A"/>
    <w:rsid w:val="00BF46E4"/>
    <w:rsid w:val="00BF49AE"/>
    <w:rsid w:val="00C1122F"/>
    <w:rsid w:val="00C25BC0"/>
    <w:rsid w:val="00C26EEF"/>
    <w:rsid w:val="00C27560"/>
    <w:rsid w:val="00C3007F"/>
    <w:rsid w:val="00C31B72"/>
    <w:rsid w:val="00C32C1B"/>
    <w:rsid w:val="00C35A06"/>
    <w:rsid w:val="00C36315"/>
    <w:rsid w:val="00C422D2"/>
    <w:rsid w:val="00C4704B"/>
    <w:rsid w:val="00C509A4"/>
    <w:rsid w:val="00C52FCF"/>
    <w:rsid w:val="00C53AE3"/>
    <w:rsid w:val="00C55661"/>
    <w:rsid w:val="00C55A8A"/>
    <w:rsid w:val="00C60D41"/>
    <w:rsid w:val="00C61707"/>
    <w:rsid w:val="00C7021C"/>
    <w:rsid w:val="00C7105E"/>
    <w:rsid w:val="00C7581A"/>
    <w:rsid w:val="00C76494"/>
    <w:rsid w:val="00C8020D"/>
    <w:rsid w:val="00C8322C"/>
    <w:rsid w:val="00C837C0"/>
    <w:rsid w:val="00C91892"/>
    <w:rsid w:val="00C93025"/>
    <w:rsid w:val="00C957D6"/>
    <w:rsid w:val="00C96522"/>
    <w:rsid w:val="00C97211"/>
    <w:rsid w:val="00CA32D4"/>
    <w:rsid w:val="00CA3EA0"/>
    <w:rsid w:val="00CA42A8"/>
    <w:rsid w:val="00CA6F37"/>
    <w:rsid w:val="00CA6FE6"/>
    <w:rsid w:val="00CA71AA"/>
    <w:rsid w:val="00CB292E"/>
    <w:rsid w:val="00CB33FC"/>
    <w:rsid w:val="00CB38A5"/>
    <w:rsid w:val="00CB3D3B"/>
    <w:rsid w:val="00CB3F5F"/>
    <w:rsid w:val="00CB439A"/>
    <w:rsid w:val="00CB7380"/>
    <w:rsid w:val="00CC1E4E"/>
    <w:rsid w:val="00CD1750"/>
    <w:rsid w:val="00CD1BE9"/>
    <w:rsid w:val="00CD3572"/>
    <w:rsid w:val="00CD4F9C"/>
    <w:rsid w:val="00CE5902"/>
    <w:rsid w:val="00CE5E89"/>
    <w:rsid w:val="00CE72F3"/>
    <w:rsid w:val="00CE74F3"/>
    <w:rsid w:val="00CF2848"/>
    <w:rsid w:val="00CF3C2D"/>
    <w:rsid w:val="00CF4AAD"/>
    <w:rsid w:val="00CF4E35"/>
    <w:rsid w:val="00D02073"/>
    <w:rsid w:val="00D04CB9"/>
    <w:rsid w:val="00D06AC4"/>
    <w:rsid w:val="00D10C55"/>
    <w:rsid w:val="00D116A4"/>
    <w:rsid w:val="00D1529A"/>
    <w:rsid w:val="00D212B3"/>
    <w:rsid w:val="00D23A1B"/>
    <w:rsid w:val="00D34D0C"/>
    <w:rsid w:val="00D36889"/>
    <w:rsid w:val="00D3712F"/>
    <w:rsid w:val="00D44A9E"/>
    <w:rsid w:val="00D45444"/>
    <w:rsid w:val="00D45AAF"/>
    <w:rsid w:val="00D525E3"/>
    <w:rsid w:val="00D52FFC"/>
    <w:rsid w:val="00D5569F"/>
    <w:rsid w:val="00D558DD"/>
    <w:rsid w:val="00D55D72"/>
    <w:rsid w:val="00D57FA4"/>
    <w:rsid w:val="00D63E33"/>
    <w:rsid w:val="00D663E6"/>
    <w:rsid w:val="00D66942"/>
    <w:rsid w:val="00D70035"/>
    <w:rsid w:val="00D724B7"/>
    <w:rsid w:val="00D73BC3"/>
    <w:rsid w:val="00D80226"/>
    <w:rsid w:val="00D91859"/>
    <w:rsid w:val="00D930EC"/>
    <w:rsid w:val="00D93834"/>
    <w:rsid w:val="00D93918"/>
    <w:rsid w:val="00D959D6"/>
    <w:rsid w:val="00DA063F"/>
    <w:rsid w:val="00DA18E2"/>
    <w:rsid w:val="00DA5D72"/>
    <w:rsid w:val="00DA60A9"/>
    <w:rsid w:val="00DB0077"/>
    <w:rsid w:val="00DB10C2"/>
    <w:rsid w:val="00DB4A18"/>
    <w:rsid w:val="00DB55DC"/>
    <w:rsid w:val="00DB6847"/>
    <w:rsid w:val="00DB750D"/>
    <w:rsid w:val="00DC019B"/>
    <w:rsid w:val="00DC4F2F"/>
    <w:rsid w:val="00DC737E"/>
    <w:rsid w:val="00DE5631"/>
    <w:rsid w:val="00DE79E9"/>
    <w:rsid w:val="00DE7D27"/>
    <w:rsid w:val="00DF0C70"/>
    <w:rsid w:val="00DF3A04"/>
    <w:rsid w:val="00E018B3"/>
    <w:rsid w:val="00E01DBA"/>
    <w:rsid w:val="00E12976"/>
    <w:rsid w:val="00E14412"/>
    <w:rsid w:val="00E15BFE"/>
    <w:rsid w:val="00E16153"/>
    <w:rsid w:val="00E20DC3"/>
    <w:rsid w:val="00E21F1B"/>
    <w:rsid w:val="00E23435"/>
    <w:rsid w:val="00E23FAF"/>
    <w:rsid w:val="00E25DD0"/>
    <w:rsid w:val="00E27EB3"/>
    <w:rsid w:val="00E33B30"/>
    <w:rsid w:val="00E3598D"/>
    <w:rsid w:val="00E56824"/>
    <w:rsid w:val="00E6372A"/>
    <w:rsid w:val="00E730E3"/>
    <w:rsid w:val="00E8664F"/>
    <w:rsid w:val="00E93747"/>
    <w:rsid w:val="00E9712B"/>
    <w:rsid w:val="00EA1E97"/>
    <w:rsid w:val="00EA38BC"/>
    <w:rsid w:val="00EB2386"/>
    <w:rsid w:val="00EC3268"/>
    <w:rsid w:val="00EC4F8D"/>
    <w:rsid w:val="00EC5602"/>
    <w:rsid w:val="00EC7DD8"/>
    <w:rsid w:val="00ED143D"/>
    <w:rsid w:val="00ED3087"/>
    <w:rsid w:val="00ED4934"/>
    <w:rsid w:val="00EE09AD"/>
    <w:rsid w:val="00EE0E2D"/>
    <w:rsid w:val="00EE4DB8"/>
    <w:rsid w:val="00EE6E14"/>
    <w:rsid w:val="00EF2EF0"/>
    <w:rsid w:val="00F00207"/>
    <w:rsid w:val="00F011F2"/>
    <w:rsid w:val="00F03BB7"/>
    <w:rsid w:val="00F10BEB"/>
    <w:rsid w:val="00F10E6E"/>
    <w:rsid w:val="00F11A3E"/>
    <w:rsid w:val="00F13369"/>
    <w:rsid w:val="00F1345D"/>
    <w:rsid w:val="00F26FA9"/>
    <w:rsid w:val="00F31218"/>
    <w:rsid w:val="00F41F10"/>
    <w:rsid w:val="00F47114"/>
    <w:rsid w:val="00F56F7F"/>
    <w:rsid w:val="00F63406"/>
    <w:rsid w:val="00F64154"/>
    <w:rsid w:val="00F659CA"/>
    <w:rsid w:val="00F72B51"/>
    <w:rsid w:val="00F74E6F"/>
    <w:rsid w:val="00F764E2"/>
    <w:rsid w:val="00F87685"/>
    <w:rsid w:val="00F9691C"/>
    <w:rsid w:val="00F971B0"/>
    <w:rsid w:val="00FA039C"/>
    <w:rsid w:val="00FA5798"/>
    <w:rsid w:val="00FA5FDE"/>
    <w:rsid w:val="00FA760C"/>
    <w:rsid w:val="00FA7BC9"/>
    <w:rsid w:val="00FB15A8"/>
    <w:rsid w:val="00FB68F2"/>
    <w:rsid w:val="00FB6934"/>
    <w:rsid w:val="00FC22C2"/>
    <w:rsid w:val="00FC6388"/>
    <w:rsid w:val="00FC679A"/>
    <w:rsid w:val="00FD4282"/>
    <w:rsid w:val="00FD5EAF"/>
    <w:rsid w:val="00FE0299"/>
    <w:rsid w:val="00FE1ADC"/>
    <w:rsid w:val="00FF1293"/>
    <w:rsid w:val="00FF1C56"/>
    <w:rsid w:val="00FF25DD"/>
    <w:rsid w:val="00FF2C51"/>
    <w:rsid w:val="00FF59BA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3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F2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04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4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4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4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793"/>
  </w:style>
  <w:style w:type="paragraph" w:styleId="Footer">
    <w:name w:val="footer"/>
    <w:basedOn w:val="Normal"/>
    <w:link w:val="FooterChar"/>
    <w:uiPriority w:val="99"/>
    <w:unhideWhenUsed/>
    <w:rsid w:val="00854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7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30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6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6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4F2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704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04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704F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547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793"/>
  </w:style>
  <w:style w:type="paragraph" w:styleId="Footer">
    <w:name w:val="footer"/>
    <w:basedOn w:val="Normal"/>
    <w:link w:val="FooterChar"/>
    <w:uiPriority w:val="99"/>
    <w:unhideWhenUsed/>
    <w:rsid w:val="008547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9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5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8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footer" Target="footer1.xml"/>
  <Relationship Id="rId12" Type="http://schemas.openxmlformats.org/officeDocument/2006/relationships/fontTable" Target="fontTable.xml"/>
  <Relationship Id="rId13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0FAA7-5A4A-48D5-86F6-383E832B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2017-09-01T23:36:00Z</dcterms:created>
  <dc:creator>ANF</dc:creator>
  <lastModifiedBy>ANF</lastModifiedBy>
  <lastPrinted>2017-08-10T18:16:00Z</lastPrinted>
  <dcterms:modified xsi:type="dcterms:W3CDTF">2017-09-01T23:36:00Z</dcterms:modified>
  <revision>2</revision>
</coreProperties>
</file>